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67B0F2" w14:textId="77777777" w:rsidR="00D84719" w:rsidRPr="00D84719" w:rsidRDefault="00D84719" w:rsidP="00D84719">
      <w:pPr>
        <w:spacing w:before="240" w:after="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smallCaps/>
          <w:noProof/>
          <w:color w:val="000000"/>
          <w:sz w:val="24"/>
          <w:szCs w:val="24"/>
          <w:lang w:eastAsia="hr-HR"/>
        </w:rPr>
        <w:drawing>
          <wp:anchor distT="0" distB="0" distL="114300" distR="114300" simplePos="0" relativeHeight="251659264" behindDoc="0" locked="0" layoutInCell="1" allowOverlap="1" wp14:anchorId="1E6AB4BE" wp14:editId="7EA48E8C">
            <wp:simplePos x="0" y="0"/>
            <wp:positionH relativeFrom="margin">
              <wp:posOffset>-6350</wp:posOffset>
            </wp:positionH>
            <wp:positionV relativeFrom="paragraph">
              <wp:posOffset>0</wp:posOffset>
            </wp:positionV>
            <wp:extent cx="5969036" cy="2535678"/>
            <wp:effectExtent l="0" t="0" r="0" b="0"/>
            <wp:wrapTopAndBottom/>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GOR_HR_4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69036" cy="2535678"/>
                    </a:xfrm>
                    <a:prstGeom prst="rect">
                      <a:avLst/>
                    </a:prstGeom>
                  </pic:spPr>
                </pic:pic>
              </a:graphicData>
            </a:graphic>
            <wp14:sizeRelH relativeFrom="page">
              <wp14:pctWidth>0</wp14:pctWidth>
            </wp14:sizeRelH>
            <wp14:sizeRelV relativeFrom="page">
              <wp14:pctHeight>0</wp14:pctHeight>
            </wp14:sizeRelV>
          </wp:anchor>
        </w:drawing>
      </w:r>
    </w:p>
    <w:p w14:paraId="76FC1AA3" w14:textId="77777777" w:rsidR="00D84719" w:rsidRPr="008F7C9A" w:rsidRDefault="007F27DA" w:rsidP="00D84719">
      <w:pPr>
        <w:spacing w:before="240" w:after="0" w:line="276" w:lineRule="auto"/>
        <w:jc w:val="center"/>
        <w:rPr>
          <w:rFonts w:ascii="Times New Roman" w:eastAsia="Times New Roman" w:hAnsi="Times New Roman" w:cs="Times New Roman"/>
          <w:b/>
          <w:sz w:val="36"/>
          <w:szCs w:val="24"/>
        </w:rPr>
      </w:pPr>
      <w:r>
        <w:rPr>
          <w:rFonts w:ascii="Times New Roman" w:eastAsia="Times New Roman" w:hAnsi="Times New Roman" w:cs="Times New Roman"/>
          <w:b/>
          <w:sz w:val="36"/>
          <w:szCs w:val="24"/>
        </w:rPr>
        <w:t xml:space="preserve">PRIJEDLOG </w:t>
      </w:r>
      <w:r w:rsidR="00D84719" w:rsidRPr="008F7C9A">
        <w:rPr>
          <w:rFonts w:ascii="Times New Roman" w:eastAsia="Times New Roman" w:hAnsi="Times New Roman" w:cs="Times New Roman"/>
          <w:b/>
          <w:sz w:val="36"/>
          <w:szCs w:val="24"/>
        </w:rPr>
        <w:t>TREĆ</w:t>
      </w:r>
      <w:r>
        <w:rPr>
          <w:rFonts w:ascii="Times New Roman" w:eastAsia="Times New Roman" w:hAnsi="Times New Roman" w:cs="Times New Roman"/>
          <w:b/>
          <w:sz w:val="36"/>
          <w:szCs w:val="24"/>
        </w:rPr>
        <w:t>EG</w:t>
      </w:r>
      <w:r w:rsidR="00D84719" w:rsidRPr="008F7C9A">
        <w:rPr>
          <w:rFonts w:ascii="Times New Roman" w:eastAsia="Times New Roman" w:hAnsi="Times New Roman" w:cs="Times New Roman"/>
          <w:b/>
          <w:sz w:val="36"/>
          <w:szCs w:val="24"/>
        </w:rPr>
        <w:t xml:space="preserve"> NACIONALN</w:t>
      </w:r>
      <w:r>
        <w:rPr>
          <w:rFonts w:ascii="Times New Roman" w:eastAsia="Times New Roman" w:hAnsi="Times New Roman" w:cs="Times New Roman"/>
          <w:b/>
          <w:sz w:val="36"/>
          <w:szCs w:val="24"/>
        </w:rPr>
        <w:t>OG</w:t>
      </w:r>
      <w:r w:rsidR="00D84719" w:rsidRPr="008F7C9A">
        <w:rPr>
          <w:rFonts w:ascii="Times New Roman" w:eastAsia="Times New Roman" w:hAnsi="Times New Roman" w:cs="Times New Roman"/>
          <w:b/>
          <w:sz w:val="36"/>
          <w:szCs w:val="24"/>
        </w:rPr>
        <w:t xml:space="preserve"> PLAN</w:t>
      </w:r>
      <w:r>
        <w:rPr>
          <w:rFonts w:ascii="Times New Roman" w:eastAsia="Times New Roman" w:hAnsi="Times New Roman" w:cs="Times New Roman"/>
          <w:b/>
          <w:sz w:val="36"/>
          <w:szCs w:val="24"/>
        </w:rPr>
        <w:t>A</w:t>
      </w:r>
      <w:r w:rsidR="00D84719" w:rsidRPr="008F7C9A">
        <w:rPr>
          <w:rFonts w:ascii="Times New Roman" w:eastAsia="Times New Roman" w:hAnsi="Times New Roman" w:cs="Times New Roman"/>
          <w:b/>
          <w:sz w:val="36"/>
          <w:szCs w:val="24"/>
        </w:rPr>
        <w:t xml:space="preserve"> ZA PROVEDBU STOCKHOLMSKE KONVENCIJE O POSTOJANIM ORGANSKIM ONEČIŠĆUJUĆIM TVARIMA</w:t>
      </w:r>
      <w:r w:rsidR="00B5653C">
        <w:rPr>
          <w:rFonts w:ascii="Times New Roman" w:eastAsia="Times New Roman" w:hAnsi="Times New Roman" w:cs="Times New Roman"/>
          <w:b/>
          <w:sz w:val="36"/>
          <w:szCs w:val="24"/>
        </w:rPr>
        <w:t xml:space="preserve"> U REPUBLICI HRVATSKOJ</w:t>
      </w:r>
    </w:p>
    <w:p w14:paraId="4096E09E" w14:textId="77777777" w:rsidR="00D84719" w:rsidRPr="008F7C9A" w:rsidRDefault="00D84719" w:rsidP="00D84719">
      <w:pPr>
        <w:spacing w:before="240" w:after="0" w:line="276" w:lineRule="auto"/>
        <w:jc w:val="center"/>
        <w:rPr>
          <w:rFonts w:ascii="Times New Roman" w:eastAsia="Times New Roman" w:hAnsi="Times New Roman" w:cs="Times New Roman"/>
          <w:b/>
          <w:sz w:val="36"/>
          <w:szCs w:val="24"/>
        </w:rPr>
      </w:pPr>
    </w:p>
    <w:p w14:paraId="7733DB8C" w14:textId="0B7EFCCA" w:rsidR="00D84719" w:rsidRPr="008F7C9A" w:rsidRDefault="005E0217" w:rsidP="00D84719">
      <w:pPr>
        <w:spacing w:before="240" w:after="0" w:line="276" w:lineRule="auto"/>
        <w:jc w:val="center"/>
        <w:rPr>
          <w:rFonts w:ascii="Times New Roman" w:eastAsia="Times New Roman" w:hAnsi="Times New Roman" w:cs="Times New Roman"/>
          <w:b/>
          <w:sz w:val="36"/>
          <w:szCs w:val="24"/>
        </w:rPr>
      </w:pPr>
      <w:r w:rsidRPr="005E0217">
        <w:rPr>
          <w:rFonts w:ascii="Times New Roman" w:eastAsia="Times New Roman" w:hAnsi="Times New Roman" w:cs="Times New Roman"/>
          <w:b/>
          <w:sz w:val="36"/>
          <w:szCs w:val="24"/>
        </w:rPr>
        <w:t>(uključuje Odluke usvojene 20</w:t>
      </w:r>
      <w:r>
        <w:rPr>
          <w:rFonts w:ascii="Times New Roman" w:eastAsia="Times New Roman" w:hAnsi="Times New Roman" w:cs="Times New Roman"/>
          <w:b/>
          <w:sz w:val="36"/>
          <w:szCs w:val="24"/>
        </w:rPr>
        <w:t>15</w:t>
      </w:r>
      <w:r w:rsidRPr="005E0217">
        <w:rPr>
          <w:rFonts w:ascii="Times New Roman" w:eastAsia="Times New Roman" w:hAnsi="Times New Roman" w:cs="Times New Roman"/>
          <w:b/>
          <w:sz w:val="36"/>
          <w:szCs w:val="24"/>
        </w:rPr>
        <w:t>.-201</w:t>
      </w:r>
      <w:r>
        <w:rPr>
          <w:rFonts w:ascii="Times New Roman" w:eastAsia="Times New Roman" w:hAnsi="Times New Roman" w:cs="Times New Roman"/>
          <w:b/>
          <w:sz w:val="36"/>
          <w:szCs w:val="24"/>
        </w:rPr>
        <w:t>7</w:t>
      </w:r>
      <w:r w:rsidR="005C26BD">
        <w:rPr>
          <w:rFonts w:ascii="Times New Roman" w:eastAsia="Times New Roman" w:hAnsi="Times New Roman" w:cs="Times New Roman"/>
          <w:b/>
          <w:sz w:val="36"/>
          <w:szCs w:val="24"/>
        </w:rPr>
        <w:t>.</w:t>
      </w:r>
      <w:r w:rsidRPr="005E0217">
        <w:rPr>
          <w:rFonts w:ascii="Times New Roman" w:eastAsia="Times New Roman" w:hAnsi="Times New Roman" w:cs="Times New Roman"/>
          <w:b/>
          <w:sz w:val="36"/>
          <w:szCs w:val="24"/>
        </w:rPr>
        <w:t>)</w:t>
      </w:r>
    </w:p>
    <w:p w14:paraId="1B7A7502" w14:textId="77777777" w:rsidR="00D84719" w:rsidRPr="00D84719" w:rsidRDefault="00D84719" w:rsidP="00D84719">
      <w:pPr>
        <w:spacing w:before="240" w:after="0" w:line="276" w:lineRule="auto"/>
        <w:jc w:val="center"/>
        <w:rPr>
          <w:rFonts w:ascii="Times New Roman" w:eastAsia="Times New Roman" w:hAnsi="Times New Roman" w:cs="Times New Roman"/>
          <w:b/>
          <w:color w:val="000000"/>
          <w:sz w:val="36"/>
          <w:szCs w:val="24"/>
        </w:rPr>
      </w:pPr>
    </w:p>
    <w:p w14:paraId="43E79DFA" w14:textId="77777777" w:rsidR="00D84719" w:rsidRPr="00D84719" w:rsidRDefault="00D84719" w:rsidP="00D84719">
      <w:pPr>
        <w:spacing w:before="240" w:after="0" w:line="276" w:lineRule="auto"/>
        <w:jc w:val="center"/>
        <w:rPr>
          <w:rFonts w:ascii="Times New Roman" w:eastAsia="Times New Roman" w:hAnsi="Times New Roman" w:cs="Times New Roman"/>
          <w:b/>
          <w:color w:val="000000"/>
          <w:sz w:val="36"/>
          <w:szCs w:val="24"/>
        </w:rPr>
      </w:pPr>
    </w:p>
    <w:p w14:paraId="27A447E7" w14:textId="77777777" w:rsidR="00D84719" w:rsidRPr="00D84719" w:rsidRDefault="00D84719" w:rsidP="00D84719">
      <w:pPr>
        <w:spacing w:before="240" w:after="0" w:line="276" w:lineRule="auto"/>
        <w:jc w:val="center"/>
        <w:rPr>
          <w:rFonts w:ascii="Times New Roman" w:eastAsia="Times New Roman" w:hAnsi="Times New Roman" w:cs="Times New Roman"/>
          <w:b/>
          <w:color w:val="000000"/>
          <w:sz w:val="36"/>
          <w:szCs w:val="24"/>
        </w:rPr>
      </w:pPr>
    </w:p>
    <w:p w14:paraId="646738B7" w14:textId="77777777" w:rsidR="00D84719" w:rsidRPr="00D84719" w:rsidRDefault="00D84719" w:rsidP="00D84719">
      <w:pPr>
        <w:spacing w:before="240" w:after="0" w:line="276" w:lineRule="auto"/>
        <w:rPr>
          <w:rFonts w:ascii="Times New Roman" w:eastAsia="Times New Roman" w:hAnsi="Times New Roman" w:cs="Times New Roman"/>
          <w:b/>
          <w:smallCaps/>
          <w:color w:val="000000"/>
          <w:sz w:val="24"/>
          <w:szCs w:val="24"/>
        </w:rPr>
      </w:pPr>
    </w:p>
    <w:p w14:paraId="66F7AF7A" w14:textId="77777777" w:rsidR="00D84719" w:rsidRPr="00D84719" w:rsidRDefault="00D84719" w:rsidP="00D84719">
      <w:pPr>
        <w:spacing w:before="240" w:after="0" w:line="276" w:lineRule="auto"/>
        <w:rPr>
          <w:rFonts w:ascii="Times New Roman" w:eastAsia="Times New Roman" w:hAnsi="Times New Roman" w:cs="Times New Roman"/>
          <w:b/>
          <w:smallCaps/>
          <w:color w:val="000000"/>
          <w:sz w:val="24"/>
          <w:szCs w:val="24"/>
        </w:rPr>
      </w:pPr>
    </w:p>
    <w:p w14:paraId="4713C3D8" w14:textId="77777777" w:rsidR="00D84719" w:rsidRPr="00D84719" w:rsidRDefault="00D84719" w:rsidP="00D84719">
      <w:pPr>
        <w:spacing w:before="240" w:after="0" w:line="276" w:lineRule="auto"/>
        <w:rPr>
          <w:rFonts w:ascii="Times New Roman" w:eastAsia="Times New Roman" w:hAnsi="Times New Roman" w:cs="Times New Roman"/>
          <w:b/>
          <w:smallCaps/>
          <w:color w:val="000000"/>
          <w:sz w:val="24"/>
          <w:szCs w:val="24"/>
        </w:rPr>
      </w:pPr>
    </w:p>
    <w:p w14:paraId="5C4D1E38" w14:textId="77777777" w:rsidR="00D84719" w:rsidRDefault="00D84719" w:rsidP="00D84719">
      <w:pPr>
        <w:spacing w:before="240" w:after="0" w:line="276" w:lineRule="auto"/>
        <w:rPr>
          <w:rFonts w:ascii="Times New Roman" w:eastAsia="Times New Roman" w:hAnsi="Times New Roman" w:cs="Times New Roman"/>
          <w:b/>
          <w:smallCaps/>
          <w:color w:val="000000"/>
          <w:sz w:val="24"/>
          <w:szCs w:val="24"/>
        </w:rPr>
      </w:pPr>
    </w:p>
    <w:p w14:paraId="158D21A3" w14:textId="77777777" w:rsidR="002C1BDA" w:rsidRPr="00D84719" w:rsidRDefault="002C1BDA" w:rsidP="00D84719">
      <w:pPr>
        <w:spacing w:before="240" w:after="0" w:line="276" w:lineRule="auto"/>
        <w:rPr>
          <w:rFonts w:ascii="Times New Roman" w:eastAsia="Times New Roman" w:hAnsi="Times New Roman" w:cs="Times New Roman"/>
          <w:b/>
          <w:smallCaps/>
          <w:color w:val="000000"/>
          <w:sz w:val="24"/>
          <w:szCs w:val="24"/>
        </w:rPr>
      </w:pPr>
    </w:p>
    <w:p w14:paraId="62503524" w14:textId="4D82BAF8" w:rsidR="008F7C9A" w:rsidRDefault="005E0217" w:rsidP="008F7C9A">
      <w:pPr>
        <w:spacing w:before="240" w:after="0" w:line="276" w:lineRule="auto"/>
        <w:jc w:val="center"/>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Travanj</w:t>
      </w:r>
      <w:r w:rsidRPr="008F7C9A">
        <w:rPr>
          <w:rFonts w:ascii="Times New Roman" w:eastAsia="Times New Roman" w:hAnsi="Times New Roman" w:cs="Times New Roman"/>
          <w:b/>
          <w:iCs/>
          <w:sz w:val="24"/>
          <w:szCs w:val="24"/>
        </w:rPr>
        <w:t xml:space="preserve"> </w:t>
      </w:r>
      <w:r w:rsidR="0046687E" w:rsidRPr="008F7C9A">
        <w:rPr>
          <w:rFonts w:ascii="Times New Roman" w:eastAsia="Times New Roman" w:hAnsi="Times New Roman" w:cs="Times New Roman"/>
          <w:b/>
          <w:iCs/>
          <w:sz w:val="24"/>
          <w:szCs w:val="24"/>
        </w:rPr>
        <w:t>202</w:t>
      </w:r>
      <w:r w:rsidR="0046687E">
        <w:rPr>
          <w:rFonts w:ascii="Times New Roman" w:eastAsia="Times New Roman" w:hAnsi="Times New Roman" w:cs="Times New Roman"/>
          <w:b/>
          <w:iCs/>
          <w:sz w:val="24"/>
          <w:szCs w:val="24"/>
        </w:rPr>
        <w:t>1</w:t>
      </w:r>
      <w:r w:rsidR="00D84719" w:rsidRPr="008F7C9A">
        <w:rPr>
          <w:rFonts w:ascii="Times New Roman" w:eastAsia="Times New Roman" w:hAnsi="Times New Roman" w:cs="Times New Roman"/>
          <w:b/>
          <w:iCs/>
          <w:sz w:val="24"/>
          <w:szCs w:val="24"/>
        </w:rPr>
        <w:t>.</w:t>
      </w:r>
    </w:p>
    <w:p w14:paraId="3A13987F" w14:textId="77777777" w:rsidR="00D84719" w:rsidRPr="006C6566" w:rsidRDefault="00D84719" w:rsidP="006C6566">
      <w:pPr>
        <w:tabs>
          <w:tab w:val="left" w:pos="993"/>
        </w:tabs>
        <w:spacing w:before="240" w:after="0" w:line="276" w:lineRule="auto"/>
        <w:ind w:left="993" w:right="864" w:hanging="993"/>
        <w:rPr>
          <w:rFonts w:ascii="Times New Roman" w:eastAsia="Times New Roman" w:hAnsi="Times New Roman" w:cs="Times New Roman"/>
          <w:i/>
          <w:iCs/>
          <w:sz w:val="24"/>
          <w:szCs w:val="24"/>
        </w:rPr>
      </w:pPr>
      <w:r w:rsidRPr="006C6566">
        <w:rPr>
          <w:rFonts w:ascii="Times New Roman" w:eastAsia="Times New Roman" w:hAnsi="Times New Roman" w:cs="Times New Roman"/>
          <w:i/>
          <w:iCs/>
          <w:sz w:val="24"/>
          <w:szCs w:val="24"/>
        </w:rPr>
        <w:lastRenderedPageBreak/>
        <w:t>Sadržaj</w:t>
      </w:r>
    </w:p>
    <w:p w14:paraId="1CCE01A0" w14:textId="31EC5972" w:rsidR="00BE2CA3" w:rsidRPr="006C6566" w:rsidRDefault="00D84719" w:rsidP="006C6566">
      <w:pPr>
        <w:pStyle w:val="Sadraj1"/>
        <w:tabs>
          <w:tab w:val="left" w:pos="993"/>
          <w:tab w:val="right" w:leader="dot" w:pos="9062"/>
        </w:tabs>
        <w:ind w:left="993" w:hanging="993"/>
        <w:rPr>
          <w:rFonts w:ascii="Times New Roman" w:eastAsiaTheme="minorEastAsia" w:hAnsi="Times New Roman" w:cs="Times New Roman"/>
          <w:b w:val="0"/>
          <w:bCs w:val="0"/>
          <w:caps w:val="0"/>
          <w:noProof/>
          <w:color w:val="auto"/>
          <w:sz w:val="24"/>
          <w:u w:val="none"/>
          <w:lang w:eastAsia="hr-HR"/>
        </w:rPr>
      </w:pPr>
      <w:r w:rsidRPr="006C6566">
        <w:rPr>
          <w:rFonts w:ascii="Times New Roman" w:hAnsi="Times New Roman" w:cs="Times New Roman"/>
          <w:sz w:val="24"/>
          <w:highlight w:val="yellow"/>
        </w:rPr>
        <w:fldChar w:fldCharType="begin"/>
      </w:r>
      <w:r w:rsidRPr="006C6566">
        <w:rPr>
          <w:rFonts w:ascii="Times New Roman" w:hAnsi="Times New Roman" w:cs="Times New Roman"/>
          <w:sz w:val="24"/>
          <w:highlight w:val="yellow"/>
        </w:rPr>
        <w:instrText xml:space="preserve"> TOC \o "1-5" \h \z \u </w:instrText>
      </w:r>
      <w:r w:rsidRPr="006C6566">
        <w:rPr>
          <w:rFonts w:ascii="Times New Roman" w:hAnsi="Times New Roman" w:cs="Times New Roman"/>
          <w:sz w:val="24"/>
          <w:highlight w:val="yellow"/>
        </w:rPr>
        <w:fldChar w:fldCharType="separate"/>
      </w:r>
      <w:hyperlink w:anchor="_Toc64460657" w:history="1">
        <w:r w:rsidR="00BE2CA3" w:rsidRPr="006C6566">
          <w:rPr>
            <w:rStyle w:val="Hiperveza"/>
            <w:rFonts w:ascii="Times New Roman" w:hAnsi="Times New Roman" w:cs="Times New Roman"/>
            <w:noProof/>
            <w:sz w:val="24"/>
          </w:rPr>
          <w:t>1</w:t>
        </w:r>
        <w:r w:rsidR="00BE2CA3" w:rsidRPr="006C6566">
          <w:rPr>
            <w:rFonts w:ascii="Times New Roman" w:eastAsiaTheme="minorEastAsia" w:hAnsi="Times New Roman" w:cs="Times New Roman"/>
            <w:b w:val="0"/>
            <w:bCs w:val="0"/>
            <w:caps w:val="0"/>
            <w:noProof/>
            <w:color w:val="auto"/>
            <w:sz w:val="24"/>
            <w:u w:val="none"/>
            <w:lang w:eastAsia="hr-HR"/>
          </w:rPr>
          <w:tab/>
        </w:r>
        <w:r w:rsidR="00BE2CA3" w:rsidRPr="006C6566">
          <w:rPr>
            <w:rStyle w:val="Hiperveza"/>
            <w:rFonts w:ascii="Times New Roman" w:hAnsi="Times New Roman" w:cs="Times New Roman"/>
            <w:noProof/>
            <w:sz w:val="24"/>
          </w:rPr>
          <w:t>UVOD</w:t>
        </w:r>
        <w:r w:rsidR="00BE2CA3" w:rsidRPr="006C6566">
          <w:rPr>
            <w:rFonts w:ascii="Times New Roman" w:hAnsi="Times New Roman" w:cs="Times New Roman"/>
            <w:noProof/>
            <w:webHidden/>
            <w:sz w:val="24"/>
          </w:rPr>
          <w:tab/>
        </w:r>
        <w:r w:rsidR="00BE2CA3" w:rsidRPr="006C6566">
          <w:rPr>
            <w:rFonts w:ascii="Times New Roman" w:hAnsi="Times New Roman" w:cs="Times New Roman"/>
            <w:noProof/>
            <w:webHidden/>
            <w:sz w:val="24"/>
          </w:rPr>
          <w:fldChar w:fldCharType="begin"/>
        </w:r>
        <w:r w:rsidR="00BE2CA3" w:rsidRPr="006C6566">
          <w:rPr>
            <w:rFonts w:ascii="Times New Roman" w:hAnsi="Times New Roman" w:cs="Times New Roman"/>
            <w:noProof/>
            <w:webHidden/>
            <w:sz w:val="24"/>
          </w:rPr>
          <w:instrText xml:space="preserve"> PAGEREF _Toc64460657 \h </w:instrText>
        </w:r>
        <w:r w:rsidR="00BE2CA3" w:rsidRPr="006C6566">
          <w:rPr>
            <w:rFonts w:ascii="Times New Roman" w:hAnsi="Times New Roman" w:cs="Times New Roman"/>
            <w:noProof/>
            <w:webHidden/>
            <w:sz w:val="24"/>
          </w:rPr>
        </w:r>
        <w:r w:rsidR="00BE2CA3" w:rsidRPr="006C6566">
          <w:rPr>
            <w:rFonts w:ascii="Times New Roman" w:hAnsi="Times New Roman" w:cs="Times New Roman"/>
            <w:noProof/>
            <w:webHidden/>
            <w:sz w:val="24"/>
          </w:rPr>
          <w:fldChar w:fldCharType="separate"/>
        </w:r>
        <w:r w:rsidR="004C449C">
          <w:rPr>
            <w:rFonts w:ascii="Times New Roman" w:hAnsi="Times New Roman" w:cs="Times New Roman"/>
            <w:noProof/>
            <w:webHidden/>
            <w:sz w:val="24"/>
          </w:rPr>
          <w:t>1</w:t>
        </w:r>
        <w:r w:rsidR="00BE2CA3" w:rsidRPr="006C6566">
          <w:rPr>
            <w:rFonts w:ascii="Times New Roman" w:hAnsi="Times New Roman" w:cs="Times New Roman"/>
            <w:noProof/>
            <w:webHidden/>
            <w:sz w:val="24"/>
          </w:rPr>
          <w:fldChar w:fldCharType="end"/>
        </w:r>
      </w:hyperlink>
    </w:p>
    <w:p w14:paraId="26212786" w14:textId="47957CDC" w:rsidR="00BE2CA3" w:rsidRPr="006C6566" w:rsidRDefault="00EB1E23" w:rsidP="006C6566">
      <w:pPr>
        <w:pStyle w:val="Sadraj1"/>
        <w:tabs>
          <w:tab w:val="left" w:pos="993"/>
          <w:tab w:val="right" w:leader="dot" w:pos="9062"/>
        </w:tabs>
        <w:ind w:left="993" w:hanging="993"/>
        <w:rPr>
          <w:rFonts w:ascii="Times New Roman" w:eastAsiaTheme="minorEastAsia" w:hAnsi="Times New Roman" w:cs="Times New Roman"/>
          <w:b w:val="0"/>
          <w:bCs w:val="0"/>
          <w:caps w:val="0"/>
          <w:noProof/>
          <w:color w:val="auto"/>
          <w:sz w:val="24"/>
          <w:u w:val="none"/>
          <w:lang w:eastAsia="hr-HR"/>
        </w:rPr>
      </w:pPr>
      <w:hyperlink w:anchor="_Toc64460658" w:history="1">
        <w:r w:rsidR="00BE2CA3" w:rsidRPr="006C6566">
          <w:rPr>
            <w:rStyle w:val="Hiperveza"/>
            <w:rFonts w:ascii="Times New Roman" w:hAnsi="Times New Roman" w:cs="Times New Roman"/>
            <w:noProof/>
            <w:sz w:val="24"/>
          </w:rPr>
          <w:t>2</w:t>
        </w:r>
        <w:r w:rsidR="00BE2CA3" w:rsidRPr="006C6566">
          <w:rPr>
            <w:rFonts w:ascii="Times New Roman" w:eastAsiaTheme="minorEastAsia" w:hAnsi="Times New Roman" w:cs="Times New Roman"/>
            <w:b w:val="0"/>
            <w:bCs w:val="0"/>
            <w:caps w:val="0"/>
            <w:noProof/>
            <w:color w:val="auto"/>
            <w:sz w:val="24"/>
            <w:u w:val="none"/>
            <w:lang w:eastAsia="hr-HR"/>
          </w:rPr>
          <w:tab/>
        </w:r>
        <w:r w:rsidR="00BE2CA3" w:rsidRPr="006C6566">
          <w:rPr>
            <w:rStyle w:val="Hiperveza"/>
            <w:rFonts w:ascii="Times New Roman" w:hAnsi="Times New Roman" w:cs="Times New Roman"/>
            <w:noProof/>
            <w:sz w:val="24"/>
          </w:rPr>
          <w:t>OSNOVNE INFORMACIJE O DRŽAVI</w:t>
        </w:r>
        <w:r w:rsidR="00BE2CA3" w:rsidRPr="006C6566">
          <w:rPr>
            <w:rFonts w:ascii="Times New Roman" w:hAnsi="Times New Roman" w:cs="Times New Roman"/>
            <w:noProof/>
            <w:webHidden/>
            <w:sz w:val="24"/>
          </w:rPr>
          <w:tab/>
        </w:r>
        <w:r w:rsidR="00BE2CA3" w:rsidRPr="006C6566">
          <w:rPr>
            <w:rFonts w:ascii="Times New Roman" w:hAnsi="Times New Roman" w:cs="Times New Roman"/>
            <w:noProof/>
            <w:webHidden/>
            <w:sz w:val="24"/>
          </w:rPr>
          <w:fldChar w:fldCharType="begin"/>
        </w:r>
        <w:r w:rsidR="00BE2CA3" w:rsidRPr="006C6566">
          <w:rPr>
            <w:rFonts w:ascii="Times New Roman" w:hAnsi="Times New Roman" w:cs="Times New Roman"/>
            <w:noProof/>
            <w:webHidden/>
            <w:sz w:val="24"/>
          </w:rPr>
          <w:instrText xml:space="preserve"> PAGEREF _Toc64460658 \h </w:instrText>
        </w:r>
        <w:r w:rsidR="00BE2CA3" w:rsidRPr="006C6566">
          <w:rPr>
            <w:rFonts w:ascii="Times New Roman" w:hAnsi="Times New Roman" w:cs="Times New Roman"/>
            <w:noProof/>
            <w:webHidden/>
            <w:sz w:val="24"/>
          </w:rPr>
        </w:r>
        <w:r w:rsidR="00BE2CA3" w:rsidRPr="006C6566">
          <w:rPr>
            <w:rFonts w:ascii="Times New Roman" w:hAnsi="Times New Roman" w:cs="Times New Roman"/>
            <w:noProof/>
            <w:webHidden/>
            <w:sz w:val="24"/>
          </w:rPr>
          <w:fldChar w:fldCharType="separate"/>
        </w:r>
        <w:r w:rsidR="004C449C">
          <w:rPr>
            <w:rFonts w:ascii="Times New Roman" w:hAnsi="Times New Roman" w:cs="Times New Roman"/>
            <w:noProof/>
            <w:webHidden/>
            <w:sz w:val="24"/>
          </w:rPr>
          <w:t>5</w:t>
        </w:r>
        <w:r w:rsidR="00BE2CA3" w:rsidRPr="006C6566">
          <w:rPr>
            <w:rFonts w:ascii="Times New Roman" w:hAnsi="Times New Roman" w:cs="Times New Roman"/>
            <w:noProof/>
            <w:webHidden/>
            <w:sz w:val="24"/>
          </w:rPr>
          <w:fldChar w:fldCharType="end"/>
        </w:r>
      </w:hyperlink>
    </w:p>
    <w:p w14:paraId="60F615B2" w14:textId="588BEC79" w:rsidR="00BE2CA3" w:rsidRPr="006C6566" w:rsidRDefault="00EB1E23" w:rsidP="006C6566">
      <w:pPr>
        <w:pStyle w:val="Sadraj2"/>
        <w:tabs>
          <w:tab w:val="left" w:pos="993"/>
          <w:tab w:val="right" w:leader="dot" w:pos="9062"/>
        </w:tabs>
        <w:ind w:left="993" w:hanging="993"/>
        <w:rPr>
          <w:rFonts w:ascii="Times New Roman" w:eastAsiaTheme="minorEastAsia" w:hAnsi="Times New Roman" w:cs="Times New Roman"/>
          <w:b w:val="0"/>
          <w:bCs w:val="0"/>
          <w:smallCaps w:val="0"/>
          <w:noProof/>
          <w:color w:val="auto"/>
          <w:sz w:val="24"/>
          <w:lang w:eastAsia="hr-HR"/>
        </w:rPr>
      </w:pPr>
      <w:hyperlink w:anchor="_Toc64460659" w:history="1">
        <w:r w:rsidR="00BE2CA3" w:rsidRPr="006C6566">
          <w:rPr>
            <w:rStyle w:val="Hiperveza"/>
            <w:rFonts w:ascii="Times New Roman" w:hAnsi="Times New Roman" w:cs="Times New Roman"/>
            <w:noProof/>
            <w:sz w:val="24"/>
          </w:rPr>
          <w:t>2.1</w:t>
        </w:r>
        <w:r w:rsidR="00BE2CA3" w:rsidRPr="006C6566">
          <w:rPr>
            <w:rFonts w:ascii="Times New Roman" w:eastAsiaTheme="minorEastAsia" w:hAnsi="Times New Roman" w:cs="Times New Roman"/>
            <w:b w:val="0"/>
            <w:bCs w:val="0"/>
            <w:smallCaps w:val="0"/>
            <w:noProof/>
            <w:color w:val="auto"/>
            <w:sz w:val="24"/>
            <w:lang w:eastAsia="hr-HR"/>
          </w:rPr>
          <w:tab/>
        </w:r>
        <w:r w:rsidR="00BE2CA3" w:rsidRPr="006C6566">
          <w:rPr>
            <w:rStyle w:val="Hiperveza"/>
            <w:rFonts w:ascii="Times New Roman" w:hAnsi="Times New Roman" w:cs="Times New Roman"/>
            <w:noProof/>
            <w:sz w:val="24"/>
          </w:rPr>
          <w:t>Profil države</w:t>
        </w:r>
        <w:r w:rsidR="00BE2CA3" w:rsidRPr="006C6566">
          <w:rPr>
            <w:rFonts w:ascii="Times New Roman" w:hAnsi="Times New Roman" w:cs="Times New Roman"/>
            <w:noProof/>
            <w:webHidden/>
            <w:sz w:val="24"/>
          </w:rPr>
          <w:tab/>
        </w:r>
        <w:r w:rsidR="00BE2CA3" w:rsidRPr="006C6566">
          <w:rPr>
            <w:rFonts w:ascii="Times New Roman" w:hAnsi="Times New Roman" w:cs="Times New Roman"/>
            <w:noProof/>
            <w:webHidden/>
            <w:sz w:val="24"/>
          </w:rPr>
          <w:fldChar w:fldCharType="begin"/>
        </w:r>
        <w:r w:rsidR="00BE2CA3" w:rsidRPr="006C6566">
          <w:rPr>
            <w:rFonts w:ascii="Times New Roman" w:hAnsi="Times New Roman" w:cs="Times New Roman"/>
            <w:noProof/>
            <w:webHidden/>
            <w:sz w:val="24"/>
          </w:rPr>
          <w:instrText xml:space="preserve"> PAGEREF _Toc64460659 \h </w:instrText>
        </w:r>
        <w:r w:rsidR="00BE2CA3" w:rsidRPr="006C6566">
          <w:rPr>
            <w:rFonts w:ascii="Times New Roman" w:hAnsi="Times New Roman" w:cs="Times New Roman"/>
            <w:noProof/>
            <w:webHidden/>
            <w:sz w:val="24"/>
          </w:rPr>
        </w:r>
        <w:r w:rsidR="00BE2CA3" w:rsidRPr="006C6566">
          <w:rPr>
            <w:rFonts w:ascii="Times New Roman" w:hAnsi="Times New Roman" w:cs="Times New Roman"/>
            <w:noProof/>
            <w:webHidden/>
            <w:sz w:val="24"/>
          </w:rPr>
          <w:fldChar w:fldCharType="separate"/>
        </w:r>
        <w:r w:rsidR="004C449C">
          <w:rPr>
            <w:rFonts w:ascii="Times New Roman" w:hAnsi="Times New Roman" w:cs="Times New Roman"/>
            <w:noProof/>
            <w:webHidden/>
            <w:sz w:val="24"/>
          </w:rPr>
          <w:t>5</w:t>
        </w:r>
        <w:r w:rsidR="00BE2CA3" w:rsidRPr="006C6566">
          <w:rPr>
            <w:rFonts w:ascii="Times New Roman" w:hAnsi="Times New Roman" w:cs="Times New Roman"/>
            <w:noProof/>
            <w:webHidden/>
            <w:sz w:val="24"/>
          </w:rPr>
          <w:fldChar w:fldCharType="end"/>
        </w:r>
      </w:hyperlink>
    </w:p>
    <w:p w14:paraId="5BAB3B95" w14:textId="7A5C5F83" w:rsidR="00BE2CA3" w:rsidRPr="006C6566" w:rsidRDefault="00EB1E23" w:rsidP="006C6566">
      <w:pPr>
        <w:pStyle w:val="Sadraj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660" w:history="1">
        <w:r w:rsidR="00BE2CA3" w:rsidRPr="006C6566">
          <w:rPr>
            <w:rStyle w:val="Hiperveza"/>
            <w:rFonts w:ascii="Times New Roman" w:hAnsi="Times New Roman" w:cs="Times New Roman"/>
            <w:noProof/>
            <w:sz w:val="24"/>
            <w:lang w:bidi="en-US"/>
          </w:rPr>
          <w:t>2.1.1</w:t>
        </w:r>
        <w:r w:rsidR="00BE2CA3" w:rsidRPr="006C6566">
          <w:rPr>
            <w:rFonts w:ascii="Times New Roman" w:eastAsiaTheme="minorEastAsia" w:hAnsi="Times New Roman" w:cs="Times New Roman"/>
            <w:smallCaps w:val="0"/>
            <w:noProof/>
            <w:color w:val="auto"/>
            <w:sz w:val="24"/>
            <w:lang w:eastAsia="hr-HR"/>
          </w:rPr>
          <w:tab/>
        </w:r>
        <w:r w:rsidR="00BE2CA3" w:rsidRPr="006C6566">
          <w:rPr>
            <w:rStyle w:val="Hiperveza"/>
            <w:rFonts w:ascii="Times New Roman" w:hAnsi="Times New Roman" w:cs="Times New Roman"/>
            <w:noProof/>
            <w:sz w:val="24"/>
            <w:lang w:bidi="en-US"/>
          </w:rPr>
          <w:t>ZEMLJOPISNI POLOŽAJ I STANOVNIŠTVO</w:t>
        </w:r>
        <w:r w:rsidR="00BE2CA3" w:rsidRPr="006C6566">
          <w:rPr>
            <w:rFonts w:ascii="Times New Roman" w:hAnsi="Times New Roman" w:cs="Times New Roman"/>
            <w:noProof/>
            <w:webHidden/>
            <w:sz w:val="24"/>
          </w:rPr>
          <w:tab/>
        </w:r>
        <w:r w:rsidR="00BE2CA3" w:rsidRPr="006C6566">
          <w:rPr>
            <w:rFonts w:ascii="Times New Roman" w:hAnsi="Times New Roman" w:cs="Times New Roman"/>
            <w:noProof/>
            <w:webHidden/>
            <w:sz w:val="24"/>
          </w:rPr>
          <w:fldChar w:fldCharType="begin"/>
        </w:r>
        <w:r w:rsidR="00BE2CA3" w:rsidRPr="006C6566">
          <w:rPr>
            <w:rFonts w:ascii="Times New Roman" w:hAnsi="Times New Roman" w:cs="Times New Roman"/>
            <w:noProof/>
            <w:webHidden/>
            <w:sz w:val="24"/>
          </w:rPr>
          <w:instrText xml:space="preserve"> PAGEREF _Toc64460660 \h </w:instrText>
        </w:r>
        <w:r w:rsidR="00BE2CA3" w:rsidRPr="006C6566">
          <w:rPr>
            <w:rFonts w:ascii="Times New Roman" w:hAnsi="Times New Roman" w:cs="Times New Roman"/>
            <w:noProof/>
            <w:webHidden/>
            <w:sz w:val="24"/>
          </w:rPr>
        </w:r>
        <w:r w:rsidR="00BE2CA3" w:rsidRPr="006C6566">
          <w:rPr>
            <w:rFonts w:ascii="Times New Roman" w:hAnsi="Times New Roman" w:cs="Times New Roman"/>
            <w:noProof/>
            <w:webHidden/>
            <w:sz w:val="24"/>
          </w:rPr>
          <w:fldChar w:fldCharType="separate"/>
        </w:r>
        <w:r w:rsidR="004C449C">
          <w:rPr>
            <w:rFonts w:ascii="Times New Roman" w:hAnsi="Times New Roman" w:cs="Times New Roman"/>
            <w:noProof/>
            <w:webHidden/>
            <w:sz w:val="24"/>
          </w:rPr>
          <w:t>5</w:t>
        </w:r>
        <w:r w:rsidR="00BE2CA3" w:rsidRPr="006C6566">
          <w:rPr>
            <w:rFonts w:ascii="Times New Roman" w:hAnsi="Times New Roman" w:cs="Times New Roman"/>
            <w:noProof/>
            <w:webHidden/>
            <w:sz w:val="24"/>
          </w:rPr>
          <w:fldChar w:fldCharType="end"/>
        </w:r>
      </w:hyperlink>
    </w:p>
    <w:p w14:paraId="5319AEE0" w14:textId="7BFA4B1E" w:rsidR="00BE2CA3" w:rsidRPr="006C6566" w:rsidRDefault="00EB1E23" w:rsidP="006C6566">
      <w:pPr>
        <w:pStyle w:val="Sadraj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661" w:history="1">
        <w:r w:rsidR="00BE2CA3" w:rsidRPr="006C6566">
          <w:rPr>
            <w:rStyle w:val="Hiperveza"/>
            <w:rFonts w:ascii="Times New Roman" w:hAnsi="Times New Roman" w:cs="Times New Roman"/>
            <w:noProof/>
            <w:sz w:val="24"/>
            <w:lang w:bidi="en-US"/>
          </w:rPr>
          <w:t>2.1.2</w:t>
        </w:r>
        <w:r w:rsidR="00BE2CA3" w:rsidRPr="006C6566">
          <w:rPr>
            <w:rFonts w:ascii="Times New Roman" w:eastAsiaTheme="minorEastAsia" w:hAnsi="Times New Roman" w:cs="Times New Roman"/>
            <w:smallCaps w:val="0"/>
            <w:noProof/>
            <w:color w:val="auto"/>
            <w:sz w:val="24"/>
            <w:lang w:eastAsia="hr-HR"/>
          </w:rPr>
          <w:tab/>
        </w:r>
        <w:r w:rsidR="00BE2CA3" w:rsidRPr="006C6566">
          <w:rPr>
            <w:rStyle w:val="Hiperveza"/>
            <w:rFonts w:ascii="Times New Roman" w:hAnsi="Times New Roman" w:cs="Times New Roman"/>
            <w:noProof/>
            <w:sz w:val="24"/>
            <w:lang w:bidi="en-US"/>
          </w:rPr>
          <w:t>DRUŠTVENO POLITIČKO USTROJSTVO</w:t>
        </w:r>
        <w:r w:rsidR="00BE2CA3" w:rsidRPr="006C6566">
          <w:rPr>
            <w:rFonts w:ascii="Times New Roman" w:hAnsi="Times New Roman" w:cs="Times New Roman"/>
            <w:noProof/>
            <w:webHidden/>
            <w:sz w:val="24"/>
          </w:rPr>
          <w:tab/>
        </w:r>
        <w:r w:rsidR="00BE2CA3" w:rsidRPr="006C6566">
          <w:rPr>
            <w:rFonts w:ascii="Times New Roman" w:hAnsi="Times New Roman" w:cs="Times New Roman"/>
            <w:noProof/>
            <w:webHidden/>
            <w:sz w:val="24"/>
          </w:rPr>
          <w:fldChar w:fldCharType="begin"/>
        </w:r>
        <w:r w:rsidR="00BE2CA3" w:rsidRPr="006C6566">
          <w:rPr>
            <w:rFonts w:ascii="Times New Roman" w:hAnsi="Times New Roman" w:cs="Times New Roman"/>
            <w:noProof/>
            <w:webHidden/>
            <w:sz w:val="24"/>
          </w:rPr>
          <w:instrText xml:space="preserve"> PAGEREF _Toc64460661 \h </w:instrText>
        </w:r>
        <w:r w:rsidR="00BE2CA3" w:rsidRPr="006C6566">
          <w:rPr>
            <w:rFonts w:ascii="Times New Roman" w:hAnsi="Times New Roman" w:cs="Times New Roman"/>
            <w:noProof/>
            <w:webHidden/>
            <w:sz w:val="24"/>
          </w:rPr>
        </w:r>
        <w:r w:rsidR="00BE2CA3" w:rsidRPr="006C6566">
          <w:rPr>
            <w:rFonts w:ascii="Times New Roman" w:hAnsi="Times New Roman" w:cs="Times New Roman"/>
            <w:noProof/>
            <w:webHidden/>
            <w:sz w:val="24"/>
          </w:rPr>
          <w:fldChar w:fldCharType="separate"/>
        </w:r>
        <w:r w:rsidR="004C449C">
          <w:rPr>
            <w:rFonts w:ascii="Times New Roman" w:hAnsi="Times New Roman" w:cs="Times New Roman"/>
            <w:noProof/>
            <w:webHidden/>
            <w:sz w:val="24"/>
          </w:rPr>
          <w:t>5</w:t>
        </w:r>
        <w:r w:rsidR="00BE2CA3" w:rsidRPr="006C6566">
          <w:rPr>
            <w:rFonts w:ascii="Times New Roman" w:hAnsi="Times New Roman" w:cs="Times New Roman"/>
            <w:noProof/>
            <w:webHidden/>
            <w:sz w:val="24"/>
          </w:rPr>
          <w:fldChar w:fldCharType="end"/>
        </w:r>
      </w:hyperlink>
    </w:p>
    <w:p w14:paraId="1B56A8DC" w14:textId="4C7FBBE9" w:rsidR="00BE2CA3" w:rsidRPr="006C6566" w:rsidRDefault="00EB1E23" w:rsidP="006C6566">
      <w:pPr>
        <w:pStyle w:val="Sadraj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662" w:history="1">
        <w:r w:rsidR="00BE2CA3" w:rsidRPr="006C6566">
          <w:rPr>
            <w:rStyle w:val="Hiperveza"/>
            <w:rFonts w:ascii="Times New Roman" w:hAnsi="Times New Roman" w:cs="Times New Roman"/>
            <w:noProof/>
            <w:sz w:val="24"/>
            <w:lang w:bidi="en-US"/>
          </w:rPr>
          <w:t>2.1.3</w:t>
        </w:r>
        <w:r w:rsidR="00BE2CA3" w:rsidRPr="006C6566">
          <w:rPr>
            <w:rFonts w:ascii="Times New Roman" w:eastAsiaTheme="minorEastAsia" w:hAnsi="Times New Roman" w:cs="Times New Roman"/>
            <w:smallCaps w:val="0"/>
            <w:noProof/>
            <w:color w:val="auto"/>
            <w:sz w:val="24"/>
            <w:lang w:eastAsia="hr-HR"/>
          </w:rPr>
          <w:tab/>
        </w:r>
        <w:r w:rsidR="00BE2CA3" w:rsidRPr="006C6566">
          <w:rPr>
            <w:rStyle w:val="Hiperveza"/>
            <w:rFonts w:ascii="Times New Roman" w:hAnsi="Times New Roman" w:cs="Times New Roman"/>
            <w:noProof/>
            <w:sz w:val="24"/>
            <w:lang w:bidi="en-US"/>
          </w:rPr>
          <w:t>GOSPODARSKI POKAZATELJI</w:t>
        </w:r>
        <w:r w:rsidR="00BE2CA3" w:rsidRPr="006C6566">
          <w:rPr>
            <w:rFonts w:ascii="Times New Roman" w:hAnsi="Times New Roman" w:cs="Times New Roman"/>
            <w:noProof/>
            <w:webHidden/>
            <w:sz w:val="24"/>
          </w:rPr>
          <w:tab/>
        </w:r>
        <w:r w:rsidR="00BE2CA3" w:rsidRPr="006C6566">
          <w:rPr>
            <w:rFonts w:ascii="Times New Roman" w:hAnsi="Times New Roman" w:cs="Times New Roman"/>
            <w:noProof/>
            <w:webHidden/>
            <w:sz w:val="24"/>
          </w:rPr>
          <w:fldChar w:fldCharType="begin"/>
        </w:r>
        <w:r w:rsidR="00BE2CA3" w:rsidRPr="006C6566">
          <w:rPr>
            <w:rFonts w:ascii="Times New Roman" w:hAnsi="Times New Roman" w:cs="Times New Roman"/>
            <w:noProof/>
            <w:webHidden/>
            <w:sz w:val="24"/>
          </w:rPr>
          <w:instrText xml:space="preserve"> PAGEREF _Toc64460662 \h </w:instrText>
        </w:r>
        <w:r w:rsidR="00BE2CA3" w:rsidRPr="006C6566">
          <w:rPr>
            <w:rFonts w:ascii="Times New Roman" w:hAnsi="Times New Roman" w:cs="Times New Roman"/>
            <w:noProof/>
            <w:webHidden/>
            <w:sz w:val="24"/>
          </w:rPr>
        </w:r>
        <w:r w:rsidR="00BE2CA3" w:rsidRPr="006C6566">
          <w:rPr>
            <w:rFonts w:ascii="Times New Roman" w:hAnsi="Times New Roman" w:cs="Times New Roman"/>
            <w:noProof/>
            <w:webHidden/>
            <w:sz w:val="24"/>
          </w:rPr>
          <w:fldChar w:fldCharType="separate"/>
        </w:r>
        <w:r w:rsidR="004C449C">
          <w:rPr>
            <w:rFonts w:ascii="Times New Roman" w:hAnsi="Times New Roman" w:cs="Times New Roman"/>
            <w:noProof/>
            <w:webHidden/>
            <w:sz w:val="24"/>
          </w:rPr>
          <w:t>6</w:t>
        </w:r>
        <w:r w:rsidR="00BE2CA3" w:rsidRPr="006C6566">
          <w:rPr>
            <w:rFonts w:ascii="Times New Roman" w:hAnsi="Times New Roman" w:cs="Times New Roman"/>
            <w:noProof/>
            <w:webHidden/>
            <w:sz w:val="24"/>
          </w:rPr>
          <w:fldChar w:fldCharType="end"/>
        </w:r>
      </w:hyperlink>
    </w:p>
    <w:p w14:paraId="6698BF76" w14:textId="4CC06DF4" w:rsidR="00BE2CA3" w:rsidRPr="006C6566" w:rsidRDefault="00EB1E23" w:rsidP="006C6566">
      <w:pPr>
        <w:pStyle w:val="Sadraj4"/>
        <w:rPr>
          <w:rFonts w:eastAsiaTheme="minorEastAsia"/>
          <w:color w:val="auto"/>
          <w:sz w:val="24"/>
          <w:szCs w:val="24"/>
          <w:lang w:eastAsia="hr-HR" w:bidi="ar-SA"/>
        </w:rPr>
      </w:pPr>
      <w:hyperlink w:anchor="_Toc64460663" w:history="1">
        <w:r w:rsidR="00BE2CA3" w:rsidRPr="006C6566">
          <w:rPr>
            <w:rStyle w:val="Hiperveza"/>
            <w:rFonts w:ascii="Times New Roman" w:hAnsi="Times New Roman"/>
            <w:sz w:val="24"/>
            <w:szCs w:val="24"/>
          </w:rPr>
          <w:t>2.1.3.1</w:t>
        </w:r>
        <w:r w:rsidR="00BE2CA3" w:rsidRPr="006C6566">
          <w:rPr>
            <w:rFonts w:eastAsiaTheme="minorEastAsia"/>
            <w:color w:val="auto"/>
            <w:sz w:val="24"/>
            <w:szCs w:val="24"/>
            <w:lang w:eastAsia="hr-HR" w:bidi="ar-SA"/>
          </w:rPr>
          <w:tab/>
        </w:r>
        <w:r w:rsidR="006C6566">
          <w:rPr>
            <w:rFonts w:eastAsiaTheme="minorEastAsia"/>
            <w:color w:val="auto"/>
            <w:sz w:val="24"/>
            <w:szCs w:val="24"/>
            <w:lang w:eastAsia="hr-HR" w:bidi="ar-SA"/>
          </w:rPr>
          <w:tab/>
        </w:r>
        <w:r w:rsidR="00BE2CA3" w:rsidRPr="006C6566">
          <w:rPr>
            <w:rStyle w:val="Hiperveza"/>
            <w:rFonts w:ascii="Times New Roman" w:hAnsi="Times New Roman"/>
            <w:sz w:val="24"/>
            <w:szCs w:val="24"/>
          </w:rPr>
          <w:t>Karakteristike gospodarskih sektora</w:t>
        </w:r>
        <w:r w:rsidR="00BE2CA3" w:rsidRPr="006C6566">
          <w:rPr>
            <w:webHidden/>
            <w:sz w:val="24"/>
            <w:szCs w:val="24"/>
          </w:rPr>
          <w:tab/>
        </w:r>
        <w:r w:rsidR="00BE2CA3" w:rsidRPr="006C6566">
          <w:rPr>
            <w:webHidden/>
            <w:sz w:val="24"/>
            <w:szCs w:val="24"/>
          </w:rPr>
          <w:fldChar w:fldCharType="begin"/>
        </w:r>
        <w:r w:rsidR="00BE2CA3" w:rsidRPr="006C6566">
          <w:rPr>
            <w:webHidden/>
            <w:sz w:val="24"/>
            <w:szCs w:val="24"/>
          </w:rPr>
          <w:instrText xml:space="preserve"> PAGEREF _Toc64460663 \h </w:instrText>
        </w:r>
        <w:r w:rsidR="00BE2CA3" w:rsidRPr="006C6566">
          <w:rPr>
            <w:webHidden/>
            <w:sz w:val="24"/>
            <w:szCs w:val="24"/>
          </w:rPr>
        </w:r>
        <w:r w:rsidR="00BE2CA3" w:rsidRPr="006C6566">
          <w:rPr>
            <w:webHidden/>
            <w:sz w:val="24"/>
            <w:szCs w:val="24"/>
          </w:rPr>
          <w:fldChar w:fldCharType="separate"/>
        </w:r>
        <w:r w:rsidR="004C449C">
          <w:rPr>
            <w:webHidden/>
            <w:sz w:val="24"/>
            <w:szCs w:val="24"/>
          </w:rPr>
          <w:t>6</w:t>
        </w:r>
        <w:r w:rsidR="00BE2CA3" w:rsidRPr="006C6566">
          <w:rPr>
            <w:webHidden/>
            <w:sz w:val="24"/>
            <w:szCs w:val="24"/>
          </w:rPr>
          <w:fldChar w:fldCharType="end"/>
        </w:r>
      </w:hyperlink>
    </w:p>
    <w:p w14:paraId="0CF5ECE9" w14:textId="76D36FE2" w:rsidR="00BE2CA3" w:rsidRPr="006C6566" w:rsidRDefault="00EB1E23" w:rsidP="006C6566">
      <w:pPr>
        <w:pStyle w:val="Sadraj4"/>
        <w:rPr>
          <w:rFonts w:eastAsiaTheme="minorEastAsia"/>
          <w:color w:val="auto"/>
          <w:sz w:val="24"/>
          <w:szCs w:val="24"/>
          <w:lang w:eastAsia="hr-HR" w:bidi="ar-SA"/>
        </w:rPr>
      </w:pPr>
      <w:hyperlink w:anchor="_Toc64460664" w:history="1">
        <w:r w:rsidR="00BE2CA3" w:rsidRPr="006C6566">
          <w:rPr>
            <w:rStyle w:val="Hiperveza"/>
            <w:rFonts w:ascii="Times New Roman" w:hAnsi="Times New Roman"/>
            <w:sz w:val="24"/>
            <w:szCs w:val="24"/>
          </w:rPr>
          <w:t>2.1.3.2</w:t>
        </w:r>
        <w:r w:rsidR="00BE2CA3" w:rsidRPr="006C6566">
          <w:rPr>
            <w:rFonts w:eastAsiaTheme="minorEastAsia"/>
            <w:color w:val="auto"/>
            <w:sz w:val="24"/>
            <w:szCs w:val="24"/>
            <w:lang w:eastAsia="hr-HR" w:bidi="ar-SA"/>
          </w:rPr>
          <w:tab/>
        </w:r>
        <w:r w:rsidR="006C6566">
          <w:rPr>
            <w:rFonts w:eastAsiaTheme="minorEastAsia"/>
            <w:color w:val="auto"/>
            <w:sz w:val="24"/>
            <w:szCs w:val="24"/>
            <w:lang w:eastAsia="hr-HR" w:bidi="ar-SA"/>
          </w:rPr>
          <w:tab/>
        </w:r>
        <w:r w:rsidR="00BE2CA3" w:rsidRPr="006C6566">
          <w:rPr>
            <w:rStyle w:val="Hiperveza"/>
            <w:rFonts w:ascii="Times New Roman" w:hAnsi="Times New Roman"/>
            <w:sz w:val="24"/>
            <w:szCs w:val="24"/>
          </w:rPr>
          <w:t>Stanje okoliša</w:t>
        </w:r>
        <w:r w:rsidR="00BE2CA3" w:rsidRPr="006C6566">
          <w:rPr>
            <w:webHidden/>
            <w:sz w:val="24"/>
            <w:szCs w:val="24"/>
          </w:rPr>
          <w:tab/>
        </w:r>
        <w:r w:rsidR="00BE2CA3" w:rsidRPr="006C6566">
          <w:rPr>
            <w:webHidden/>
            <w:sz w:val="24"/>
            <w:szCs w:val="24"/>
          </w:rPr>
          <w:fldChar w:fldCharType="begin"/>
        </w:r>
        <w:r w:rsidR="00BE2CA3" w:rsidRPr="006C6566">
          <w:rPr>
            <w:webHidden/>
            <w:sz w:val="24"/>
            <w:szCs w:val="24"/>
          </w:rPr>
          <w:instrText xml:space="preserve"> PAGEREF _Toc64460664 \h </w:instrText>
        </w:r>
        <w:r w:rsidR="00BE2CA3" w:rsidRPr="006C6566">
          <w:rPr>
            <w:webHidden/>
            <w:sz w:val="24"/>
            <w:szCs w:val="24"/>
          </w:rPr>
        </w:r>
        <w:r w:rsidR="00BE2CA3" w:rsidRPr="006C6566">
          <w:rPr>
            <w:webHidden/>
            <w:sz w:val="24"/>
            <w:szCs w:val="24"/>
          </w:rPr>
          <w:fldChar w:fldCharType="separate"/>
        </w:r>
        <w:r w:rsidR="004C449C">
          <w:rPr>
            <w:webHidden/>
            <w:sz w:val="24"/>
            <w:szCs w:val="24"/>
          </w:rPr>
          <w:t>7</w:t>
        </w:r>
        <w:r w:rsidR="00BE2CA3" w:rsidRPr="006C6566">
          <w:rPr>
            <w:webHidden/>
            <w:sz w:val="24"/>
            <w:szCs w:val="24"/>
          </w:rPr>
          <w:fldChar w:fldCharType="end"/>
        </w:r>
      </w:hyperlink>
    </w:p>
    <w:p w14:paraId="518E4E5B" w14:textId="33F2C003" w:rsidR="00BE2CA3" w:rsidRPr="006C6566" w:rsidRDefault="00EB1E23" w:rsidP="006C6566">
      <w:pPr>
        <w:pStyle w:val="Sadraj4"/>
        <w:rPr>
          <w:rFonts w:eastAsiaTheme="minorEastAsia"/>
          <w:color w:val="auto"/>
          <w:sz w:val="24"/>
          <w:szCs w:val="24"/>
          <w:lang w:eastAsia="hr-HR" w:bidi="ar-SA"/>
        </w:rPr>
      </w:pPr>
      <w:hyperlink w:anchor="_Toc64460665" w:history="1">
        <w:r w:rsidR="00BE2CA3" w:rsidRPr="006C6566">
          <w:rPr>
            <w:rStyle w:val="Hiperveza"/>
            <w:rFonts w:ascii="Times New Roman" w:hAnsi="Times New Roman"/>
            <w:sz w:val="24"/>
            <w:szCs w:val="24"/>
          </w:rPr>
          <w:t>2.1.3.3</w:t>
        </w:r>
        <w:r w:rsidR="00BE2CA3" w:rsidRPr="006C6566">
          <w:rPr>
            <w:rFonts w:eastAsiaTheme="minorEastAsia"/>
            <w:color w:val="auto"/>
            <w:sz w:val="24"/>
            <w:szCs w:val="24"/>
            <w:lang w:eastAsia="hr-HR" w:bidi="ar-SA"/>
          </w:rPr>
          <w:tab/>
        </w:r>
        <w:r w:rsidR="006C6566">
          <w:rPr>
            <w:rFonts w:eastAsiaTheme="minorEastAsia"/>
            <w:color w:val="auto"/>
            <w:sz w:val="24"/>
            <w:szCs w:val="24"/>
            <w:lang w:eastAsia="hr-HR" w:bidi="ar-SA"/>
          </w:rPr>
          <w:tab/>
        </w:r>
        <w:r w:rsidR="00BE2CA3" w:rsidRPr="006C6566">
          <w:rPr>
            <w:rStyle w:val="Hiperveza"/>
            <w:rFonts w:ascii="Times New Roman" w:hAnsi="Times New Roman"/>
            <w:sz w:val="24"/>
            <w:szCs w:val="24"/>
          </w:rPr>
          <w:t>Zaštita tla</w:t>
        </w:r>
        <w:r w:rsidR="00BE2CA3" w:rsidRPr="006C6566">
          <w:rPr>
            <w:webHidden/>
            <w:sz w:val="24"/>
            <w:szCs w:val="24"/>
          </w:rPr>
          <w:tab/>
        </w:r>
        <w:r w:rsidR="00BE2CA3" w:rsidRPr="006C6566">
          <w:rPr>
            <w:webHidden/>
            <w:sz w:val="24"/>
            <w:szCs w:val="24"/>
          </w:rPr>
          <w:fldChar w:fldCharType="begin"/>
        </w:r>
        <w:r w:rsidR="00BE2CA3" w:rsidRPr="006C6566">
          <w:rPr>
            <w:webHidden/>
            <w:sz w:val="24"/>
            <w:szCs w:val="24"/>
          </w:rPr>
          <w:instrText xml:space="preserve"> PAGEREF _Toc64460665 \h </w:instrText>
        </w:r>
        <w:r w:rsidR="00BE2CA3" w:rsidRPr="006C6566">
          <w:rPr>
            <w:webHidden/>
            <w:sz w:val="24"/>
            <w:szCs w:val="24"/>
          </w:rPr>
        </w:r>
        <w:r w:rsidR="00BE2CA3" w:rsidRPr="006C6566">
          <w:rPr>
            <w:webHidden/>
            <w:sz w:val="24"/>
            <w:szCs w:val="24"/>
          </w:rPr>
          <w:fldChar w:fldCharType="separate"/>
        </w:r>
        <w:r w:rsidR="004C449C">
          <w:rPr>
            <w:webHidden/>
            <w:sz w:val="24"/>
            <w:szCs w:val="24"/>
          </w:rPr>
          <w:t>10</w:t>
        </w:r>
        <w:r w:rsidR="00BE2CA3" w:rsidRPr="006C6566">
          <w:rPr>
            <w:webHidden/>
            <w:sz w:val="24"/>
            <w:szCs w:val="24"/>
          </w:rPr>
          <w:fldChar w:fldCharType="end"/>
        </w:r>
      </w:hyperlink>
    </w:p>
    <w:p w14:paraId="5B60DD3D" w14:textId="3AFA3FDE" w:rsidR="00BE2CA3" w:rsidRPr="006C6566" w:rsidRDefault="00EB1E23" w:rsidP="006C6566">
      <w:pPr>
        <w:pStyle w:val="Sadraj4"/>
        <w:rPr>
          <w:rFonts w:eastAsiaTheme="minorEastAsia"/>
          <w:color w:val="auto"/>
          <w:sz w:val="24"/>
          <w:szCs w:val="24"/>
          <w:lang w:eastAsia="hr-HR" w:bidi="ar-SA"/>
        </w:rPr>
      </w:pPr>
      <w:hyperlink w:anchor="_Toc64460666" w:history="1">
        <w:r w:rsidR="00BE2CA3" w:rsidRPr="006C6566">
          <w:rPr>
            <w:rStyle w:val="Hiperveza"/>
            <w:rFonts w:ascii="Times New Roman" w:hAnsi="Times New Roman"/>
            <w:sz w:val="24"/>
            <w:szCs w:val="24"/>
          </w:rPr>
          <w:t>2.1.3.4</w:t>
        </w:r>
        <w:r w:rsidR="00BE2CA3" w:rsidRPr="006C6566">
          <w:rPr>
            <w:rFonts w:eastAsiaTheme="minorEastAsia"/>
            <w:color w:val="auto"/>
            <w:sz w:val="24"/>
            <w:szCs w:val="24"/>
            <w:lang w:eastAsia="hr-HR" w:bidi="ar-SA"/>
          </w:rPr>
          <w:tab/>
        </w:r>
        <w:r w:rsidR="006C6566">
          <w:rPr>
            <w:rFonts w:eastAsiaTheme="minorEastAsia"/>
            <w:color w:val="auto"/>
            <w:sz w:val="24"/>
            <w:szCs w:val="24"/>
            <w:lang w:eastAsia="hr-HR" w:bidi="ar-SA"/>
          </w:rPr>
          <w:tab/>
        </w:r>
        <w:r w:rsidR="00BE2CA3" w:rsidRPr="006C6566">
          <w:rPr>
            <w:rStyle w:val="Hiperveza"/>
            <w:rFonts w:ascii="Times New Roman" w:hAnsi="Times New Roman"/>
            <w:sz w:val="24"/>
            <w:szCs w:val="24"/>
          </w:rPr>
          <w:t>Kopnene vode</w:t>
        </w:r>
        <w:r w:rsidR="00BE2CA3" w:rsidRPr="006C6566">
          <w:rPr>
            <w:webHidden/>
            <w:sz w:val="24"/>
            <w:szCs w:val="24"/>
          </w:rPr>
          <w:tab/>
        </w:r>
        <w:r w:rsidR="00BE2CA3" w:rsidRPr="006C6566">
          <w:rPr>
            <w:webHidden/>
            <w:sz w:val="24"/>
            <w:szCs w:val="24"/>
          </w:rPr>
          <w:fldChar w:fldCharType="begin"/>
        </w:r>
        <w:r w:rsidR="00BE2CA3" w:rsidRPr="006C6566">
          <w:rPr>
            <w:webHidden/>
            <w:sz w:val="24"/>
            <w:szCs w:val="24"/>
          </w:rPr>
          <w:instrText xml:space="preserve"> PAGEREF _Toc64460666 \h </w:instrText>
        </w:r>
        <w:r w:rsidR="00BE2CA3" w:rsidRPr="006C6566">
          <w:rPr>
            <w:webHidden/>
            <w:sz w:val="24"/>
            <w:szCs w:val="24"/>
          </w:rPr>
        </w:r>
        <w:r w:rsidR="00BE2CA3" w:rsidRPr="006C6566">
          <w:rPr>
            <w:webHidden/>
            <w:sz w:val="24"/>
            <w:szCs w:val="24"/>
          </w:rPr>
          <w:fldChar w:fldCharType="separate"/>
        </w:r>
        <w:r w:rsidR="004C449C">
          <w:rPr>
            <w:webHidden/>
            <w:sz w:val="24"/>
            <w:szCs w:val="24"/>
          </w:rPr>
          <w:t>11</w:t>
        </w:r>
        <w:r w:rsidR="00BE2CA3" w:rsidRPr="006C6566">
          <w:rPr>
            <w:webHidden/>
            <w:sz w:val="24"/>
            <w:szCs w:val="24"/>
          </w:rPr>
          <w:fldChar w:fldCharType="end"/>
        </w:r>
      </w:hyperlink>
    </w:p>
    <w:p w14:paraId="2E144162" w14:textId="5BB60F03" w:rsidR="00BE2CA3" w:rsidRPr="006C6566" w:rsidRDefault="00EB1E23" w:rsidP="006C6566">
      <w:pPr>
        <w:pStyle w:val="Sadraj4"/>
        <w:rPr>
          <w:rFonts w:eastAsiaTheme="minorEastAsia"/>
          <w:color w:val="auto"/>
          <w:sz w:val="24"/>
          <w:szCs w:val="24"/>
          <w:lang w:eastAsia="hr-HR" w:bidi="ar-SA"/>
        </w:rPr>
      </w:pPr>
      <w:hyperlink w:anchor="_Toc64460667" w:history="1">
        <w:r w:rsidR="00BE2CA3" w:rsidRPr="006C6566">
          <w:rPr>
            <w:rStyle w:val="Hiperveza"/>
            <w:rFonts w:ascii="Times New Roman" w:hAnsi="Times New Roman"/>
            <w:sz w:val="24"/>
            <w:szCs w:val="24"/>
          </w:rPr>
          <w:t>2.1.3.5</w:t>
        </w:r>
        <w:r w:rsidR="00BE2CA3" w:rsidRPr="006C6566">
          <w:rPr>
            <w:rFonts w:eastAsiaTheme="minorEastAsia"/>
            <w:color w:val="auto"/>
            <w:sz w:val="24"/>
            <w:szCs w:val="24"/>
            <w:lang w:eastAsia="hr-HR" w:bidi="ar-SA"/>
          </w:rPr>
          <w:tab/>
        </w:r>
        <w:r w:rsidR="006C6566">
          <w:rPr>
            <w:rFonts w:eastAsiaTheme="minorEastAsia"/>
            <w:color w:val="auto"/>
            <w:sz w:val="24"/>
            <w:szCs w:val="24"/>
            <w:lang w:eastAsia="hr-HR" w:bidi="ar-SA"/>
          </w:rPr>
          <w:tab/>
        </w:r>
        <w:r w:rsidR="00BE2CA3" w:rsidRPr="006C6566">
          <w:rPr>
            <w:rStyle w:val="Hiperveza"/>
            <w:rFonts w:ascii="Times New Roman" w:hAnsi="Times New Roman"/>
            <w:sz w:val="24"/>
            <w:szCs w:val="24"/>
          </w:rPr>
          <w:t>Zaštita prirode</w:t>
        </w:r>
        <w:r w:rsidR="00BE2CA3" w:rsidRPr="006C6566">
          <w:rPr>
            <w:webHidden/>
            <w:sz w:val="24"/>
            <w:szCs w:val="24"/>
          </w:rPr>
          <w:tab/>
        </w:r>
        <w:r w:rsidR="00BE2CA3" w:rsidRPr="006C6566">
          <w:rPr>
            <w:webHidden/>
            <w:sz w:val="24"/>
            <w:szCs w:val="24"/>
          </w:rPr>
          <w:fldChar w:fldCharType="begin"/>
        </w:r>
        <w:r w:rsidR="00BE2CA3" w:rsidRPr="006C6566">
          <w:rPr>
            <w:webHidden/>
            <w:sz w:val="24"/>
            <w:szCs w:val="24"/>
          </w:rPr>
          <w:instrText xml:space="preserve"> PAGEREF _Toc64460667 \h </w:instrText>
        </w:r>
        <w:r w:rsidR="00BE2CA3" w:rsidRPr="006C6566">
          <w:rPr>
            <w:webHidden/>
            <w:sz w:val="24"/>
            <w:szCs w:val="24"/>
          </w:rPr>
        </w:r>
        <w:r w:rsidR="00BE2CA3" w:rsidRPr="006C6566">
          <w:rPr>
            <w:webHidden/>
            <w:sz w:val="24"/>
            <w:szCs w:val="24"/>
          </w:rPr>
          <w:fldChar w:fldCharType="separate"/>
        </w:r>
        <w:r w:rsidR="004C449C">
          <w:rPr>
            <w:webHidden/>
            <w:sz w:val="24"/>
            <w:szCs w:val="24"/>
          </w:rPr>
          <w:t>13</w:t>
        </w:r>
        <w:r w:rsidR="00BE2CA3" w:rsidRPr="006C6566">
          <w:rPr>
            <w:webHidden/>
            <w:sz w:val="24"/>
            <w:szCs w:val="24"/>
          </w:rPr>
          <w:fldChar w:fldCharType="end"/>
        </w:r>
      </w:hyperlink>
    </w:p>
    <w:p w14:paraId="5A1D065F" w14:textId="78E6ADC6" w:rsidR="00BE2CA3" w:rsidRPr="006C6566" w:rsidRDefault="00EB1E23" w:rsidP="006C6566">
      <w:pPr>
        <w:pStyle w:val="Sadraj4"/>
        <w:rPr>
          <w:rFonts w:eastAsiaTheme="minorEastAsia"/>
          <w:color w:val="auto"/>
          <w:sz w:val="24"/>
          <w:szCs w:val="24"/>
          <w:lang w:eastAsia="hr-HR" w:bidi="ar-SA"/>
        </w:rPr>
      </w:pPr>
      <w:hyperlink w:anchor="_Toc64460668" w:history="1">
        <w:r w:rsidR="00BE2CA3" w:rsidRPr="006C6566">
          <w:rPr>
            <w:rStyle w:val="Hiperveza"/>
            <w:rFonts w:ascii="Times New Roman" w:hAnsi="Times New Roman"/>
            <w:sz w:val="24"/>
            <w:szCs w:val="24"/>
          </w:rPr>
          <w:t>2.1.3.6</w:t>
        </w:r>
        <w:r w:rsidR="00BE2CA3" w:rsidRPr="006C6566">
          <w:rPr>
            <w:rFonts w:eastAsiaTheme="minorEastAsia"/>
            <w:color w:val="auto"/>
            <w:sz w:val="24"/>
            <w:szCs w:val="24"/>
            <w:lang w:eastAsia="hr-HR" w:bidi="ar-SA"/>
          </w:rPr>
          <w:tab/>
        </w:r>
        <w:r w:rsidR="006C6566">
          <w:rPr>
            <w:rFonts w:eastAsiaTheme="minorEastAsia"/>
            <w:color w:val="auto"/>
            <w:sz w:val="24"/>
            <w:szCs w:val="24"/>
            <w:lang w:eastAsia="hr-HR" w:bidi="ar-SA"/>
          </w:rPr>
          <w:tab/>
        </w:r>
        <w:r w:rsidR="00BE2CA3" w:rsidRPr="006C6566">
          <w:rPr>
            <w:rStyle w:val="Hiperveza"/>
            <w:rFonts w:ascii="Times New Roman" w:hAnsi="Times New Roman"/>
            <w:sz w:val="24"/>
            <w:szCs w:val="24"/>
          </w:rPr>
          <w:t>Zaštita morskog okoliša i obalnog područja</w:t>
        </w:r>
        <w:r w:rsidR="00BE2CA3" w:rsidRPr="006C6566">
          <w:rPr>
            <w:webHidden/>
            <w:sz w:val="24"/>
            <w:szCs w:val="24"/>
          </w:rPr>
          <w:tab/>
        </w:r>
        <w:r w:rsidR="00BE2CA3" w:rsidRPr="006C6566">
          <w:rPr>
            <w:webHidden/>
            <w:sz w:val="24"/>
            <w:szCs w:val="24"/>
          </w:rPr>
          <w:fldChar w:fldCharType="begin"/>
        </w:r>
        <w:r w:rsidR="00BE2CA3" w:rsidRPr="006C6566">
          <w:rPr>
            <w:webHidden/>
            <w:sz w:val="24"/>
            <w:szCs w:val="24"/>
          </w:rPr>
          <w:instrText xml:space="preserve"> PAGEREF _Toc64460668 \h </w:instrText>
        </w:r>
        <w:r w:rsidR="00BE2CA3" w:rsidRPr="006C6566">
          <w:rPr>
            <w:webHidden/>
            <w:sz w:val="24"/>
            <w:szCs w:val="24"/>
          </w:rPr>
        </w:r>
        <w:r w:rsidR="00BE2CA3" w:rsidRPr="006C6566">
          <w:rPr>
            <w:webHidden/>
            <w:sz w:val="24"/>
            <w:szCs w:val="24"/>
          </w:rPr>
          <w:fldChar w:fldCharType="separate"/>
        </w:r>
        <w:r w:rsidR="004C449C">
          <w:rPr>
            <w:webHidden/>
            <w:sz w:val="24"/>
            <w:szCs w:val="24"/>
          </w:rPr>
          <w:t>15</w:t>
        </w:r>
        <w:r w:rsidR="00BE2CA3" w:rsidRPr="006C6566">
          <w:rPr>
            <w:webHidden/>
            <w:sz w:val="24"/>
            <w:szCs w:val="24"/>
          </w:rPr>
          <w:fldChar w:fldCharType="end"/>
        </w:r>
      </w:hyperlink>
    </w:p>
    <w:p w14:paraId="268A4613" w14:textId="57B255DC" w:rsidR="00BE2CA3" w:rsidRPr="006C6566" w:rsidRDefault="00EB1E23" w:rsidP="006C6566">
      <w:pPr>
        <w:pStyle w:val="Sadraj4"/>
        <w:rPr>
          <w:rFonts w:eastAsiaTheme="minorEastAsia"/>
          <w:color w:val="auto"/>
          <w:sz w:val="24"/>
          <w:szCs w:val="24"/>
          <w:lang w:eastAsia="hr-HR" w:bidi="ar-SA"/>
        </w:rPr>
      </w:pPr>
      <w:hyperlink w:anchor="_Toc64460669" w:history="1">
        <w:r w:rsidR="00BE2CA3" w:rsidRPr="006C6566">
          <w:rPr>
            <w:rStyle w:val="Hiperveza"/>
            <w:rFonts w:ascii="Times New Roman" w:hAnsi="Times New Roman"/>
            <w:sz w:val="24"/>
            <w:szCs w:val="24"/>
          </w:rPr>
          <w:t>2.1.3.7</w:t>
        </w:r>
        <w:r w:rsidR="00BE2CA3" w:rsidRPr="006C6566">
          <w:rPr>
            <w:rFonts w:eastAsiaTheme="minorEastAsia"/>
            <w:color w:val="auto"/>
            <w:sz w:val="24"/>
            <w:szCs w:val="24"/>
            <w:lang w:eastAsia="hr-HR" w:bidi="ar-SA"/>
          </w:rPr>
          <w:tab/>
        </w:r>
        <w:r w:rsidR="006C6566">
          <w:rPr>
            <w:rFonts w:eastAsiaTheme="minorEastAsia"/>
            <w:color w:val="auto"/>
            <w:sz w:val="24"/>
            <w:szCs w:val="24"/>
            <w:lang w:eastAsia="hr-HR" w:bidi="ar-SA"/>
          </w:rPr>
          <w:tab/>
        </w:r>
        <w:r w:rsidR="00BE2CA3" w:rsidRPr="006C6566">
          <w:rPr>
            <w:rStyle w:val="Hiperveza"/>
            <w:rFonts w:ascii="Times New Roman" w:hAnsi="Times New Roman"/>
            <w:sz w:val="24"/>
            <w:szCs w:val="24"/>
          </w:rPr>
          <w:t>Gospodarenje otpadom</w:t>
        </w:r>
        <w:r w:rsidR="00BE2CA3" w:rsidRPr="006C6566">
          <w:rPr>
            <w:webHidden/>
            <w:sz w:val="24"/>
            <w:szCs w:val="24"/>
          </w:rPr>
          <w:tab/>
        </w:r>
        <w:r w:rsidR="00BE2CA3" w:rsidRPr="006C6566">
          <w:rPr>
            <w:webHidden/>
            <w:sz w:val="24"/>
            <w:szCs w:val="24"/>
          </w:rPr>
          <w:fldChar w:fldCharType="begin"/>
        </w:r>
        <w:r w:rsidR="00BE2CA3" w:rsidRPr="006C6566">
          <w:rPr>
            <w:webHidden/>
            <w:sz w:val="24"/>
            <w:szCs w:val="24"/>
          </w:rPr>
          <w:instrText xml:space="preserve"> PAGEREF _Toc64460669 \h </w:instrText>
        </w:r>
        <w:r w:rsidR="00BE2CA3" w:rsidRPr="006C6566">
          <w:rPr>
            <w:webHidden/>
            <w:sz w:val="24"/>
            <w:szCs w:val="24"/>
          </w:rPr>
        </w:r>
        <w:r w:rsidR="00BE2CA3" w:rsidRPr="006C6566">
          <w:rPr>
            <w:webHidden/>
            <w:sz w:val="24"/>
            <w:szCs w:val="24"/>
          </w:rPr>
          <w:fldChar w:fldCharType="separate"/>
        </w:r>
        <w:r w:rsidR="004C449C">
          <w:rPr>
            <w:webHidden/>
            <w:sz w:val="24"/>
            <w:szCs w:val="24"/>
          </w:rPr>
          <w:t>16</w:t>
        </w:r>
        <w:r w:rsidR="00BE2CA3" w:rsidRPr="006C6566">
          <w:rPr>
            <w:webHidden/>
            <w:sz w:val="24"/>
            <w:szCs w:val="24"/>
          </w:rPr>
          <w:fldChar w:fldCharType="end"/>
        </w:r>
      </w:hyperlink>
    </w:p>
    <w:p w14:paraId="21AF1F65" w14:textId="544C47B3" w:rsidR="00BE2CA3" w:rsidRPr="006C6566" w:rsidRDefault="00EB1E23" w:rsidP="006C6566">
      <w:pPr>
        <w:pStyle w:val="Sadraj2"/>
        <w:tabs>
          <w:tab w:val="left" w:pos="993"/>
          <w:tab w:val="right" w:leader="dot" w:pos="9062"/>
        </w:tabs>
        <w:ind w:left="993" w:hanging="993"/>
        <w:rPr>
          <w:rFonts w:ascii="Times New Roman" w:eastAsiaTheme="minorEastAsia" w:hAnsi="Times New Roman" w:cs="Times New Roman"/>
          <w:b w:val="0"/>
          <w:bCs w:val="0"/>
          <w:smallCaps w:val="0"/>
          <w:noProof/>
          <w:color w:val="auto"/>
          <w:sz w:val="24"/>
          <w:lang w:eastAsia="hr-HR"/>
        </w:rPr>
      </w:pPr>
      <w:hyperlink w:anchor="_Toc64460670" w:history="1">
        <w:r w:rsidR="00BE2CA3" w:rsidRPr="006C6566">
          <w:rPr>
            <w:rStyle w:val="Hiperveza"/>
            <w:rFonts w:ascii="Times New Roman" w:hAnsi="Times New Roman" w:cs="Times New Roman"/>
            <w:noProof/>
            <w:sz w:val="24"/>
          </w:rPr>
          <w:t>2.2</w:t>
        </w:r>
        <w:r w:rsidR="00BE2CA3" w:rsidRPr="006C6566">
          <w:rPr>
            <w:rFonts w:ascii="Times New Roman" w:eastAsiaTheme="minorEastAsia" w:hAnsi="Times New Roman" w:cs="Times New Roman"/>
            <w:b w:val="0"/>
            <w:bCs w:val="0"/>
            <w:smallCaps w:val="0"/>
            <w:noProof/>
            <w:color w:val="auto"/>
            <w:sz w:val="24"/>
            <w:lang w:eastAsia="hr-HR"/>
          </w:rPr>
          <w:tab/>
        </w:r>
        <w:r w:rsidR="00BE2CA3" w:rsidRPr="006C6566">
          <w:rPr>
            <w:rStyle w:val="Hiperveza"/>
            <w:rFonts w:ascii="Times New Roman" w:hAnsi="Times New Roman" w:cs="Times New Roman"/>
            <w:noProof/>
            <w:sz w:val="24"/>
          </w:rPr>
          <w:t>Institucionalni, politički i regulatorni okvir</w:t>
        </w:r>
        <w:r w:rsidR="00BE2CA3" w:rsidRPr="006C6566">
          <w:rPr>
            <w:rFonts w:ascii="Times New Roman" w:hAnsi="Times New Roman" w:cs="Times New Roman"/>
            <w:noProof/>
            <w:webHidden/>
            <w:sz w:val="24"/>
          </w:rPr>
          <w:tab/>
        </w:r>
        <w:r w:rsidR="00BE2CA3" w:rsidRPr="006C6566">
          <w:rPr>
            <w:rFonts w:ascii="Times New Roman" w:hAnsi="Times New Roman" w:cs="Times New Roman"/>
            <w:noProof/>
            <w:webHidden/>
            <w:sz w:val="24"/>
          </w:rPr>
          <w:fldChar w:fldCharType="begin"/>
        </w:r>
        <w:r w:rsidR="00BE2CA3" w:rsidRPr="006C6566">
          <w:rPr>
            <w:rFonts w:ascii="Times New Roman" w:hAnsi="Times New Roman" w:cs="Times New Roman"/>
            <w:noProof/>
            <w:webHidden/>
            <w:sz w:val="24"/>
          </w:rPr>
          <w:instrText xml:space="preserve"> PAGEREF _Toc64460670 \h </w:instrText>
        </w:r>
        <w:r w:rsidR="00BE2CA3" w:rsidRPr="006C6566">
          <w:rPr>
            <w:rFonts w:ascii="Times New Roman" w:hAnsi="Times New Roman" w:cs="Times New Roman"/>
            <w:noProof/>
            <w:webHidden/>
            <w:sz w:val="24"/>
          </w:rPr>
        </w:r>
        <w:r w:rsidR="00BE2CA3" w:rsidRPr="006C6566">
          <w:rPr>
            <w:rFonts w:ascii="Times New Roman" w:hAnsi="Times New Roman" w:cs="Times New Roman"/>
            <w:noProof/>
            <w:webHidden/>
            <w:sz w:val="24"/>
          </w:rPr>
          <w:fldChar w:fldCharType="separate"/>
        </w:r>
        <w:r w:rsidR="004C449C">
          <w:rPr>
            <w:rFonts w:ascii="Times New Roman" w:hAnsi="Times New Roman" w:cs="Times New Roman"/>
            <w:noProof/>
            <w:webHidden/>
            <w:sz w:val="24"/>
          </w:rPr>
          <w:t>17</w:t>
        </w:r>
        <w:r w:rsidR="00BE2CA3" w:rsidRPr="006C6566">
          <w:rPr>
            <w:rFonts w:ascii="Times New Roman" w:hAnsi="Times New Roman" w:cs="Times New Roman"/>
            <w:noProof/>
            <w:webHidden/>
            <w:sz w:val="24"/>
          </w:rPr>
          <w:fldChar w:fldCharType="end"/>
        </w:r>
      </w:hyperlink>
    </w:p>
    <w:p w14:paraId="56542D06" w14:textId="5CD27EB9" w:rsidR="00BE2CA3" w:rsidRPr="006C6566" w:rsidRDefault="00EB1E23" w:rsidP="006C6566">
      <w:pPr>
        <w:pStyle w:val="Sadraj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671" w:history="1">
        <w:r w:rsidR="00BE2CA3" w:rsidRPr="006C6566">
          <w:rPr>
            <w:rStyle w:val="Hiperveza"/>
            <w:rFonts w:ascii="Times New Roman" w:hAnsi="Times New Roman" w:cs="Times New Roman"/>
            <w:noProof/>
            <w:sz w:val="24"/>
            <w:lang w:bidi="en-US"/>
          </w:rPr>
          <w:t>2.2.1</w:t>
        </w:r>
        <w:r w:rsidR="00BE2CA3" w:rsidRPr="006C6566">
          <w:rPr>
            <w:rFonts w:ascii="Times New Roman" w:eastAsiaTheme="minorEastAsia" w:hAnsi="Times New Roman" w:cs="Times New Roman"/>
            <w:smallCaps w:val="0"/>
            <w:noProof/>
            <w:color w:val="auto"/>
            <w:sz w:val="24"/>
            <w:lang w:eastAsia="hr-HR"/>
          </w:rPr>
          <w:tab/>
        </w:r>
        <w:r w:rsidR="00BE2CA3" w:rsidRPr="006C6566">
          <w:rPr>
            <w:rStyle w:val="Hiperveza"/>
            <w:rFonts w:ascii="Times New Roman" w:hAnsi="Times New Roman" w:cs="Times New Roman"/>
            <w:noProof/>
            <w:sz w:val="24"/>
            <w:lang w:bidi="en-US"/>
          </w:rPr>
          <w:t>MEĐUNARODNI UGOVORI</w:t>
        </w:r>
        <w:r w:rsidR="00BE2CA3" w:rsidRPr="006C6566">
          <w:rPr>
            <w:rFonts w:ascii="Times New Roman" w:hAnsi="Times New Roman" w:cs="Times New Roman"/>
            <w:noProof/>
            <w:webHidden/>
            <w:sz w:val="24"/>
          </w:rPr>
          <w:tab/>
        </w:r>
        <w:r w:rsidR="00BE2CA3" w:rsidRPr="006C6566">
          <w:rPr>
            <w:rFonts w:ascii="Times New Roman" w:hAnsi="Times New Roman" w:cs="Times New Roman"/>
            <w:noProof/>
            <w:webHidden/>
            <w:sz w:val="24"/>
          </w:rPr>
          <w:fldChar w:fldCharType="begin"/>
        </w:r>
        <w:r w:rsidR="00BE2CA3" w:rsidRPr="006C6566">
          <w:rPr>
            <w:rFonts w:ascii="Times New Roman" w:hAnsi="Times New Roman" w:cs="Times New Roman"/>
            <w:noProof/>
            <w:webHidden/>
            <w:sz w:val="24"/>
          </w:rPr>
          <w:instrText xml:space="preserve"> PAGEREF _Toc64460671 \h </w:instrText>
        </w:r>
        <w:r w:rsidR="00BE2CA3" w:rsidRPr="006C6566">
          <w:rPr>
            <w:rFonts w:ascii="Times New Roman" w:hAnsi="Times New Roman" w:cs="Times New Roman"/>
            <w:noProof/>
            <w:webHidden/>
            <w:sz w:val="24"/>
          </w:rPr>
        </w:r>
        <w:r w:rsidR="00BE2CA3" w:rsidRPr="006C6566">
          <w:rPr>
            <w:rFonts w:ascii="Times New Roman" w:hAnsi="Times New Roman" w:cs="Times New Roman"/>
            <w:noProof/>
            <w:webHidden/>
            <w:sz w:val="24"/>
          </w:rPr>
          <w:fldChar w:fldCharType="separate"/>
        </w:r>
        <w:r w:rsidR="004C449C">
          <w:rPr>
            <w:rFonts w:ascii="Times New Roman" w:hAnsi="Times New Roman" w:cs="Times New Roman"/>
            <w:noProof/>
            <w:webHidden/>
            <w:sz w:val="24"/>
          </w:rPr>
          <w:t>17</w:t>
        </w:r>
        <w:r w:rsidR="00BE2CA3" w:rsidRPr="006C6566">
          <w:rPr>
            <w:rFonts w:ascii="Times New Roman" w:hAnsi="Times New Roman" w:cs="Times New Roman"/>
            <w:noProof/>
            <w:webHidden/>
            <w:sz w:val="24"/>
          </w:rPr>
          <w:fldChar w:fldCharType="end"/>
        </w:r>
      </w:hyperlink>
    </w:p>
    <w:p w14:paraId="76501605" w14:textId="2F11A6FF" w:rsidR="00BE2CA3" w:rsidRPr="006C6566" w:rsidRDefault="00EB1E23" w:rsidP="006C6566">
      <w:pPr>
        <w:pStyle w:val="Sadraj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672" w:history="1">
        <w:r w:rsidR="00BE2CA3" w:rsidRPr="006C6566">
          <w:rPr>
            <w:rStyle w:val="Hiperveza"/>
            <w:rFonts w:ascii="Times New Roman" w:hAnsi="Times New Roman" w:cs="Times New Roman"/>
            <w:noProof/>
            <w:sz w:val="24"/>
            <w:lang w:bidi="en-US"/>
          </w:rPr>
          <w:t>2.2.2</w:t>
        </w:r>
        <w:r w:rsidR="00BE2CA3" w:rsidRPr="006C6566">
          <w:rPr>
            <w:rFonts w:ascii="Times New Roman" w:eastAsiaTheme="minorEastAsia" w:hAnsi="Times New Roman" w:cs="Times New Roman"/>
            <w:smallCaps w:val="0"/>
            <w:noProof/>
            <w:color w:val="auto"/>
            <w:sz w:val="24"/>
            <w:lang w:eastAsia="hr-HR"/>
          </w:rPr>
          <w:tab/>
        </w:r>
        <w:r w:rsidR="00BE2CA3" w:rsidRPr="006C6566">
          <w:rPr>
            <w:rStyle w:val="Hiperveza"/>
            <w:rFonts w:ascii="Times New Roman" w:hAnsi="Times New Roman" w:cs="Times New Roman"/>
            <w:noProof/>
            <w:sz w:val="24"/>
            <w:lang w:bidi="en-US"/>
          </w:rPr>
          <w:t>ZAKONODAVSTVO KOJE SE ODNOSI NA GOSPODARENJE POPS-OVIMA NA RAZINI EUROPSKE UNIJE</w:t>
        </w:r>
        <w:r w:rsidR="00BE2CA3" w:rsidRPr="006C6566">
          <w:rPr>
            <w:rFonts w:ascii="Times New Roman" w:hAnsi="Times New Roman" w:cs="Times New Roman"/>
            <w:noProof/>
            <w:webHidden/>
            <w:sz w:val="24"/>
          </w:rPr>
          <w:tab/>
        </w:r>
        <w:r w:rsidR="00BE2CA3" w:rsidRPr="006C6566">
          <w:rPr>
            <w:rFonts w:ascii="Times New Roman" w:hAnsi="Times New Roman" w:cs="Times New Roman"/>
            <w:noProof/>
            <w:webHidden/>
            <w:sz w:val="24"/>
          </w:rPr>
          <w:fldChar w:fldCharType="begin"/>
        </w:r>
        <w:r w:rsidR="00BE2CA3" w:rsidRPr="006C6566">
          <w:rPr>
            <w:rFonts w:ascii="Times New Roman" w:hAnsi="Times New Roman" w:cs="Times New Roman"/>
            <w:noProof/>
            <w:webHidden/>
            <w:sz w:val="24"/>
          </w:rPr>
          <w:instrText xml:space="preserve"> PAGEREF _Toc64460672 \h </w:instrText>
        </w:r>
        <w:r w:rsidR="00BE2CA3" w:rsidRPr="006C6566">
          <w:rPr>
            <w:rFonts w:ascii="Times New Roman" w:hAnsi="Times New Roman" w:cs="Times New Roman"/>
            <w:noProof/>
            <w:webHidden/>
            <w:sz w:val="24"/>
          </w:rPr>
        </w:r>
        <w:r w:rsidR="00BE2CA3" w:rsidRPr="006C6566">
          <w:rPr>
            <w:rFonts w:ascii="Times New Roman" w:hAnsi="Times New Roman" w:cs="Times New Roman"/>
            <w:noProof/>
            <w:webHidden/>
            <w:sz w:val="24"/>
          </w:rPr>
          <w:fldChar w:fldCharType="separate"/>
        </w:r>
        <w:r w:rsidR="004C449C">
          <w:rPr>
            <w:rFonts w:ascii="Times New Roman" w:hAnsi="Times New Roman" w:cs="Times New Roman"/>
            <w:noProof/>
            <w:webHidden/>
            <w:sz w:val="24"/>
          </w:rPr>
          <w:t>19</w:t>
        </w:r>
        <w:r w:rsidR="00BE2CA3" w:rsidRPr="006C6566">
          <w:rPr>
            <w:rFonts w:ascii="Times New Roman" w:hAnsi="Times New Roman" w:cs="Times New Roman"/>
            <w:noProof/>
            <w:webHidden/>
            <w:sz w:val="24"/>
          </w:rPr>
          <w:fldChar w:fldCharType="end"/>
        </w:r>
      </w:hyperlink>
    </w:p>
    <w:p w14:paraId="7969ABA8" w14:textId="3D9DFA0E" w:rsidR="00BE2CA3" w:rsidRPr="006C6566" w:rsidRDefault="00EB1E23" w:rsidP="006C6566">
      <w:pPr>
        <w:pStyle w:val="Sadraj4"/>
        <w:rPr>
          <w:rFonts w:eastAsiaTheme="minorEastAsia"/>
          <w:color w:val="auto"/>
          <w:sz w:val="24"/>
          <w:szCs w:val="24"/>
          <w:lang w:eastAsia="hr-HR" w:bidi="ar-SA"/>
        </w:rPr>
      </w:pPr>
      <w:hyperlink w:anchor="_Toc64460673" w:history="1">
        <w:r w:rsidR="00BE2CA3" w:rsidRPr="006C6566">
          <w:rPr>
            <w:rStyle w:val="Hiperveza"/>
            <w:rFonts w:ascii="Times New Roman" w:hAnsi="Times New Roman"/>
            <w:sz w:val="24"/>
            <w:szCs w:val="24"/>
          </w:rPr>
          <w:t>2.2.2.1</w:t>
        </w:r>
        <w:r w:rsidR="00BE2CA3" w:rsidRPr="006C6566">
          <w:rPr>
            <w:rFonts w:eastAsiaTheme="minorEastAsia"/>
            <w:color w:val="auto"/>
            <w:sz w:val="24"/>
            <w:szCs w:val="24"/>
            <w:lang w:eastAsia="hr-HR" w:bidi="ar-SA"/>
          </w:rPr>
          <w:tab/>
        </w:r>
        <w:r w:rsidR="006C6566">
          <w:rPr>
            <w:rFonts w:eastAsiaTheme="minorEastAsia"/>
            <w:color w:val="auto"/>
            <w:sz w:val="24"/>
            <w:szCs w:val="24"/>
            <w:lang w:eastAsia="hr-HR" w:bidi="ar-SA"/>
          </w:rPr>
          <w:tab/>
        </w:r>
        <w:r w:rsidR="00BE2CA3" w:rsidRPr="006C6566">
          <w:rPr>
            <w:rStyle w:val="Hiperveza"/>
            <w:rFonts w:ascii="Times New Roman" w:hAnsi="Times New Roman"/>
            <w:sz w:val="24"/>
            <w:szCs w:val="24"/>
          </w:rPr>
          <w:t>POPs i REACH Uredba</w:t>
        </w:r>
        <w:r w:rsidR="00BE2CA3" w:rsidRPr="006C6566">
          <w:rPr>
            <w:webHidden/>
            <w:sz w:val="24"/>
            <w:szCs w:val="24"/>
          </w:rPr>
          <w:tab/>
        </w:r>
        <w:r w:rsidR="00BE2CA3" w:rsidRPr="006C6566">
          <w:rPr>
            <w:webHidden/>
            <w:sz w:val="24"/>
            <w:szCs w:val="24"/>
          </w:rPr>
          <w:fldChar w:fldCharType="begin"/>
        </w:r>
        <w:r w:rsidR="00BE2CA3" w:rsidRPr="006C6566">
          <w:rPr>
            <w:webHidden/>
            <w:sz w:val="24"/>
            <w:szCs w:val="24"/>
          </w:rPr>
          <w:instrText xml:space="preserve"> PAGEREF _Toc64460673 \h </w:instrText>
        </w:r>
        <w:r w:rsidR="00BE2CA3" w:rsidRPr="006C6566">
          <w:rPr>
            <w:webHidden/>
            <w:sz w:val="24"/>
            <w:szCs w:val="24"/>
          </w:rPr>
        </w:r>
        <w:r w:rsidR="00BE2CA3" w:rsidRPr="006C6566">
          <w:rPr>
            <w:webHidden/>
            <w:sz w:val="24"/>
            <w:szCs w:val="24"/>
          </w:rPr>
          <w:fldChar w:fldCharType="separate"/>
        </w:r>
        <w:r w:rsidR="004C449C">
          <w:rPr>
            <w:webHidden/>
            <w:sz w:val="24"/>
            <w:szCs w:val="24"/>
          </w:rPr>
          <w:t>19</w:t>
        </w:r>
        <w:r w:rsidR="00BE2CA3" w:rsidRPr="006C6566">
          <w:rPr>
            <w:webHidden/>
            <w:sz w:val="24"/>
            <w:szCs w:val="24"/>
          </w:rPr>
          <w:fldChar w:fldCharType="end"/>
        </w:r>
      </w:hyperlink>
    </w:p>
    <w:p w14:paraId="65EB5752" w14:textId="21DEE9DA" w:rsidR="00BE2CA3" w:rsidRPr="006C6566" w:rsidRDefault="00EB1E23" w:rsidP="006C6566">
      <w:pPr>
        <w:pStyle w:val="Sadraj4"/>
        <w:rPr>
          <w:rFonts w:eastAsiaTheme="minorEastAsia"/>
          <w:color w:val="auto"/>
          <w:sz w:val="24"/>
          <w:szCs w:val="24"/>
          <w:lang w:eastAsia="hr-HR" w:bidi="ar-SA"/>
        </w:rPr>
      </w:pPr>
      <w:hyperlink w:anchor="_Toc64460674" w:history="1">
        <w:r w:rsidR="00BE2CA3" w:rsidRPr="006C6566">
          <w:rPr>
            <w:rStyle w:val="Hiperveza"/>
            <w:rFonts w:ascii="Times New Roman" w:hAnsi="Times New Roman"/>
            <w:sz w:val="24"/>
            <w:szCs w:val="24"/>
          </w:rPr>
          <w:t>2.2.2.2</w:t>
        </w:r>
        <w:r w:rsidR="00BE2CA3" w:rsidRPr="006C6566">
          <w:rPr>
            <w:rFonts w:eastAsiaTheme="minorEastAsia"/>
            <w:color w:val="auto"/>
            <w:sz w:val="24"/>
            <w:szCs w:val="24"/>
            <w:lang w:eastAsia="hr-HR" w:bidi="ar-SA"/>
          </w:rPr>
          <w:tab/>
        </w:r>
        <w:r w:rsidR="006C6566">
          <w:rPr>
            <w:rFonts w:eastAsiaTheme="minorEastAsia"/>
            <w:color w:val="auto"/>
            <w:sz w:val="24"/>
            <w:szCs w:val="24"/>
            <w:lang w:eastAsia="hr-HR" w:bidi="ar-SA"/>
          </w:rPr>
          <w:tab/>
        </w:r>
        <w:r w:rsidR="00BE2CA3" w:rsidRPr="006C6566">
          <w:rPr>
            <w:rStyle w:val="Hiperveza"/>
            <w:rFonts w:ascii="Times New Roman" w:hAnsi="Times New Roman"/>
            <w:sz w:val="24"/>
            <w:szCs w:val="24"/>
          </w:rPr>
          <w:t>IED Direktiva</w:t>
        </w:r>
        <w:r w:rsidR="00BE2CA3" w:rsidRPr="006C6566">
          <w:rPr>
            <w:webHidden/>
            <w:sz w:val="24"/>
            <w:szCs w:val="24"/>
          </w:rPr>
          <w:tab/>
        </w:r>
        <w:r w:rsidR="00BE2CA3" w:rsidRPr="006C6566">
          <w:rPr>
            <w:webHidden/>
            <w:sz w:val="24"/>
            <w:szCs w:val="24"/>
          </w:rPr>
          <w:fldChar w:fldCharType="begin"/>
        </w:r>
        <w:r w:rsidR="00BE2CA3" w:rsidRPr="006C6566">
          <w:rPr>
            <w:webHidden/>
            <w:sz w:val="24"/>
            <w:szCs w:val="24"/>
          </w:rPr>
          <w:instrText xml:space="preserve"> PAGEREF _Toc64460674 \h </w:instrText>
        </w:r>
        <w:r w:rsidR="00BE2CA3" w:rsidRPr="006C6566">
          <w:rPr>
            <w:webHidden/>
            <w:sz w:val="24"/>
            <w:szCs w:val="24"/>
          </w:rPr>
        </w:r>
        <w:r w:rsidR="00BE2CA3" w:rsidRPr="006C6566">
          <w:rPr>
            <w:webHidden/>
            <w:sz w:val="24"/>
            <w:szCs w:val="24"/>
          </w:rPr>
          <w:fldChar w:fldCharType="separate"/>
        </w:r>
        <w:r w:rsidR="004C449C">
          <w:rPr>
            <w:webHidden/>
            <w:sz w:val="24"/>
            <w:szCs w:val="24"/>
          </w:rPr>
          <w:t>21</w:t>
        </w:r>
        <w:r w:rsidR="00BE2CA3" w:rsidRPr="006C6566">
          <w:rPr>
            <w:webHidden/>
            <w:sz w:val="24"/>
            <w:szCs w:val="24"/>
          </w:rPr>
          <w:fldChar w:fldCharType="end"/>
        </w:r>
      </w:hyperlink>
    </w:p>
    <w:p w14:paraId="1081D868" w14:textId="44674B7E" w:rsidR="00BE2CA3" w:rsidRPr="006C6566" w:rsidRDefault="00EB1E23" w:rsidP="006C6566">
      <w:pPr>
        <w:pStyle w:val="Sadraj4"/>
        <w:rPr>
          <w:rFonts w:eastAsiaTheme="minorEastAsia"/>
          <w:color w:val="auto"/>
          <w:sz w:val="24"/>
          <w:szCs w:val="24"/>
          <w:lang w:eastAsia="hr-HR" w:bidi="ar-SA"/>
        </w:rPr>
      </w:pPr>
      <w:hyperlink w:anchor="_Toc64460675" w:history="1">
        <w:r w:rsidR="00BE2CA3" w:rsidRPr="006C6566">
          <w:rPr>
            <w:rStyle w:val="Hiperveza"/>
            <w:rFonts w:ascii="Times New Roman" w:hAnsi="Times New Roman"/>
            <w:sz w:val="24"/>
            <w:szCs w:val="24"/>
          </w:rPr>
          <w:t>2.2.2.3</w:t>
        </w:r>
        <w:r w:rsidR="00BE2CA3" w:rsidRPr="006C6566">
          <w:rPr>
            <w:rFonts w:eastAsiaTheme="minorEastAsia"/>
            <w:color w:val="auto"/>
            <w:sz w:val="24"/>
            <w:szCs w:val="24"/>
            <w:lang w:eastAsia="hr-HR" w:bidi="ar-SA"/>
          </w:rPr>
          <w:tab/>
        </w:r>
        <w:r w:rsidR="006C6566">
          <w:rPr>
            <w:rFonts w:eastAsiaTheme="minorEastAsia"/>
            <w:color w:val="auto"/>
            <w:sz w:val="24"/>
            <w:szCs w:val="24"/>
            <w:lang w:eastAsia="hr-HR" w:bidi="ar-SA"/>
          </w:rPr>
          <w:tab/>
        </w:r>
        <w:r w:rsidR="00BE2CA3" w:rsidRPr="006C6566">
          <w:rPr>
            <w:rStyle w:val="Hiperveza"/>
            <w:rFonts w:ascii="Times New Roman" w:hAnsi="Times New Roman"/>
            <w:sz w:val="24"/>
            <w:szCs w:val="24"/>
          </w:rPr>
          <w:t>Nove zakonodavne aktivnosti</w:t>
        </w:r>
        <w:r w:rsidR="00BE2CA3" w:rsidRPr="006C6566">
          <w:rPr>
            <w:webHidden/>
            <w:sz w:val="24"/>
            <w:szCs w:val="24"/>
          </w:rPr>
          <w:tab/>
        </w:r>
        <w:r w:rsidR="00BE2CA3" w:rsidRPr="006C6566">
          <w:rPr>
            <w:webHidden/>
            <w:sz w:val="24"/>
            <w:szCs w:val="24"/>
          </w:rPr>
          <w:fldChar w:fldCharType="begin"/>
        </w:r>
        <w:r w:rsidR="00BE2CA3" w:rsidRPr="006C6566">
          <w:rPr>
            <w:webHidden/>
            <w:sz w:val="24"/>
            <w:szCs w:val="24"/>
          </w:rPr>
          <w:instrText xml:space="preserve"> PAGEREF _Toc64460675 \h </w:instrText>
        </w:r>
        <w:r w:rsidR="00BE2CA3" w:rsidRPr="006C6566">
          <w:rPr>
            <w:webHidden/>
            <w:sz w:val="24"/>
            <w:szCs w:val="24"/>
          </w:rPr>
        </w:r>
        <w:r w:rsidR="00BE2CA3" w:rsidRPr="006C6566">
          <w:rPr>
            <w:webHidden/>
            <w:sz w:val="24"/>
            <w:szCs w:val="24"/>
          </w:rPr>
          <w:fldChar w:fldCharType="separate"/>
        </w:r>
        <w:r w:rsidR="004C449C">
          <w:rPr>
            <w:webHidden/>
            <w:sz w:val="24"/>
            <w:szCs w:val="24"/>
          </w:rPr>
          <w:t>21</w:t>
        </w:r>
        <w:r w:rsidR="00BE2CA3" w:rsidRPr="006C6566">
          <w:rPr>
            <w:webHidden/>
            <w:sz w:val="24"/>
            <w:szCs w:val="24"/>
          </w:rPr>
          <w:fldChar w:fldCharType="end"/>
        </w:r>
      </w:hyperlink>
    </w:p>
    <w:p w14:paraId="6057CBAC" w14:textId="5A2FA05A" w:rsidR="00BE2CA3" w:rsidRPr="006C6566" w:rsidRDefault="00EB1E23" w:rsidP="006C6566">
      <w:pPr>
        <w:pStyle w:val="Sadraj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676" w:history="1">
        <w:r w:rsidR="00BE2CA3" w:rsidRPr="006C6566">
          <w:rPr>
            <w:rStyle w:val="Hiperveza"/>
            <w:rFonts w:ascii="Times New Roman" w:hAnsi="Times New Roman" w:cs="Times New Roman"/>
            <w:noProof/>
            <w:sz w:val="24"/>
            <w:lang w:bidi="en-US"/>
          </w:rPr>
          <w:t>2.2.3</w:t>
        </w:r>
        <w:r w:rsidR="00BE2CA3" w:rsidRPr="006C6566">
          <w:rPr>
            <w:rFonts w:ascii="Times New Roman" w:eastAsiaTheme="minorEastAsia" w:hAnsi="Times New Roman" w:cs="Times New Roman"/>
            <w:smallCaps w:val="0"/>
            <w:noProof/>
            <w:color w:val="auto"/>
            <w:sz w:val="24"/>
            <w:lang w:eastAsia="hr-HR"/>
          </w:rPr>
          <w:tab/>
        </w:r>
        <w:r w:rsidR="00BE2CA3" w:rsidRPr="006C6566">
          <w:rPr>
            <w:rStyle w:val="Hiperveza"/>
            <w:rFonts w:ascii="Times New Roman" w:hAnsi="Times New Roman" w:cs="Times New Roman"/>
            <w:noProof/>
            <w:sz w:val="24"/>
            <w:lang w:bidi="en-US"/>
          </w:rPr>
          <w:t>ZAKONODAVSTVO U REPUBLICI HRVATSKOJ</w:t>
        </w:r>
        <w:r w:rsidR="00BE2CA3" w:rsidRPr="006C6566">
          <w:rPr>
            <w:rFonts w:ascii="Times New Roman" w:hAnsi="Times New Roman" w:cs="Times New Roman"/>
            <w:noProof/>
            <w:webHidden/>
            <w:sz w:val="24"/>
          </w:rPr>
          <w:tab/>
        </w:r>
        <w:r w:rsidR="00BE2CA3" w:rsidRPr="006C6566">
          <w:rPr>
            <w:rFonts w:ascii="Times New Roman" w:hAnsi="Times New Roman" w:cs="Times New Roman"/>
            <w:noProof/>
            <w:webHidden/>
            <w:sz w:val="24"/>
          </w:rPr>
          <w:fldChar w:fldCharType="begin"/>
        </w:r>
        <w:r w:rsidR="00BE2CA3" w:rsidRPr="006C6566">
          <w:rPr>
            <w:rFonts w:ascii="Times New Roman" w:hAnsi="Times New Roman" w:cs="Times New Roman"/>
            <w:noProof/>
            <w:webHidden/>
            <w:sz w:val="24"/>
          </w:rPr>
          <w:instrText xml:space="preserve"> PAGEREF _Toc64460676 \h </w:instrText>
        </w:r>
        <w:r w:rsidR="00BE2CA3" w:rsidRPr="006C6566">
          <w:rPr>
            <w:rFonts w:ascii="Times New Roman" w:hAnsi="Times New Roman" w:cs="Times New Roman"/>
            <w:noProof/>
            <w:webHidden/>
            <w:sz w:val="24"/>
          </w:rPr>
        </w:r>
        <w:r w:rsidR="00BE2CA3" w:rsidRPr="006C6566">
          <w:rPr>
            <w:rFonts w:ascii="Times New Roman" w:hAnsi="Times New Roman" w:cs="Times New Roman"/>
            <w:noProof/>
            <w:webHidden/>
            <w:sz w:val="24"/>
          </w:rPr>
          <w:fldChar w:fldCharType="separate"/>
        </w:r>
        <w:r w:rsidR="004C449C">
          <w:rPr>
            <w:rFonts w:ascii="Times New Roman" w:hAnsi="Times New Roman" w:cs="Times New Roman"/>
            <w:noProof/>
            <w:webHidden/>
            <w:sz w:val="24"/>
          </w:rPr>
          <w:t>22</w:t>
        </w:r>
        <w:r w:rsidR="00BE2CA3" w:rsidRPr="006C6566">
          <w:rPr>
            <w:rFonts w:ascii="Times New Roman" w:hAnsi="Times New Roman" w:cs="Times New Roman"/>
            <w:noProof/>
            <w:webHidden/>
            <w:sz w:val="24"/>
          </w:rPr>
          <w:fldChar w:fldCharType="end"/>
        </w:r>
      </w:hyperlink>
    </w:p>
    <w:p w14:paraId="232D60AD" w14:textId="51FCD868" w:rsidR="00BE2CA3" w:rsidRPr="006C6566" w:rsidRDefault="00EB1E23" w:rsidP="006C6566">
      <w:pPr>
        <w:pStyle w:val="Sadraj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677" w:history="1">
        <w:r w:rsidR="00BE2CA3" w:rsidRPr="006C6566">
          <w:rPr>
            <w:rStyle w:val="Hiperveza"/>
            <w:rFonts w:ascii="Times New Roman" w:hAnsi="Times New Roman" w:cs="Times New Roman"/>
            <w:noProof/>
            <w:sz w:val="24"/>
            <w:lang w:bidi="en-US"/>
          </w:rPr>
          <w:t>2.2.4</w:t>
        </w:r>
        <w:r w:rsidR="00BE2CA3" w:rsidRPr="006C6566">
          <w:rPr>
            <w:rFonts w:ascii="Times New Roman" w:eastAsiaTheme="minorEastAsia" w:hAnsi="Times New Roman" w:cs="Times New Roman"/>
            <w:smallCaps w:val="0"/>
            <w:noProof/>
            <w:color w:val="auto"/>
            <w:sz w:val="24"/>
            <w:lang w:eastAsia="hr-HR"/>
          </w:rPr>
          <w:tab/>
        </w:r>
        <w:r w:rsidR="00BE2CA3" w:rsidRPr="006C6566">
          <w:rPr>
            <w:rStyle w:val="Hiperveza"/>
            <w:rFonts w:ascii="Times New Roman" w:hAnsi="Times New Roman" w:cs="Times New Roman"/>
            <w:noProof/>
            <w:sz w:val="24"/>
            <w:lang w:bidi="en-US"/>
          </w:rPr>
          <w:t>MEHANIZAM GOSPODARENJA POPS-OVIMA U REPUBLICI HRVATSKOJ (PODJELA NADLEŽNOSTI I PRAĆENJE STANJA)</w:t>
        </w:r>
        <w:r w:rsidR="00BE2CA3" w:rsidRPr="006C6566">
          <w:rPr>
            <w:rFonts w:ascii="Times New Roman" w:hAnsi="Times New Roman" w:cs="Times New Roman"/>
            <w:noProof/>
            <w:webHidden/>
            <w:sz w:val="24"/>
          </w:rPr>
          <w:tab/>
        </w:r>
        <w:r w:rsidR="00BE2CA3" w:rsidRPr="006C6566">
          <w:rPr>
            <w:rFonts w:ascii="Times New Roman" w:hAnsi="Times New Roman" w:cs="Times New Roman"/>
            <w:noProof/>
            <w:webHidden/>
            <w:sz w:val="24"/>
          </w:rPr>
          <w:fldChar w:fldCharType="begin"/>
        </w:r>
        <w:r w:rsidR="00BE2CA3" w:rsidRPr="006C6566">
          <w:rPr>
            <w:rFonts w:ascii="Times New Roman" w:hAnsi="Times New Roman" w:cs="Times New Roman"/>
            <w:noProof/>
            <w:webHidden/>
            <w:sz w:val="24"/>
          </w:rPr>
          <w:instrText xml:space="preserve"> PAGEREF _Toc64460677 \h </w:instrText>
        </w:r>
        <w:r w:rsidR="00BE2CA3" w:rsidRPr="006C6566">
          <w:rPr>
            <w:rFonts w:ascii="Times New Roman" w:hAnsi="Times New Roman" w:cs="Times New Roman"/>
            <w:noProof/>
            <w:webHidden/>
            <w:sz w:val="24"/>
          </w:rPr>
        </w:r>
        <w:r w:rsidR="00BE2CA3" w:rsidRPr="006C6566">
          <w:rPr>
            <w:rFonts w:ascii="Times New Roman" w:hAnsi="Times New Roman" w:cs="Times New Roman"/>
            <w:noProof/>
            <w:webHidden/>
            <w:sz w:val="24"/>
          </w:rPr>
          <w:fldChar w:fldCharType="separate"/>
        </w:r>
        <w:r w:rsidR="004C449C">
          <w:rPr>
            <w:rFonts w:ascii="Times New Roman" w:hAnsi="Times New Roman" w:cs="Times New Roman"/>
            <w:noProof/>
            <w:webHidden/>
            <w:sz w:val="24"/>
          </w:rPr>
          <w:t>26</w:t>
        </w:r>
        <w:r w:rsidR="00BE2CA3" w:rsidRPr="006C6566">
          <w:rPr>
            <w:rFonts w:ascii="Times New Roman" w:hAnsi="Times New Roman" w:cs="Times New Roman"/>
            <w:noProof/>
            <w:webHidden/>
            <w:sz w:val="24"/>
          </w:rPr>
          <w:fldChar w:fldCharType="end"/>
        </w:r>
      </w:hyperlink>
    </w:p>
    <w:p w14:paraId="1EE28280" w14:textId="564DDF95" w:rsidR="00BE2CA3" w:rsidRPr="006C6566" w:rsidRDefault="00EB1E23" w:rsidP="006C6566">
      <w:pPr>
        <w:pStyle w:val="Sadraj4"/>
        <w:rPr>
          <w:rFonts w:eastAsiaTheme="minorEastAsia"/>
          <w:color w:val="auto"/>
          <w:sz w:val="24"/>
          <w:szCs w:val="24"/>
          <w:lang w:eastAsia="hr-HR" w:bidi="ar-SA"/>
        </w:rPr>
      </w:pPr>
      <w:hyperlink w:anchor="_Toc64460678" w:history="1">
        <w:r w:rsidR="00BE2CA3" w:rsidRPr="006C6566">
          <w:rPr>
            <w:rStyle w:val="Hiperveza"/>
            <w:rFonts w:ascii="Times New Roman" w:hAnsi="Times New Roman"/>
            <w:sz w:val="24"/>
            <w:szCs w:val="24"/>
          </w:rPr>
          <w:t>2.2.4.1</w:t>
        </w:r>
        <w:r w:rsidR="00BE2CA3" w:rsidRPr="006C6566">
          <w:rPr>
            <w:rFonts w:eastAsiaTheme="minorEastAsia"/>
            <w:color w:val="auto"/>
            <w:sz w:val="24"/>
            <w:szCs w:val="24"/>
            <w:lang w:eastAsia="hr-HR" w:bidi="ar-SA"/>
          </w:rPr>
          <w:tab/>
        </w:r>
        <w:r w:rsidR="006C6566">
          <w:rPr>
            <w:rFonts w:eastAsiaTheme="minorEastAsia"/>
            <w:color w:val="auto"/>
            <w:sz w:val="24"/>
            <w:szCs w:val="24"/>
            <w:lang w:eastAsia="hr-HR" w:bidi="ar-SA"/>
          </w:rPr>
          <w:tab/>
        </w:r>
        <w:r w:rsidR="00BE2CA3" w:rsidRPr="006C6566">
          <w:rPr>
            <w:rStyle w:val="Hiperveza"/>
            <w:rFonts w:ascii="Times New Roman" w:hAnsi="Times New Roman"/>
            <w:sz w:val="24"/>
            <w:szCs w:val="24"/>
          </w:rPr>
          <w:t>Nadležnosti</w:t>
        </w:r>
        <w:r w:rsidR="00BE2CA3" w:rsidRPr="006C6566">
          <w:rPr>
            <w:webHidden/>
            <w:sz w:val="24"/>
            <w:szCs w:val="24"/>
          </w:rPr>
          <w:tab/>
        </w:r>
        <w:r w:rsidR="00BE2CA3" w:rsidRPr="006C6566">
          <w:rPr>
            <w:webHidden/>
            <w:sz w:val="24"/>
            <w:szCs w:val="24"/>
          </w:rPr>
          <w:fldChar w:fldCharType="begin"/>
        </w:r>
        <w:r w:rsidR="00BE2CA3" w:rsidRPr="006C6566">
          <w:rPr>
            <w:webHidden/>
            <w:sz w:val="24"/>
            <w:szCs w:val="24"/>
          </w:rPr>
          <w:instrText xml:space="preserve"> PAGEREF _Toc64460678 \h </w:instrText>
        </w:r>
        <w:r w:rsidR="00BE2CA3" w:rsidRPr="006C6566">
          <w:rPr>
            <w:webHidden/>
            <w:sz w:val="24"/>
            <w:szCs w:val="24"/>
          </w:rPr>
        </w:r>
        <w:r w:rsidR="00BE2CA3" w:rsidRPr="006C6566">
          <w:rPr>
            <w:webHidden/>
            <w:sz w:val="24"/>
            <w:szCs w:val="24"/>
          </w:rPr>
          <w:fldChar w:fldCharType="separate"/>
        </w:r>
        <w:r w:rsidR="004C449C">
          <w:rPr>
            <w:webHidden/>
            <w:sz w:val="24"/>
            <w:szCs w:val="24"/>
          </w:rPr>
          <w:t>26</w:t>
        </w:r>
        <w:r w:rsidR="00BE2CA3" w:rsidRPr="006C6566">
          <w:rPr>
            <w:webHidden/>
            <w:sz w:val="24"/>
            <w:szCs w:val="24"/>
          </w:rPr>
          <w:fldChar w:fldCharType="end"/>
        </w:r>
      </w:hyperlink>
    </w:p>
    <w:p w14:paraId="72B51E12" w14:textId="450B9D5E" w:rsidR="00BE2CA3" w:rsidRPr="006C6566" w:rsidRDefault="00EB1E23" w:rsidP="006C6566">
      <w:pPr>
        <w:pStyle w:val="Sadraj1"/>
        <w:tabs>
          <w:tab w:val="left" w:pos="993"/>
          <w:tab w:val="right" w:leader="dot" w:pos="9062"/>
        </w:tabs>
        <w:ind w:left="993" w:hanging="993"/>
        <w:rPr>
          <w:rFonts w:ascii="Times New Roman" w:eastAsiaTheme="minorEastAsia" w:hAnsi="Times New Roman" w:cs="Times New Roman"/>
          <w:b w:val="0"/>
          <w:bCs w:val="0"/>
          <w:caps w:val="0"/>
          <w:noProof/>
          <w:color w:val="auto"/>
          <w:sz w:val="24"/>
          <w:u w:val="none"/>
          <w:lang w:eastAsia="hr-HR"/>
        </w:rPr>
      </w:pPr>
      <w:hyperlink w:anchor="_Toc64460679" w:history="1">
        <w:r w:rsidR="00BE2CA3" w:rsidRPr="006C6566">
          <w:rPr>
            <w:rStyle w:val="Hiperveza"/>
            <w:rFonts w:ascii="Times New Roman" w:hAnsi="Times New Roman" w:cs="Times New Roman"/>
            <w:noProof/>
            <w:sz w:val="24"/>
          </w:rPr>
          <w:t>3</w:t>
        </w:r>
        <w:r w:rsidR="00BE2CA3" w:rsidRPr="006C6566">
          <w:rPr>
            <w:rFonts w:ascii="Times New Roman" w:eastAsiaTheme="minorEastAsia" w:hAnsi="Times New Roman" w:cs="Times New Roman"/>
            <w:b w:val="0"/>
            <w:bCs w:val="0"/>
            <w:caps w:val="0"/>
            <w:noProof/>
            <w:color w:val="auto"/>
            <w:sz w:val="24"/>
            <w:u w:val="none"/>
            <w:lang w:eastAsia="hr-HR"/>
          </w:rPr>
          <w:tab/>
        </w:r>
        <w:r w:rsidR="00BE2CA3" w:rsidRPr="006C6566">
          <w:rPr>
            <w:rStyle w:val="Hiperveza"/>
            <w:rFonts w:ascii="Times New Roman" w:hAnsi="Times New Roman" w:cs="Times New Roman"/>
            <w:noProof/>
            <w:sz w:val="24"/>
          </w:rPr>
          <w:t>OCJENA SADAŠNJEG STANJA VEZANO UZ POPs - OVE U REPUBLICI HRVATSKOJ</w:t>
        </w:r>
        <w:r w:rsidR="00BE2CA3" w:rsidRPr="006C6566">
          <w:rPr>
            <w:rFonts w:ascii="Times New Roman" w:hAnsi="Times New Roman" w:cs="Times New Roman"/>
            <w:noProof/>
            <w:webHidden/>
            <w:sz w:val="24"/>
          </w:rPr>
          <w:tab/>
        </w:r>
        <w:r w:rsidR="00BE2CA3" w:rsidRPr="006C6566">
          <w:rPr>
            <w:rFonts w:ascii="Times New Roman" w:hAnsi="Times New Roman" w:cs="Times New Roman"/>
            <w:noProof/>
            <w:webHidden/>
            <w:sz w:val="24"/>
          </w:rPr>
          <w:fldChar w:fldCharType="begin"/>
        </w:r>
        <w:r w:rsidR="00BE2CA3" w:rsidRPr="006C6566">
          <w:rPr>
            <w:rFonts w:ascii="Times New Roman" w:hAnsi="Times New Roman" w:cs="Times New Roman"/>
            <w:noProof/>
            <w:webHidden/>
            <w:sz w:val="24"/>
          </w:rPr>
          <w:instrText xml:space="preserve"> PAGEREF _Toc64460679 \h </w:instrText>
        </w:r>
        <w:r w:rsidR="00BE2CA3" w:rsidRPr="006C6566">
          <w:rPr>
            <w:rFonts w:ascii="Times New Roman" w:hAnsi="Times New Roman" w:cs="Times New Roman"/>
            <w:noProof/>
            <w:webHidden/>
            <w:sz w:val="24"/>
          </w:rPr>
        </w:r>
        <w:r w:rsidR="00BE2CA3" w:rsidRPr="006C6566">
          <w:rPr>
            <w:rFonts w:ascii="Times New Roman" w:hAnsi="Times New Roman" w:cs="Times New Roman"/>
            <w:noProof/>
            <w:webHidden/>
            <w:sz w:val="24"/>
          </w:rPr>
          <w:fldChar w:fldCharType="separate"/>
        </w:r>
        <w:r w:rsidR="004C449C">
          <w:rPr>
            <w:rFonts w:ascii="Times New Roman" w:hAnsi="Times New Roman" w:cs="Times New Roman"/>
            <w:noProof/>
            <w:webHidden/>
            <w:sz w:val="24"/>
          </w:rPr>
          <w:t>27</w:t>
        </w:r>
        <w:r w:rsidR="00BE2CA3" w:rsidRPr="006C6566">
          <w:rPr>
            <w:rFonts w:ascii="Times New Roman" w:hAnsi="Times New Roman" w:cs="Times New Roman"/>
            <w:noProof/>
            <w:webHidden/>
            <w:sz w:val="24"/>
          </w:rPr>
          <w:fldChar w:fldCharType="end"/>
        </w:r>
      </w:hyperlink>
    </w:p>
    <w:p w14:paraId="294F93DF" w14:textId="68F0C44A" w:rsidR="00BE2CA3" w:rsidRPr="006C6566" w:rsidRDefault="00EB1E23" w:rsidP="006C6566">
      <w:pPr>
        <w:pStyle w:val="Sadraj2"/>
        <w:tabs>
          <w:tab w:val="left" w:pos="993"/>
          <w:tab w:val="right" w:leader="dot" w:pos="9062"/>
        </w:tabs>
        <w:ind w:left="993" w:hanging="993"/>
        <w:rPr>
          <w:rFonts w:ascii="Times New Roman" w:eastAsiaTheme="minorEastAsia" w:hAnsi="Times New Roman" w:cs="Times New Roman"/>
          <w:b w:val="0"/>
          <w:bCs w:val="0"/>
          <w:smallCaps w:val="0"/>
          <w:noProof/>
          <w:color w:val="auto"/>
          <w:sz w:val="24"/>
          <w:lang w:eastAsia="hr-HR"/>
        </w:rPr>
      </w:pPr>
      <w:hyperlink w:anchor="_Toc64460680" w:history="1">
        <w:r w:rsidR="00BE2CA3" w:rsidRPr="006C6566">
          <w:rPr>
            <w:rStyle w:val="Hiperveza"/>
            <w:rFonts w:ascii="Times New Roman" w:hAnsi="Times New Roman" w:cs="Times New Roman"/>
            <w:noProof/>
            <w:sz w:val="24"/>
          </w:rPr>
          <w:t>3.1</w:t>
        </w:r>
        <w:r w:rsidR="00BE2CA3" w:rsidRPr="006C6566">
          <w:rPr>
            <w:rFonts w:ascii="Times New Roman" w:eastAsiaTheme="minorEastAsia" w:hAnsi="Times New Roman" w:cs="Times New Roman"/>
            <w:b w:val="0"/>
            <w:bCs w:val="0"/>
            <w:smallCaps w:val="0"/>
            <w:noProof/>
            <w:color w:val="auto"/>
            <w:sz w:val="24"/>
            <w:lang w:eastAsia="hr-HR"/>
          </w:rPr>
          <w:tab/>
        </w:r>
        <w:r w:rsidR="00BE2CA3" w:rsidRPr="006C6566">
          <w:rPr>
            <w:rStyle w:val="Hiperveza"/>
            <w:rFonts w:ascii="Times New Roman" w:hAnsi="Times New Roman" w:cs="Times New Roman"/>
            <w:noProof/>
            <w:sz w:val="24"/>
          </w:rPr>
          <w:t>„Stari“ POPs-ovi</w:t>
        </w:r>
        <w:r w:rsidR="00BE2CA3" w:rsidRPr="006C6566">
          <w:rPr>
            <w:rFonts w:ascii="Times New Roman" w:hAnsi="Times New Roman" w:cs="Times New Roman"/>
            <w:noProof/>
            <w:webHidden/>
            <w:sz w:val="24"/>
          </w:rPr>
          <w:tab/>
        </w:r>
        <w:r w:rsidR="00BE2CA3" w:rsidRPr="006C6566">
          <w:rPr>
            <w:rFonts w:ascii="Times New Roman" w:hAnsi="Times New Roman" w:cs="Times New Roman"/>
            <w:noProof/>
            <w:webHidden/>
            <w:sz w:val="24"/>
          </w:rPr>
          <w:fldChar w:fldCharType="begin"/>
        </w:r>
        <w:r w:rsidR="00BE2CA3" w:rsidRPr="006C6566">
          <w:rPr>
            <w:rFonts w:ascii="Times New Roman" w:hAnsi="Times New Roman" w:cs="Times New Roman"/>
            <w:noProof/>
            <w:webHidden/>
            <w:sz w:val="24"/>
          </w:rPr>
          <w:instrText xml:space="preserve"> PAGEREF _Toc64460680 \h </w:instrText>
        </w:r>
        <w:r w:rsidR="00BE2CA3" w:rsidRPr="006C6566">
          <w:rPr>
            <w:rFonts w:ascii="Times New Roman" w:hAnsi="Times New Roman" w:cs="Times New Roman"/>
            <w:noProof/>
            <w:webHidden/>
            <w:sz w:val="24"/>
          </w:rPr>
        </w:r>
        <w:r w:rsidR="00BE2CA3" w:rsidRPr="006C6566">
          <w:rPr>
            <w:rFonts w:ascii="Times New Roman" w:hAnsi="Times New Roman" w:cs="Times New Roman"/>
            <w:noProof/>
            <w:webHidden/>
            <w:sz w:val="24"/>
          </w:rPr>
          <w:fldChar w:fldCharType="separate"/>
        </w:r>
        <w:r w:rsidR="004C449C">
          <w:rPr>
            <w:rFonts w:ascii="Times New Roman" w:hAnsi="Times New Roman" w:cs="Times New Roman"/>
            <w:noProof/>
            <w:webHidden/>
            <w:sz w:val="24"/>
          </w:rPr>
          <w:t>27</w:t>
        </w:r>
        <w:r w:rsidR="00BE2CA3" w:rsidRPr="006C6566">
          <w:rPr>
            <w:rFonts w:ascii="Times New Roman" w:hAnsi="Times New Roman" w:cs="Times New Roman"/>
            <w:noProof/>
            <w:webHidden/>
            <w:sz w:val="24"/>
          </w:rPr>
          <w:fldChar w:fldCharType="end"/>
        </w:r>
      </w:hyperlink>
    </w:p>
    <w:p w14:paraId="6CE8AB40" w14:textId="01BBE112" w:rsidR="00BE2CA3" w:rsidRPr="006C6566" w:rsidRDefault="00EB1E23" w:rsidP="006C6566">
      <w:pPr>
        <w:pStyle w:val="Sadraj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681" w:history="1">
        <w:r w:rsidR="00BE2CA3" w:rsidRPr="006C6566">
          <w:rPr>
            <w:rStyle w:val="Hiperveza"/>
            <w:rFonts w:ascii="Times New Roman" w:hAnsi="Times New Roman" w:cs="Times New Roman"/>
            <w:noProof/>
            <w:sz w:val="24"/>
            <w:lang w:bidi="en-US"/>
          </w:rPr>
          <w:t>3.1.1</w:t>
        </w:r>
        <w:r w:rsidR="00BE2CA3" w:rsidRPr="006C6566">
          <w:rPr>
            <w:rFonts w:ascii="Times New Roman" w:eastAsiaTheme="minorEastAsia" w:hAnsi="Times New Roman" w:cs="Times New Roman"/>
            <w:smallCaps w:val="0"/>
            <w:noProof/>
            <w:color w:val="auto"/>
            <w:sz w:val="24"/>
            <w:lang w:eastAsia="hr-HR"/>
          </w:rPr>
          <w:tab/>
        </w:r>
        <w:r w:rsidR="00BE2CA3" w:rsidRPr="006C6566">
          <w:rPr>
            <w:rStyle w:val="Hiperveza"/>
            <w:rFonts w:ascii="Times New Roman" w:hAnsi="Times New Roman" w:cs="Times New Roman"/>
            <w:noProof/>
            <w:sz w:val="24"/>
            <w:lang w:bidi="en-US"/>
          </w:rPr>
          <w:t>POPS PESTICIDI, INDUSTRIJSKE KEMIKALIJE I UPOPS</w:t>
        </w:r>
        <w:r w:rsidR="00BE2CA3" w:rsidRPr="006C6566">
          <w:rPr>
            <w:rFonts w:ascii="Times New Roman" w:hAnsi="Times New Roman" w:cs="Times New Roman"/>
            <w:noProof/>
            <w:webHidden/>
            <w:sz w:val="24"/>
          </w:rPr>
          <w:tab/>
        </w:r>
        <w:r w:rsidR="00BE2CA3" w:rsidRPr="006C6566">
          <w:rPr>
            <w:rFonts w:ascii="Times New Roman" w:hAnsi="Times New Roman" w:cs="Times New Roman"/>
            <w:noProof/>
            <w:webHidden/>
            <w:sz w:val="24"/>
          </w:rPr>
          <w:fldChar w:fldCharType="begin"/>
        </w:r>
        <w:r w:rsidR="00BE2CA3" w:rsidRPr="006C6566">
          <w:rPr>
            <w:rFonts w:ascii="Times New Roman" w:hAnsi="Times New Roman" w:cs="Times New Roman"/>
            <w:noProof/>
            <w:webHidden/>
            <w:sz w:val="24"/>
          </w:rPr>
          <w:instrText xml:space="preserve"> PAGEREF _Toc64460681 \h </w:instrText>
        </w:r>
        <w:r w:rsidR="00BE2CA3" w:rsidRPr="006C6566">
          <w:rPr>
            <w:rFonts w:ascii="Times New Roman" w:hAnsi="Times New Roman" w:cs="Times New Roman"/>
            <w:noProof/>
            <w:webHidden/>
            <w:sz w:val="24"/>
          </w:rPr>
        </w:r>
        <w:r w:rsidR="00BE2CA3" w:rsidRPr="006C6566">
          <w:rPr>
            <w:rFonts w:ascii="Times New Roman" w:hAnsi="Times New Roman" w:cs="Times New Roman"/>
            <w:noProof/>
            <w:webHidden/>
            <w:sz w:val="24"/>
          </w:rPr>
          <w:fldChar w:fldCharType="separate"/>
        </w:r>
        <w:r w:rsidR="004C449C">
          <w:rPr>
            <w:rFonts w:ascii="Times New Roman" w:hAnsi="Times New Roman" w:cs="Times New Roman"/>
            <w:noProof/>
            <w:webHidden/>
            <w:sz w:val="24"/>
          </w:rPr>
          <w:t>27</w:t>
        </w:r>
        <w:r w:rsidR="00BE2CA3" w:rsidRPr="006C6566">
          <w:rPr>
            <w:rFonts w:ascii="Times New Roman" w:hAnsi="Times New Roman" w:cs="Times New Roman"/>
            <w:noProof/>
            <w:webHidden/>
            <w:sz w:val="24"/>
          </w:rPr>
          <w:fldChar w:fldCharType="end"/>
        </w:r>
      </w:hyperlink>
    </w:p>
    <w:p w14:paraId="34FE9CE7" w14:textId="38723A18" w:rsidR="00BE2CA3" w:rsidRPr="006C6566" w:rsidRDefault="00EB1E23" w:rsidP="006C6566">
      <w:pPr>
        <w:pStyle w:val="Sadraj4"/>
        <w:rPr>
          <w:rFonts w:eastAsiaTheme="minorEastAsia"/>
          <w:color w:val="auto"/>
          <w:sz w:val="24"/>
          <w:szCs w:val="24"/>
          <w:lang w:eastAsia="hr-HR" w:bidi="ar-SA"/>
        </w:rPr>
      </w:pPr>
      <w:hyperlink w:anchor="_Toc64460682" w:history="1">
        <w:r w:rsidR="00BE2CA3" w:rsidRPr="006C6566">
          <w:rPr>
            <w:rStyle w:val="Hiperveza"/>
            <w:rFonts w:ascii="Times New Roman" w:hAnsi="Times New Roman"/>
            <w:sz w:val="24"/>
            <w:szCs w:val="24"/>
          </w:rPr>
          <w:t>3.1.1.1</w:t>
        </w:r>
        <w:r w:rsidR="00BE2CA3" w:rsidRPr="006C6566">
          <w:rPr>
            <w:rFonts w:eastAsiaTheme="minorEastAsia"/>
            <w:color w:val="auto"/>
            <w:sz w:val="24"/>
            <w:szCs w:val="24"/>
            <w:lang w:eastAsia="hr-HR" w:bidi="ar-SA"/>
          </w:rPr>
          <w:tab/>
        </w:r>
        <w:r w:rsidR="006C6566">
          <w:rPr>
            <w:rFonts w:eastAsiaTheme="minorEastAsia"/>
            <w:color w:val="auto"/>
            <w:sz w:val="24"/>
            <w:szCs w:val="24"/>
            <w:lang w:eastAsia="hr-HR" w:bidi="ar-SA"/>
          </w:rPr>
          <w:tab/>
        </w:r>
        <w:r w:rsidR="00BE2CA3" w:rsidRPr="006C6566">
          <w:rPr>
            <w:rStyle w:val="Hiperveza"/>
            <w:rFonts w:ascii="Times New Roman" w:hAnsi="Times New Roman"/>
            <w:sz w:val="24"/>
            <w:szCs w:val="24"/>
          </w:rPr>
          <w:t>Pesticidi sa značajkama POPs-ova</w:t>
        </w:r>
        <w:r w:rsidR="00BE2CA3" w:rsidRPr="006C6566">
          <w:rPr>
            <w:webHidden/>
            <w:sz w:val="24"/>
            <w:szCs w:val="24"/>
          </w:rPr>
          <w:tab/>
        </w:r>
        <w:r w:rsidR="00BE2CA3" w:rsidRPr="006C6566">
          <w:rPr>
            <w:webHidden/>
            <w:sz w:val="24"/>
            <w:szCs w:val="24"/>
          </w:rPr>
          <w:fldChar w:fldCharType="begin"/>
        </w:r>
        <w:r w:rsidR="00BE2CA3" w:rsidRPr="006C6566">
          <w:rPr>
            <w:webHidden/>
            <w:sz w:val="24"/>
            <w:szCs w:val="24"/>
          </w:rPr>
          <w:instrText xml:space="preserve"> PAGEREF _Toc64460682 \h </w:instrText>
        </w:r>
        <w:r w:rsidR="00BE2CA3" w:rsidRPr="006C6566">
          <w:rPr>
            <w:webHidden/>
            <w:sz w:val="24"/>
            <w:szCs w:val="24"/>
          </w:rPr>
        </w:r>
        <w:r w:rsidR="00BE2CA3" w:rsidRPr="006C6566">
          <w:rPr>
            <w:webHidden/>
            <w:sz w:val="24"/>
            <w:szCs w:val="24"/>
          </w:rPr>
          <w:fldChar w:fldCharType="separate"/>
        </w:r>
        <w:r w:rsidR="004C449C">
          <w:rPr>
            <w:webHidden/>
            <w:sz w:val="24"/>
            <w:szCs w:val="24"/>
          </w:rPr>
          <w:t>28</w:t>
        </w:r>
        <w:r w:rsidR="00BE2CA3" w:rsidRPr="006C6566">
          <w:rPr>
            <w:webHidden/>
            <w:sz w:val="24"/>
            <w:szCs w:val="24"/>
          </w:rPr>
          <w:fldChar w:fldCharType="end"/>
        </w:r>
      </w:hyperlink>
    </w:p>
    <w:p w14:paraId="26D61E10" w14:textId="605686BC" w:rsidR="00BE2CA3" w:rsidRPr="006C6566" w:rsidRDefault="00EB1E23" w:rsidP="006C6566">
      <w:pPr>
        <w:pStyle w:val="Sadraj5"/>
        <w:tabs>
          <w:tab w:val="left" w:pos="993"/>
          <w:tab w:val="left" w:pos="1076"/>
          <w:tab w:val="right" w:leader="dot" w:pos="9062"/>
        </w:tabs>
        <w:ind w:left="993" w:hanging="993"/>
        <w:rPr>
          <w:rFonts w:ascii="Times New Roman" w:eastAsiaTheme="minorEastAsia" w:hAnsi="Times New Roman" w:cs="Times New Roman"/>
          <w:noProof/>
          <w:color w:val="auto"/>
          <w:sz w:val="24"/>
          <w:lang w:eastAsia="hr-HR"/>
        </w:rPr>
      </w:pPr>
      <w:hyperlink w:anchor="_Toc64460683" w:history="1">
        <w:r w:rsidR="00BE2CA3" w:rsidRPr="006C6566">
          <w:rPr>
            <w:rStyle w:val="Hiperveza"/>
            <w:rFonts w:ascii="Times New Roman" w:hAnsi="Times New Roman" w:cs="Times New Roman"/>
            <w:noProof/>
            <w:sz w:val="24"/>
          </w:rPr>
          <w:t>3.1.1.1.1</w:t>
        </w:r>
        <w:r w:rsidR="00BE2CA3" w:rsidRPr="006C6566">
          <w:rPr>
            <w:rFonts w:ascii="Times New Roman" w:eastAsiaTheme="minorEastAsia" w:hAnsi="Times New Roman" w:cs="Times New Roman"/>
            <w:noProof/>
            <w:color w:val="auto"/>
            <w:sz w:val="24"/>
            <w:lang w:eastAsia="hr-HR"/>
          </w:rPr>
          <w:tab/>
        </w:r>
        <w:r w:rsidR="00BE2CA3" w:rsidRPr="006C6566">
          <w:rPr>
            <w:rStyle w:val="Hiperveza"/>
            <w:rFonts w:ascii="Times New Roman" w:hAnsi="Times New Roman" w:cs="Times New Roman"/>
            <w:noProof/>
            <w:sz w:val="24"/>
          </w:rPr>
          <w:t>Informacije o zalihama, kontaminiranim lokacijama i otpadu</w:t>
        </w:r>
        <w:r w:rsidR="00BE2CA3" w:rsidRPr="006C6566">
          <w:rPr>
            <w:rFonts w:ascii="Times New Roman" w:hAnsi="Times New Roman" w:cs="Times New Roman"/>
            <w:noProof/>
            <w:webHidden/>
            <w:sz w:val="24"/>
          </w:rPr>
          <w:tab/>
        </w:r>
        <w:r w:rsidR="00BE2CA3" w:rsidRPr="006C6566">
          <w:rPr>
            <w:rFonts w:ascii="Times New Roman" w:hAnsi="Times New Roman" w:cs="Times New Roman"/>
            <w:noProof/>
            <w:webHidden/>
            <w:sz w:val="24"/>
          </w:rPr>
          <w:fldChar w:fldCharType="begin"/>
        </w:r>
        <w:r w:rsidR="00BE2CA3" w:rsidRPr="006C6566">
          <w:rPr>
            <w:rFonts w:ascii="Times New Roman" w:hAnsi="Times New Roman" w:cs="Times New Roman"/>
            <w:noProof/>
            <w:webHidden/>
            <w:sz w:val="24"/>
          </w:rPr>
          <w:instrText xml:space="preserve"> PAGEREF _Toc64460683 \h </w:instrText>
        </w:r>
        <w:r w:rsidR="00BE2CA3" w:rsidRPr="006C6566">
          <w:rPr>
            <w:rFonts w:ascii="Times New Roman" w:hAnsi="Times New Roman" w:cs="Times New Roman"/>
            <w:noProof/>
            <w:webHidden/>
            <w:sz w:val="24"/>
          </w:rPr>
        </w:r>
        <w:r w:rsidR="00BE2CA3" w:rsidRPr="006C6566">
          <w:rPr>
            <w:rFonts w:ascii="Times New Roman" w:hAnsi="Times New Roman" w:cs="Times New Roman"/>
            <w:noProof/>
            <w:webHidden/>
            <w:sz w:val="24"/>
          </w:rPr>
          <w:fldChar w:fldCharType="separate"/>
        </w:r>
        <w:r w:rsidR="004C449C">
          <w:rPr>
            <w:rFonts w:ascii="Times New Roman" w:hAnsi="Times New Roman" w:cs="Times New Roman"/>
            <w:noProof/>
            <w:webHidden/>
            <w:sz w:val="24"/>
          </w:rPr>
          <w:t>29</w:t>
        </w:r>
        <w:r w:rsidR="00BE2CA3" w:rsidRPr="006C6566">
          <w:rPr>
            <w:rFonts w:ascii="Times New Roman" w:hAnsi="Times New Roman" w:cs="Times New Roman"/>
            <w:noProof/>
            <w:webHidden/>
            <w:sz w:val="24"/>
          </w:rPr>
          <w:fldChar w:fldCharType="end"/>
        </w:r>
      </w:hyperlink>
    </w:p>
    <w:p w14:paraId="7F4C24F9" w14:textId="00838B34" w:rsidR="00BE2CA3" w:rsidRPr="006C6566" w:rsidRDefault="00EB1E23" w:rsidP="006C6566">
      <w:pPr>
        <w:pStyle w:val="Sadraj4"/>
        <w:rPr>
          <w:rFonts w:eastAsiaTheme="minorEastAsia"/>
          <w:color w:val="auto"/>
          <w:sz w:val="24"/>
          <w:szCs w:val="24"/>
          <w:lang w:eastAsia="hr-HR" w:bidi="ar-SA"/>
        </w:rPr>
      </w:pPr>
      <w:hyperlink w:anchor="_Toc64460684" w:history="1">
        <w:r w:rsidR="00BE2CA3" w:rsidRPr="006C6566">
          <w:rPr>
            <w:rStyle w:val="Hiperveza"/>
            <w:rFonts w:ascii="Times New Roman" w:hAnsi="Times New Roman"/>
            <w:sz w:val="24"/>
            <w:szCs w:val="24"/>
          </w:rPr>
          <w:t>3.1.1.2</w:t>
        </w:r>
        <w:r w:rsidR="00BE2CA3" w:rsidRPr="006C6566">
          <w:rPr>
            <w:rFonts w:eastAsiaTheme="minorEastAsia"/>
            <w:color w:val="auto"/>
            <w:sz w:val="24"/>
            <w:szCs w:val="24"/>
            <w:lang w:eastAsia="hr-HR" w:bidi="ar-SA"/>
          </w:rPr>
          <w:tab/>
        </w:r>
        <w:r w:rsidR="006C6566">
          <w:rPr>
            <w:rFonts w:eastAsiaTheme="minorEastAsia"/>
            <w:color w:val="auto"/>
            <w:sz w:val="24"/>
            <w:szCs w:val="24"/>
            <w:lang w:eastAsia="hr-HR" w:bidi="ar-SA"/>
          </w:rPr>
          <w:tab/>
        </w:r>
        <w:r w:rsidR="00BE2CA3" w:rsidRPr="006C6566">
          <w:rPr>
            <w:rStyle w:val="Hiperveza"/>
            <w:rFonts w:ascii="Times New Roman" w:hAnsi="Times New Roman"/>
            <w:sz w:val="24"/>
            <w:szCs w:val="24"/>
          </w:rPr>
          <w:t>Poliklorirani bifenili (PCB-i) Dodatak A, II. dio Stockholmske konvencije</w:t>
        </w:r>
        <w:r w:rsidR="00BE2CA3" w:rsidRPr="006C6566">
          <w:rPr>
            <w:webHidden/>
            <w:sz w:val="24"/>
            <w:szCs w:val="24"/>
          </w:rPr>
          <w:tab/>
        </w:r>
        <w:r w:rsidR="00BE2CA3" w:rsidRPr="006C6566">
          <w:rPr>
            <w:webHidden/>
            <w:sz w:val="24"/>
            <w:szCs w:val="24"/>
          </w:rPr>
          <w:fldChar w:fldCharType="begin"/>
        </w:r>
        <w:r w:rsidR="00BE2CA3" w:rsidRPr="006C6566">
          <w:rPr>
            <w:webHidden/>
            <w:sz w:val="24"/>
            <w:szCs w:val="24"/>
          </w:rPr>
          <w:instrText xml:space="preserve"> PAGEREF _Toc64460684 \h </w:instrText>
        </w:r>
        <w:r w:rsidR="00BE2CA3" w:rsidRPr="006C6566">
          <w:rPr>
            <w:webHidden/>
            <w:sz w:val="24"/>
            <w:szCs w:val="24"/>
          </w:rPr>
        </w:r>
        <w:r w:rsidR="00BE2CA3" w:rsidRPr="006C6566">
          <w:rPr>
            <w:webHidden/>
            <w:sz w:val="24"/>
            <w:szCs w:val="24"/>
          </w:rPr>
          <w:fldChar w:fldCharType="separate"/>
        </w:r>
        <w:r w:rsidR="004C449C">
          <w:rPr>
            <w:webHidden/>
            <w:sz w:val="24"/>
            <w:szCs w:val="24"/>
          </w:rPr>
          <w:t>29</w:t>
        </w:r>
        <w:r w:rsidR="00BE2CA3" w:rsidRPr="006C6566">
          <w:rPr>
            <w:webHidden/>
            <w:sz w:val="24"/>
            <w:szCs w:val="24"/>
          </w:rPr>
          <w:fldChar w:fldCharType="end"/>
        </w:r>
      </w:hyperlink>
    </w:p>
    <w:p w14:paraId="27336A81" w14:textId="44236751" w:rsidR="00BE2CA3" w:rsidRPr="006C6566" w:rsidRDefault="00EB1E23" w:rsidP="006C6566">
      <w:pPr>
        <w:pStyle w:val="Sadraj5"/>
        <w:tabs>
          <w:tab w:val="left" w:pos="993"/>
          <w:tab w:val="left" w:pos="1076"/>
          <w:tab w:val="right" w:leader="dot" w:pos="9062"/>
        </w:tabs>
        <w:ind w:left="993" w:hanging="993"/>
        <w:rPr>
          <w:rFonts w:ascii="Times New Roman" w:eastAsiaTheme="minorEastAsia" w:hAnsi="Times New Roman" w:cs="Times New Roman"/>
          <w:noProof/>
          <w:color w:val="auto"/>
          <w:sz w:val="24"/>
          <w:lang w:eastAsia="hr-HR"/>
        </w:rPr>
      </w:pPr>
      <w:hyperlink w:anchor="_Toc64460685" w:history="1">
        <w:r w:rsidR="00BE2CA3" w:rsidRPr="006C6566">
          <w:rPr>
            <w:rStyle w:val="Hiperveza"/>
            <w:rFonts w:ascii="Times New Roman" w:hAnsi="Times New Roman" w:cs="Times New Roman"/>
            <w:noProof/>
            <w:sz w:val="24"/>
          </w:rPr>
          <w:t>3.1.1.2.1</w:t>
        </w:r>
        <w:r w:rsidR="00BE2CA3" w:rsidRPr="006C6566">
          <w:rPr>
            <w:rFonts w:ascii="Times New Roman" w:eastAsiaTheme="minorEastAsia" w:hAnsi="Times New Roman" w:cs="Times New Roman"/>
            <w:noProof/>
            <w:color w:val="auto"/>
            <w:sz w:val="24"/>
            <w:lang w:eastAsia="hr-HR"/>
          </w:rPr>
          <w:tab/>
        </w:r>
        <w:r w:rsidR="006C6566">
          <w:rPr>
            <w:rFonts w:ascii="Times New Roman" w:eastAsiaTheme="minorEastAsia" w:hAnsi="Times New Roman" w:cs="Times New Roman"/>
            <w:noProof/>
            <w:color w:val="auto"/>
            <w:sz w:val="24"/>
            <w:lang w:eastAsia="hr-HR"/>
          </w:rPr>
          <w:tab/>
        </w:r>
        <w:r w:rsidR="00BE2CA3" w:rsidRPr="006C6566">
          <w:rPr>
            <w:rStyle w:val="Hiperveza"/>
            <w:rFonts w:ascii="Times New Roman" w:hAnsi="Times New Roman" w:cs="Times New Roman"/>
            <w:noProof/>
            <w:sz w:val="24"/>
          </w:rPr>
          <w:t>Prošla, sadašnja i buduća proizvodnja, uporaba, zalihe i zbrinjavanje PCB-a</w:t>
        </w:r>
        <w:r w:rsidR="00BE2CA3" w:rsidRPr="006C6566">
          <w:rPr>
            <w:rFonts w:ascii="Times New Roman" w:hAnsi="Times New Roman" w:cs="Times New Roman"/>
            <w:noProof/>
            <w:webHidden/>
            <w:sz w:val="24"/>
          </w:rPr>
          <w:tab/>
        </w:r>
        <w:r w:rsidR="00BE2CA3" w:rsidRPr="006C6566">
          <w:rPr>
            <w:rFonts w:ascii="Times New Roman" w:hAnsi="Times New Roman" w:cs="Times New Roman"/>
            <w:noProof/>
            <w:webHidden/>
            <w:sz w:val="24"/>
          </w:rPr>
          <w:fldChar w:fldCharType="begin"/>
        </w:r>
        <w:r w:rsidR="00BE2CA3" w:rsidRPr="006C6566">
          <w:rPr>
            <w:rFonts w:ascii="Times New Roman" w:hAnsi="Times New Roman" w:cs="Times New Roman"/>
            <w:noProof/>
            <w:webHidden/>
            <w:sz w:val="24"/>
          </w:rPr>
          <w:instrText xml:space="preserve"> PAGEREF _Toc64460685 \h </w:instrText>
        </w:r>
        <w:r w:rsidR="00BE2CA3" w:rsidRPr="006C6566">
          <w:rPr>
            <w:rFonts w:ascii="Times New Roman" w:hAnsi="Times New Roman" w:cs="Times New Roman"/>
            <w:noProof/>
            <w:webHidden/>
            <w:sz w:val="24"/>
          </w:rPr>
        </w:r>
        <w:r w:rsidR="00BE2CA3" w:rsidRPr="006C6566">
          <w:rPr>
            <w:rFonts w:ascii="Times New Roman" w:hAnsi="Times New Roman" w:cs="Times New Roman"/>
            <w:noProof/>
            <w:webHidden/>
            <w:sz w:val="24"/>
          </w:rPr>
          <w:fldChar w:fldCharType="separate"/>
        </w:r>
        <w:r w:rsidR="004C449C">
          <w:rPr>
            <w:rFonts w:ascii="Times New Roman" w:hAnsi="Times New Roman" w:cs="Times New Roman"/>
            <w:noProof/>
            <w:webHidden/>
            <w:sz w:val="24"/>
          </w:rPr>
          <w:t>30</w:t>
        </w:r>
        <w:r w:rsidR="00BE2CA3" w:rsidRPr="006C6566">
          <w:rPr>
            <w:rFonts w:ascii="Times New Roman" w:hAnsi="Times New Roman" w:cs="Times New Roman"/>
            <w:noProof/>
            <w:webHidden/>
            <w:sz w:val="24"/>
          </w:rPr>
          <w:fldChar w:fldCharType="end"/>
        </w:r>
      </w:hyperlink>
    </w:p>
    <w:p w14:paraId="7A89AF0D" w14:textId="4165A1C7" w:rsidR="00BE2CA3" w:rsidRPr="006C6566" w:rsidRDefault="00EB1E23" w:rsidP="006C6566">
      <w:pPr>
        <w:pStyle w:val="Sadraj5"/>
        <w:tabs>
          <w:tab w:val="left" w:pos="993"/>
          <w:tab w:val="left" w:pos="1076"/>
          <w:tab w:val="right" w:leader="dot" w:pos="9062"/>
        </w:tabs>
        <w:ind w:left="993" w:hanging="993"/>
        <w:rPr>
          <w:rFonts w:ascii="Times New Roman" w:eastAsiaTheme="minorEastAsia" w:hAnsi="Times New Roman" w:cs="Times New Roman"/>
          <w:noProof/>
          <w:color w:val="auto"/>
          <w:sz w:val="24"/>
          <w:lang w:eastAsia="hr-HR"/>
        </w:rPr>
      </w:pPr>
      <w:hyperlink w:anchor="_Toc64460686" w:history="1">
        <w:r w:rsidR="00BE2CA3" w:rsidRPr="006C6566">
          <w:rPr>
            <w:rStyle w:val="Hiperveza"/>
            <w:rFonts w:ascii="Times New Roman" w:hAnsi="Times New Roman" w:cs="Times New Roman"/>
            <w:noProof/>
            <w:sz w:val="24"/>
          </w:rPr>
          <w:t>3.1.1.2.2</w:t>
        </w:r>
        <w:r w:rsidR="00BE2CA3" w:rsidRPr="006C6566">
          <w:rPr>
            <w:rFonts w:ascii="Times New Roman" w:eastAsiaTheme="minorEastAsia" w:hAnsi="Times New Roman" w:cs="Times New Roman"/>
            <w:noProof/>
            <w:color w:val="auto"/>
            <w:sz w:val="24"/>
            <w:lang w:eastAsia="hr-HR"/>
          </w:rPr>
          <w:tab/>
        </w:r>
        <w:r w:rsidR="006C6566">
          <w:rPr>
            <w:rFonts w:ascii="Times New Roman" w:eastAsiaTheme="minorEastAsia" w:hAnsi="Times New Roman" w:cs="Times New Roman"/>
            <w:noProof/>
            <w:color w:val="auto"/>
            <w:sz w:val="24"/>
            <w:lang w:eastAsia="hr-HR"/>
          </w:rPr>
          <w:tab/>
        </w:r>
        <w:r w:rsidR="00BE2CA3" w:rsidRPr="006C6566">
          <w:rPr>
            <w:rStyle w:val="Hiperveza"/>
            <w:rFonts w:ascii="Times New Roman" w:hAnsi="Times New Roman" w:cs="Times New Roman"/>
            <w:noProof/>
            <w:sz w:val="24"/>
          </w:rPr>
          <w:t>Prostori za skladištenje i dekontaminaciju PCB-a</w:t>
        </w:r>
        <w:r w:rsidR="00BE2CA3" w:rsidRPr="006C6566">
          <w:rPr>
            <w:rFonts w:ascii="Times New Roman" w:hAnsi="Times New Roman" w:cs="Times New Roman"/>
            <w:noProof/>
            <w:webHidden/>
            <w:sz w:val="24"/>
          </w:rPr>
          <w:tab/>
        </w:r>
        <w:r w:rsidR="00BE2CA3" w:rsidRPr="006C6566">
          <w:rPr>
            <w:rFonts w:ascii="Times New Roman" w:hAnsi="Times New Roman" w:cs="Times New Roman"/>
            <w:noProof/>
            <w:webHidden/>
            <w:sz w:val="24"/>
          </w:rPr>
          <w:fldChar w:fldCharType="begin"/>
        </w:r>
        <w:r w:rsidR="00BE2CA3" w:rsidRPr="006C6566">
          <w:rPr>
            <w:rFonts w:ascii="Times New Roman" w:hAnsi="Times New Roman" w:cs="Times New Roman"/>
            <w:noProof/>
            <w:webHidden/>
            <w:sz w:val="24"/>
          </w:rPr>
          <w:instrText xml:space="preserve"> PAGEREF _Toc64460686 \h </w:instrText>
        </w:r>
        <w:r w:rsidR="00BE2CA3" w:rsidRPr="006C6566">
          <w:rPr>
            <w:rFonts w:ascii="Times New Roman" w:hAnsi="Times New Roman" w:cs="Times New Roman"/>
            <w:noProof/>
            <w:webHidden/>
            <w:sz w:val="24"/>
          </w:rPr>
        </w:r>
        <w:r w:rsidR="00BE2CA3" w:rsidRPr="006C6566">
          <w:rPr>
            <w:rFonts w:ascii="Times New Roman" w:hAnsi="Times New Roman" w:cs="Times New Roman"/>
            <w:noProof/>
            <w:webHidden/>
            <w:sz w:val="24"/>
          </w:rPr>
          <w:fldChar w:fldCharType="separate"/>
        </w:r>
        <w:r w:rsidR="004C449C">
          <w:rPr>
            <w:rFonts w:ascii="Times New Roman" w:hAnsi="Times New Roman" w:cs="Times New Roman"/>
            <w:noProof/>
            <w:webHidden/>
            <w:sz w:val="24"/>
          </w:rPr>
          <w:t>33</w:t>
        </w:r>
        <w:r w:rsidR="00BE2CA3" w:rsidRPr="006C6566">
          <w:rPr>
            <w:rFonts w:ascii="Times New Roman" w:hAnsi="Times New Roman" w:cs="Times New Roman"/>
            <w:noProof/>
            <w:webHidden/>
            <w:sz w:val="24"/>
          </w:rPr>
          <w:fldChar w:fldCharType="end"/>
        </w:r>
      </w:hyperlink>
    </w:p>
    <w:p w14:paraId="0F0D7DE9" w14:textId="0918AF1A" w:rsidR="00BE2CA3" w:rsidRPr="006C6566" w:rsidRDefault="00EB1E23" w:rsidP="006C6566">
      <w:pPr>
        <w:pStyle w:val="Sadraj5"/>
        <w:tabs>
          <w:tab w:val="left" w:pos="993"/>
          <w:tab w:val="left" w:pos="1076"/>
          <w:tab w:val="right" w:leader="dot" w:pos="9062"/>
        </w:tabs>
        <w:ind w:left="993" w:hanging="993"/>
        <w:rPr>
          <w:rFonts w:ascii="Times New Roman" w:eastAsiaTheme="minorEastAsia" w:hAnsi="Times New Roman" w:cs="Times New Roman"/>
          <w:noProof/>
          <w:color w:val="auto"/>
          <w:sz w:val="24"/>
          <w:lang w:eastAsia="hr-HR"/>
        </w:rPr>
      </w:pPr>
      <w:hyperlink w:anchor="_Toc64460687" w:history="1">
        <w:r w:rsidR="00BE2CA3" w:rsidRPr="006C6566">
          <w:rPr>
            <w:rStyle w:val="Hiperveza"/>
            <w:rFonts w:ascii="Times New Roman" w:hAnsi="Times New Roman" w:cs="Times New Roman"/>
            <w:noProof/>
            <w:sz w:val="24"/>
          </w:rPr>
          <w:t>3.1.1.2.3</w:t>
        </w:r>
        <w:r w:rsidR="00BE2CA3" w:rsidRPr="006C6566">
          <w:rPr>
            <w:rFonts w:ascii="Times New Roman" w:eastAsiaTheme="minorEastAsia" w:hAnsi="Times New Roman" w:cs="Times New Roman"/>
            <w:noProof/>
            <w:color w:val="auto"/>
            <w:sz w:val="24"/>
            <w:lang w:eastAsia="hr-HR"/>
          </w:rPr>
          <w:tab/>
        </w:r>
        <w:r w:rsidR="006C6566">
          <w:rPr>
            <w:rFonts w:ascii="Times New Roman" w:eastAsiaTheme="minorEastAsia" w:hAnsi="Times New Roman" w:cs="Times New Roman"/>
            <w:noProof/>
            <w:color w:val="auto"/>
            <w:sz w:val="24"/>
            <w:lang w:eastAsia="hr-HR"/>
          </w:rPr>
          <w:tab/>
        </w:r>
        <w:r w:rsidR="00BE2CA3" w:rsidRPr="006C6566">
          <w:rPr>
            <w:rStyle w:val="Hiperveza"/>
            <w:rFonts w:ascii="Times New Roman" w:hAnsi="Times New Roman" w:cs="Times New Roman"/>
            <w:noProof/>
            <w:sz w:val="24"/>
          </w:rPr>
          <w:t>Lokacije onečišćene PCB-om</w:t>
        </w:r>
        <w:r w:rsidR="00BE2CA3" w:rsidRPr="006C6566">
          <w:rPr>
            <w:rFonts w:ascii="Times New Roman" w:hAnsi="Times New Roman" w:cs="Times New Roman"/>
            <w:noProof/>
            <w:webHidden/>
            <w:sz w:val="24"/>
          </w:rPr>
          <w:tab/>
        </w:r>
        <w:r w:rsidR="00BE2CA3" w:rsidRPr="006C6566">
          <w:rPr>
            <w:rFonts w:ascii="Times New Roman" w:hAnsi="Times New Roman" w:cs="Times New Roman"/>
            <w:noProof/>
            <w:webHidden/>
            <w:sz w:val="24"/>
          </w:rPr>
          <w:fldChar w:fldCharType="begin"/>
        </w:r>
        <w:r w:rsidR="00BE2CA3" w:rsidRPr="006C6566">
          <w:rPr>
            <w:rFonts w:ascii="Times New Roman" w:hAnsi="Times New Roman" w:cs="Times New Roman"/>
            <w:noProof/>
            <w:webHidden/>
            <w:sz w:val="24"/>
          </w:rPr>
          <w:instrText xml:space="preserve"> PAGEREF _Toc64460687 \h </w:instrText>
        </w:r>
        <w:r w:rsidR="00BE2CA3" w:rsidRPr="006C6566">
          <w:rPr>
            <w:rFonts w:ascii="Times New Roman" w:hAnsi="Times New Roman" w:cs="Times New Roman"/>
            <w:noProof/>
            <w:webHidden/>
            <w:sz w:val="24"/>
          </w:rPr>
        </w:r>
        <w:r w:rsidR="00BE2CA3" w:rsidRPr="006C6566">
          <w:rPr>
            <w:rFonts w:ascii="Times New Roman" w:hAnsi="Times New Roman" w:cs="Times New Roman"/>
            <w:noProof/>
            <w:webHidden/>
            <w:sz w:val="24"/>
          </w:rPr>
          <w:fldChar w:fldCharType="separate"/>
        </w:r>
        <w:r w:rsidR="004C449C">
          <w:rPr>
            <w:rFonts w:ascii="Times New Roman" w:hAnsi="Times New Roman" w:cs="Times New Roman"/>
            <w:noProof/>
            <w:webHidden/>
            <w:sz w:val="24"/>
          </w:rPr>
          <w:t>33</w:t>
        </w:r>
        <w:r w:rsidR="00BE2CA3" w:rsidRPr="006C6566">
          <w:rPr>
            <w:rFonts w:ascii="Times New Roman" w:hAnsi="Times New Roman" w:cs="Times New Roman"/>
            <w:noProof/>
            <w:webHidden/>
            <w:sz w:val="24"/>
          </w:rPr>
          <w:fldChar w:fldCharType="end"/>
        </w:r>
      </w:hyperlink>
    </w:p>
    <w:p w14:paraId="13A4149C" w14:textId="06F69EC8" w:rsidR="00BE2CA3" w:rsidRPr="006C6566" w:rsidRDefault="00EB1E23" w:rsidP="006C6566">
      <w:pPr>
        <w:pStyle w:val="Sadraj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688" w:history="1">
        <w:r w:rsidR="00BE2CA3" w:rsidRPr="006C6566">
          <w:rPr>
            <w:rStyle w:val="Hiperveza"/>
            <w:rFonts w:ascii="Times New Roman" w:hAnsi="Times New Roman" w:cs="Times New Roman"/>
            <w:noProof/>
            <w:sz w:val="24"/>
            <w:lang w:bidi="en-US"/>
          </w:rPr>
          <w:t>3.1.2</w:t>
        </w:r>
        <w:r w:rsidR="00BE2CA3" w:rsidRPr="006C6566">
          <w:rPr>
            <w:rFonts w:ascii="Times New Roman" w:eastAsiaTheme="minorEastAsia" w:hAnsi="Times New Roman" w:cs="Times New Roman"/>
            <w:smallCaps w:val="0"/>
            <w:noProof/>
            <w:color w:val="auto"/>
            <w:sz w:val="24"/>
            <w:lang w:eastAsia="hr-HR"/>
          </w:rPr>
          <w:tab/>
        </w:r>
        <w:r w:rsidR="00BE2CA3" w:rsidRPr="006C6566">
          <w:rPr>
            <w:rStyle w:val="Hiperveza"/>
            <w:rFonts w:ascii="Times New Roman" w:hAnsi="Times New Roman" w:cs="Times New Roman"/>
            <w:noProof/>
            <w:sz w:val="24"/>
            <w:lang w:bidi="en-US"/>
          </w:rPr>
          <w:t>SAŽETAK BUDUĆE PROIZVODNJE, UPORABE I ISPUŠTANJA „STARIH“ POPS-OVA</w:t>
        </w:r>
        <w:r w:rsidR="00BE2CA3" w:rsidRPr="006C6566">
          <w:rPr>
            <w:rFonts w:ascii="Times New Roman" w:hAnsi="Times New Roman" w:cs="Times New Roman"/>
            <w:noProof/>
            <w:webHidden/>
            <w:sz w:val="24"/>
          </w:rPr>
          <w:tab/>
        </w:r>
        <w:r w:rsidR="00BE2CA3" w:rsidRPr="006C6566">
          <w:rPr>
            <w:rFonts w:ascii="Times New Roman" w:hAnsi="Times New Roman" w:cs="Times New Roman"/>
            <w:noProof/>
            <w:webHidden/>
            <w:sz w:val="24"/>
          </w:rPr>
          <w:fldChar w:fldCharType="begin"/>
        </w:r>
        <w:r w:rsidR="00BE2CA3" w:rsidRPr="006C6566">
          <w:rPr>
            <w:rFonts w:ascii="Times New Roman" w:hAnsi="Times New Roman" w:cs="Times New Roman"/>
            <w:noProof/>
            <w:webHidden/>
            <w:sz w:val="24"/>
          </w:rPr>
          <w:instrText xml:space="preserve"> PAGEREF _Toc64460688 \h </w:instrText>
        </w:r>
        <w:r w:rsidR="00BE2CA3" w:rsidRPr="006C6566">
          <w:rPr>
            <w:rFonts w:ascii="Times New Roman" w:hAnsi="Times New Roman" w:cs="Times New Roman"/>
            <w:noProof/>
            <w:webHidden/>
            <w:sz w:val="24"/>
          </w:rPr>
        </w:r>
        <w:r w:rsidR="00BE2CA3" w:rsidRPr="006C6566">
          <w:rPr>
            <w:rFonts w:ascii="Times New Roman" w:hAnsi="Times New Roman" w:cs="Times New Roman"/>
            <w:noProof/>
            <w:webHidden/>
            <w:sz w:val="24"/>
          </w:rPr>
          <w:fldChar w:fldCharType="separate"/>
        </w:r>
        <w:r w:rsidR="004C449C">
          <w:rPr>
            <w:rFonts w:ascii="Times New Roman" w:hAnsi="Times New Roman" w:cs="Times New Roman"/>
            <w:noProof/>
            <w:webHidden/>
            <w:sz w:val="24"/>
          </w:rPr>
          <w:t>33</w:t>
        </w:r>
        <w:r w:rsidR="00BE2CA3" w:rsidRPr="006C6566">
          <w:rPr>
            <w:rFonts w:ascii="Times New Roman" w:hAnsi="Times New Roman" w:cs="Times New Roman"/>
            <w:noProof/>
            <w:webHidden/>
            <w:sz w:val="24"/>
          </w:rPr>
          <w:fldChar w:fldCharType="end"/>
        </w:r>
      </w:hyperlink>
    </w:p>
    <w:p w14:paraId="18B76AA8" w14:textId="7FD94E93" w:rsidR="00BE2CA3" w:rsidRPr="006C6566" w:rsidRDefault="00EB1E23" w:rsidP="006C6566">
      <w:pPr>
        <w:pStyle w:val="Sadraj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689" w:history="1">
        <w:r w:rsidR="00BE2CA3" w:rsidRPr="006C6566">
          <w:rPr>
            <w:rStyle w:val="Hiperveza"/>
            <w:rFonts w:ascii="Times New Roman" w:hAnsi="Times New Roman" w:cs="Times New Roman"/>
            <w:noProof/>
            <w:sz w:val="24"/>
            <w:lang w:bidi="en-US"/>
          </w:rPr>
          <w:t>3.1.3</w:t>
        </w:r>
        <w:r w:rsidR="00BE2CA3" w:rsidRPr="006C6566">
          <w:rPr>
            <w:rFonts w:ascii="Times New Roman" w:eastAsiaTheme="minorEastAsia" w:hAnsi="Times New Roman" w:cs="Times New Roman"/>
            <w:smallCaps w:val="0"/>
            <w:noProof/>
            <w:color w:val="auto"/>
            <w:sz w:val="24"/>
            <w:lang w:eastAsia="hr-HR"/>
          </w:rPr>
          <w:tab/>
        </w:r>
        <w:r w:rsidR="00BE2CA3" w:rsidRPr="006C6566">
          <w:rPr>
            <w:rStyle w:val="Hiperveza"/>
            <w:rFonts w:ascii="Times New Roman" w:hAnsi="Times New Roman" w:cs="Times New Roman"/>
            <w:noProof/>
            <w:sz w:val="24"/>
            <w:lang w:bidi="en-US"/>
          </w:rPr>
          <w:t>„STARI“ UPOPS-ovi</w:t>
        </w:r>
        <w:r w:rsidR="00BE2CA3" w:rsidRPr="006C6566">
          <w:rPr>
            <w:rFonts w:ascii="Times New Roman" w:hAnsi="Times New Roman" w:cs="Times New Roman"/>
            <w:noProof/>
            <w:webHidden/>
            <w:sz w:val="24"/>
          </w:rPr>
          <w:tab/>
        </w:r>
        <w:r w:rsidR="00BE2CA3" w:rsidRPr="006C6566">
          <w:rPr>
            <w:rFonts w:ascii="Times New Roman" w:hAnsi="Times New Roman" w:cs="Times New Roman"/>
            <w:noProof/>
            <w:webHidden/>
            <w:sz w:val="24"/>
          </w:rPr>
          <w:fldChar w:fldCharType="begin"/>
        </w:r>
        <w:r w:rsidR="00BE2CA3" w:rsidRPr="006C6566">
          <w:rPr>
            <w:rFonts w:ascii="Times New Roman" w:hAnsi="Times New Roman" w:cs="Times New Roman"/>
            <w:noProof/>
            <w:webHidden/>
            <w:sz w:val="24"/>
          </w:rPr>
          <w:instrText xml:space="preserve"> PAGEREF _Toc64460689 \h </w:instrText>
        </w:r>
        <w:r w:rsidR="00BE2CA3" w:rsidRPr="006C6566">
          <w:rPr>
            <w:rFonts w:ascii="Times New Roman" w:hAnsi="Times New Roman" w:cs="Times New Roman"/>
            <w:noProof/>
            <w:webHidden/>
            <w:sz w:val="24"/>
          </w:rPr>
        </w:r>
        <w:r w:rsidR="00BE2CA3" w:rsidRPr="006C6566">
          <w:rPr>
            <w:rFonts w:ascii="Times New Roman" w:hAnsi="Times New Roman" w:cs="Times New Roman"/>
            <w:noProof/>
            <w:webHidden/>
            <w:sz w:val="24"/>
          </w:rPr>
          <w:fldChar w:fldCharType="separate"/>
        </w:r>
        <w:r w:rsidR="004C449C">
          <w:rPr>
            <w:rFonts w:ascii="Times New Roman" w:hAnsi="Times New Roman" w:cs="Times New Roman"/>
            <w:noProof/>
            <w:webHidden/>
            <w:sz w:val="24"/>
          </w:rPr>
          <w:t>34</w:t>
        </w:r>
        <w:r w:rsidR="00BE2CA3" w:rsidRPr="006C6566">
          <w:rPr>
            <w:rFonts w:ascii="Times New Roman" w:hAnsi="Times New Roman" w:cs="Times New Roman"/>
            <w:noProof/>
            <w:webHidden/>
            <w:sz w:val="24"/>
          </w:rPr>
          <w:fldChar w:fldCharType="end"/>
        </w:r>
      </w:hyperlink>
    </w:p>
    <w:p w14:paraId="4F837B88" w14:textId="6C89E484" w:rsidR="00BE2CA3" w:rsidRPr="006C6566" w:rsidRDefault="00EB1E23" w:rsidP="006C6566">
      <w:pPr>
        <w:pStyle w:val="Sadraj2"/>
        <w:tabs>
          <w:tab w:val="left" w:pos="993"/>
          <w:tab w:val="right" w:leader="dot" w:pos="9062"/>
        </w:tabs>
        <w:ind w:left="993" w:hanging="993"/>
        <w:rPr>
          <w:rFonts w:ascii="Times New Roman" w:eastAsiaTheme="minorEastAsia" w:hAnsi="Times New Roman" w:cs="Times New Roman"/>
          <w:b w:val="0"/>
          <w:bCs w:val="0"/>
          <w:smallCaps w:val="0"/>
          <w:noProof/>
          <w:color w:val="auto"/>
          <w:sz w:val="24"/>
          <w:lang w:eastAsia="hr-HR"/>
        </w:rPr>
      </w:pPr>
      <w:hyperlink w:anchor="_Toc64460690" w:history="1">
        <w:r w:rsidR="00BE2CA3" w:rsidRPr="006C6566">
          <w:rPr>
            <w:rStyle w:val="Hiperveza"/>
            <w:rFonts w:ascii="Times New Roman" w:hAnsi="Times New Roman" w:cs="Times New Roman"/>
            <w:noProof/>
            <w:sz w:val="24"/>
          </w:rPr>
          <w:t>3.2</w:t>
        </w:r>
        <w:r w:rsidR="00BE2CA3" w:rsidRPr="006C6566">
          <w:rPr>
            <w:rFonts w:ascii="Times New Roman" w:eastAsiaTheme="minorEastAsia" w:hAnsi="Times New Roman" w:cs="Times New Roman"/>
            <w:b w:val="0"/>
            <w:bCs w:val="0"/>
            <w:smallCaps w:val="0"/>
            <w:noProof/>
            <w:color w:val="auto"/>
            <w:sz w:val="24"/>
            <w:lang w:eastAsia="hr-HR"/>
          </w:rPr>
          <w:tab/>
        </w:r>
        <w:r w:rsidR="00BE2CA3" w:rsidRPr="006C6566">
          <w:rPr>
            <w:rStyle w:val="Hiperveza"/>
            <w:rFonts w:ascii="Times New Roman" w:hAnsi="Times New Roman" w:cs="Times New Roman"/>
            <w:noProof/>
            <w:sz w:val="24"/>
          </w:rPr>
          <w:t>„Novi“ POPs-ovi usvojeni na COP-4, COP-5 i COP-6</w:t>
        </w:r>
        <w:r w:rsidR="00BE2CA3" w:rsidRPr="006C6566">
          <w:rPr>
            <w:rFonts w:ascii="Times New Roman" w:hAnsi="Times New Roman" w:cs="Times New Roman"/>
            <w:noProof/>
            <w:webHidden/>
            <w:sz w:val="24"/>
          </w:rPr>
          <w:tab/>
        </w:r>
        <w:r w:rsidR="00BE2CA3" w:rsidRPr="006C6566">
          <w:rPr>
            <w:rFonts w:ascii="Times New Roman" w:hAnsi="Times New Roman" w:cs="Times New Roman"/>
            <w:noProof/>
            <w:webHidden/>
            <w:sz w:val="24"/>
          </w:rPr>
          <w:fldChar w:fldCharType="begin"/>
        </w:r>
        <w:r w:rsidR="00BE2CA3" w:rsidRPr="006C6566">
          <w:rPr>
            <w:rFonts w:ascii="Times New Roman" w:hAnsi="Times New Roman" w:cs="Times New Roman"/>
            <w:noProof/>
            <w:webHidden/>
            <w:sz w:val="24"/>
          </w:rPr>
          <w:instrText xml:space="preserve"> PAGEREF _Toc64460690 \h </w:instrText>
        </w:r>
        <w:r w:rsidR="00BE2CA3" w:rsidRPr="006C6566">
          <w:rPr>
            <w:rFonts w:ascii="Times New Roman" w:hAnsi="Times New Roman" w:cs="Times New Roman"/>
            <w:noProof/>
            <w:webHidden/>
            <w:sz w:val="24"/>
          </w:rPr>
        </w:r>
        <w:r w:rsidR="00BE2CA3" w:rsidRPr="006C6566">
          <w:rPr>
            <w:rFonts w:ascii="Times New Roman" w:hAnsi="Times New Roman" w:cs="Times New Roman"/>
            <w:noProof/>
            <w:webHidden/>
            <w:sz w:val="24"/>
          </w:rPr>
          <w:fldChar w:fldCharType="separate"/>
        </w:r>
        <w:r w:rsidR="004C449C">
          <w:rPr>
            <w:rFonts w:ascii="Times New Roman" w:hAnsi="Times New Roman" w:cs="Times New Roman"/>
            <w:noProof/>
            <w:webHidden/>
            <w:sz w:val="24"/>
          </w:rPr>
          <w:t>34</w:t>
        </w:r>
        <w:r w:rsidR="00BE2CA3" w:rsidRPr="006C6566">
          <w:rPr>
            <w:rFonts w:ascii="Times New Roman" w:hAnsi="Times New Roman" w:cs="Times New Roman"/>
            <w:noProof/>
            <w:webHidden/>
            <w:sz w:val="24"/>
          </w:rPr>
          <w:fldChar w:fldCharType="end"/>
        </w:r>
      </w:hyperlink>
    </w:p>
    <w:p w14:paraId="0226FBB5" w14:textId="5EDA14DC" w:rsidR="00BE2CA3" w:rsidRPr="006C6566" w:rsidRDefault="00EB1E23" w:rsidP="006C6566">
      <w:pPr>
        <w:pStyle w:val="Sadraj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691" w:history="1">
        <w:r w:rsidR="00BE2CA3" w:rsidRPr="006C6566">
          <w:rPr>
            <w:rStyle w:val="Hiperveza"/>
            <w:rFonts w:ascii="Times New Roman" w:hAnsi="Times New Roman" w:cs="Times New Roman"/>
            <w:noProof/>
            <w:sz w:val="24"/>
            <w:lang w:bidi="en-US"/>
          </w:rPr>
          <w:t>3.2.1</w:t>
        </w:r>
        <w:r w:rsidR="00BE2CA3" w:rsidRPr="006C6566">
          <w:rPr>
            <w:rFonts w:ascii="Times New Roman" w:eastAsiaTheme="minorEastAsia" w:hAnsi="Times New Roman" w:cs="Times New Roman"/>
            <w:smallCaps w:val="0"/>
            <w:noProof/>
            <w:color w:val="auto"/>
            <w:sz w:val="24"/>
            <w:lang w:eastAsia="hr-HR"/>
          </w:rPr>
          <w:tab/>
        </w:r>
        <w:r w:rsidR="00BE2CA3" w:rsidRPr="006C6566">
          <w:rPr>
            <w:rStyle w:val="Hiperveza"/>
            <w:rFonts w:ascii="Times New Roman" w:hAnsi="Times New Roman" w:cs="Times New Roman"/>
            <w:noProof/>
            <w:sz w:val="24"/>
            <w:lang w:bidi="en-US"/>
          </w:rPr>
          <w:t>Pesticidi sa značajkama POPs-ova</w:t>
        </w:r>
        <w:r w:rsidR="00BE2CA3" w:rsidRPr="006C6566">
          <w:rPr>
            <w:rFonts w:ascii="Times New Roman" w:hAnsi="Times New Roman" w:cs="Times New Roman"/>
            <w:noProof/>
            <w:webHidden/>
            <w:sz w:val="24"/>
          </w:rPr>
          <w:tab/>
        </w:r>
        <w:r w:rsidR="00BE2CA3" w:rsidRPr="006C6566">
          <w:rPr>
            <w:rFonts w:ascii="Times New Roman" w:hAnsi="Times New Roman" w:cs="Times New Roman"/>
            <w:noProof/>
            <w:webHidden/>
            <w:sz w:val="24"/>
          </w:rPr>
          <w:fldChar w:fldCharType="begin"/>
        </w:r>
        <w:r w:rsidR="00BE2CA3" w:rsidRPr="006C6566">
          <w:rPr>
            <w:rFonts w:ascii="Times New Roman" w:hAnsi="Times New Roman" w:cs="Times New Roman"/>
            <w:noProof/>
            <w:webHidden/>
            <w:sz w:val="24"/>
          </w:rPr>
          <w:instrText xml:space="preserve"> PAGEREF _Toc64460691 \h </w:instrText>
        </w:r>
        <w:r w:rsidR="00BE2CA3" w:rsidRPr="006C6566">
          <w:rPr>
            <w:rFonts w:ascii="Times New Roman" w:hAnsi="Times New Roman" w:cs="Times New Roman"/>
            <w:noProof/>
            <w:webHidden/>
            <w:sz w:val="24"/>
          </w:rPr>
        </w:r>
        <w:r w:rsidR="00BE2CA3" w:rsidRPr="006C6566">
          <w:rPr>
            <w:rFonts w:ascii="Times New Roman" w:hAnsi="Times New Roman" w:cs="Times New Roman"/>
            <w:noProof/>
            <w:webHidden/>
            <w:sz w:val="24"/>
          </w:rPr>
          <w:fldChar w:fldCharType="separate"/>
        </w:r>
        <w:r w:rsidR="004C449C">
          <w:rPr>
            <w:rFonts w:ascii="Times New Roman" w:hAnsi="Times New Roman" w:cs="Times New Roman"/>
            <w:noProof/>
            <w:webHidden/>
            <w:sz w:val="24"/>
          </w:rPr>
          <w:t>34</w:t>
        </w:r>
        <w:r w:rsidR="00BE2CA3" w:rsidRPr="006C6566">
          <w:rPr>
            <w:rFonts w:ascii="Times New Roman" w:hAnsi="Times New Roman" w:cs="Times New Roman"/>
            <w:noProof/>
            <w:webHidden/>
            <w:sz w:val="24"/>
          </w:rPr>
          <w:fldChar w:fldCharType="end"/>
        </w:r>
      </w:hyperlink>
    </w:p>
    <w:p w14:paraId="2C93066D" w14:textId="4A4F5FB6" w:rsidR="00BE2CA3" w:rsidRPr="006C6566" w:rsidRDefault="00EB1E23" w:rsidP="006C6566">
      <w:pPr>
        <w:pStyle w:val="Sadraj4"/>
        <w:rPr>
          <w:rFonts w:eastAsiaTheme="minorEastAsia"/>
          <w:color w:val="auto"/>
          <w:sz w:val="24"/>
          <w:szCs w:val="24"/>
          <w:lang w:eastAsia="hr-HR" w:bidi="ar-SA"/>
        </w:rPr>
      </w:pPr>
      <w:hyperlink w:anchor="_Toc64460692" w:history="1">
        <w:r w:rsidR="00BE2CA3" w:rsidRPr="006C6566">
          <w:rPr>
            <w:rStyle w:val="Hiperveza"/>
            <w:rFonts w:ascii="Times New Roman" w:hAnsi="Times New Roman"/>
            <w:sz w:val="24"/>
            <w:szCs w:val="24"/>
          </w:rPr>
          <w:t>3.2.1.1</w:t>
        </w:r>
        <w:r w:rsidR="00BE2CA3" w:rsidRPr="006C6566">
          <w:rPr>
            <w:rFonts w:eastAsiaTheme="minorEastAsia"/>
            <w:color w:val="auto"/>
            <w:sz w:val="24"/>
            <w:szCs w:val="24"/>
            <w:lang w:eastAsia="hr-HR" w:bidi="ar-SA"/>
          </w:rPr>
          <w:tab/>
        </w:r>
        <w:r w:rsidR="006C6566">
          <w:rPr>
            <w:rFonts w:eastAsiaTheme="minorEastAsia"/>
            <w:color w:val="auto"/>
            <w:sz w:val="24"/>
            <w:szCs w:val="24"/>
            <w:lang w:eastAsia="hr-HR" w:bidi="ar-SA"/>
          </w:rPr>
          <w:tab/>
        </w:r>
        <w:r w:rsidR="00BE2CA3" w:rsidRPr="006C6566">
          <w:rPr>
            <w:rStyle w:val="Hiperveza"/>
            <w:rFonts w:ascii="Times New Roman" w:hAnsi="Times New Roman"/>
            <w:sz w:val="24"/>
            <w:szCs w:val="24"/>
          </w:rPr>
          <w:t>Klordekon</w:t>
        </w:r>
        <w:r w:rsidR="00BE2CA3" w:rsidRPr="006C6566">
          <w:rPr>
            <w:webHidden/>
            <w:sz w:val="24"/>
            <w:szCs w:val="24"/>
          </w:rPr>
          <w:tab/>
        </w:r>
        <w:r w:rsidR="00BE2CA3" w:rsidRPr="006C6566">
          <w:rPr>
            <w:webHidden/>
            <w:sz w:val="24"/>
            <w:szCs w:val="24"/>
          </w:rPr>
          <w:fldChar w:fldCharType="begin"/>
        </w:r>
        <w:r w:rsidR="00BE2CA3" w:rsidRPr="006C6566">
          <w:rPr>
            <w:webHidden/>
            <w:sz w:val="24"/>
            <w:szCs w:val="24"/>
          </w:rPr>
          <w:instrText xml:space="preserve"> PAGEREF _Toc64460692 \h </w:instrText>
        </w:r>
        <w:r w:rsidR="00BE2CA3" w:rsidRPr="006C6566">
          <w:rPr>
            <w:webHidden/>
            <w:sz w:val="24"/>
            <w:szCs w:val="24"/>
          </w:rPr>
        </w:r>
        <w:r w:rsidR="00BE2CA3" w:rsidRPr="006C6566">
          <w:rPr>
            <w:webHidden/>
            <w:sz w:val="24"/>
            <w:szCs w:val="24"/>
          </w:rPr>
          <w:fldChar w:fldCharType="separate"/>
        </w:r>
        <w:r w:rsidR="004C449C">
          <w:rPr>
            <w:webHidden/>
            <w:sz w:val="24"/>
            <w:szCs w:val="24"/>
          </w:rPr>
          <w:t>34</w:t>
        </w:r>
        <w:r w:rsidR="00BE2CA3" w:rsidRPr="006C6566">
          <w:rPr>
            <w:webHidden/>
            <w:sz w:val="24"/>
            <w:szCs w:val="24"/>
          </w:rPr>
          <w:fldChar w:fldCharType="end"/>
        </w:r>
      </w:hyperlink>
    </w:p>
    <w:p w14:paraId="1F6A5BDE" w14:textId="15B7C7CA" w:rsidR="00BE2CA3" w:rsidRPr="006C6566" w:rsidRDefault="00EB1E23" w:rsidP="006C6566">
      <w:pPr>
        <w:pStyle w:val="Sadraj4"/>
        <w:rPr>
          <w:rFonts w:eastAsiaTheme="minorEastAsia"/>
          <w:color w:val="auto"/>
          <w:sz w:val="24"/>
          <w:szCs w:val="24"/>
          <w:lang w:eastAsia="hr-HR" w:bidi="ar-SA"/>
        </w:rPr>
      </w:pPr>
      <w:hyperlink w:anchor="_Toc64460693" w:history="1">
        <w:r w:rsidR="00BE2CA3" w:rsidRPr="006C6566">
          <w:rPr>
            <w:rStyle w:val="Hiperveza"/>
            <w:rFonts w:ascii="Times New Roman" w:hAnsi="Times New Roman"/>
            <w:sz w:val="24"/>
            <w:szCs w:val="24"/>
          </w:rPr>
          <w:t>3.2.1.2</w:t>
        </w:r>
        <w:r w:rsidR="00BE2CA3" w:rsidRPr="006C6566">
          <w:rPr>
            <w:rFonts w:eastAsiaTheme="minorEastAsia"/>
            <w:color w:val="auto"/>
            <w:sz w:val="24"/>
            <w:szCs w:val="24"/>
            <w:lang w:eastAsia="hr-HR" w:bidi="ar-SA"/>
          </w:rPr>
          <w:tab/>
        </w:r>
        <w:r w:rsidR="006C6566">
          <w:rPr>
            <w:rFonts w:eastAsiaTheme="minorEastAsia"/>
            <w:color w:val="auto"/>
            <w:sz w:val="24"/>
            <w:szCs w:val="24"/>
            <w:lang w:eastAsia="hr-HR" w:bidi="ar-SA"/>
          </w:rPr>
          <w:tab/>
        </w:r>
        <w:r w:rsidR="00BE2CA3" w:rsidRPr="006C6566">
          <w:rPr>
            <w:rStyle w:val="Hiperveza"/>
            <w:rFonts w:ascii="Times New Roman" w:hAnsi="Times New Roman"/>
            <w:sz w:val="24"/>
            <w:szCs w:val="24"/>
          </w:rPr>
          <w:t>Alfa, beta i gama heksaklorocikloheksan</w:t>
        </w:r>
        <w:r w:rsidR="00BE2CA3" w:rsidRPr="006C6566">
          <w:rPr>
            <w:webHidden/>
            <w:sz w:val="24"/>
            <w:szCs w:val="24"/>
          </w:rPr>
          <w:tab/>
        </w:r>
        <w:r w:rsidR="00BE2CA3" w:rsidRPr="006C6566">
          <w:rPr>
            <w:webHidden/>
            <w:sz w:val="24"/>
            <w:szCs w:val="24"/>
          </w:rPr>
          <w:fldChar w:fldCharType="begin"/>
        </w:r>
        <w:r w:rsidR="00BE2CA3" w:rsidRPr="006C6566">
          <w:rPr>
            <w:webHidden/>
            <w:sz w:val="24"/>
            <w:szCs w:val="24"/>
          </w:rPr>
          <w:instrText xml:space="preserve"> PAGEREF _Toc64460693 \h </w:instrText>
        </w:r>
        <w:r w:rsidR="00BE2CA3" w:rsidRPr="006C6566">
          <w:rPr>
            <w:webHidden/>
            <w:sz w:val="24"/>
            <w:szCs w:val="24"/>
          </w:rPr>
        </w:r>
        <w:r w:rsidR="00BE2CA3" w:rsidRPr="006C6566">
          <w:rPr>
            <w:webHidden/>
            <w:sz w:val="24"/>
            <w:szCs w:val="24"/>
          </w:rPr>
          <w:fldChar w:fldCharType="separate"/>
        </w:r>
        <w:r w:rsidR="004C449C">
          <w:rPr>
            <w:webHidden/>
            <w:sz w:val="24"/>
            <w:szCs w:val="24"/>
          </w:rPr>
          <w:t>35</w:t>
        </w:r>
        <w:r w:rsidR="00BE2CA3" w:rsidRPr="006C6566">
          <w:rPr>
            <w:webHidden/>
            <w:sz w:val="24"/>
            <w:szCs w:val="24"/>
          </w:rPr>
          <w:fldChar w:fldCharType="end"/>
        </w:r>
      </w:hyperlink>
    </w:p>
    <w:p w14:paraId="4E531D14" w14:textId="3001294D" w:rsidR="00BE2CA3" w:rsidRPr="006C6566" w:rsidRDefault="00EB1E23" w:rsidP="006C6566">
      <w:pPr>
        <w:pStyle w:val="Sadraj4"/>
        <w:rPr>
          <w:rFonts w:eastAsiaTheme="minorEastAsia"/>
          <w:color w:val="auto"/>
          <w:sz w:val="24"/>
          <w:szCs w:val="24"/>
          <w:lang w:eastAsia="hr-HR" w:bidi="ar-SA"/>
        </w:rPr>
      </w:pPr>
      <w:hyperlink w:anchor="_Toc64460694" w:history="1">
        <w:r w:rsidR="00BE2CA3" w:rsidRPr="006C6566">
          <w:rPr>
            <w:rStyle w:val="Hiperveza"/>
            <w:rFonts w:ascii="Times New Roman" w:hAnsi="Times New Roman"/>
            <w:sz w:val="24"/>
            <w:szCs w:val="24"/>
          </w:rPr>
          <w:t>3.2.1.3</w:t>
        </w:r>
        <w:r w:rsidR="00BE2CA3" w:rsidRPr="006C6566">
          <w:rPr>
            <w:rFonts w:eastAsiaTheme="minorEastAsia"/>
            <w:color w:val="auto"/>
            <w:sz w:val="24"/>
            <w:szCs w:val="24"/>
            <w:lang w:eastAsia="hr-HR" w:bidi="ar-SA"/>
          </w:rPr>
          <w:tab/>
        </w:r>
        <w:r w:rsidR="006C6566">
          <w:rPr>
            <w:rFonts w:eastAsiaTheme="minorEastAsia"/>
            <w:color w:val="auto"/>
            <w:sz w:val="24"/>
            <w:szCs w:val="24"/>
            <w:lang w:eastAsia="hr-HR" w:bidi="ar-SA"/>
          </w:rPr>
          <w:tab/>
        </w:r>
        <w:r w:rsidR="00BE2CA3" w:rsidRPr="006C6566">
          <w:rPr>
            <w:rStyle w:val="Hiperveza"/>
            <w:rFonts w:ascii="Times New Roman" w:hAnsi="Times New Roman"/>
            <w:sz w:val="24"/>
            <w:szCs w:val="24"/>
          </w:rPr>
          <w:t>Pentaklorobenzen (PeCB)</w:t>
        </w:r>
        <w:r w:rsidR="00BE2CA3" w:rsidRPr="006C6566">
          <w:rPr>
            <w:webHidden/>
            <w:sz w:val="24"/>
            <w:szCs w:val="24"/>
          </w:rPr>
          <w:tab/>
        </w:r>
        <w:r w:rsidR="00BE2CA3" w:rsidRPr="006C6566">
          <w:rPr>
            <w:webHidden/>
            <w:sz w:val="24"/>
            <w:szCs w:val="24"/>
          </w:rPr>
          <w:fldChar w:fldCharType="begin"/>
        </w:r>
        <w:r w:rsidR="00BE2CA3" w:rsidRPr="006C6566">
          <w:rPr>
            <w:webHidden/>
            <w:sz w:val="24"/>
            <w:szCs w:val="24"/>
          </w:rPr>
          <w:instrText xml:space="preserve"> PAGEREF _Toc64460694 \h </w:instrText>
        </w:r>
        <w:r w:rsidR="00BE2CA3" w:rsidRPr="006C6566">
          <w:rPr>
            <w:webHidden/>
            <w:sz w:val="24"/>
            <w:szCs w:val="24"/>
          </w:rPr>
        </w:r>
        <w:r w:rsidR="00BE2CA3" w:rsidRPr="006C6566">
          <w:rPr>
            <w:webHidden/>
            <w:sz w:val="24"/>
            <w:szCs w:val="24"/>
          </w:rPr>
          <w:fldChar w:fldCharType="separate"/>
        </w:r>
        <w:r w:rsidR="004C449C">
          <w:rPr>
            <w:webHidden/>
            <w:sz w:val="24"/>
            <w:szCs w:val="24"/>
          </w:rPr>
          <w:t>36</w:t>
        </w:r>
        <w:r w:rsidR="00BE2CA3" w:rsidRPr="006C6566">
          <w:rPr>
            <w:webHidden/>
            <w:sz w:val="24"/>
            <w:szCs w:val="24"/>
          </w:rPr>
          <w:fldChar w:fldCharType="end"/>
        </w:r>
      </w:hyperlink>
    </w:p>
    <w:p w14:paraId="658F6267" w14:textId="7FFCEE93" w:rsidR="00BE2CA3" w:rsidRPr="006C6566" w:rsidRDefault="00EB1E23" w:rsidP="006C6566">
      <w:pPr>
        <w:pStyle w:val="Sadraj4"/>
        <w:rPr>
          <w:rFonts w:eastAsiaTheme="minorEastAsia"/>
          <w:color w:val="auto"/>
          <w:sz w:val="24"/>
          <w:szCs w:val="24"/>
          <w:lang w:eastAsia="hr-HR" w:bidi="ar-SA"/>
        </w:rPr>
      </w:pPr>
      <w:hyperlink w:anchor="_Toc64460695" w:history="1">
        <w:r w:rsidR="00BE2CA3" w:rsidRPr="006C6566">
          <w:rPr>
            <w:rStyle w:val="Hiperveza"/>
            <w:rFonts w:ascii="Times New Roman" w:hAnsi="Times New Roman"/>
            <w:sz w:val="24"/>
            <w:szCs w:val="24"/>
          </w:rPr>
          <w:t>3.2.1.4</w:t>
        </w:r>
        <w:r w:rsidR="00BE2CA3" w:rsidRPr="006C6566">
          <w:rPr>
            <w:rFonts w:eastAsiaTheme="minorEastAsia"/>
            <w:color w:val="auto"/>
            <w:sz w:val="24"/>
            <w:szCs w:val="24"/>
            <w:lang w:eastAsia="hr-HR" w:bidi="ar-SA"/>
          </w:rPr>
          <w:tab/>
        </w:r>
        <w:r w:rsidR="006C6566">
          <w:rPr>
            <w:rFonts w:eastAsiaTheme="minorEastAsia"/>
            <w:color w:val="auto"/>
            <w:sz w:val="24"/>
            <w:szCs w:val="24"/>
            <w:lang w:eastAsia="hr-HR" w:bidi="ar-SA"/>
          </w:rPr>
          <w:tab/>
        </w:r>
        <w:r w:rsidR="00BE2CA3" w:rsidRPr="006C6566">
          <w:rPr>
            <w:rStyle w:val="Hiperveza"/>
            <w:rFonts w:ascii="Times New Roman" w:hAnsi="Times New Roman"/>
            <w:sz w:val="24"/>
            <w:szCs w:val="24"/>
          </w:rPr>
          <w:t>Endosulfan</w:t>
        </w:r>
        <w:r w:rsidR="00BE2CA3" w:rsidRPr="006C6566">
          <w:rPr>
            <w:webHidden/>
            <w:sz w:val="24"/>
            <w:szCs w:val="24"/>
          </w:rPr>
          <w:tab/>
        </w:r>
        <w:r w:rsidR="00BE2CA3" w:rsidRPr="006C6566">
          <w:rPr>
            <w:webHidden/>
            <w:sz w:val="24"/>
            <w:szCs w:val="24"/>
          </w:rPr>
          <w:fldChar w:fldCharType="begin"/>
        </w:r>
        <w:r w:rsidR="00BE2CA3" w:rsidRPr="006C6566">
          <w:rPr>
            <w:webHidden/>
            <w:sz w:val="24"/>
            <w:szCs w:val="24"/>
          </w:rPr>
          <w:instrText xml:space="preserve"> PAGEREF _Toc64460695 \h </w:instrText>
        </w:r>
        <w:r w:rsidR="00BE2CA3" w:rsidRPr="006C6566">
          <w:rPr>
            <w:webHidden/>
            <w:sz w:val="24"/>
            <w:szCs w:val="24"/>
          </w:rPr>
        </w:r>
        <w:r w:rsidR="00BE2CA3" w:rsidRPr="006C6566">
          <w:rPr>
            <w:webHidden/>
            <w:sz w:val="24"/>
            <w:szCs w:val="24"/>
          </w:rPr>
          <w:fldChar w:fldCharType="separate"/>
        </w:r>
        <w:r w:rsidR="004C449C">
          <w:rPr>
            <w:webHidden/>
            <w:sz w:val="24"/>
            <w:szCs w:val="24"/>
          </w:rPr>
          <w:t>36</w:t>
        </w:r>
        <w:r w:rsidR="00BE2CA3" w:rsidRPr="006C6566">
          <w:rPr>
            <w:webHidden/>
            <w:sz w:val="24"/>
            <w:szCs w:val="24"/>
          </w:rPr>
          <w:fldChar w:fldCharType="end"/>
        </w:r>
      </w:hyperlink>
    </w:p>
    <w:p w14:paraId="48BEF6F7" w14:textId="473B9D5A" w:rsidR="00BE2CA3" w:rsidRPr="006C6566" w:rsidRDefault="00EB1E23" w:rsidP="006C6566">
      <w:pPr>
        <w:pStyle w:val="Sadraj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696" w:history="1">
        <w:r w:rsidR="00BE2CA3" w:rsidRPr="006C6566">
          <w:rPr>
            <w:rStyle w:val="Hiperveza"/>
            <w:rFonts w:ascii="Times New Roman" w:hAnsi="Times New Roman" w:cs="Times New Roman"/>
            <w:noProof/>
            <w:sz w:val="24"/>
            <w:lang w:bidi="en-US"/>
          </w:rPr>
          <w:t>3.2.2</w:t>
        </w:r>
        <w:r w:rsidR="00BE2CA3" w:rsidRPr="006C6566">
          <w:rPr>
            <w:rFonts w:ascii="Times New Roman" w:eastAsiaTheme="minorEastAsia" w:hAnsi="Times New Roman" w:cs="Times New Roman"/>
            <w:smallCaps w:val="0"/>
            <w:noProof/>
            <w:color w:val="auto"/>
            <w:sz w:val="24"/>
            <w:lang w:eastAsia="hr-HR"/>
          </w:rPr>
          <w:tab/>
        </w:r>
        <w:r w:rsidR="00BE2CA3" w:rsidRPr="006C6566">
          <w:rPr>
            <w:rStyle w:val="Hiperveza"/>
            <w:rFonts w:ascii="Times New Roman" w:hAnsi="Times New Roman" w:cs="Times New Roman"/>
            <w:noProof/>
            <w:sz w:val="24"/>
            <w:lang w:bidi="en-US"/>
          </w:rPr>
          <w:t>INDUSTRIJSKE KEMIKALIJE</w:t>
        </w:r>
        <w:r w:rsidR="00BE2CA3" w:rsidRPr="006C6566">
          <w:rPr>
            <w:rFonts w:ascii="Times New Roman" w:hAnsi="Times New Roman" w:cs="Times New Roman"/>
            <w:noProof/>
            <w:webHidden/>
            <w:sz w:val="24"/>
          </w:rPr>
          <w:tab/>
        </w:r>
        <w:r w:rsidR="00BE2CA3" w:rsidRPr="006C6566">
          <w:rPr>
            <w:rFonts w:ascii="Times New Roman" w:hAnsi="Times New Roman" w:cs="Times New Roman"/>
            <w:noProof/>
            <w:webHidden/>
            <w:sz w:val="24"/>
          </w:rPr>
          <w:fldChar w:fldCharType="begin"/>
        </w:r>
        <w:r w:rsidR="00BE2CA3" w:rsidRPr="006C6566">
          <w:rPr>
            <w:rFonts w:ascii="Times New Roman" w:hAnsi="Times New Roman" w:cs="Times New Roman"/>
            <w:noProof/>
            <w:webHidden/>
            <w:sz w:val="24"/>
          </w:rPr>
          <w:instrText xml:space="preserve"> PAGEREF _Toc64460696 \h </w:instrText>
        </w:r>
        <w:r w:rsidR="00BE2CA3" w:rsidRPr="006C6566">
          <w:rPr>
            <w:rFonts w:ascii="Times New Roman" w:hAnsi="Times New Roman" w:cs="Times New Roman"/>
            <w:noProof/>
            <w:webHidden/>
            <w:sz w:val="24"/>
          </w:rPr>
        </w:r>
        <w:r w:rsidR="00BE2CA3" w:rsidRPr="006C6566">
          <w:rPr>
            <w:rFonts w:ascii="Times New Roman" w:hAnsi="Times New Roman" w:cs="Times New Roman"/>
            <w:noProof/>
            <w:webHidden/>
            <w:sz w:val="24"/>
          </w:rPr>
          <w:fldChar w:fldCharType="separate"/>
        </w:r>
        <w:r w:rsidR="004C449C">
          <w:rPr>
            <w:rFonts w:ascii="Times New Roman" w:hAnsi="Times New Roman" w:cs="Times New Roman"/>
            <w:noProof/>
            <w:webHidden/>
            <w:sz w:val="24"/>
          </w:rPr>
          <w:t>37</w:t>
        </w:r>
        <w:r w:rsidR="00BE2CA3" w:rsidRPr="006C6566">
          <w:rPr>
            <w:rFonts w:ascii="Times New Roman" w:hAnsi="Times New Roman" w:cs="Times New Roman"/>
            <w:noProof/>
            <w:webHidden/>
            <w:sz w:val="24"/>
          </w:rPr>
          <w:fldChar w:fldCharType="end"/>
        </w:r>
      </w:hyperlink>
    </w:p>
    <w:p w14:paraId="61152AA2" w14:textId="3E6C85EF" w:rsidR="00BE2CA3" w:rsidRPr="006C6566" w:rsidRDefault="00EB1E23" w:rsidP="006C6566">
      <w:pPr>
        <w:pStyle w:val="Sadraj4"/>
        <w:rPr>
          <w:rFonts w:eastAsiaTheme="minorEastAsia"/>
          <w:color w:val="auto"/>
          <w:sz w:val="24"/>
          <w:szCs w:val="24"/>
          <w:lang w:eastAsia="hr-HR" w:bidi="ar-SA"/>
        </w:rPr>
      </w:pPr>
      <w:hyperlink w:anchor="_Toc64460697" w:history="1">
        <w:r w:rsidR="00BE2CA3" w:rsidRPr="006C6566">
          <w:rPr>
            <w:rStyle w:val="Hiperveza"/>
            <w:rFonts w:ascii="Times New Roman" w:hAnsi="Times New Roman"/>
            <w:sz w:val="24"/>
            <w:szCs w:val="24"/>
          </w:rPr>
          <w:t>3.2.2.1</w:t>
        </w:r>
        <w:r w:rsidR="00BE2CA3" w:rsidRPr="006C6566">
          <w:rPr>
            <w:rFonts w:eastAsiaTheme="minorEastAsia"/>
            <w:color w:val="auto"/>
            <w:sz w:val="24"/>
            <w:szCs w:val="24"/>
            <w:lang w:eastAsia="hr-HR" w:bidi="ar-SA"/>
          </w:rPr>
          <w:tab/>
        </w:r>
        <w:r w:rsidR="006C6566">
          <w:rPr>
            <w:rFonts w:eastAsiaTheme="minorEastAsia"/>
            <w:color w:val="auto"/>
            <w:sz w:val="24"/>
            <w:szCs w:val="24"/>
            <w:lang w:eastAsia="hr-HR" w:bidi="ar-SA"/>
          </w:rPr>
          <w:tab/>
        </w:r>
        <w:r w:rsidR="00BE2CA3" w:rsidRPr="006C6566">
          <w:rPr>
            <w:rStyle w:val="Hiperveza"/>
            <w:rFonts w:ascii="Times New Roman" w:hAnsi="Times New Roman"/>
            <w:sz w:val="24"/>
            <w:szCs w:val="24"/>
          </w:rPr>
          <w:t>Heksabromobifenil (HBB)</w:t>
        </w:r>
        <w:r w:rsidR="00BE2CA3" w:rsidRPr="006C6566">
          <w:rPr>
            <w:webHidden/>
            <w:sz w:val="24"/>
            <w:szCs w:val="24"/>
          </w:rPr>
          <w:tab/>
        </w:r>
        <w:r w:rsidR="00BE2CA3" w:rsidRPr="006C6566">
          <w:rPr>
            <w:webHidden/>
            <w:sz w:val="24"/>
            <w:szCs w:val="24"/>
          </w:rPr>
          <w:fldChar w:fldCharType="begin"/>
        </w:r>
        <w:r w:rsidR="00BE2CA3" w:rsidRPr="006C6566">
          <w:rPr>
            <w:webHidden/>
            <w:sz w:val="24"/>
            <w:szCs w:val="24"/>
          </w:rPr>
          <w:instrText xml:space="preserve"> PAGEREF _Toc64460697 \h </w:instrText>
        </w:r>
        <w:r w:rsidR="00BE2CA3" w:rsidRPr="006C6566">
          <w:rPr>
            <w:webHidden/>
            <w:sz w:val="24"/>
            <w:szCs w:val="24"/>
          </w:rPr>
        </w:r>
        <w:r w:rsidR="00BE2CA3" w:rsidRPr="006C6566">
          <w:rPr>
            <w:webHidden/>
            <w:sz w:val="24"/>
            <w:szCs w:val="24"/>
          </w:rPr>
          <w:fldChar w:fldCharType="separate"/>
        </w:r>
        <w:r w:rsidR="004C449C">
          <w:rPr>
            <w:webHidden/>
            <w:sz w:val="24"/>
            <w:szCs w:val="24"/>
          </w:rPr>
          <w:t>37</w:t>
        </w:r>
        <w:r w:rsidR="00BE2CA3" w:rsidRPr="006C6566">
          <w:rPr>
            <w:webHidden/>
            <w:sz w:val="24"/>
            <w:szCs w:val="24"/>
          </w:rPr>
          <w:fldChar w:fldCharType="end"/>
        </w:r>
      </w:hyperlink>
    </w:p>
    <w:p w14:paraId="04117EF1" w14:textId="0A279BB3" w:rsidR="00BE2CA3" w:rsidRPr="006C6566" w:rsidRDefault="00EB1E23" w:rsidP="006C6566">
      <w:pPr>
        <w:pStyle w:val="Sadraj4"/>
        <w:rPr>
          <w:rFonts w:eastAsiaTheme="minorEastAsia"/>
          <w:color w:val="auto"/>
          <w:sz w:val="24"/>
          <w:szCs w:val="24"/>
          <w:lang w:eastAsia="hr-HR" w:bidi="ar-SA"/>
        </w:rPr>
      </w:pPr>
      <w:hyperlink w:anchor="_Toc64460698" w:history="1">
        <w:r w:rsidR="00BE2CA3" w:rsidRPr="006C6566">
          <w:rPr>
            <w:rStyle w:val="Hiperveza"/>
            <w:rFonts w:ascii="Times New Roman" w:hAnsi="Times New Roman"/>
            <w:sz w:val="24"/>
            <w:szCs w:val="24"/>
          </w:rPr>
          <w:t>3.2.2.2</w:t>
        </w:r>
        <w:r w:rsidR="00BE2CA3" w:rsidRPr="006C6566">
          <w:rPr>
            <w:rFonts w:eastAsiaTheme="minorEastAsia"/>
            <w:color w:val="auto"/>
            <w:sz w:val="24"/>
            <w:szCs w:val="24"/>
            <w:lang w:eastAsia="hr-HR" w:bidi="ar-SA"/>
          </w:rPr>
          <w:tab/>
        </w:r>
        <w:r w:rsidR="006C6566">
          <w:rPr>
            <w:rFonts w:eastAsiaTheme="minorEastAsia"/>
            <w:color w:val="auto"/>
            <w:sz w:val="24"/>
            <w:szCs w:val="24"/>
            <w:lang w:eastAsia="hr-HR" w:bidi="ar-SA"/>
          </w:rPr>
          <w:tab/>
        </w:r>
        <w:r w:rsidR="00BE2CA3" w:rsidRPr="006C6566">
          <w:rPr>
            <w:rStyle w:val="Hiperveza"/>
            <w:rFonts w:ascii="Times New Roman" w:hAnsi="Times New Roman"/>
            <w:sz w:val="24"/>
            <w:szCs w:val="24"/>
          </w:rPr>
          <w:t>Polibromirani difenil eteri (PBDE)</w:t>
        </w:r>
        <w:r w:rsidR="00BE2CA3" w:rsidRPr="006C6566">
          <w:rPr>
            <w:webHidden/>
            <w:sz w:val="24"/>
            <w:szCs w:val="24"/>
          </w:rPr>
          <w:tab/>
        </w:r>
        <w:r w:rsidR="00BE2CA3" w:rsidRPr="006C6566">
          <w:rPr>
            <w:webHidden/>
            <w:sz w:val="24"/>
            <w:szCs w:val="24"/>
          </w:rPr>
          <w:fldChar w:fldCharType="begin"/>
        </w:r>
        <w:r w:rsidR="00BE2CA3" w:rsidRPr="006C6566">
          <w:rPr>
            <w:webHidden/>
            <w:sz w:val="24"/>
            <w:szCs w:val="24"/>
          </w:rPr>
          <w:instrText xml:space="preserve"> PAGEREF _Toc64460698 \h </w:instrText>
        </w:r>
        <w:r w:rsidR="00BE2CA3" w:rsidRPr="006C6566">
          <w:rPr>
            <w:webHidden/>
            <w:sz w:val="24"/>
            <w:szCs w:val="24"/>
          </w:rPr>
        </w:r>
        <w:r w:rsidR="00BE2CA3" w:rsidRPr="006C6566">
          <w:rPr>
            <w:webHidden/>
            <w:sz w:val="24"/>
            <w:szCs w:val="24"/>
          </w:rPr>
          <w:fldChar w:fldCharType="separate"/>
        </w:r>
        <w:r w:rsidR="004C449C">
          <w:rPr>
            <w:webHidden/>
            <w:sz w:val="24"/>
            <w:szCs w:val="24"/>
          </w:rPr>
          <w:t>37</w:t>
        </w:r>
        <w:r w:rsidR="00BE2CA3" w:rsidRPr="006C6566">
          <w:rPr>
            <w:webHidden/>
            <w:sz w:val="24"/>
            <w:szCs w:val="24"/>
          </w:rPr>
          <w:fldChar w:fldCharType="end"/>
        </w:r>
      </w:hyperlink>
    </w:p>
    <w:p w14:paraId="2E3FA138" w14:textId="19EA14D7" w:rsidR="00BE2CA3" w:rsidRPr="006C6566" w:rsidRDefault="00EB1E23" w:rsidP="006C6566">
      <w:pPr>
        <w:pStyle w:val="Sadraj4"/>
        <w:rPr>
          <w:rFonts w:eastAsiaTheme="minorEastAsia"/>
          <w:color w:val="auto"/>
          <w:sz w:val="24"/>
          <w:szCs w:val="24"/>
          <w:lang w:eastAsia="hr-HR" w:bidi="ar-SA"/>
        </w:rPr>
      </w:pPr>
      <w:hyperlink w:anchor="_Toc64460699" w:history="1">
        <w:r w:rsidR="00BE2CA3" w:rsidRPr="006C6566">
          <w:rPr>
            <w:rStyle w:val="Hiperveza"/>
            <w:rFonts w:ascii="Times New Roman" w:hAnsi="Times New Roman"/>
            <w:sz w:val="24"/>
            <w:szCs w:val="24"/>
          </w:rPr>
          <w:t>3.2.2.3</w:t>
        </w:r>
        <w:r w:rsidR="00BE2CA3" w:rsidRPr="006C6566">
          <w:rPr>
            <w:rFonts w:eastAsiaTheme="minorEastAsia"/>
            <w:color w:val="auto"/>
            <w:sz w:val="24"/>
            <w:szCs w:val="24"/>
            <w:lang w:eastAsia="hr-HR" w:bidi="ar-SA"/>
          </w:rPr>
          <w:tab/>
        </w:r>
        <w:r w:rsidR="006C6566">
          <w:rPr>
            <w:rFonts w:eastAsiaTheme="minorEastAsia"/>
            <w:color w:val="auto"/>
            <w:sz w:val="24"/>
            <w:szCs w:val="24"/>
            <w:lang w:eastAsia="hr-HR" w:bidi="ar-SA"/>
          </w:rPr>
          <w:tab/>
        </w:r>
        <w:r w:rsidR="00BE2CA3" w:rsidRPr="006C6566">
          <w:rPr>
            <w:rStyle w:val="Hiperveza"/>
            <w:rFonts w:ascii="Times New Roman" w:hAnsi="Times New Roman"/>
            <w:sz w:val="24"/>
            <w:szCs w:val="24"/>
          </w:rPr>
          <w:t>Pentaklorobenzen (PeCB)</w:t>
        </w:r>
        <w:r w:rsidR="00BE2CA3" w:rsidRPr="006C6566">
          <w:rPr>
            <w:webHidden/>
            <w:sz w:val="24"/>
            <w:szCs w:val="24"/>
          </w:rPr>
          <w:tab/>
        </w:r>
        <w:r w:rsidR="00BE2CA3" w:rsidRPr="006C6566">
          <w:rPr>
            <w:webHidden/>
            <w:sz w:val="24"/>
            <w:szCs w:val="24"/>
          </w:rPr>
          <w:fldChar w:fldCharType="begin"/>
        </w:r>
        <w:r w:rsidR="00BE2CA3" w:rsidRPr="006C6566">
          <w:rPr>
            <w:webHidden/>
            <w:sz w:val="24"/>
            <w:szCs w:val="24"/>
          </w:rPr>
          <w:instrText xml:space="preserve"> PAGEREF _Toc64460699 \h </w:instrText>
        </w:r>
        <w:r w:rsidR="00BE2CA3" w:rsidRPr="006C6566">
          <w:rPr>
            <w:webHidden/>
            <w:sz w:val="24"/>
            <w:szCs w:val="24"/>
          </w:rPr>
        </w:r>
        <w:r w:rsidR="00BE2CA3" w:rsidRPr="006C6566">
          <w:rPr>
            <w:webHidden/>
            <w:sz w:val="24"/>
            <w:szCs w:val="24"/>
          </w:rPr>
          <w:fldChar w:fldCharType="separate"/>
        </w:r>
        <w:r w:rsidR="004C449C">
          <w:rPr>
            <w:webHidden/>
            <w:sz w:val="24"/>
            <w:szCs w:val="24"/>
          </w:rPr>
          <w:t>38</w:t>
        </w:r>
        <w:r w:rsidR="00BE2CA3" w:rsidRPr="006C6566">
          <w:rPr>
            <w:webHidden/>
            <w:sz w:val="24"/>
            <w:szCs w:val="24"/>
          </w:rPr>
          <w:fldChar w:fldCharType="end"/>
        </w:r>
      </w:hyperlink>
    </w:p>
    <w:p w14:paraId="5A18A7A0" w14:textId="0D1B5031" w:rsidR="00BE2CA3" w:rsidRPr="006C6566" w:rsidRDefault="00EB1E23" w:rsidP="006C6566">
      <w:pPr>
        <w:pStyle w:val="Sadraj4"/>
        <w:rPr>
          <w:rFonts w:eastAsiaTheme="minorEastAsia"/>
          <w:color w:val="auto"/>
          <w:sz w:val="24"/>
          <w:szCs w:val="24"/>
          <w:lang w:eastAsia="hr-HR" w:bidi="ar-SA"/>
        </w:rPr>
      </w:pPr>
      <w:hyperlink w:anchor="_Toc64460700" w:history="1">
        <w:r w:rsidR="00BE2CA3" w:rsidRPr="006C6566">
          <w:rPr>
            <w:rStyle w:val="Hiperveza"/>
            <w:rFonts w:ascii="Times New Roman" w:hAnsi="Times New Roman"/>
            <w:sz w:val="24"/>
            <w:szCs w:val="24"/>
          </w:rPr>
          <w:t>3.2.2.4</w:t>
        </w:r>
        <w:r w:rsidR="00BE2CA3" w:rsidRPr="006C6566">
          <w:rPr>
            <w:rFonts w:eastAsiaTheme="minorEastAsia"/>
            <w:color w:val="auto"/>
            <w:sz w:val="24"/>
            <w:szCs w:val="24"/>
            <w:lang w:eastAsia="hr-HR" w:bidi="ar-SA"/>
          </w:rPr>
          <w:tab/>
        </w:r>
        <w:r w:rsidR="006C6566">
          <w:rPr>
            <w:rFonts w:eastAsiaTheme="minorEastAsia"/>
            <w:color w:val="auto"/>
            <w:sz w:val="24"/>
            <w:szCs w:val="24"/>
            <w:lang w:eastAsia="hr-HR" w:bidi="ar-SA"/>
          </w:rPr>
          <w:tab/>
        </w:r>
        <w:r w:rsidR="00BE2CA3" w:rsidRPr="006C6566">
          <w:rPr>
            <w:rStyle w:val="Hiperveza"/>
            <w:rFonts w:ascii="Times New Roman" w:hAnsi="Times New Roman"/>
            <w:sz w:val="24"/>
            <w:szCs w:val="24"/>
          </w:rPr>
          <w:t>Heksabromociklododekan (HBCD)</w:t>
        </w:r>
        <w:r w:rsidR="00BE2CA3" w:rsidRPr="006C6566">
          <w:rPr>
            <w:webHidden/>
            <w:sz w:val="24"/>
            <w:szCs w:val="24"/>
          </w:rPr>
          <w:tab/>
        </w:r>
        <w:r w:rsidR="00BE2CA3" w:rsidRPr="006C6566">
          <w:rPr>
            <w:webHidden/>
            <w:sz w:val="24"/>
            <w:szCs w:val="24"/>
          </w:rPr>
          <w:fldChar w:fldCharType="begin"/>
        </w:r>
        <w:r w:rsidR="00BE2CA3" w:rsidRPr="006C6566">
          <w:rPr>
            <w:webHidden/>
            <w:sz w:val="24"/>
            <w:szCs w:val="24"/>
          </w:rPr>
          <w:instrText xml:space="preserve"> PAGEREF _Toc64460700 \h </w:instrText>
        </w:r>
        <w:r w:rsidR="00BE2CA3" w:rsidRPr="006C6566">
          <w:rPr>
            <w:webHidden/>
            <w:sz w:val="24"/>
            <w:szCs w:val="24"/>
          </w:rPr>
        </w:r>
        <w:r w:rsidR="00BE2CA3" w:rsidRPr="006C6566">
          <w:rPr>
            <w:webHidden/>
            <w:sz w:val="24"/>
            <w:szCs w:val="24"/>
          </w:rPr>
          <w:fldChar w:fldCharType="separate"/>
        </w:r>
        <w:r w:rsidR="004C449C">
          <w:rPr>
            <w:webHidden/>
            <w:sz w:val="24"/>
            <w:szCs w:val="24"/>
          </w:rPr>
          <w:t>39</w:t>
        </w:r>
        <w:r w:rsidR="00BE2CA3" w:rsidRPr="006C6566">
          <w:rPr>
            <w:webHidden/>
            <w:sz w:val="24"/>
            <w:szCs w:val="24"/>
          </w:rPr>
          <w:fldChar w:fldCharType="end"/>
        </w:r>
      </w:hyperlink>
    </w:p>
    <w:p w14:paraId="7EE38D7F" w14:textId="2E5DED35" w:rsidR="00BE2CA3" w:rsidRPr="006C6566" w:rsidRDefault="00EB1E23" w:rsidP="006C6566">
      <w:pPr>
        <w:pStyle w:val="Sadraj4"/>
        <w:rPr>
          <w:rFonts w:eastAsiaTheme="minorEastAsia"/>
          <w:color w:val="auto"/>
          <w:sz w:val="24"/>
          <w:szCs w:val="24"/>
          <w:lang w:eastAsia="hr-HR" w:bidi="ar-SA"/>
        </w:rPr>
      </w:pPr>
      <w:hyperlink w:anchor="_Toc64460701" w:history="1">
        <w:r w:rsidR="00BE2CA3" w:rsidRPr="006C6566">
          <w:rPr>
            <w:rStyle w:val="Hiperveza"/>
            <w:rFonts w:ascii="Times New Roman" w:hAnsi="Times New Roman"/>
            <w:sz w:val="24"/>
            <w:szCs w:val="24"/>
          </w:rPr>
          <w:t>3.2.2.5</w:t>
        </w:r>
        <w:r w:rsidR="00BE2CA3" w:rsidRPr="006C6566">
          <w:rPr>
            <w:rFonts w:eastAsiaTheme="minorEastAsia"/>
            <w:color w:val="auto"/>
            <w:sz w:val="24"/>
            <w:szCs w:val="24"/>
            <w:lang w:eastAsia="hr-HR" w:bidi="ar-SA"/>
          </w:rPr>
          <w:tab/>
        </w:r>
        <w:r w:rsidR="006C6566">
          <w:rPr>
            <w:rFonts w:eastAsiaTheme="minorEastAsia"/>
            <w:color w:val="auto"/>
            <w:sz w:val="24"/>
            <w:szCs w:val="24"/>
            <w:lang w:eastAsia="hr-HR" w:bidi="ar-SA"/>
          </w:rPr>
          <w:tab/>
        </w:r>
        <w:r w:rsidR="00BE2CA3" w:rsidRPr="006C6566">
          <w:rPr>
            <w:rStyle w:val="Hiperveza"/>
            <w:rFonts w:ascii="Times New Roman" w:hAnsi="Times New Roman"/>
            <w:sz w:val="24"/>
            <w:szCs w:val="24"/>
          </w:rPr>
          <w:t>Perfluorooktan sulfonska kiselina (PFOS) i perfluorooktan sulfonil fluorid (PFOSF)</w:t>
        </w:r>
        <w:r w:rsidR="00BE2CA3" w:rsidRPr="006C6566">
          <w:rPr>
            <w:webHidden/>
            <w:sz w:val="24"/>
            <w:szCs w:val="24"/>
          </w:rPr>
          <w:tab/>
        </w:r>
        <w:r w:rsidR="00BE2CA3" w:rsidRPr="006C6566">
          <w:rPr>
            <w:webHidden/>
            <w:sz w:val="24"/>
            <w:szCs w:val="24"/>
          </w:rPr>
          <w:fldChar w:fldCharType="begin"/>
        </w:r>
        <w:r w:rsidR="00BE2CA3" w:rsidRPr="006C6566">
          <w:rPr>
            <w:webHidden/>
            <w:sz w:val="24"/>
            <w:szCs w:val="24"/>
          </w:rPr>
          <w:instrText xml:space="preserve"> PAGEREF _Toc64460701 \h </w:instrText>
        </w:r>
        <w:r w:rsidR="00BE2CA3" w:rsidRPr="006C6566">
          <w:rPr>
            <w:webHidden/>
            <w:sz w:val="24"/>
            <w:szCs w:val="24"/>
          </w:rPr>
        </w:r>
        <w:r w:rsidR="00BE2CA3" w:rsidRPr="006C6566">
          <w:rPr>
            <w:webHidden/>
            <w:sz w:val="24"/>
            <w:szCs w:val="24"/>
          </w:rPr>
          <w:fldChar w:fldCharType="separate"/>
        </w:r>
        <w:r w:rsidR="004C449C">
          <w:rPr>
            <w:webHidden/>
            <w:sz w:val="24"/>
            <w:szCs w:val="24"/>
          </w:rPr>
          <w:t>40</w:t>
        </w:r>
        <w:r w:rsidR="00BE2CA3" w:rsidRPr="006C6566">
          <w:rPr>
            <w:webHidden/>
            <w:sz w:val="24"/>
            <w:szCs w:val="24"/>
          </w:rPr>
          <w:fldChar w:fldCharType="end"/>
        </w:r>
      </w:hyperlink>
    </w:p>
    <w:p w14:paraId="7AB8424F" w14:textId="301A3311" w:rsidR="00BE2CA3" w:rsidRPr="006C6566" w:rsidRDefault="00EB1E23" w:rsidP="006C6566">
      <w:pPr>
        <w:pStyle w:val="Sadraj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702" w:history="1">
        <w:r w:rsidR="00BE2CA3" w:rsidRPr="006C6566">
          <w:rPr>
            <w:rStyle w:val="Hiperveza"/>
            <w:rFonts w:ascii="Times New Roman" w:hAnsi="Times New Roman" w:cs="Times New Roman"/>
            <w:noProof/>
            <w:sz w:val="24"/>
            <w:lang w:bidi="en-US"/>
          </w:rPr>
          <w:t>3.2.3</w:t>
        </w:r>
        <w:r w:rsidR="00BE2CA3" w:rsidRPr="006C6566">
          <w:rPr>
            <w:rFonts w:ascii="Times New Roman" w:eastAsiaTheme="minorEastAsia" w:hAnsi="Times New Roman" w:cs="Times New Roman"/>
            <w:smallCaps w:val="0"/>
            <w:noProof/>
            <w:color w:val="auto"/>
            <w:sz w:val="24"/>
            <w:lang w:eastAsia="hr-HR"/>
          </w:rPr>
          <w:tab/>
        </w:r>
        <w:r w:rsidR="00BE2CA3" w:rsidRPr="006C6566">
          <w:rPr>
            <w:rStyle w:val="Hiperveza"/>
            <w:rFonts w:ascii="Times New Roman" w:hAnsi="Times New Roman" w:cs="Times New Roman"/>
            <w:noProof/>
            <w:sz w:val="24"/>
            <w:lang w:bidi="en-US"/>
          </w:rPr>
          <w:t>UPOP USVOJEN NA COP-4, COP-5 I COP-6</w:t>
        </w:r>
        <w:r w:rsidR="00BE2CA3" w:rsidRPr="006C6566">
          <w:rPr>
            <w:rFonts w:ascii="Times New Roman" w:hAnsi="Times New Roman" w:cs="Times New Roman"/>
            <w:noProof/>
            <w:webHidden/>
            <w:sz w:val="24"/>
          </w:rPr>
          <w:tab/>
        </w:r>
        <w:r w:rsidR="00BE2CA3" w:rsidRPr="006C6566">
          <w:rPr>
            <w:rFonts w:ascii="Times New Roman" w:hAnsi="Times New Roman" w:cs="Times New Roman"/>
            <w:noProof/>
            <w:webHidden/>
            <w:sz w:val="24"/>
          </w:rPr>
          <w:fldChar w:fldCharType="begin"/>
        </w:r>
        <w:r w:rsidR="00BE2CA3" w:rsidRPr="006C6566">
          <w:rPr>
            <w:rFonts w:ascii="Times New Roman" w:hAnsi="Times New Roman" w:cs="Times New Roman"/>
            <w:noProof/>
            <w:webHidden/>
            <w:sz w:val="24"/>
          </w:rPr>
          <w:instrText xml:space="preserve"> PAGEREF _Toc64460702 \h </w:instrText>
        </w:r>
        <w:r w:rsidR="00BE2CA3" w:rsidRPr="006C6566">
          <w:rPr>
            <w:rFonts w:ascii="Times New Roman" w:hAnsi="Times New Roman" w:cs="Times New Roman"/>
            <w:noProof/>
            <w:webHidden/>
            <w:sz w:val="24"/>
          </w:rPr>
        </w:r>
        <w:r w:rsidR="00BE2CA3" w:rsidRPr="006C6566">
          <w:rPr>
            <w:rFonts w:ascii="Times New Roman" w:hAnsi="Times New Roman" w:cs="Times New Roman"/>
            <w:noProof/>
            <w:webHidden/>
            <w:sz w:val="24"/>
          </w:rPr>
          <w:fldChar w:fldCharType="separate"/>
        </w:r>
        <w:r w:rsidR="004C449C">
          <w:rPr>
            <w:rFonts w:ascii="Times New Roman" w:hAnsi="Times New Roman" w:cs="Times New Roman"/>
            <w:noProof/>
            <w:webHidden/>
            <w:sz w:val="24"/>
          </w:rPr>
          <w:t>42</w:t>
        </w:r>
        <w:r w:rsidR="00BE2CA3" w:rsidRPr="006C6566">
          <w:rPr>
            <w:rFonts w:ascii="Times New Roman" w:hAnsi="Times New Roman" w:cs="Times New Roman"/>
            <w:noProof/>
            <w:webHidden/>
            <w:sz w:val="24"/>
          </w:rPr>
          <w:fldChar w:fldCharType="end"/>
        </w:r>
      </w:hyperlink>
    </w:p>
    <w:p w14:paraId="09D4D69A" w14:textId="0DF808EA" w:rsidR="00BE2CA3" w:rsidRPr="006C6566" w:rsidRDefault="00EB1E23" w:rsidP="006C6566">
      <w:pPr>
        <w:pStyle w:val="Sadraj4"/>
        <w:rPr>
          <w:rFonts w:eastAsiaTheme="minorEastAsia"/>
          <w:color w:val="auto"/>
          <w:sz w:val="24"/>
          <w:szCs w:val="24"/>
          <w:lang w:eastAsia="hr-HR" w:bidi="ar-SA"/>
        </w:rPr>
      </w:pPr>
      <w:hyperlink w:anchor="_Toc64460703" w:history="1">
        <w:r w:rsidR="00BE2CA3" w:rsidRPr="006C6566">
          <w:rPr>
            <w:rStyle w:val="Hiperveza"/>
            <w:rFonts w:ascii="Times New Roman" w:hAnsi="Times New Roman"/>
            <w:sz w:val="24"/>
            <w:szCs w:val="24"/>
          </w:rPr>
          <w:t>3.2.3.1</w:t>
        </w:r>
        <w:r w:rsidR="00BE2CA3" w:rsidRPr="006C6566">
          <w:rPr>
            <w:rFonts w:eastAsiaTheme="minorEastAsia"/>
            <w:color w:val="auto"/>
            <w:sz w:val="24"/>
            <w:szCs w:val="24"/>
            <w:lang w:eastAsia="hr-HR" w:bidi="ar-SA"/>
          </w:rPr>
          <w:tab/>
        </w:r>
        <w:r w:rsidR="006C6566">
          <w:rPr>
            <w:rFonts w:eastAsiaTheme="minorEastAsia"/>
            <w:color w:val="auto"/>
            <w:sz w:val="24"/>
            <w:szCs w:val="24"/>
            <w:lang w:eastAsia="hr-HR" w:bidi="ar-SA"/>
          </w:rPr>
          <w:tab/>
        </w:r>
        <w:r w:rsidR="00BE2CA3" w:rsidRPr="006C6566">
          <w:rPr>
            <w:rStyle w:val="Hiperveza"/>
            <w:rFonts w:ascii="Times New Roman" w:hAnsi="Times New Roman"/>
            <w:sz w:val="24"/>
            <w:szCs w:val="24"/>
          </w:rPr>
          <w:t>Pentaklorobenzen</w:t>
        </w:r>
        <w:r w:rsidR="00BE2CA3" w:rsidRPr="006C6566">
          <w:rPr>
            <w:webHidden/>
            <w:sz w:val="24"/>
            <w:szCs w:val="24"/>
          </w:rPr>
          <w:tab/>
        </w:r>
        <w:r w:rsidR="00BE2CA3" w:rsidRPr="006C6566">
          <w:rPr>
            <w:webHidden/>
            <w:sz w:val="24"/>
            <w:szCs w:val="24"/>
          </w:rPr>
          <w:fldChar w:fldCharType="begin"/>
        </w:r>
        <w:r w:rsidR="00BE2CA3" w:rsidRPr="006C6566">
          <w:rPr>
            <w:webHidden/>
            <w:sz w:val="24"/>
            <w:szCs w:val="24"/>
          </w:rPr>
          <w:instrText xml:space="preserve"> PAGEREF _Toc64460703 \h </w:instrText>
        </w:r>
        <w:r w:rsidR="00BE2CA3" w:rsidRPr="006C6566">
          <w:rPr>
            <w:webHidden/>
            <w:sz w:val="24"/>
            <w:szCs w:val="24"/>
          </w:rPr>
        </w:r>
        <w:r w:rsidR="00BE2CA3" w:rsidRPr="006C6566">
          <w:rPr>
            <w:webHidden/>
            <w:sz w:val="24"/>
            <w:szCs w:val="24"/>
          </w:rPr>
          <w:fldChar w:fldCharType="separate"/>
        </w:r>
        <w:r w:rsidR="004C449C">
          <w:rPr>
            <w:webHidden/>
            <w:sz w:val="24"/>
            <w:szCs w:val="24"/>
          </w:rPr>
          <w:t>42</w:t>
        </w:r>
        <w:r w:rsidR="00BE2CA3" w:rsidRPr="006C6566">
          <w:rPr>
            <w:webHidden/>
            <w:sz w:val="24"/>
            <w:szCs w:val="24"/>
          </w:rPr>
          <w:fldChar w:fldCharType="end"/>
        </w:r>
      </w:hyperlink>
    </w:p>
    <w:p w14:paraId="453975D6" w14:textId="5C524FA9" w:rsidR="00BE2CA3" w:rsidRPr="006C6566" w:rsidRDefault="00EB1E23" w:rsidP="006C6566">
      <w:pPr>
        <w:pStyle w:val="Sadraj2"/>
        <w:tabs>
          <w:tab w:val="left" w:pos="993"/>
          <w:tab w:val="right" w:leader="dot" w:pos="9062"/>
        </w:tabs>
        <w:ind w:left="993" w:hanging="993"/>
        <w:rPr>
          <w:rFonts w:ascii="Times New Roman" w:eastAsiaTheme="minorEastAsia" w:hAnsi="Times New Roman" w:cs="Times New Roman"/>
          <w:b w:val="0"/>
          <w:bCs w:val="0"/>
          <w:smallCaps w:val="0"/>
          <w:noProof/>
          <w:color w:val="auto"/>
          <w:sz w:val="24"/>
          <w:lang w:eastAsia="hr-HR"/>
        </w:rPr>
      </w:pPr>
      <w:hyperlink w:anchor="_Toc64460704" w:history="1">
        <w:r w:rsidR="00BE2CA3" w:rsidRPr="006C6566">
          <w:rPr>
            <w:rStyle w:val="Hiperveza"/>
            <w:rFonts w:ascii="Times New Roman" w:hAnsi="Times New Roman" w:cs="Times New Roman"/>
            <w:noProof/>
            <w:sz w:val="24"/>
          </w:rPr>
          <w:t>3.3</w:t>
        </w:r>
        <w:r w:rsidR="00BE2CA3" w:rsidRPr="006C6566">
          <w:rPr>
            <w:rFonts w:ascii="Times New Roman" w:eastAsiaTheme="minorEastAsia" w:hAnsi="Times New Roman" w:cs="Times New Roman"/>
            <w:b w:val="0"/>
            <w:bCs w:val="0"/>
            <w:smallCaps w:val="0"/>
            <w:noProof/>
            <w:color w:val="auto"/>
            <w:sz w:val="24"/>
            <w:lang w:eastAsia="hr-HR"/>
          </w:rPr>
          <w:tab/>
        </w:r>
        <w:r w:rsidR="00BE2CA3" w:rsidRPr="006C6566">
          <w:rPr>
            <w:rStyle w:val="Hiperveza"/>
            <w:rFonts w:ascii="Times New Roman" w:hAnsi="Times New Roman" w:cs="Times New Roman"/>
            <w:noProof/>
            <w:sz w:val="24"/>
          </w:rPr>
          <w:t>„Novi“ POPs-ovi usvojeni na COP-7 i COP-8</w:t>
        </w:r>
        <w:r w:rsidR="00BE2CA3" w:rsidRPr="006C6566">
          <w:rPr>
            <w:rFonts w:ascii="Times New Roman" w:hAnsi="Times New Roman" w:cs="Times New Roman"/>
            <w:noProof/>
            <w:webHidden/>
            <w:sz w:val="24"/>
          </w:rPr>
          <w:tab/>
        </w:r>
        <w:r w:rsidR="00BE2CA3" w:rsidRPr="006C6566">
          <w:rPr>
            <w:rFonts w:ascii="Times New Roman" w:hAnsi="Times New Roman" w:cs="Times New Roman"/>
            <w:noProof/>
            <w:webHidden/>
            <w:sz w:val="24"/>
          </w:rPr>
          <w:fldChar w:fldCharType="begin"/>
        </w:r>
        <w:r w:rsidR="00BE2CA3" w:rsidRPr="006C6566">
          <w:rPr>
            <w:rFonts w:ascii="Times New Roman" w:hAnsi="Times New Roman" w:cs="Times New Roman"/>
            <w:noProof/>
            <w:webHidden/>
            <w:sz w:val="24"/>
          </w:rPr>
          <w:instrText xml:space="preserve"> PAGEREF _Toc64460704 \h </w:instrText>
        </w:r>
        <w:r w:rsidR="00BE2CA3" w:rsidRPr="006C6566">
          <w:rPr>
            <w:rFonts w:ascii="Times New Roman" w:hAnsi="Times New Roman" w:cs="Times New Roman"/>
            <w:noProof/>
            <w:webHidden/>
            <w:sz w:val="24"/>
          </w:rPr>
        </w:r>
        <w:r w:rsidR="00BE2CA3" w:rsidRPr="006C6566">
          <w:rPr>
            <w:rFonts w:ascii="Times New Roman" w:hAnsi="Times New Roman" w:cs="Times New Roman"/>
            <w:noProof/>
            <w:webHidden/>
            <w:sz w:val="24"/>
          </w:rPr>
          <w:fldChar w:fldCharType="separate"/>
        </w:r>
        <w:r w:rsidR="004C449C">
          <w:rPr>
            <w:rFonts w:ascii="Times New Roman" w:hAnsi="Times New Roman" w:cs="Times New Roman"/>
            <w:noProof/>
            <w:webHidden/>
            <w:sz w:val="24"/>
          </w:rPr>
          <w:t>42</w:t>
        </w:r>
        <w:r w:rsidR="00BE2CA3" w:rsidRPr="006C6566">
          <w:rPr>
            <w:rFonts w:ascii="Times New Roman" w:hAnsi="Times New Roman" w:cs="Times New Roman"/>
            <w:noProof/>
            <w:webHidden/>
            <w:sz w:val="24"/>
          </w:rPr>
          <w:fldChar w:fldCharType="end"/>
        </w:r>
      </w:hyperlink>
    </w:p>
    <w:p w14:paraId="486A6CCE" w14:textId="2578C191" w:rsidR="00BE2CA3" w:rsidRPr="006C6566" w:rsidRDefault="00EB1E23" w:rsidP="006C6566">
      <w:pPr>
        <w:pStyle w:val="Sadraj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705" w:history="1">
        <w:r w:rsidR="00BE2CA3" w:rsidRPr="006C6566">
          <w:rPr>
            <w:rStyle w:val="Hiperveza"/>
            <w:rFonts w:ascii="Times New Roman" w:hAnsi="Times New Roman" w:cs="Times New Roman"/>
            <w:noProof/>
            <w:sz w:val="24"/>
            <w:lang w:bidi="en-US"/>
          </w:rPr>
          <w:t>3.3.1</w:t>
        </w:r>
        <w:r w:rsidR="00BE2CA3" w:rsidRPr="006C6566">
          <w:rPr>
            <w:rFonts w:ascii="Times New Roman" w:eastAsiaTheme="minorEastAsia" w:hAnsi="Times New Roman" w:cs="Times New Roman"/>
            <w:smallCaps w:val="0"/>
            <w:noProof/>
            <w:color w:val="auto"/>
            <w:sz w:val="24"/>
            <w:lang w:eastAsia="hr-HR"/>
          </w:rPr>
          <w:tab/>
        </w:r>
        <w:r w:rsidR="00BE2CA3" w:rsidRPr="006C6566">
          <w:rPr>
            <w:rStyle w:val="Hiperveza"/>
            <w:rFonts w:ascii="Times New Roman" w:hAnsi="Times New Roman" w:cs="Times New Roman"/>
            <w:noProof/>
            <w:sz w:val="24"/>
            <w:lang w:bidi="en-US"/>
          </w:rPr>
          <w:t>POPs PESTICIDI</w:t>
        </w:r>
        <w:r w:rsidR="00BE2CA3" w:rsidRPr="006C6566">
          <w:rPr>
            <w:rFonts w:ascii="Times New Roman" w:hAnsi="Times New Roman" w:cs="Times New Roman"/>
            <w:noProof/>
            <w:webHidden/>
            <w:sz w:val="24"/>
          </w:rPr>
          <w:tab/>
        </w:r>
        <w:r w:rsidR="00BE2CA3" w:rsidRPr="006C6566">
          <w:rPr>
            <w:rFonts w:ascii="Times New Roman" w:hAnsi="Times New Roman" w:cs="Times New Roman"/>
            <w:noProof/>
            <w:webHidden/>
            <w:sz w:val="24"/>
          </w:rPr>
          <w:fldChar w:fldCharType="begin"/>
        </w:r>
        <w:r w:rsidR="00BE2CA3" w:rsidRPr="006C6566">
          <w:rPr>
            <w:rFonts w:ascii="Times New Roman" w:hAnsi="Times New Roman" w:cs="Times New Roman"/>
            <w:noProof/>
            <w:webHidden/>
            <w:sz w:val="24"/>
          </w:rPr>
          <w:instrText xml:space="preserve"> PAGEREF _Toc64460705 \h </w:instrText>
        </w:r>
        <w:r w:rsidR="00BE2CA3" w:rsidRPr="006C6566">
          <w:rPr>
            <w:rFonts w:ascii="Times New Roman" w:hAnsi="Times New Roman" w:cs="Times New Roman"/>
            <w:noProof/>
            <w:webHidden/>
            <w:sz w:val="24"/>
          </w:rPr>
        </w:r>
        <w:r w:rsidR="00BE2CA3" w:rsidRPr="006C6566">
          <w:rPr>
            <w:rFonts w:ascii="Times New Roman" w:hAnsi="Times New Roman" w:cs="Times New Roman"/>
            <w:noProof/>
            <w:webHidden/>
            <w:sz w:val="24"/>
          </w:rPr>
          <w:fldChar w:fldCharType="separate"/>
        </w:r>
        <w:r w:rsidR="004C449C">
          <w:rPr>
            <w:rFonts w:ascii="Times New Roman" w:hAnsi="Times New Roman" w:cs="Times New Roman"/>
            <w:noProof/>
            <w:webHidden/>
            <w:sz w:val="24"/>
          </w:rPr>
          <w:t>42</w:t>
        </w:r>
        <w:r w:rsidR="00BE2CA3" w:rsidRPr="006C6566">
          <w:rPr>
            <w:rFonts w:ascii="Times New Roman" w:hAnsi="Times New Roman" w:cs="Times New Roman"/>
            <w:noProof/>
            <w:webHidden/>
            <w:sz w:val="24"/>
          </w:rPr>
          <w:fldChar w:fldCharType="end"/>
        </w:r>
      </w:hyperlink>
    </w:p>
    <w:p w14:paraId="35DD016A" w14:textId="39AFBC59" w:rsidR="00BE2CA3" w:rsidRPr="006C6566" w:rsidRDefault="00EB1E23" w:rsidP="006C6566">
      <w:pPr>
        <w:pStyle w:val="Sadraj4"/>
        <w:rPr>
          <w:rFonts w:eastAsiaTheme="minorEastAsia"/>
          <w:color w:val="auto"/>
          <w:sz w:val="24"/>
          <w:szCs w:val="24"/>
          <w:lang w:eastAsia="hr-HR" w:bidi="ar-SA"/>
        </w:rPr>
      </w:pPr>
      <w:hyperlink w:anchor="_Toc64460706" w:history="1">
        <w:r w:rsidR="00BE2CA3" w:rsidRPr="006C6566">
          <w:rPr>
            <w:rStyle w:val="Hiperveza"/>
            <w:rFonts w:ascii="Times New Roman" w:hAnsi="Times New Roman"/>
            <w:sz w:val="24"/>
            <w:szCs w:val="24"/>
          </w:rPr>
          <w:t>3.3.1.1</w:t>
        </w:r>
        <w:r w:rsidR="00BE2CA3" w:rsidRPr="006C6566">
          <w:rPr>
            <w:rFonts w:eastAsiaTheme="minorEastAsia"/>
            <w:color w:val="auto"/>
            <w:sz w:val="24"/>
            <w:szCs w:val="24"/>
            <w:lang w:eastAsia="hr-HR" w:bidi="ar-SA"/>
          </w:rPr>
          <w:tab/>
        </w:r>
        <w:r w:rsidR="006C6566">
          <w:rPr>
            <w:rFonts w:eastAsiaTheme="minorEastAsia"/>
            <w:color w:val="auto"/>
            <w:sz w:val="24"/>
            <w:szCs w:val="24"/>
            <w:lang w:eastAsia="hr-HR" w:bidi="ar-SA"/>
          </w:rPr>
          <w:tab/>
        </w:r>
        <w:r w:rsidR="00BE2CA3" w:rsidRPr="006C6566">
          <w:rPr>
            <w:rStyle w:val="Hiperveza"/>
            <w:rFonts w:ascii="Times New Roman" w:hAnsi="Times New Roman"/>
            <w:sz w:val="24"/>
            <w:szCs w:val="24"/>
          </w:rPr>
          <w:t>Pentaklorofenol, njegove soli i esteri (PCP)</w:t>
        </w:r>
        <w:r w:rsidR="00BE2CA3" w:rsidRPr="006C6566">
          <w:rPr>
            <w:webHidden/>
            <w:sz w:val="24"/>
            <w:szCs w:val="24"/>
          </w:rPr>
          <w:tab/>
        </w:r>
        <w:r w:rsidR="00BE2CA3" w:rsidRPr="006C6566">
          <w:rPr>
            <w:webHidden/>
            <w:sz w:val="24"/>
            <w:szCs w:val="24"/>
          </w:rPr>
          <w:fldChar w:fldCharType="begin"/>
        </w:r>
        <w:r w:rsidR="00BE2CA3" w:rsidRPr="006C6566">
          <w:rPr>
            <w:webHidden/>
            <w:sz w:val="24"/>
            <w:szCs w:val="24"/>
          </w:rPr>
          <w:instrText xml:space="preserve"> PAGEREF _Toc64460706 \h </w:instrText>
        </w:r>
        <w:r w:rsidR="00BE2CA3" w:rsidRPr="006C6566">
          <w:rPr>
            <w:webHidden/>
            <w:sz w:val="24"/>
            <w:szCs w:val="24"/>
          </w:rPr>
        </w:r>
        <w:r w:rsidR="00BE2CA3" w:rsidRPr="006C6566">
          <w:rPr>
            <w:webHidden/>
            <w:sz w:val="24"/>
            <w:szCs w:val="24"/>
          </w:rPr>
          <w:fldChar w:fldCharType="separate"/>
        </w:r>
        <w:r w:rsidR="004C449C">
          <w:rPr>
            <w:webHidden/>
            <w:sz w:val="24"/>
            <w:szCs w:val="24"/>
          </w:rPr>
          <w:t>42</w:t>
        </w:r>
        <w:r w:rsidR="00BE2CA3" w:rsidRPr="006C6566">
          <w:rPr>
            <w:webHidden/>
            <w:sz w:val="24"/>
            <w:szCs w:val="24"/>
          </w:rPr>
          <w:fldChar w:fldCharType="end"/>
        </w:r>
      </w:hyperlink>
    </w:p>
    <w:p w14:paraId="7A8C0C88" w14:textId="211D8898" w:rsidR="00BE2CA3" w:rsidRPr="006C6566" w:rsidRDefault="00EB1E23" w:rsidP="006C6566">
      <w:pPr>
        <w:pStyle w:val="Sadraj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707" w:history="1">
        <w:r w:rsidR="00BE2CA3" w:rsidRPr="006C6566">
          <w:rPr>
            <w:rStyle w:val="Hiperveza"/>
            <w:rFonts w:ascii="Times New Roman" w:hAnsi="Times New Roman" w:cs="Times New Roman"/>
            <w:noProof/>
            <w:sz w:val="24"/>
            <w:lang w:bidi="en-US"/>
          </w:rPr>
          <w:t>3.3.2</w:t>
        </w:r>
        <w:r w:rsidR="00BE2CA3" w:rsidRPr="006C6566">
          <w:rPr>
            <w:rFonts w:ascii="Times New Roman" w:eastAsiaTheme="minorEastAsia" w:hAnsi="Times New Roman" w:cs="Times New Roman"/>
            <w:smallCaps w:val="0"/>
            <w:noProof/>
            <w:color w:val="auto"/>
            <w:sz w:val="24"/>
            <w:lang w:eastAsia="hr-HR"/>
          </w:rPr>
          <w:tab/>
        </w:r>
        <w:r w:rsidR="00BE2CA3" w:rsidRPr="006C6566">
          <w:rPr>
            <w:rStyle w:val="Hiperveza"/>
            <w:rFonts w:ascii="Times New Roman" w:hAnsi="Times New Roman" w:cs="Times New Roman"/>
            <w:noProof/>
            <w:sz w:val="24"/>
            <w:lang w:bidi="en-US"/>
          </w:rPr>
          <w:t>INDUSTRIJSKE KEMIKALIJE</w:t>
        </w:r>
        <w:r w:rsidR="00BE2CA3" w:rsidRPr="006C6566">
          <w:rPr>
            <w:rFonts w:ascii="Times New Roman" w:hAnsi="Times New Roman" w:cs="Times New Roman"/>
            <w:noProof/>
            <w:webHidden/>
            <w:sz w:val="24"/>
          </w:rPr>
          <w:tab/>
        </w:r>
        <w:r w:rsidR="00BE2CA3" w:rsidRPr="006C6566">
          <w:rPr>
            <w:rFonts w:ascii="Times New Roman" w:hAnsi="Times New Roman" w:cs="Times New Roman"/>
            <w:noProof/>
            <w:webHidden/>
            <w:sz w:val="24"/>
          </w:rPr>
          <w:fldChar w:fldCharType="begin"/>
        </w:r>
        <w:r w:rsidR="00BE2CA3" w:rsidRPr="006C6566">
          <w:rPr>
            <w:rFonts w:ascii="Times New Roman" w:hAnsi="Times New Roman" w:cs="Times New Roman"/>
            <w:noProof/>
            <w:webHidden/>
            <w:sz w:val="24"/>
          </w:rPr>
          <w:instrText xml:space="preserve"> PAGEREF _Toc64460707 \h </w:instrText>
        </w:r>
        <w:r w:rsidR="00BE2CA3" w:rsidRPr="006C6566">
          <w:rPr>
            <w:rFonts w:ascii="Times New Roman" w:hAnsi="Times New Roman" w:cs="Times New Roman"/>
            <w:noProof/>
            <w:webHidden/>
            <w:sz w:val="24"/>
          </w:rPr>
        </w:r>
        <w:r w:rsidR="00BE2CA3" w:rsidRPr="006C6566">
          <w:rPr>
            <w:rFonts w:ascii="Times New Roman" w:hAnsi="Times New Roman" w:cs="Times New Roman"/>
            <w:noProof/>
            <w:webHidden/>
            <w:sz w:val="24"/>
          </w:rPr>
          <w:fldChar w:fldCharType="separate"/>
        </w:r>
        <w:r w:rsidR="004C449C">
          <w:rPr>
            <w:rFonts w:ascii="Times New Roman" w:hAnsi="Times New Roman" w:cs="Times New Roman"/>
            <w:noProof/>
            <w:webHidden/>
            <w:sz w:val="24"/>
          </w:rPr>
          <w:t>44</w:t>
        </w:r>
        <w:r w:rsidR="00BE2CA3" w:rsidRPr="006C6566">
          <w:rPr>
            <w:rFonts w:ascii="Times New Roman" w:hAnsi="Times New Roman" w:cs="Times New Roman"/>
            <w:noProof/>
            <w:webHidden/>
            <w:sz w:val="24"/>
          </w:rPr>
          <w:fldChar w:fldCharType="end"/>
        </w:r>
      </w:hyperlink>
    </w:p>
    <w:p w14:paraId="69C9B31E" w14:textId="7D36A573" w:rsidR="00BE2CA3" w:rsidRPr="006C6566" w:rsidRDefault="00EB1E23" w:rsidP="006C6566">
      <w:pPr>
        <w:pStyle w:val="Sadraj4"/>
        <w:rPr>
          <w:rFonts w:eastAsiaTheme="minorEastAsia"/>
          <w:color w:val="auto"/>
          <w:sz w:val="24"/>
          <w:szCs w:val="24"/>
          <w:lang w:eastAsia="hr-HR" w:bidi="ar-SA"/>
        </w:rPr>
      </w:pPr>
      <w:hyperlink w:anchor="_Toc64460708" w:history="1">
        <w:r w:rsidR="00BE2CA3" w:rsidRPr="006C6566">
          <w:rPr>
            <w:rStyle w:val="Hiperveza"/>
            <w:rFonts w:ascii="Times New Roman" w:hAnsi="Times New Roman"/>
            <w:sz w:val="24"/>
            <w:szCs w:val="24"/>
          </w:rPr>
          <w:t>3.3.2.1</w:t>
        </w:r>
        <w:r w:rsidR="00BE2CA3" w:rsidRPr="006C6566">
          <w:rPr>
            <w:rFonts w:eastAsiaTheme="minorEastAsia"/>
            <w:color w:val="auto"/>
            <w:sz w:val="24"/>
            <w:szCs w:val="24"/>
            <w:lang w:eastAsia="hr-HR" w:bidi="ar-SA"/>
          </w:rPr>
          <w:tab/>
        </w:r>
        <w:r w:rsidR="006C6566">
          <w:rPr>
            <w:rFonts w:eastAsiaTheme="minorEastAsia"/>
            <w:color w:val="auto"/>
            <w:sz w:val="24"/>
            <w:szCs w:val="24"/>
            <w:lang w:eastAsia="hr-HR" w:bidi="ar-SA"/>
          </w:rPr>
          <w:tab/>
        </w:r>
        <w:r w:rsidR="00BE2CA3" w:rsidRPr="006C6566">
          <w:rPr>
            <w:rStyle w:val="Hiperveza"/>
            <w:rFonts w:ascii="Times New Roman" w:hAnsi="Times New Roman"/>
            <w:sz w:val="24"/>
            <w:szCs w:val="24"/>
          </w:rPr>
          <w:t>Heksaklorobutadien (HCBD)</w:t>
        </w:r>
        <w:r w:rsidR="00BE2CA3" w:rsidRPr="006C6566">
          <w:rPr>
            <w:webHidden/>
            <w:sz w:val="24"/>
            <w:szCs w:val="24"/>
          </w:rPr>
          <w:tab/>
        </w:r>
        <w:r w:rsidR="00BE2CA3" w:rsidRPr="006C6566">
          <w:rPr>
            <w:webHidden/>
            <w:sz w:val="24"/>
            <w:szCs w:val="24"/>
          </w:rPr>
          <w:fldChar w:fldCharType="begin"/>
        </w:r>
        <w:r w:rsidR="00BE2CA3" w:rsidRPr="006C6566">
          <w:rPr>
            <w:webHidden/>
            <w:sz w:val="24"/>
            <w:szCs w:val="24"/>
          </w:rPr>
          <w:instrText xml:space="preserve"> PAGEREF _Toc64460708 \h </w:instrText>
        </w:r>
        <w:r w:rsidR="00BE2CA3" w:rsidRPr="006C6566">
          <w:rPr>
            <w:webHidden/>
            <w:sz w:val="24"/>
            <w:szCs w:val="24"/>
          </w:rPr>
        </w:r>
        <w:r w:rsidR="00BE2CA3" w:rsidRPr="006C6566">
          <w:rPr>
            <w:webHidden/>
            <w:sz w:val="24"/>
            <w:szCs w:val="24"/>
          </w:rPr>
          <w:fldChar w:fldCharType="separate"/>
        </w:r>
        <w:r w:rsidR="004C449C">
          <w:rPr>
            <w:webHidden/>
            <w:sz w:val="24"/>
            <w:szCs w:val="24"/>
          </w:rPr>
          <w:t>44</w:t>
        </w:r>
        <w:r w:rsidR="00BE2CA3" w:rsidRPr="006C6566">
          <w:rPr>
            <w:webHidden/>
            <w:sz w:val="24"/>
            <w:szCs w:val="24"/>
          </w:rPr>
          <w:fldChar w:fldCharType="end"/>
        </w:r>
      </w:hyperlink>
    </w:p>
    <w:p w14:paraId="79E96D85" w14:textId="7CD24C20" w:rsidR="00BE2CA3" w:rsidRPr="006C6566" w:rsidRDefault="00EB1E23" w:rsidP="006C6566">
      <w:pPr>
        <w:pStyle w:val="Sadraj4"/>
        <w:rPr>
          <w:rFonts w:eastAsiaTheme="minorEastAsia"/>
          <w:color w:val="auto"/>
          <w:sz w:val="24"/>
          <w:szCs w:val="24"/>
          <w:lang w:eastAsia="hr-HR" w:bidi="ar-SA"/>
        </w:rPr>
      </w:pPr>
      <w:hyperlink w:anchor="_Toc64460709" w:history="1">
        <w:r w:rsidR="00BE2CA3" w:rsidRPr="006C6566">
          <w:rPr>
            <w:rStyle w:val="Hiperveza"/>
            <w:rFonts w:ascii="Times New Roman" w:hAnsi="Times New Roman"/>
            <w:sz w:val="24"/>
            <w:szCs w:val="24"/>
          </w:rPr>
          <w:t>3.3.2.2</w:t>
        </w:r>
        <w:r w:rsidR="00BE2CA3" w:rsidRPr="006C6566">
          <w:rPr>
            <w:rFonts w:eastAsiaTheme="minorEastAsia"/>
            <w:color w:val="auto"/>
            <w:sz w:val="24"/>
            <w:szCs w:val="24"/>
            <w:lang w:eastAsia="hr-HR" w:bidi="ar-SA"/>
          </w:rPr>
          <w:tab/>
        </w:r>
        <w:r w:rsidR="006C6566">
          <w:rPr>
            <w:rFonts w:eastAsiaTheme="minorEastAsia"/>
            <w:color w:val="auto"/>
            <w:sz w:val="24"/>
            <w:szCs w:val="24"/>
            <w:lang w:eastAsia="hr-HR" w:bidi="ar-SA"/>
          </w:rPr>
          <w:tab/>
        </w:r>
        <w:r w:rsidR="00BE2CA3" w:rsidRPr="006C6566">
          <w:rPr>
            <w:rStyle w:val="Hiperveza"/>
            <w:rFonts w:ascii="Times New Roman" w:hAnsi="Times New Roman"/>
            <w:sz w:val="24"/>
            <w:szCs w:val="24"/>
          </w:rPr>
          <w:t>Poliklorirani naftaleni PCN</w:t>
        </w:r>
        <w:r w:rsidR="00BE2CA3" w:rsidRPr="006C6566">
          <w:rPr>
            <w:webHidden/>
            <w:sz w:val="24"/>
            <w:szCs w:val="24"/>
          </w:rPr>
          <w:tab/>
        </w:r>
        <w:r w:rsidR="00BE2CA3" w:rsidRPr="006C6566">
          <w:rPr>
            <w:webHidden/>
            <w:sz w:val="24"/>
            <w:szCs w:val="24"/>
          </w:rPr>
          <w:fldChar w:fldCharType="begin"/>
        </w:r>
        <w:r w:rsidR="00BE2CA3" w:rsidRPr="006C6566">
          <w:rPr>
            <w:webHidden/>
            <w:sz w:val="24"/>
            <w:szCs w:val="24"/>
          </w:rPr>
          <w:instrText xml:space="preserve"> PAGEREF _Toc64460709 \h </w:instrText>
        </w:r>
        <w:r w:rsidR="00BE2CA3" w:rsidRPr="006C6566">
          <w:rPr>
            <w:webHidden/>
            <w:sz w:val="24"/>
            <w:szCs w:val="24"/>
          </w:rPr>
        </w:r>
        <w:r w:rsidR="00BE2CA3" w:rsidRPr="006C6566">
          <w:rPr>
            <w:webHidden/>
            <w:sz w:val="24"/>
            <w:szCs w:val="24"/>
          </w:rPr>
          <w:fldChar w:fldCharType="separate"/>
        </w:r>
        <w:r w:rsidR="004C449C">
          <w:rPr>
            <w:webHidden/>
            <w:sz w:val="24"/>
            <w:szCs w:val="24"/>
          </w:rPr>
          <w:t>45</w:t>
        </w:r>
        <w:r w:rsidR="00BE2CA3" w:rsidRPr="006C6566">
          <w:rPr>
            <w:webHidden/>
            <w:sz w:val="24"/>
            <w:szCs w:val="24"/>
          </w:rPr>
          <w:fldChar w:fldCharType="end"/>
        </w:r>
      </w:hyperlink>
    </w:p>
    <w:p w14:paraId="0B1B8F8A" w14:textId="5762D108" w:rsidR="00BE2CA3" w:rsidRPr="006C6566" w:rsidRDefault="00EB1E23" w:rsidP="006C6566">
      <w:pPr>
        <w:pStyle w:val="Sadraj4"/>
        <w:rPr>
          <w:rFonts w:eastAsiaTheme="minorEastAsia"/>
          <w:color w:val="auto"/>
          <w:sz w:val="24"/>
          <w:szCs w:val="24"/>
          <w:lang w:eastAsia="hr-HR" w:bidi="ar-SA"/>
        </w:rPr>
      </w:pPr>
      <w:hyperlink w:anchor="_Toc64460710" w:history="1">
        <w:r w:rsidR="00BE2CA3" w:rsidRPr="006C6566">
          <w:rPr>
            <w:rStyle w:val="Hiperveza"/>
            <w:rFonts w:ascii="Times New Roman" w:hAnsi="Times New Roman"/>
            <w:sz w:val="24"/>
            <w:szCs w:val="24"/>
          </w:rPr>
          <w:t>3.3.2.3</w:t>
        </w:r>
        <w:r w:rsidR="00BE2CA3" w:rsidRPr="006C6566">
          <w:rPr>
            <w:rFonts w:eastAsiaTheme="minorEastAsia"/>
            <w:color w:val="auto"/>
            <w:sz w:val="24"/>
            <w:szCs w:val="24"/>
            <w:lang w:eastAsia="hr-HR" w:bidi="ar-SA"/>
          </w:rPr>
          <w:tab/>
        </w:r>
        <w:r w:rsidR="006C6566">
          <w:rPr>
            <w:rFonts w:eastAsiaTheme="minorEastAsia"/>
            <w:color w:val="auto"/>
            <w:sz w:val="24"/>
            <w:szCs w:val="24"/>
            <w:lang w:eastAsia="hr-HR" w:bidi="ar-SA"/>
          </w:rPr>
          <w:tab/>
        </w:r>
        <w:r w:rsidR="00BE2CA3" w:rsidRPr="006C6566">
          <w:rPr>
            <w:rStyle w:val="Hiperveza"/>
            <w:rFonts w:ascii="Times New Roman" w:hAnsi="Times New Roman"/>
            <w:sz w:val="24"/>
            <w:szCs w:val="24"/>
          </w:rPr>
          <w:t>Dekabromodifenileter</w:t>
        </w:r>
        <w:r w:rsidR="00BE2CA3" w:rsidRPr="006C6566">
          <w:rPr>
            <w:webHidden/>
            <w:sz w:val="24"/>
            <w:szCs w:val="24"/>
          </w:rPr>
          <w:tab/>
        </w:r>
        <w:r w:rsidR="00BE2CA3" w:rsidRPr="006C6566">
          <w:rPr>
            <w:webHidden/>
            <w:sz w:val="24"/>
            <w:szCs w:val="24"/>
          </w:rPr>
          <w:fldChar w:fldCharType="begin"/>
        </w:r>
        <w:r w:rsidR="00BE2CA3" w:rsidRPr="006C6566">
          <w:rPr>
            <w:webHidden/>
            <w:sz w:val="24"/>
            <w:szCs w:val="24"/>
          </w:rPr>
          <w:instrText xml:space="preserve"> PAGEREF _Toc64460710 \h </w:instrText>
        </w:r>
        <w:r w:rsidR="00BE2CA3" w:rsidRPr="006C6566">
          <w:rPr>
            <w:webHidden/>
            <w:sz w:val="24"/>
            <w:szCs w:val="24"/>
          </w:rPr>
        </w:r>
        <w:r w:rsidR="00BE2CA3" w:rsidRPr="006C6566">
          <w:rPr>
            <w:webHidden/>
            <w:sz w:val="24"/>
            <w:szCs w:val="24"/>
          </w:rPr>
          <w:fldChar w:fldCharType="separate"/>
        </w:r>
        <w:r w:rsidR="004C449C">
          <w:rPr>
            <w:webHidden/>
            <w:sz w:val="24"/>
            <w:szCs w:val="24"/>
          </w:rPr>
          <w:t>46</w:t>
        </w:r>
        <w:r w:rsidR="00BE2CA3" w:rsidRPr="006C6566">
          <w:rPr>
            <w:webHidden/>
            <w:sz w:val="24"/>
            <w:szCs w:val="24"/>
          </w:rPr>
          <w:fldChar w:fldCharType="end"/>
        </w:r>
      </w:hyperlink>
    </w:p>
    <w:p w14:paraId="3B5E5D4D" w14:textId="2CE1E806" w:rsidR="00BE2CA3" w:rsidRPr="006C6566" w:rsidRDefault="00EB1E23" w:rsidP="006C6566">
      <w:pPr>
        <w:pStyle w:val="Sadraj4"/>
        <w:rPr>
          <w:rFonts w:eastAsiaTheme="minorEastAsia"/>
          <w:color w:val="auto"/>
          <w:sz w:val="24"/>
          <w:szCs w:val="24"/>
          <w:lang w:eastAsia="hr-HR" w:bidi="ar-SA"/>
        </w:rPr>
      </w:pPr>
      <w:hyperlink w:anchor="_Toc64460711" w:history="1">
        <w:r w:rsidR="00BE2CA3" w:rsidRPr="006C6566">
          <w:rPr>
            <w:rStyle w:val="Hiperveza"/>
            <w:rFonts w:ascii="Times New Roman" w:hAnsi="Times New Roman"/>
            <w:sz w:val="24"/>
            <w:szCs w:val="24"/>
          </w:rPr>
          <w:t>3.3.2.4</w:t>
        </w:r>
        <w:r w:rsidR="00BE2CA3" w:rsidRPr="006C6566">
          <w:rPr>
            <w:rFonts w:eastAsiaTheme="minorEastAsia"/>
            <w:color w:val="auto"/>
            <w:sz w:val="24"/>
            <w:szCs w:val="24"/>
            <w:lang w:eastAsia="hr-HR" w:bidi="ar-SA"/>
          </w:rPr>
          <w:tab/>
        </w:r>
        <w:r w:rsidR="006C6566">
          <w:rPr>
            <w:rFonts w:eastAsiaTheme="minorEastAsia"/>
            <w:color w:val="auto"/>
            <w:sz w:val="24"/>
            <w:szCs w:val="24"/>
            <w:lang w:eastAsia="hr-HR" w:bidi="ar-SA"/>
          </w:rPr>
          <w:tab/>
        </w:r>
        <w:r w:rsidR="00BE2CA3" w:rsidRPr="006C6566">
          <w:rPr>
            <w:rStyle w:val="Hiperveza"/>
            <w:rFonts w:ascii="Times New Roman" w:hAnsi="Times New Roman"/>
            <w:sz w:val="24"/>
            <w:szCs w:val="24"/>
          </w:rPr>
          <w:t>Kratkolančani klorirani parafini (SCCP)</w:t>
        </w:r>
        <w:r w:rsidR="00BE2CA3" w:rsidRPr="006C6566">
          <w:rPr>
            <w:webHidden/>
            <w:sz w:val="24"/>
            <w:szCs w:val="24"/>
          </w:rPr>
          <w:tab/>
        </w:r>
        <w:r w:rsidR="00BE2CA3" w:rsidRPr="006C6566">
          <w:rPr>
            <w:webHidden/>
            <w:sz w:val="24"/>
            <w:szCs w:val="24"/>
          </w:rPr>
          <w:fldChar w:fldCharType="begin"/>
        </w:r>
        <w:r w:rsidR="00BE2CA3" w:rsidRPr="006C6566">
          <w:rPr>
            <w:webHidden/>
            <w:sz w:val="24"/>
            <w:szCs w:val="24"/>
          </w:rPr>
          <w:instrText xml:space="preserve"> PAGEREF _Toc64460711 \h </w:instrText>
        </w:r>
        <w:r w:rsidR="00BE2CA3" w:rsidRPr="006C6566">
          <w:rPr>
            <w:webHidden/>
            <w:sz w:val="24"/>
            <w:szCs w:val="24"/>
          </w:rPr>
        </w:r>
        <w:r w:rsidR="00BE2CA3" w:rsidRPr="006C6566">
          <w:rPr>
            <w:webHidden/>
            <w:sz w:val="24"/>
            <w:szCs w:val="24"/>
          </w:rPr>
          <w:fldChar w:fldCharType="separate"/>
        </w:r>
        <w:r w:rsidR="004C449C">
          <w:rPr>
            <w:webHidden/>
            <w:sz w:val="24"/>
            <w:szCs w:val="24"/>
          </w:rPr>
          <w:t>48</w:t>
        </w:r>
        <w:r w:rsidR="00BE2CA3" w:rsidRPr="006C6566">
          <w:rPr>
            <w:webHidden/>
            <w:sz w:val="24"/>
            <w:szCs w:val="24"/>
          </w:rPr>
          <w:fldChar w:fldCharType="end"/>
        </w:r>
      </w:hyperlink>
    </w:p>
    <w:p w14:paraId="2E2E2758" w14:textId="09747AC4" w:rsidR="00BE2CA3" w:rsidRPr="006C6566" w:rsidRDefault="00EB1E23" w:rsidP="006C6566">
      <w:pPr>
        <w:pStyle w:val="Sadraj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712" w:history="1">
        <w:r w:rsidR="00BE2CA3" w:rsidRPr="006C6566">
          <w:rPr>
            <w:rStyle w:val="Hiperveza"/>
            <w:rFonts w:ascii="Times New Roman" w:hAnsi="Times New Roman" w:cs="Times New Roman"/>
            <w:noProof/>
            <w:sz w:val="24"/>
            <w:lang w:bidi="en-US"/>
          </w:rPr>
          <w:t>3.3.3</w:t>
        </w:r>
        <w:r w:rsidR="00BE2CA3" w:rsidRPr="006C6566">
          <w:rPr>
            <w:rFonts w:ascii="Times New Roman" w:eastAsiaTheme="minorEastAsia" w:hAnsi="Times New Roman" w:cs="Times New Roman"/>
            <w:smallCaps w:val="0"/>
            <w:noProof/>
            <w:color w:val="auto"/>
            <w:sz w:val="24"/>
            <w:lang w:eastAsia="hr-HR"/>
          </w:rPr>
          <w:tab/>
        </w:r>
        <w:r w:rsidR="00BE2CA3" w:rsidRPr="006C6566">
          <w:rPr>
            <w:rStyle w:val="Hiperveza"/>
            <w:rFonts w:ascii="Times New Roman" w:hAnsi="Times New Roman" w:cs="Times New Roman"/>
            <w:noProof/>
            <w:sz w:val="24"/>
            <w:lang w:bidi="en-US"/>
          </w:rPr>
          <w:t>UPOPS USVOJENI NA COP-7 I COP-8</w:t>
        </w:r>
        <w:r w:rsidR="00BE2CA3" w:rsidRPr="006C6566">
          <w:rPr>
            <w:rFonts w:ascii="Times New Roman" w:hAnsi="Times New Roman" w:cs="Times New Roman"/>
            <w:noProof/>
            <w:webHidden/>
            <w:sz w:val="24"/>
          </w:rPr>
          <w:tab/>
        </w:r>
        <w:r w:rsidR="00BE2CA3" w:rsidRPr="006C6566">
          <w:rPr>
            <w:rFonts w:ascii="Times New Roman" w:hAnsi="Times New Roman" w:cs="Times New Roman"/>
            <w:noProof/>
            <w:webHidden/>
            <w:sz w:val="24"/>
          </w:rPr>
          <w:fldChar w:fldCharType="begin"/>
        </w:r>
        <w:r w:rsidR="00BE2CA3" w:rsidRPr="006C6566">
          <w:rPr>
            <w:rFonts w:ascii="Times New Roman" w:hAnsi="Times New Roman" w:cs="Times New Roman"/>
            <w:noProof/>
            <w:webHidden/>
            <w:sz w:val="24"/>
          </w:rPr>
          <w:instrText xml:space="preserve"> PAGEREF _Toc64460712 \h </w:instrText>
        </w:r>
        <w:r w:rsidR="00BE2CA3" w:rsidRPr="006C6566">
          <w:rPr>
            <w:rFonts w:ascii="Times New Roman" w:hAnsi="Times New Roman" w:cs="Times New Roman"/>
            <w:noProof/>
            <w:webHidden/>
            <w:sz w:val="24"/>
          </w:rPr>
        </w:r>
        <w:r w:rsidR="00BE2CA3" w:rsidRPr="006C6566">
          <w:rPr>
            <w:rFonts w:ascii="Times New Roman" w:hAnsi="Times New Roman" w:cs="Times New Roman"/>
            <w:noProof/>
            <w:webHidden/>
            <w:sz w:val="24"/>
          </w:rPr>
          <w:fldChar w:fldCharType="separate"/>
        </w:r>
        <w:r w:rsidR="004C449C">
          <w:rPr>
            <w:rFonts w:ascii="Times New Roman" w:hAnsi="Times New Roman" w:cs="Times New Roman"/>
            <w:noProof/>
            <w:webHidden/>
            <w:sz w:val="24"/>
          </w:rPr>
          <w:t>50</w:t>
        </w:r>
        <w:r w:rsidR="00BE2CA3" w:rsidRPr="006C6566">
          <w:rPr>
            <w:rFonts w:ascii="Times New Roman" w:hAnsi="Times New Roman" w:cs="Times New Roman"/>
            <w:noProof/>
            <w:webHidden/>
            <w:sz w:val="24"/>
          </w:rPr>
          <w:fldChar w:fldCharType="end"/>
        </w:r>
      </w:hyperlink>
    </w:p>
    <w:p w14:paraId="3BA822AD" w14:textId="7331E6BA" w:rsidR="00BE2CA3" w:rsidRPr="006C6566" w:rsidRDefault="00EB1E23" w:rsidP="006C6566">
      <w:pPr>
        <w:pStyle w:val="Sadraj2"/>
        <w:tabs>
          <w:tab w:val="left" w:pos="993"/>
          <w:tab w:val="right" w:leader="dot" w:pos="9062"/>
        </w:tabs>
        <w:ind w:left="993" w:hanging="993"/>
        <w:rPr>
          <w:rFonts w:ascii="Times New Roman" w:eastAsiaTheme="minorEastAsia" w:hAnsi="Times New Roman" w:cs="Times New Roman"/>
          <w:b w:val="0"/>
          <w:bCs w:val="0"/>
          <w:smallCaps w:val="0"/>
          <w:noProof/>
          <w:color w:val="auto"/>
          <w:sz w:val="24"/>
          <w:lang w:eastAsia="hr-HR"/>
        </w:rPr>
      </w:pPr>
      <w:hyperlink w:anchor="_Toc64460713" w:history="1">
        <w:r w:rsidR="00BE2CA3" w:rsidRPr="006C6566">
          <w:rPr>
            <w:rStyle w:val="Hiperveza"/>
            <w:rFonts w:ascii="Times New Roman" w:hAnsi="Times New Roman" w:cs="Times New Roman"/>
            <w:noProof/>
            <w:sz w:val="24"/>
          </w:rPr>
          <w:t>3.4</w:t>
        </w:r>
        <w:r w:rsidR="00BE2CA3" w:rsidRPr="006C6566">
          <w:rPr>
            <w:rFonts w:ascii="Times New Roman" w:eastAsiaTheme="minorEastAsia" w:hAnsi="Times New Roman" w:cs="Times New Roman"/>
            <w:b w:val="0"/>
            <w:bCs w:val="0"/>
            <w:smallCaps w:val="0"/>
            <w:noProof/>
            <w:color w:val="auto"/>
            <w:sz w:val="24"/>
            <w:lang w:eastAsia="hr-HR"/>
          </w:rPr>
          <w:tab/>
        </w:r>
        <w:r w:rsidR="00BE2CA3" w:rsidRPr="006C6566">
          <w:rPr>
            <w:rStyle w:val="Hiperveza"/>
            <w:rFonts w:ascii="Times New Roman" w:hAnsi="Times New Roman" w:cs="Times New Roman"/>
            <w:noProof/>
            <w:sz w:val="24"/>
          </w:rPr>
          <w:t>Procjena i inventar nenamjerne proizvodnje i ispuštanja kemikalija</w:t>
        </w:r>
        <w:r w:rsidR="00BE2CA3" w:rsidRPr="006C6566">
          <w:rPr>
            <w:rFonts w:ascii="Times New Roman" w:hAnsi="Times New Roman" w:cs="Times New Roman"/>
            <w:noProof/>
            <w:webHidden/>
            <w:sz w:val="24"/>
          </w:rPr>
          <w:tab/>
        </w:r>
        <w:r w:rsidR="00BE2CA3" w:rsidRPr="006C6566">
          <w:rPr>
            <w:rFonts w:ascii="Times New Roman" w:hAnsi="Times New Roman" w:cs="Times New Roman"/>
            <w:noProof/>
            <w:webHidden/>
            <w:sz w:val="24"/>
          </w:rPr>
          <w:fldChar w:fldCharType="begin"/>
        </w:r>
        <w:r w:rsidR="00BE2CA3" w:rsidRPr="006C6566">
          <w:rPr>
            <w:rFonts w:ascii="Times New Roman" w:hAnsi="Times New Roman" w:cs="Times New Roman"/>
            <w:noProof/>
            <w:webHidden/>
            <w:sz w:val="24"/>
          </w:rPr>
          <w:instrText xml:space="preserve"> PAGEREF _Toc64460713 \h </w:instrText>
        </w:r>
        <w:r w:rsidR="00BE2CA3" w:rsidRPr="006C6566">
          <w:rPr>
            <w:rFonts w:ascii="Times New Roman" w:hAnsi="Times New Roman" w:cs="Times New Roman"/>
            <w:noProof/>
            <w:webHidden/>
            <w:sz w:val="24"/>
          </w:rPr>
        </w:r>
        <w:r w:rsidR="00BE2CA3" w:rsidRPr="006C6566">
          <w:rPr>
            <w:rFonts w:ascii="Times New Roman" w:hAnsi="Times New Roman" w:cs="Times New Roman"/>
            <w:noProof/>
            <w:webHidden/>
            <w:sz w:val="24"/>
          </w:rPr>
          <w:fldChar w:fldCharType="separate"/>
        </w:r>
        <w:r w:rsidR="004C449C">
          <w:rPr>
            <w:rFonts w:ascii="Times New Roman" w:hAnsi="Times New Roman" w:cs="Times New Roman"/>
            <w:noProof/>
            <w:webHidden/>
            <w:sz w:val="24"/>
          </w:rPr>
          <w:t>50</w:t>
        </w:r>
        <w:r w:rsidR="00BE2CA3" w:rsidRPr="006C6566">
          <w:rPr>
            <w:rFonts w:ascii="Times New Roman" w:hAnsi="Times New Roman" w:cs="Times New Roman"/>
            <w:noProof/>
            <w:webHidden/>
            <w:sz w:val="24"/>
          </w:rPr>
          <w:fldChar w:fldCharType="end"/>
        </w:r>
      </w:hyperlink>
    </w:p>
    <w:p w14:paraId="3C471A2B" w14:textId="68BB1A54" w:rsidR="00BE2CA3" w:rsidRPr="006C6566" w:rsidRDefault="00EB1E23" w:rsidP="006C6566">
      <w:pPr>
        <w:pStyle w:val="Sadraj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714" w:history="1">
        <w:r w:rsidR="00BE2CA3" w:rsidRPr="006C6566">
          <w:rPr>
            <w:rStyle w:val="Hiperveza"/>
            <w:rFonts w:ascii="Times New Roman" w:hAnsi="Times New Roman" w:cs="Times New Roman"/>
            <w:noProof/>
            <w:sz w:val="24"/>
            <w:lang w:bidi="en-US"/>
          </w:rPr>
          <w:t>3.4.1</w:t>
        </w:r>
        <w:r w:rsidR="00BE2CA3" w:rsidRPr="006C6566">
          <w:rPr>
            <w:rFonts w:ascii="Times New Roman" w:eastAsiaTheme="minorEastAsia" w:hAnsi="Times New Roman" w:cs="Times New Roman"/>
            <w:smallCaps w:val="0"/>
            <w:noProof/>
            <w:color w:val="auto"/>
            <w:sz w:val="24"/>
            <w:lang w:eastAsia="hr-HR"/>
          </w:rPr>
          <w:tab/>
        </w:r>
        <w:r w:rsidR="00BE2CA3" w:rsidRPr="006C6566">
          <w:rPr>
            <w:rStyle w:val="Hiperveza"/>
            <w:rFonts w:ascii="Times New Roman" w:hAnsi="Times New Roman" w:cs="Times New Roman"/>
            <w:noProof/>
            <w:sz w:val="24"/>
            <w:lang w:bidi="en-US"/>
          </w:rPr>
          <w:t>DOSADAŠNJA I PLANIRANA PRAĆENJA EMISIJA NENAMJERNO PROIZVEDENIH/ISPUŠTENIH POPS-OVA IZ DODATKA C, PCDD/PCDF-A U OKOLIŠ U REPUBLICI HRVATSKOJ</w:t>
        </w:r>
        <w:r w:rsidR="00BE2CA3" w:rsidRPr="006C6566">
          <w:rPr>
            <w:rFonts w:ascii="Times New Roman" w:hAnsi="Times New Roman" w:cs="Times New Roman"/>
            <w:noProof/>
            <w:webHidden/>
            <w:sz w:val="24"/>
          </w:rPr>
          <w:tab/>
        </w:r>
        <w:r w:rsidR="00BE2CA3" w:rsidRPr="006C6566">
          <w:rPr>
            <w:rFonts w:ascii="Times New Roman" w:hAnsi="Times New Roman" w:cs="Times New Roman"/>
            <w:noProof/>
            <w:webHidden/>
            <w:sz w:val="24"/>
          </w:rPr>
          <w:fldChar w:fldCharType="begin"/>
        </w:r>
        <w:r w:rsidR="00BE2CA3" w:rsidRPr="006C6566">
          <w:rPr>
            <w:rFonts w:ascii="Times New Roman" w:hAnsi="Times New Roman" w:cs="Times New Roman"/>
            <w:noProof/>
            <w:webHidden/>
            <w:sz w:val="24"/>
          </w:rPr>
          <w:instrText xml:space="preserve"> PAGEREF _Toc64460714 \h </w:instrText>
        </w:r>
        <w:r w:rsidR="00BE2CA3" w:rsidRPr="006C6566">
          <w:rPr>
            <w:rFonts w:ascii="Times New Roman" w:hAnsi="Times New Roman" w:cs="Times New Roman"/>
            <w:noProof/>
            <w:webHidden/>
            <w:sz w:val="24"/>
          </w:rPr>
        </w:r>
        <w:r w:rsidR="00BE2CA3" w:rsidRPr="006C6566">
          <w:rPr>
            <w:rFonts w:ascii="Times New Roman" w:hAnsi="Times New Roman" w:cs="Times New Roman"/>
            <w:noProof/>
            <w:webHidden/>
            <w:sz w:val="24"/>
          </w:rPr>
          <w:fldChar w:fldCharType="separate"/>
        </w:r>
        <w:r w:rsidR="004C449C">
          <w:rPr>
            <w:rFonts w:ascii="Times New Roman" w:hAnsi="Times New Roman" w:cs="Times New Roman"/>
            <w:noProof/>
            <w:webHidden/>
            <w:sz w:val="24"/>
          </w:rPr>
          <w:t>51</w:t>
        </w:r>
        <w:r w:rsidR="00BE2CA3" w:rsidRPr="006C6566">
          <w:rPr>
            <w:rFonts w:ascii="Times New Roman" w:hAnsi="Times New Roman" w:cs="Times New Roman"/>
            <w:noProof/>
            <w:webHidden/>
            <w:sz w:val="24"/>
          </w:rPr>
          <w:fldChar w:fldCharType="end"/>
        </w:r>
      </w:hyperlink>
    </w:p>
    <w:p w14:paraId="0EC3BCDD" w14:textId="543BBFDC" w:rsidR="00BE2CA3" w:rsidRPr="006C6566" w:rsidRDefault="00EB1E23" w:rsidP="006C6566">
      <w:pPr>
        <w:pStyle w:val="Sadraj4"/>
        <w:rPr>
          <w:rFonts w:eastAsiaTheme="minorEastAsia"/>
          <w:color w:val="auto"/>
          <w:sz w:val="24"/>
          <w:szCs w:val="24"/>
          <w:lang w:eastAsia="hr-HR" w:bidi="ar-SA"/>
        </w:rPr>
      </w:pPr>
      <w:hyperlink w:anchor="_Toc64460715" w:history="1">
        <w:r w:rsidR="00BE2CA3" w:rsidRPr="006C6566">
          <w:rPr>
            <w:rStyle w:val="Hiperveza"/>
            <w:rFonts w:ascii="Times New Roman" w:hAnsi="Times New Roman"/>
            <w:sz w:val="24"/>
            <w:szCs w:val="24"/>
          </w:rPr>
          <w:t>3.4.1.1</w:t>
        </w:r>
        <w:r w:rsidR="00BE2CA3" w:rsidRPr="006C6566">
          <w:rPr>
            <w:rFonts w:eastAsiaTheme="minorEastAsia"/>
            <w:color w:val="auto"/>
            <w:sz w:val="24"/>
            <w:szCs w:val="24"/>
            <w:lang w:eastAsia="hr-HR" w:bidi="ar-SA"/>
          </w:rPr>
          <w:tab/>
        </w:r>
        <w:r w:rsidR="006C6566">
          <w:rPr>
            <w:rFonts w:eastAsiaTheme="minorEastAsia"/>
            <w:color w:val="auto"/>
            <w:sz w:val="24"/>
            <w:szCs w:val="24"/>
            <w:lang w:eastAsia="hr-HR" w:bidi="ar-SA"/>
          </w:rPr>
          <w:tab/>
        </w:r>
        <w:r w:rsidR="00BE2CA3" w:rsidRPr="006C6566">
          <w:rPr>
            <w:rStyle w:val="Hiperveza"/>
            <w:rFonts w:ascii="Times New Roman" w:hAnsi="Times New Roman"/>
            <w:sz w:val="24"/>
            <w:szCs w:val="24"/>
          </w:rPr>
          <w:t>Praćenje emisija POPs-ova sukladno obvezama LRTAP Konvencije i pripadajućih protokola</w:t>
        </w:r>
        <w:r w:rsidR="00BE2CA3" w:rsidRPr="006C6566">
          <w:rPr>
            <w:webHidden/>
            <w:sz w:val="24"/>
            <w:szCs w:val="24"/>
          </w:rPr>
          <w:tab/>
        </w:r>
        <w:r w:rsidR="00BE2CA3" w:rsidRPr="006C6566">
          <w:rPr>
            <w:webHidden/>
            <w:sz w:val="24"/>
            <w:szCs w:val="24"/>
          </w:rPr>
          <w:fldChar w:fldCharType="begin"/>
        </w:r>
        <w:r w:rsidR="00BE2CA3" w:rsidRPr="006C6566">
          <w:rPr>
            <w:webHidden/>
            <w:sz w:val="24"/>
            <w:szCs w:val="24"/>
          </w:rPr>
          <w:instrText xml:space="preserve"> PAGEREF _Toc64460715 \h </w:instrText>
        </w:r>
        <w:r w:rsidR="00BE2CA3" w:rsidRPr="006C6566">
          <w:rPr>
            <w:webHidden/>
            <w:sz w:val="24"/>
            <w:szCs w:val="24"/>
          </w:rPr>
        </w:r>
        <w:r w:rsidR="00BE2CA3" w:rsidRPr="006C6566">
          <w:rPr>
            <w:webHidden/>
            <w:sz w:val="24"/>
            <w:szCs w:val="24"/>
          </w:rPr>
          <w:fldChar w:fldCharType="separate"/>
        </w:r>
        <w:r w:rsidR="004C449C">
          <w:rPr>
            <w:webHidden/>
            <w:sz w:val="24"/>
            <w:szCs w:val="24"/>
          </w:rPr>
          <w:t>51</w:t>
        </w:r>
        <w:r w:rsidR="00BE2CA3" w:rsidRPr="006C6566">
          <w:rPr>
            <w:webHidden/>
            <w:sz w:val="24"/>
            <w:szCs w:val="24"/>
          </w:rPr>
          <w:fldChar w:fldCharType="end"/>
        </w:r>
      </w:hyperlink>
    </w:p>
    <w:p w14:paraId="06312A94" w14:textId="2E65ABB0" w:rsidR="00BE2CA3" w:rsidRPr="006C6566" w:rsidRDefault="00EB1E23" w:rsidP="006C6566">
      <w:pPr>
        <w:pStyle w:val="Sadraj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716" w:history="1">
        <w:r w:rsidR="00BE2CA3" w:rsidRPr="006C6566">
          <w:rPr>
            <w:rStyle w:val="Hiperveza"/>
            <w:rFonts w:ascii="Times New Roman" w:hAnsi="Times New Roman" w:cs="Times New Roman"/>
            <w:noProof/>
            <w:sz w:val="24"/>
            <w:lang w:bidi="en-US"/>
          </w:rPr>
          <w:t>3.4.2</w:t>
        </w:r>
        <w:r w:rsidR="00BE2CA3" w:rsidRPr="006C6566">
          <w:rPr>
            <w:rFonts w:ascii="Times New Roman" w:eastAsiaTheme="minorEastAsia" w:hAnsi="Times New Roman" w:cs="Times New Roman"/>
            <w:smallCaps w:val="0"/>
            <w:noProof/>
            <w:color w:val="auto"/>
            <w:sz w:val="24"/>
            <w:lang w:eastAsia="hr-HR"/>
          </w:rPr>
          <w:tab/>
        </w:r>
        <w:r w:rsidR="00BE2CA3" w:rsidRPr="006C6566">
          <w:rPr>
            <w:rStyle w:val="Hiperveza"/>
            <w:rFonts w:ascii="Times New Roman" w:hAnsi="Times New Roman" w:cs="Times New Roman"/>
            <w:noProof/>
            <w:sz w:val="24"/>
            <w:lang w:bidi="en-US"/>
          </w:rPr>
          <w:t>UNEP metodologija korištenja za proračun emisija PCDD/PCDF-a prema obvezama Stockholmske konvencije</w:t>
        </w:r>
        <w:r w:rsidR="00BE2CA3" w:rsidRPr="006C6566">
          <w:rPr>
            <w:rFonts w:ascii="Times New Roman" w:hAnsi="Times New Roman" w:cs="Times New Roman"/>
            <w:noProof/>
            <w:webHidden/>
            <w:sz w:val="24"/>
          </w:rPr>
          <w:tab/>
        </w:r>
        <w:r w:rsidR="00BE2CA3" w:rsidRPr="006C6566">
          <w:rPr>
            <w:rFonts w:ascii="Times New Roman" w:hAnsi="Times New Roman" w:cs="Times New Roman"/>
            <w:noProof/>
            <w:webHidden/>
            <w:sz w:val="24"/>
          </w:rPr>
          <w:fldChar w:fldCharType="begin"/>
        </w:r>
        <w:r w:rsidR="00BE2CA3" w:rsidRPr="006C6566">
          <w:rPr>
            <w:rFonts w:ascii="Times New Roman" w:hAnsi="Times New Roman" w:cs="Times New Roman"/>
            <w:noProof/>
            <w:webHidden/>
            <w:sz w:val="24"/>
          </w:rPr>
          <w:instrText xml:space="preserve"> PAGEREF _Toc64460716 \h </w:instrText>
        </w:r>
        <w:r w:rsidR="00BE2CA3" w:rsidRPr="006C6566">
          <w:rPr>
            <w:rFonts w:ascii="Times New Roman" w:hAnsi="Times New Roman" w:cs="Times New Roman"/>
            <w:noProof/>
            <w:webHidden/>
            <w:sz w:val="24"/>
          </w:rPr>
        </w:r>
        <w:r w:rsidR="00BE2CA3" w:rsidRPr="006C6566">
          <w:rPr>
            <w:rFonts w:ascii="Times New Roman" w:hAnsi="Times New Roman" w:cs="Times New Roman"/>
            <w:noProof/>
            <w:webHidden/>
            <w:sz w:val="24"/>
          </w:rPr>
          <w:fldChar w:fldCharType="separate"/>
        </w:r>
        <w:r w:rsidR="004C449C">
          <w:rPr>
            <w:rFonts w:ascii="Times New Roman" w:hAnsi="Times New Roman" w:cs="Times New Roman"/>
            <w:noProof/>
            <w:webHidden/>
            <w:sz w:val="24"/>
          </w:rPr>
          <w:t>52</w:t>
        </w:r>
        <w:r w:rsidR="00BE2CA3" w:rsidRPr="006C6566">
          <w:rPr>
            <w:rFonts w:ascii="Times New Roman" w:hAnsi="Times New Roman" w:cs="Times New Roman"/>
            <w:noProof/>
            <w:webHidden/>
            <w:sz w:val="24"/>
          </w:rPr>
          <w:fldChar w:fldCharType="end"/>
        </w:r>
      </w:hyperlink>
    </w:p>
    <w:p w14:paraId="273B1D66" w14:textId="0664E9E0" w:rsidR="00BE2CA3" w:rsidRPr="006C6566" w:rsidRDefault="00EB1E23" w:rsidP="006C6566">
      <w:pPr>
        <w:pStyle w:val="Sadraj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717" w:history="1">
        <w:r w:rsidR="00BE2CA3" w:rsidRPr="006C6566">
          <w:rPr>
            <w:rStyle w:val="Hiperveza"/>
            <w:rFonts w:ascii="Times New Roman" w:hAnsi="Times New Roman" w:cs="Times New Roman"/>
            <w:noProof/>
            <w:sz w:val="24"/>
            <w:lang w:bidi="en-US"/>
          </w:rPr>
          <w:t>3.4.3</w:t>
        </w:r>
        <w:r w:rsidR="00BE2CA3" w:rsidRPr="006C6566">
          <w:rPr>
            <w:rFonts w:ascii="Times New Roman" w:eastAsiaTheme="minorEastAsia" w:hAnsi="Times New Roman" w:cs="Times New Roman"/>
            <w:smallCaps w:val="0"/>
            <w:noProof/>
            <w:color w:val="auto"/>
            <w:sz w:val="24"/>
            <w:lang w:eastAsia="hr-HR"/>
          </w:rPr>
          <w:tab/>
        </w:r>
        <w:r w:rsidR="00BE2CA3" w:rsidRPr="006C6566">
          <w:rPr>
            <w:rStyle w:val="Hiperveza"/>
            <w:rFonts w:ascii="Times New Roman" w:hAnsi="Times New Roman" w:cs="Times New Roman"/>
            <w:noProof/>
            <w:sz w:val="24"/>
            <w:lang w:bidi="en-US"/>
          </w:rPr>
          <w:t>Početne procjene ispuštanja i ažuriranja PCDD/PCDF-a</w:t>
        </w:r>
        <w:r w:rsidR="00BE2CA3" w:rsidRPr="006C6566">
          <w:rPr>
            <w:rFonts w:ascii="Times New Roman" w:hAnsi="Times New Roman" w:cs="Times New Roman"/>
            <w:noProof/>
            <w:webHidden/>
            <w:sz w:val="24"/>
          </w:rPr>
          <w:tab/>
        </w:r>
        <w:r w:rsidR="00BE2CA3" w:rsidRPr="006C6566">
          <w:rPr>
            <w:rFonts w:ascii="Times New Roman" w:hAnsi="Times New Roman" w:cs="Times New Roman"/>
            <w:noProof/>
            <w:webHidden/>
            <w:sz w:val="24"/>
          </w:rPr>
          <w:fldChar w:fldCharType="begin"/>
        </w:r>
        <w:r w:rsidR="00BE2CA3" w:rsidRPr="006C6566">
          <w:rPr>
            <w:rFonts w:ascii="Times New Roman" w:hAnsi="Times New Roman" w:cs="Times New Roman"/>
            <w:noProof/>
            <w:webHidden/>
            <w:sz w:val="24"/>
          </w:rPr>
          <w:instrText xml:space="preserve"> PAGEREF _Toc64460717 \h </w:instrText>
        </w:r>
        <w:r w:rsidR="00BE2CA3" w:rsidRPr="006C6566">
          <w:rPr>
            <w:rFonts w:ascii="Times New Roman" w:hAnsi="Times New Roman" w:cs="Times New Roman"/>
            <w:noProof/>
            <w:webHidden/>
            <w:sz w:val="24"/>
          </w:rPr>
        </w:r>
        <w:r w:rsidR="00BE2CA3" w:rsidRPr="006C6566">
          <w:rPr>
            <w:rFonts w:ascii="Times New Roman" w:hAnsi="Times New Roman" w:cs="Times New Roman"/>
            <w:noProof/>
            <w:webHidden/>
            <w:sz w:val="24"/>
          </w:rPr>
          <w:fldChar w:fldCharType="separate"/>
        </w:r>
        <w:r w:rsidR="004C449C">
          <w:rPr>
            <w:rFonts w:ascii="Times New Roman" w:hAnsi="Times New Roman" w:cs="Times New Roman"/>
            <w:noProof/>
            <w:webHidden/>
            <w:sz w:val="24"/>
          </w:rPr>
          <w:t>53</w:t>
        </w:r>
        <w:r w:rsidR="00BE2CA3" w:rsidRPr="006C6566">
          <w:rPr>
            <w:rFonts w:ascii="Times New Roman" w:hAnsi="Times New Roman" w:cs="Times New Roman"/>
            <w:noProof/>
            <w:webHidden/>
            <w:sz w:val="24"/>
          </w:rPr>
          <w:fldChar w:fldCharType="end"/>
        </w:r>
      </w:hyperlink>
    </w:p>
    <w:p w14:paraId="21E39D49" w14:textId="1A9AD2D5" w:rsidR="00BE2CA3" w:rsidRPr="006C6566" w:rsidRDefault="00EB1E23" w:rsidP="006C6566">
      <w:pPr>
        <w:pStyle w:val="Sadraj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718" w:history="1">
        <w:r w:rsidR="00BE2CA3" w:rsidRPr="006C6566">
          <w:rPr>
            <w:rStyle w:val="Hiperveza"/>
            <w:rFonts w:ascii="Times New Roman" w:hAnsi="Times New Roman" w:cs="Times New Roman"/>
            <w:noProof/>
            <w:sz w:val="24"/>
            <w:lang w:bidi="en-US"/>
          </w:rPr>
          <w:t>3.4.4</w:t>
        </w:r>
        <w:r w:rsidR="00BE2CA3" w:rsidRPr="006C6566">
          <w:rPr>
            <w:rFonts w:ascii="Times New Roman" w:eastAsiaTheme="minorEastAsia" w:hAnsi="Times New Roman" w:cs="Times New Roman"/>
            <w:smallCaps w:val="0"/>
            <w:noProof/>
            <w:color w:val="auto"/>
            <w:sz w:val="24"/>
            <w:lang w:eastAsia="hr-HR"/>
          </w:rPr>
          <w:tab/>
        </w:r>
        <w:r w:rsidR="00BE2CA3" w:rsidRPr="006C6566">
          <w:rPr>
            <w:rStyle w:val="Hiperveza"/>
            <w:rFonts w:ascii="Times New Roman" w:hAnsi="Times New Roman" w:cs="Times New Roman"/>
            <w:noProof/>
            <w:sz w:val="24"/>
            <w:lang w:bidi="en-US"/>
          </w:rPr>
          <w:t>Pregled trenda ispuštanja u okoliš</w:t>
        </w:r>
        <w:r w:rsidR="00BE2CA3" w:rsidRPr="006C6566">
          <w:rPr>
            <w:rFonts w:ascii="Times New Roman" w:hAnsi="Times New Roman" w:cs="Times New Roman"/>
            <w:noProof/>
            <w:webHidden/>
            <w:sz w:val="24"/>
          </w:rPr>
          <w:tab/>
        </w:r>
        <w:r w:rsidR="00BE2CA3" w:rsidRPr="006C6566">
          <w:rPr>
            <w:rFonts w:ascii="Times New Roman" w:hAnsi="Times New Roman" w:cs="Times New Roman"/>
            <w:noProof/>
            <w:webHidden/>
            <w:sz w:val="24"/>
          </w:rPr>
          <w:fldChar w:fldCharType="begin"/>
        </w:r>
        <w:r w:rsidR="00BE2CA3" w:rsidRPr="006C6566">
          <w:rPr>
            <w:rFonts w:ascii="Times New Roman" w:hAnsi="Times New Roman" w:cs="Times New Roman"/>
            <w:noProof/>
            <w:webHidden/>
            <w:sz w:val="24"/>
          </w:rPr>
          <w:instrText xml:space="preserve"> PAGEREF _Toc64460718 \h </w:instrText>
        </w:r>
        <w:r w:rsidR="00BE2CA3" w:rsidRPr="006C6566">
          <w:rPr>
            <w:rFonts w:ascii="Times New Roman" w:hAnsi="Times New Roman" w:cs="Times New Roman"/>
            <w:noProof/>
            <w:webHidden/>
            <w:sz w:val="24"/>
          </w:rPr>
        </w:r>
        <w:r w:rsidR="00BE2CA3" w:rsidRPr="006C6566">
          <w:rPr>
            <w:rFonts w:ascii="Times New Roman" w:hAnsi="Times New Roman" w:cs="Times New Roman"/>
            <w:noProof/>
            <w:webHidden/>
            <w:sz w:val="24"/>
          </w:rPr>
          <w:fldChar w:fldCharType="separate"/>
        </w:r>
        <w:r w:rsidR="004C449C">
          <w:rPr>
            <w:rFonts w:ascii="Times New Roman" w:hAnsi="Times New Roman" w:cs="Times New Roman"/>
            <w:noProof/>
            <w:webHidden/>
            <w:sz w:val="24"/>
          </w:rPr>
          <w:t>54</w:t>
        </w:r>
        <w:r w:rsidR="00BE2CA3" w:rsidRPr="006C6566">
          <w:rPr>
            <w:rFonts w:ascii="Times New Roman" w:hAnsi="Times New Roman" w:cs="Times New Roman"/>
            <w:noProof/>
            <w:webHidden/>
            <w:sz w:val="24"/>
          </w:rPr>
          <w:fldChar w:fldCharType="end"/>
        </w:r>
      </w:hyperlink>
    </w:p>
    <w:p w14:paraId="3415BB15" w14:textId="4927F9B0" w:rsidR="00BE2CA3" w:rsidRPr="006C6566" w:rsidRDefault="00EB1E23" w:rsidP="006C6566">
      <w:pPr>
        <w:pStyle w:val="Sadraj4"/>
        <w:rPr>
          <w:rFonts w:eastAsiaTheme="minorEastAsia"/>
          <w:color w:val="auto"/>
          <w:sz w:val="24"/>
          <w:szCs w:val="24"/>
          <w:lang w:eastAsia="hr-HR" w:bidi="ar-SA"/>
        </w:rPr>
      </w:pPr>
      <w:hyperlink w:anchor="_Toc64460719" w:history="1">
        <w:r w:rsidR="00BE2CA3" w:rsidRPr="006C6566">
          <w:rPr>
            <w:rStyle w:val="Hiperveza"/>
            <w:rFonts w:ascii="Times New Roman" w:hAnsi="Times New Roman"/>
            <w:sz w:val="24"/>
            <w:szCs w:val="24"/>
          </w:rPr>
          <w:t>3.4.4.1</w:t>
        </w:r>
        <w:r w:rsidR="00BE2CA3" w:rsidRPr="006C6566">
          <w:rPr>
            <w:rFonts w:eastAsiaTheme="minorEastAsia"/>
            <w:color w:val="auto"/>
            <w:sz w:val="24"/>
            <w:szCs w:val="24"/>
            <w:lang w:eastAsia="hr-HR" w:bidi="ar-SA"/>
          </w:rPr>
          <w:tab/>
        </w:r>
        <w:r w:rsidR="006C6566">
          <w:rPr>
            <w:rFonts w:eastAsiaTheme="minorEastAsia"/>
            <w:color w:val="auto"/>
            <w:sz w:val="24"/>
            <w:szCs w:val="24"/>
            <w:lang w:eastAsia="hr-HR" w:bidi="ar-SA"/>
          </w:rPr>
          <w:tab/>
        </w:r>
        <w:r w:rsidR="00BE2CA3" w:rsidRPr="006C6566">
          <w:rPr>
            <w:rStyle w:val="Hiperveza"/>
            <w:rFonts w:ascii="Times New Roman" w:hAnsi="Times New Roman"/>
            <w:sz w:val="24"/>
            <w:szCs w:val="24"/>
          </w:rPr>
          <w:t>ISZO - Informacijski sustav zaštite okoliša</w:t>
        </w:r>
        <w:r w:rsidR="00BE2CA3" w:rsidRPr="006C6566">
          <w:rPr>
            <w:webHidden/>
            <w:sz w:val="24"/>
            <w:szCs w:val="24"/>
          </w:rPr>
          <w:tab/>
        </w:r>
        <w:r w:rsidR="00BE2CA3" w:rsidRPr="006C6566">
          <w:rPr>
            <w:webHidden/>
            <w:sz w:val="24"/>
            <w:szCs w:val="24"/>
          </w:rPr>
          <w:fldChar w:fldCharType="begin"/>
        </w:r>
        <w:r w:rsidR="00BE2CA3" w:rsidRPr="006C6566">
          <w:rPr>
            <w:webHidden/>
            <w:sz w:val="24"/>
            <w:szCs w:val="24"/>
          </w:rPr>
          <w:instrText xml:space="preserve"> PAGEREF _Toc64460719 \h </w:instrText>
        </w:r>
        <w:r w:rsidR="00BE2CA3" w:rsidRPr="006C6566">
          <w:rPr>
            <w:webHidden/>
            <w:sz w:val="24"/>
            <w:szCs w:val="24"/>
          </w:rPr>
        </w:r>
        <w:r w:rsidR="00BE2CA3" w:rsidRPr="006C6566">
          <w:rPr>
            <w:webHidden/>
            <w:sz w:val="24"/>
            <w:szCs w:val="24"/>
          </w:rPr>
          <w:fldChar w:fldCharType="separate"/>
        </w:r>
        <w:r w:rsidR="004C449C">
          <w:rPr>
            <w:webHidden/>
            <w:sz w:val="24"/>
            <w:szCs w:val="24"/>
          </w:rPr>
          <w:t>57</w:t>
        </w:r>
        <w:r w:rsidR="00BE2CA3" w:rsidRPr="006C6566">
          <w:rPr>
            <w:webHidden/>
            <w:sz w:val="24"/>
            <w:szCs w:val="24"/>
          </w:rPr>
          <w:fldChar w:fldCharType="end"/>
        </w:r>
      </w:hyperlink>
    </w:p>
    <w:p w14:paraId="40B6EBFF" w14:textId="40435E5E" w:rsidR="00BE2CA3" w:rsidRPr="006C6566" w:rsidRDefault="00EB1E23" w:rsidP="006C6566">
      <w:pPr>
        <w:pStyle w:val="Sadraj2"/>
        <w:tabs>
          <w:tab w:val="left" w:pos="993"/>
          <w:tab w:val="right" w:leader="dot" w:pos="9062"/>
        </w:tabs>
        <w:ind w:left="993" w:hanging="993"/>
        <w:rPr>
          <w:rFonts w:ascii="Times New Roman" w:eastAsiaTheme="minorEastAsia" w:hAnsi="Times New Roman" w:cs="Times New Roman"/>
          <w:b w:val="0"/>
          <w:bCs w:val="0"/>
          <w:smallCaps w:val="0"/>
          <w:noProof/>
          <w:color w:val="auto"/>
          <w:sz w:val="24"/>
          <w:lang w:eastAsia="hr-HR"/>
        </w:rPr>
      </w:pPr>
      <w:hyperlink w:anchor="_Toc64460720" w:history="1">
        <w:r w:rsidR="00BE2CA3" w:rsidRPr="006C6566">
          <w:rPr>
            <w:rStyle w:val="Hiperveza"/>
            <w:rFonts w:ascii="Times New Roman" w:hAnsi="Times New Roman" w:cs="Times New Roman"/>
            <w:noProof/>
            <w:sz w:val="24"/>
          </w:rPr>
          <w:t>3.5</w:t>
        </w:r>
        <w:r w:rsidR="00BE2CA3" w:rsidRPr="006C6566">
          <w:rPr>
            <w:rFonts w:ascii="Times New Roman" w:eastAsiaTheme="minorEastAsia" w:hAnsi="Times New Roman" w:cs="Times New Roman"/>
            <w:b w:val="0"/>
            <w:bCs w:val="0"/>
            <w:smallCaps w:val="0"/>
            <w:noProof/>
            <w:color w:val="auto"/>
            <w:sz w:val="24"/>
            <w:lang w:eastAsia="hr-HR"/>
          </w:rPr>
          <w:tab/>
        </w:r>
        <w:r w:rsidR="00BE2CA3" w:rsidRPr="006C6566">
          <w:rPr>
            <w:rStyle w:val="Hiperveza"/>
            <w:rFonts w:ascii="Times New Roman" w:hAnsi="Times New Roman" w:cs="Times New Roman"/>
            <w:noProof/>
            <w:sz w:val="24"/>
          </w:rPr>
          <w:t>Informacije o zalihama, kontaminiranim lokacijama i otpadu</w:t>
        </w:r>
        <w:r w:rsidR="00BE2CA3" w:rsidRPr="006C6566">
          <w:rPr>
            <w:rFonts w:ascii="Times New Roman" w:hAnsi="Times New Roman" w:cs="Times New Roman"/>
            <w:noProof/>
            <w:webHidden/>
            <w:sz w:val="24"/>
          </w:rPr>
          <w:tab/>
        </w:r>
        <w:r w:rsidR="00BE2CA3" w:rsidRPr="006C6566">
          <w:rPr>
            <w:rFonts w:ascii="Times New Roman" w:hAnsi="Times New Roman" w:cs="Times New Roman"/>
            <w:noProof/>
            <w:webHidden/>
            <w:sz w:val="24"/>
          </w:rPr>
          <w:fldChar w:fldCharType="begin"/>
        </w:r>
        <w:r w:rsidR="00BE2CA3" w:rsidRPr="006C6566">
          <w:rPr>
            <w:rFonts w:ascii="Times New Roman" w:hAnsi="Times New Roman" w:cs="Times New Roman"/>
            <w:noProof/>
            <w:webHidden/>
            <w:sz w:val="24"/>
          </w:rPr>
          <w:instrText xml:space="preserve"> PAGEREF _Toc64460720 \h </w:instrText>
        </w:r>
        <w:r w:rsidR="00BE2CA3" w:rsidRPr="006C6566">
          <w:rPr>
            <w:rFonts w:ascii="Times New Roman" w:hAnsi="Times New Roman" w:cs="Times New Roman"/>
            <w:noProof/>
            <w:webHidden/>
            <w:sz w:val="24"/>
          </w:rPr>
        </w:r>
        <w:r w:rsidR="00BE2CA3" w:rsidRPr="006C6566">
          <w:rPr>
            <w:rFonts w:ascii="Times New Roman" w:hAnsi="Times New Roman" w:cs="Times New Roman"/>
            <w:noProof/>
            <w:webHidden/>
            <w:sz w:val="24"/>
          </w:rPr>
          <w:fldChar w:fldCharType="separate"/>
        </w:r>
        <w:r w:rsidR="004C449C">
          <w:rPr>
            <w:rFonts w:ascii="Times New Roman" w:hAnsi="Times New Roman" w:cs="Times New Roman"/>
            <w:noProof/>
            <w:webHidden/>
            <w:sz w:val="24"/>
          </w:rPr>
          <w:t>58</w:t>
        </w:r>
        <w:r w:rsidR="00BE2CA3" w:rsidRPr="006C6566">
          <w:rPr>
            <w:rFonts w:ascii="Times New Roman" w:hAnsi="Times New Roman" w:cs="Times New Roman"/>
            <w:noProof/>
            <w:webHidden/>
            <w:sz w:val="24"/>
          </w:rPr>
          <w:fldChar w:fldCharType="end"/>
        </w:r>
      </w:hyperlink>
    </w:p>
    <w:p w14:paraId="44886789" w14:textId="6AD6A1C9" w:rsidR="00BE2CA3" w:rsidRPr="006C6566" w:rsidRDefault="00EB1E23" w:rsidP="006C6566">
      <w:pPr>
        <w:pStyle w:val="Sadraj2"/>
        <w:tabs>
          <w:tab w:val="left" w:pos="993"/>
          <w:tab w:val="right" w:leader="dot" w:pos="9062"/>
        </w:tabs>
        <w:ind w:left="993" w:hanging="993"/>
        <w:rPr>
          <w:rFonts w:ascii="Times New Roman" w:eastAsiaTheme="minorEastAsia" w:hAnsi="Times New Roman" w:cs="Times New Roman"/>
          <w:b w:val="0"/>
          <w:bCs w:val="0"/>
          <w:smallCaps w:val="0"/>
          <w:noProof/>
          <w:color w:val="auto"/>
          <w:sz w:val="24"/>
          <w:lang w:eastAsia="hr-HR"/>
        </w:rPr>
      </w:pPr>
      <w:hyperlink w:anchor="_Toc64460721" w:history="1">
        <w:r w:rsidR="00BE2CA3" w:rsidRPr="006C6566">
          <w:rPr>
            <w:rStyle w:val="Hiperveza"/>
            <w:rFonts w:ascii="Times New Roman" w:hAnsi="Times New Roman" w:cs="Times New Roman"/>
            <w:noProof/>
            <w:sz w:val="24"/>
          </w:rPr>
          <w:t>3.6</w:t>
        </w:r>
        <w:r w:rsidR="00BE2CA3" w:rsidRPr="006C6566">
          <w:rPr>
            <w:rFonts w:ascii="Times New Roman" w:eastAsiaTheme="minorEastAsia" w:hAnsi="Times New Roman" w:cs="Times New Roman"/>
            <w:b w:val="0"/>
            <w:bCs w:val="0"/>
            <w:smallCaps w:val="0"/>
            <w:noProof/>
            <w:color w:val="auto"/>
            <w:sz w:val="24"/>
            <w:lang w:eastAsia="hr-HR"/>
          </w:rPr>
          <w:tab/>
        </w:r>
        <w:r w:rsidR="00BE2CA3" w:rsidRPr="006C6566">
          <w:rPr>
            <w:rStyle w:val="Hiperveza"/>
            <w:rFonts w:ascii="Times New Roman" w:hAnsi="Times New Roman" w:cs="Times New Roman"/>
            <w:noProof/>
            <w:sz w:val="24"/>
          </w:rPr>
          <w:t>Sažetak buduće proizvodnje, uporabe i ispuštanja POPs-ova</w:t>
        </w:r>
        <w:r w:rsidR="00BE2CA3" w:rsidRPr="006C6566">
          <w:rPr>
            <w:rFonts w:ascii="Times New Roman" w:hAnsi="Times New Roman" w:cs="Times New Roman"/>
            <w:noProof/>
            <w:webHidden/>
            <w:sz w:val="24"/>
          </w:rPr>
          <w:tab/>
        </w:r>
        <w:r w:rsidR="00BE2CA3" w:rsidRPr="006C6566">
          <w:rPr>
            <w:rFonts w:ascii="Times New Roman" w:hAnsi="Times New Roman" w:cs="Times New Roman"/>
            <w:noProof/>
            <w:webHidden/>
            <w:sz w:val="24"/>
          </w:rPr>
          <w:fldChar w:fldCharType="begin"/>
        </w:r>
        <w:r w:rsidR="00BE2CA3" w:rsidRPr="006C6566">
          <w:rPr>
            <w:rFonts w:ascii="Times New Roman" w:hAnsi="Times New Roman" w:cs="Times New Roman"/>
            <w:noProof/>
            <w:webHidden/>
            <w:sz w:val="24"/>
          </w:rPr>
          <w:instrText xml:space="preserve"> PAGEREF _Toc64460721 \h </w:instrText>
        </w:r>
        <w:r w:rsidR="00BE2CA3" w:rsidRPr="006C6566">
          <w:rPr>
            <w:rFonts w:ascii="Times New Roman" w:hAnsi="Times New Roman" w:cs="Times New Roman"/>
            <w:noProof/>
            <w:webHidden/>
            <w:sz w:val="24"/>
          </w:rPr>
        </w:r>
        <w:r w:rsidR="00BE2CA3" w:rsidRPr="006C6566">
          <w:rPr>
            <w:rFonts w:ascii="Times New Roman" w:hAnsi="Times New Roman" w:cs="Times New Roman"/>
            <w:noProof/>
            <w:webHidden/>
            <w:sz w:val="24"/>
          </w:rPr>
          <w:fldChar w:fldCharType="separate"/>
        </w:r>
        <w:r w:rsidR="004C449C">
          <w:rPr>
            <w:rFonts w:ascii="Times New Roman" w:hAnsi="Times New Roman" w:cs="Times New Roman"/>
            <w:noProof/>
            <w:webHidden/>
            <w:sz w:val="24"/>
          </w:rPr>
          <w:t>58</w:t>
        </w:r>
        <w:r w:rsidR="00BE2CA3" w:rsidRPr="006C6566">
          <w:rPr>
            <w:rFonts w:ascii="Times New Roman" w:hAnsi="Times New Roman" w:cs="Times New Roman"/>
            <w:noProof/>
            <w:webHidden/>
            <w:sz w:val="24"/>
          </w:rPr>
          <w:fldChar w:fldCharType="end"/>
        </w:r>
      </w:hyperlink>
    </w:p>
    <w:p w14:paraId="3FF8BAB3" w14:textId="0BAF1E2B" w:rsidR="00BE2CA3" w:rsidRPr="006C6566" w:rsidRDefault="00EB1E23" w:rsidP="006C6566">
      <w:pPr>
        <w:pStyle w:val="Sadraj2"/>
        <w:tabs>
          <w:tab w:val="left" w:pos="993"/>
          <w:tab w:val="right" w:leader="dot" w:pos="9062"/>
        </w:tabs>
        <w:ind w:left="993" w:hanging="993"/>
        <w:rPr>
          <w:rFonts w:ascii="Times New Roman" w:eastAsiaTheme="minorEastAsia" w:hAnsi="Times New Roman" w:cs="Times New Roman"/>
          <w:b w:val="0"/>
          <w:bCs w:val="0"/>
          <w:smallCaps w:val="0"/>
          <w:noProof/>
          <w:color w:val="auto"/>
          <w:sz w:val="24"/>
          <w:lang w:eastAsia="hr-HR"/>
        </w:rPr>
      </w:pPr>
      <w:hyperlink w:anchor="_Toc64460722" w:history="1">
        <w:r w:rsidR="00BE2CA3" w:rsidRPr="006C6566">
          <w:rPr>
            <w:rStyle w:val="Hiperveza"/>
            <w:rFonts w:ascii="Times New Roman" w:hAnsi="Times New Roman" w:cs="Times New Roman"/>
            <w:noProof/>
            <w:sz w:val="24"/>
          </w:rPr>
          <w:t>3.7</w:t>
        </w:r>
        <w:r w:rsidR="00BE2CA3" w:rsidRPr="006C6566">
          <w:rPr>
            <w:rFonts w:ascii="Times New Roman" w:eastAsiaTheme="minorEastAsia" w:hAnsi="Times New Roman" w:cs="Times New Roman"/>
            <w:b w:val="0"/>
            <w:bCs w:val="0"/>
            <w:smallCaps w:val="0"/>
            <w:noProof/>
            <w:color w:val="auto"/>
            <w:sz w:val="24"/>
            <w:lang w:eastAsia="hr-HR"/>
          </w:rPr>
          <w:tab/>
        </w:r>
        <w:r w:rsidR="00BE2CA3" w:rsidRPr="006C6566">
          <w:rPr>
            <w:rStyle w:val="Hiperveza"/>
            <w:rFonts w:ascii="Times New Roman" w:hAnsi="Times New Roman" w:cs="Times New Roman"/>
            <w:noProof/>
            <w:sz w:val="24"/>
          </w:rPr>
          <w:t>Postojeći programi za praćenje ispuštanja POPs-ova i njihov utjecaj na ljudsko zdravlje i okoliš</w:t>
        </w:r>
        <w:r w:rsidR="00BE2CA3" w:rsidRPr="006C6566">
          <w:rPr>
            <w:rFonts w:ascii="Times New Roman" w:hAnsi="Times New Roman" w:cs="Times New Roman"/>
            <w:noProof/>
            <w:webHidden/>
            <w:sz w:val="24"/>
          </w:rPr>
          <w:tab/>
        </w:r>
        <w:r w:rsidR="00BE2CA3" w:rsidRPr="006C6566">
          <w:rPr>
            <w:rFonts w:ascii="Times New Roman" w:hAnsi="Times New Roman" w:cs="Times New Roman"/>
            <w:noProof/>
            <w:webHidden/>
            <w:sz w:val="24"/>
          </w:rPr>
          <w:fldChar w:fldCharType="begin"/>
        </w:r>
        <w:r w:rsidR="00BE2CA3" w:rsidRPr="006C6566">
          <w:rPr>
            <w:rFonts w:ascii="Times New Roman" w:hAnsi="Times New Roman" w:cs="Times New Roman"/>
            <w:noProof/>
            <w:webHidden/>
            <w:sz w:val="24"/>
          </w:rPr>
          <w:instrText xml:space="preserve"> PAGEREF _Toc64460722 \h </w:instrText>
        </w:r>
        <w:r w:rsidR="00BE2CA3" w:rsidRPr="006C6566">
          <w:rPr>
            <w:rFonts w:ascii="Times New Roman" w:hAnsi="Times New Roman" w:cs="Times New Roman"/>
            <w:noProof/>
            <w:webHidden/>
            <w:sz w:val="24"/>
          </w:rPr>
        </w:r>
        <w:r w:rsidR="00BE2CA3" w:rsidRPr="006C6566">
          <w:rPr>
            <w:rFonts w:ascii="Times New Roman" w:hAnsi="Times New Roman" w:cs="Times New Roman"/>
            <w:noProof/>
            <w:webHidden/>
            <w:sz w:val="24"/>
          </w:rPr>
          <w:fldChar w:fldCharType="separate"/>
        </w:r>
        <w:r w:rsidR="004C449C">
          <w:rPr>
            <w:rFonts w:ascii="Times New Roman" w:hAnsi="Times New Roman" w:cs="Times New Roman"/>
            <w:noProof/>
            <w:webHidden/>
            <w:sz w:val="24"/>
          </w:rPr>
          <w:t>60</w:t>
        </w:r>
        <w:r w:rsidR="00BE2CA3" w:rsidRPr="006C6566">
          <w:rPr>
            <w:rFonts w:ascii="Times New Roman" w:hAnsi="Times New Roman" w:cs="Times New Roman"/>
            <w:noProof/>
            <w:webHidden/>
            <w:sz w:val="24"/>
          </w:rPr>
          <w:fldChar w:fldCharType="end"/>
        </w:r>
      </w:hyperlink>
    </w:p>
    <w:p w14:paraId="441F4D41" w14:textId="67CF4678" w:rsidR="00BE2CA3" w:rsidRPr="006C6566" w:rsidRDefault="00EB1E23" w:rsidP="006C6566">
      <w:pPr>
        <w:pStyle w:val="Sadraj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723" w:history="1">
        <w:r w:rsidR="00BE2CA3" w:rsidRPr="006C6566">
          <w:rPr>
            <w:rStyle w:val="Hiperveza"/>
            <w:rFonts w:ascii="Times New Roman" w:hAnsi="Times New Roman" w:cs="Times New Roman"/>
            <w:noProof/>
            <w:sz w:val="24"/>
            <w:lang w:bidi="en-US"/>
          </w:rPr>
          <w:t>3.7.1</w:t>
        </w:r>
        <w:r w:rsidR="00BE2CA3" w:rsidRPr="006C6566">
          <w:rPr>
            <w:rFonts w:ascii="Times New Roman" w:eastAsiaTheme="minorEastAsia" w:hAnsi="Times New Roman" w:cs="Times New Roman"/>
            <w:smallCaps w:val="0"/>
            <w:noProof/>
            <w:color w:val="auto"/>
            <w:sz w:val="24"/>
            <w:lang w:eastAsia="hr-HR"/>
          </w:rPr>
          <w:tab/>
        </w:r>
        <w:r w:rsidR="00BE2CA3" w:rsidRPr="006C6566">
          <w:rPr>
            <w:rStyle w:val="Hiperveza"/>
            <w:rFonts w:ascii="Times New Roman" w:hAnsi="Times New Roman" w:cs="Times New Roman"/>
            <w:noProof/>
            <w:sz w:val="24"/>
            <w:lang w:bidi="en-US"/>
          </w:rPr>
          <w:t>Monitoring POPs-ova u vodama</w:t>
        </w:r>
        <w:r w:rsidR="00BE2CA3" w:rsidRPr="006C6566">
          <w:rPr>
            <w:rFonts w:ascii="Times New Roman" w:hAnsi="Times New Roman" w:cs="Times New Roman"/>
            <w:noProof/>
            <w:webHidden/>
            <w:sz w:val="24"/>
          </w:rPr>
          <w:tab/>
        </w:r>
        <w:r w:rsidR="00BE2CA3" w:rsidRPr="006C6566">
          <w:rPr>
            <w:rFonts w:ascii="Times New Roman" w:hAnsi="Times New Roman" w:cs="Times New Roman"/>
            <w:noProof/>
            <w:webHidden/>
            <w:sz w:val="24"/>
          </w:rPr>
          <w:fldChar w:fldCharType="begin"/>
        </w:r>
        <w:r w:rsidR="00BE2CA3" w:rsidRPr="006C6566">
          <w:rPr>
            <w:rFonts w:ascii="Times New Roman" w:hAnsi="Times New Roman" w:cs="Times New Roman"/>
            <w:noProof/>
            <w:webHidden/>
            <w:sz w:val="24"/>
          </w:rPr>
          <w:instrText xml:space="preserve"> PAGEREF _Toc64460723 \h </w:instrText>
        </w:r>
        <w:r w:rsidR="00BE2CA3" w:rsidRPr="006C6566">
          <w:rPr>
            <w:rFonts w:ascii="Times New Roman" w:hAnsi="Times New Roman" w:cs="Times New Roman"/>
            <w:noProof/>
            <w:webHidden/>
            <w:sz w:val="24"/>
          </w:rPr>
        </w:r>
        <w:r w:rsidR="00BE2CA3" w:rsidRPr="006C6566">
          <w:rPr>
            <w:rFonts w:ascii="Times New Roman" w:hAnsi="Times New Roman" w:cs="Times New Roman"/>
            <w:noProof/>
            <w:webHidden/>
            <w:sz w:val="24"/>
          </w:rPr>
          <w:fldChar w:fldCharType="separate"/>
        </w:r>
        <w:r w:rsidR="004C449C">
          <w:rPr>
            <w:rFonts w:ascii="Times New Roman" w:hAnsi="Times New Roman" w:cs="Times New Roman"/>
            <w:noProof/>
            <w:webHidden/>
            <w:sz w:val="24"/>
          </w:rPr>
          <w:t>60</w:t>
        </w:r>
        <w:r w:rsidR="00BE2CA3" w:rsidRPr="006C6566">
          <w:rPr>
            <w:rFonts w:ascii="Times New Roman" w:hAnsi="Times New Roman" w:cs="Times New Roman"/>
            <w:noProof/>
            <w:webHidden/>
            <w:sz w:val="24"/>
          </w:rPr>
          <w:fldChar w:fldCharType="end"/>
        </w:r>
      </w:hyperlink>
    </w:p>
    <w:p w14:paraId="7FE3837C" w14:textId="72329592" w:rsidR="00BE2CA3" w:rsidRPr="006C6566" w:rsidRDefault="00EB1E23" w:rsidP="006C6566">
      <w:pPr>
        <w:pStyle w:val="Sadraj4"/>
        <w:rPr>
          <w:rFonts w:eastAsiaTheme="minorEastAsia"/>
          <w:color w:val="auto"/>
          <w:sz w:val="24"/>
          <w:szCs w:val="24"/>
          <w:lang w:eastAsia="hr-HR" w:bidi="ar-SA"/>
        </w:rPr>
      </w:pPr>
      <w:hyperlink w:anchor="_Toc64460724" w:history="1">
        <w:r w:rsidR="00BE2CA3" w:rsidRPr="006C6566">
          <w:rPr>
            <w:rStyle w:val="Hiperveza"/>
            <w:rFonts w:ascii="Times New Roman" w:hAnsi="Times New Roman"/>
            <w:sz w:val="24"/>
            <w:szCs w:val="24"/>
          </w:rPr>
          <w:t>3.7.1.1</w:t>
        </w:r>
        <w:r w:rsidR="006C6566">
          <w:rPr>
            <w:rStyle w:val="Hiperveza"/>
            <w:rFonts w:ascii="Times New Roman" w:hAnsi="Times New Roman"/>
            <w:sz w:val="24"/>
            <w:szCs w:val="24"/>
          </w:rPr>
          <w:tab/>
        </w:r>
        <w:r w:rsidR="006C6566">
          <w:rPr>
            <w:rStyle w:val="Hiperveza"/>
            <w:rFonts w:ascii="Times New Roman" w:hAnsi="Times New Roman"/>
            <w:sz w:val="24"/>
            <w:szCs w:val="24"/>
          </w:rPr>
          <w:tab/>
        </w:r>
        <w:r w:rsidR="00BE2CA3" w:rsidRPr="006C6566">
          <w:rPr>
            <w:rStyle w:val="Hiperveza"/>
            <w:rFonts w:ascii="Times New Roman" w:hAnsi="Times New Roman"/>
            <w:sz w:val="24"/>
            <w:szCs w:val="24"/>
          </w:rPr>
          <w:t>Monitoring površinskih voda od 2015. do 2018</w:t>
        </w:r>
        <w:r w:rsidR="004C449C">
          <w:rPr>
            <w:rStyle w:val="Hiperveza"/>
            <w:rFonts w:ascii="Times New Roman" w:hAnsi="Times New Roman"/>
            <w:sz w:val="24"/>
            <w:szCs w:val="24"/>
          </w:rPr>
          <w:t>.</w:t>
        </w:r>
        <w:r w:rsidR="00BE2CA3" w:rsidRPr="006C6566">
          <w:rPr>
            <w:webHidden/>
            <w:sz w:val="24"/>
            <w:szCs w:val="24"/>
          </w:rPr>
          <w:tab/>
        </w:r>
        <w:r w:rsidR="00BE2CA3" w:rsidRPr="006C6566">
          <w:rPr>
            <w:webHidden/>
            <w:sz w:val="24"/>
            <w:szCs w:val="24"/>
          </w:rPr>
          <w:fldChar w:fldCharType="begin"/>
        </w:r>
        <w:r w:rsidR="00BE2CA3" w:rsidRPr="006C6566">
          <w:rPr>
            <w:webHidden/>
            <w:sz w:val="24"/>
            <w:szCs w:val="24"/>
          </w:rPr>
          <w:instrText xml:space="preserve"> PAGEREF _Toc64460724 \h </w:instrText>
        </w:r>
        <w:r w:rsidR="00BE2CA3" w:rsidRPr="006C6566">
          <w:rPr>
            <w:webHidden/>
            <w:sz w:val="24"/>
            <w:szCs w:val="24"/>
          </w:rPr>
        </w:r>
        <w:r w:rsidR="00BE2CA3" w:rsidRPr="006C6566">
          <w:rPr>
            <w:webHidden/>
            <w:sz w:val="24"/>
            <w:szCs w:val="24"/>
          </w:rPr>
          <w:fldChar w:fldCharType="separate"/>
        </w:r>
        <w:r w:rsidR="004C449C">
          <w:rPr>
            <w:webHidden/>
            <w:sz w:val="24"/>
            <w:szCs w:val="24"/>
          </w:rPr>
          <w:t>62</w:t>
        </w:r>
        <w:r w:rsidR="00BE2CA3" w:rsidRPr="006C6566">
          <w:rPr>
            <w:webHidden/>
            <w:sz w:val="24"/>
            <w:szCs w:val="24"/>
          </w:rPr>
          <w:fldChar w:fldCharType="end"/>
        </w:r>
      </w:hyperlink>
    </w:p>
    <w:p w14:paraId="56383A2F" w14:textId="7DBEEB8E" w:rsidR="00BE2CA3" w:rsidRPr="006C6566" w:rsidRDefault="00EB1E23" w:rsidP="006C6566">
      <w:pPr>
        <w:pStyle w:val="Sadraj4"/>
        <w:rPr>
          <w:rFonts w:eastAsiaTheme="minorEastAsia"/>
          <w:color w:val="auto"/>
          <w:sz w:val="24"/>
          <w:szCs w:val="24"/>
          <w:lang w:eastAsia="hr-HR" w:bidi="ar-SA"/>
        </w:rPr>
      </w:pPr>
      <w:hyperlink w:anchor="_Toc64460725" w:history="1">
        <w:r w:rsidR="00BE2CA3" w:rsidRPr="006C6566">
          <w:rPr>
            <w:rStyle w:val="Hiperveza"/>
            <w:rFonts w:ascii="Times New Roman" w:hAnsi="Times New Roman"/>
            <w:sz w:val="24"/>
            <w:szCs w:val="24"/>
          </w:rPr>
          <w:t>3.7.1.2</w:t>
        </w:r>
        <w:r w:rsidR="00BE2CA3" w:rsidRPr="006C6566">
          <w:rPr>
            <w:rFonts w:eastAsiaTheme="minorEastAsia"/>
            <w:color w:val="auto"/>
            <w:sz w:val="24"/>
            <w:szCs w:val="24"/>
            <w:lang w:eastAsia="hr-HR" w:bidi="ar-SA"/>
          </w:rPr>
          <w:tab/>
        </w:r>
        <w:r w:rsidR="006C6566">
          <w:rPr>
            <w:rFonts w:eastAsiaTheme="minorEastAsia"/>
            <w:color w:val="auto"/>
            <w:sz w:val="24"/>
            <w:szCs w:val="24"/>
            <w:lang w:eastAsia="hr-HR" w:bidi="ar-SA"/>
          </w:rPr>
          <w:tab/>
        </w:r>
        <w:r w:rsidR="00BE2CA3" w:rsidRPr="006C6566">
          <w:rPr>
            <w:rStyle w:val="Hiperveza"/>
            <w:rFonts w:ascii="Times New Roman" w:hAnsi="Times New Roman"/>
            <w:sz w:val="24"/>
            <w:szCs w:val="24"/>
          </w:rPr>
          <w:t>Kakvoća riječnog sedimenta od 2015. do 2017</w:t>
        </w:r>
        <w:r w:rsidR="004C449C">
          <w:rPr>
            <w:rStyle w:val="Hiperveza"/>
            <w:rFonts w:ascii="Times New Roman" w:hAnsi="Times New Roman"/>
            <w:sz w:val="24"/>
            <w:szCs w:val="24"/>
          </w:rPr>
          <w:t>.</w:t>
        </w:r>
        <w:r w:rsidR="00BE2CA3" w:rsidRPr="006C6566">
          <w:rPr>
            <w:webHidden/>
            <w:sz w:val="24"/>
            <w:szCs w:val="24"/>
          </w:rPr>
          <w:tab/>
        </w:r>
        <w:r w:rsidR="00BE2CA3" w:rsidRPr="006C6566">
          <w:rPr>
            <w:webHidden/>
            <w:sz w:val="24"/>
            <w:szCs w:val="24"/>
          </w:rPr>
          <w:fldChar w:fldCharType="begin"/>
        </w:r>
        <w:r w:rsidR="00BE2CA3" w:rsidRPr="006C6566">
          <w:rPr>
            <w:webHidden/>
            <w:sz w:val="24"/>
            <w:szCs w:val="24"/>
          </w:rPr>
          <w:instrText xml:space="preserve"> PAGEREF _Toc64460725 \h </w:instrText>
        </w:r>
        <w:r w:rsidR="00BE2CA3" w:rsidRPr="006C6566">
          <w:rPr>
            <w:webHidden/>
            <w:sz w:val="24"/>
            <w:szCs w:val="24"/>
          </w:rPr>
        </w:r>
        <w:r w:rsidR="00BE2CA3" w:rsidRPr="006C6566">
          <w:rPr>
            <w:webHidden/>
            <w:sz w:val="24"/>
            <w:szCs w:val="24"/>
          </w:rPr>
          <w:fldChar w:fldCharType="separate"/>
        </w:r>
        <w:r w:rsidR="004C449C">
          <w:rPr>
            <w:webHidden/>
            <w:sz w:val="24"/>
            <w:szCs w:val="24"/>
          </w:rPr>
          <w:t>68</w:t>
        </w:r>
        <w:r w:rsidR="00BE2CA3" w:rsidRPr="006C6566">
          <w:rPr>
            <w:webHidden/>
            <w:sz w:val="24"/>
            <w:szCs w:val="24"/>
          </w:rPr>
          <w:fldChar w:fldCharType="end"/>
        </w:r>
      </w:hyperlink>
    </w:p>
    <w:p w14:paraId="461D0CF1" w14:textId="1855FE89" w:rsidR="00BE2CA3" w:rsidRPr="006C6566" w:rsidRDefault="00EB1E23" w:rsidP="006C6566">
      <w:pPr>
        <w:pStyle w:val="Sadraj4"/>
        <w:rPr>
          <w:rFonts w:eastAsiaTheme="minorEastAsia"/>
          <w:color w:val="auto"/>
          <w:sz w:val="24"/>
          <w:szCs w:val="24"/>
          <w:lang w:eastAsia="hr-HR" w:bidi="ar-SA"/>
        </w:rPr>
      </w:pPr>
      <w:hyperlink w:anchor="_Toc64460726" w:history="1">
        <w:r w:rsidR="00BE2CA3" w:rsidRPr="006C6566">
          <w:rPr>
            <w:rStyle w:val="Hiperveza"/>
            <w:rFonts w:ascii="Times New Roman" w:hAnsi="Times New Roman"/>
            <w:sz w:val="24"/>
            <w:szCs w:val="24"/>
          </w:rPr>
          <w:t>3.7.1.3</w:t>
        </w:r>
        <w:r w:rsidR="00BE2CA3" w:rsidRPr="006C6566">
          <w:rPr>
            <w:rFonts w:eastAsiaTheme="minorEastAsia"/>
            <w:color w:val="auto"/>
            <w:sz w:val="24"/>
            <w:szCs w:val="24"/>
            <w:lang w:eastAsia="hr-HR" w:bidi="ar-SA"/>
          </w:rPr>
          <w:tab/>
        </w:r>
        <w:r w:rsidR="006C6566">
          <w:rPr>
            <w:rFonts w:eastAsiaTheme="minorEastAsia"/>
            <w:color w:val="auto"/>
            <w:sz w:val="24"/>
            <w:szCs w:val="24"/>
            <w:lang w:eastAsia="hr-HR" w:bidi="ar-SA"/>
          </w:rPr>
          <w:tab/>
        </w:r>
        <w:r w:rsidR="00BE2CA3" w:rsidRPr="006C6566">
          <w:rPr>
            <w:rStyle w:val="Hiperveza"/>
            <w:rFonts w:ascii="Times New Roman" w:hAnsi="Times New Roman"/>
            <w:sz w:val="24"/>
            <w:szCs w:val="24"/>
          </w:rPr>
          <w:t>Kemijsko stanje podzemnih voda u Republici Hrvatskoj od 2015. do 2018.</w:t>
        </w:r>
        <w:r w:rsidR="00BE2CA3" w:rsidRPr="006C6566">
          <w:rPr>
            <w:webHidden/>
            <w:sz w:val="24"/>
            <w:szCs w:val="24"/>
          </w:rPr>
          <w:tab/>
        </w:r>
        <w:r w:rsidR="00BE2CA3" w:rsidRPr="006C6566">
          <w:rPr>
            <w:webHidden/>
            <w:sz w:val="24"/>
            <w:szCs w:val="24"/>
          </w:rPr>
          <w:fldChar w:fldCharType="begin"/>
        </w:r>
        <w:r w:rsidR="00BE2CA3" w:rsidRPr="006C6566">
          <w:rPr>
            <w:webHidden/>
            <w:sz w:val="24"/>
            <w:szCs w:val="24"/>
          </w:rPr>
          <w:instrText xml:space="preserve"> PAGEREF _Toc64460726 \h </w:instrText>
        </w:r>
        <w:r w:rsidR="00BE2CA3" w:rsidRPr="006C6566">
          <w:rPr>
            <w:webHidden/>
            <w:sz w:val="24"/>
            <w:szCs w:val="24"/>
          </w:rPr>
        </w:r>
        <w:r w:rsidR="00BE2CA3" w:rsidRPr="006C6566">
          <w:rPr>
            <w:webHidden/>
            <w:sz w:val="24"/>
            <w:szCs w:val="24"/>
          </w:rPr>
          <w:fldChar w:fldCharType="separate"/>
        </w:r>
        <w:r w:rsidR="004C449C">
          <w:rPr>
            <w:webHidden/>
            <w:sz w:val="24"/>
            <w:szCs w:val="24"/>
          </w:rPr>
          <w:t>69</w:t>
        </w:r>
        <w:r w:rsidR="00BE2CA3" w:rsidRPr="006C6566">
          <w:rPr>
            <w:webHidden/>
            <w:sz w:val="24"/>
            <w:szCs w:val="24"/>
          </w:rPr>
          <w:fldChar w:fldCharType="end"/>
        </w:r>
      </w:hyperlink>
    </w:p>
    <w:p w14:paraId="63865AA8" w14:textId="0A124245" w:rsidR="00BE2CA3" w:rsidRPr="006C6566" w:rsidRDefault="00EB1E23" w:rsidP="006C6566">
      <w:pPr>
        <w:pStyle w:val="Sadraj4"/>
        <w:rPr>
          <w:rFonts w:eastAsiaTheme="minorEastAsia"/>
          <w:color w:val="auto"/>
          <w:sz w:val="24"/>
          <w:szCs w:val="24"/>
          <w:lang w:eastAsia="hr-HR" w:bidi="ar-SA"/>
        </w:rPr>
      </w:pPr>
      <w:hyperlink w:anchor="_Toc64460727" w:history="1">
        <w:r w:rsidR="00BE2CA3" w:rsidRPr="006C6566">
          <w:rPr>
            <w:rStyle w:val="Hiperveza"/>
            <w:rFonts w:ascii="Times New Roman" w:hAnsi="Times New Roman"/>
            <w:sz w:val="24"/>
            <w:szCs w:val="24"/>
          </w:rPr>
          <w:t>3.7.1.4</w:t>
        </w:r>
        <w:r w:rsidR="00BE2CA3" w:rsidRPr="006C6566">
          <w:rPr>
            <w:rFonts w:eastAsiaTheme="minorEastAsia"/>
            <w:color w:val="auto"/>
            <w:sz w:val="24"/>
            <w:szCs w:val="24"/>
            <w:lang w:eastAsia="hr-HR" w:bidi="ar-SA"/>
          </w:rPr>
          <w:tab/>
        </w:r>
        <w:r w:rsidR="006C6566">
          <w:rPr>
            <w:rFonts w:eastAsiaTheme="minorEastAsia"/>
            <w:color w:val="auto"/>
            <w:sz w:val="24"/>
            <w:szCs w:val="24"/>
            <w:lang w:eastAsia="hr-HR" w:bidi="ar-SA"/>
          </w:rPr>
          <w:tab/>
        </w:r>
        <w:r w:rsidR="00BE2CA3" w:rsidRPr="006C6566">
          <w:rPr>
            <w:rStyle w:val="Hiperveza"/>
            <w:rFonts w:ascii="Times New Roman" w:hAnsi="Times New Roman"/>
            <w:sz w:val="24"/>
            <w:szCs w:val="24"/>
          </w:rPr>
          <w:t>Stanje prijelaznih i priobalnih voda U Republ</w:t>
        </w:r>
        <w:r w:rsidR="004C449C">
          <w:rPr>
            <w:rStyle w:val="Hiperveza"/>
            <w:rFonts w:ascii="Times New Roman" w:hAnsi="Times New Roman"/>
            <w:sz w:val="24"/>
            <w:szCs w:val="24"/>
          </w:rPr>
          <w:t>ici Hrvatskoj do 2015. do 2018.</w:t>
        </w:r>
        <w:r w:rsidR="00BE2CA3" w:rsidRPr="006C6566">
          <w:rPr>
            <w:webHidden/>
            <w:sz w:val="24"/>
            <w:szCs w:val="24"/>
          </w:rPr>
          <w:tab/>
        </w:r>
        <w:r w:rsidR="00BE2CA3" w:rsidRPr="006C6566">
          <w:rPr>
            <w:webHidden/>
            <w:sz w:val="24"/>
            <w:szCs w:val="24"/>
          </w:rPr>
          <w:fldChar w:fldCharType="begin"/>
        </w:r>
        <w:r w:rsidR="00BE2CA3" w:rsidRPr="006C6566">
          <w:rPr>
            <w:webHidden/>
            <w:sz w:val="24"/>
            <w:szCs w:val="24"/>
          </w:rPr>
          <w:instrText xml:space="preserve"> PAGEREF _Toc64460727 \h </w:instrText>
        </w:r>
        <w:r w:rsidR="00BE2CA3" w:rsidRPr="006C6566">
          <w:rPr>
            <w:webHidden/>
            <w:sz w:val="24"/>
            <w:szCs w:val="24"/>
          </w:rPr>
        </w:r>
        <w:r w:rsidR="00BE2CA3" w:rsidRPr="006C6566">
          <w:rPr>
            <w:webHidden/>
            <w:sz w:val="24"/>
            <w:szCs w:val="24"/>
          </w:rPr>
          <w:fldChar w:fldCharType="separate"/>
        </w:r>
        <w:r w:rsidR="004C449C">
          <w:rPr>
            <w:webHidden/>
            <w:sz w:val="24"/>
            <w:szCs w:val="24"/>
          </w:rPr>
          <w:t>72</w:t>
        </w:r>
        <w:r w:rsidR="00BE2CA3" w:rsidRPr="006C6566">
          <w:rPr>
            <w:webHidden/>
            <w:sz w:val="24"/>
            <w:szCs w:val="24"/>
          </w:rPr>
          <w:fldChar w:fldCharType="end"/>
        </w:r>
      </w:hyperlink>
    </w:p>
    <w:p w14:paraId="3450C875" w14:textId="65CCA4F2" w:rsidR="00BE2CA3" w:rsidRPr="006C6566" w:rsidRDefault="00EB1E23" w:rsidP="006C6566">
      <w:pPr>
        <w:pStyle w:val="Sadraj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728" w:history="1">
        <w:r w:rsidR="00BE2CA3" w:rsidRPr="006C6566">
          <w:rPr>
            <w:rStyle w:val="Hiperveza"/>
            <w:rFonts w:ascii="Times New Roman" w:hAnsi="Times New Roman" w:cs="Times New Roman"/>
            <w:noProof/>
            <w:sz w:val="24"/>
            <w:lang w:bidi="en-US"/>
          </w:rPr>
          <w:t>3.7.2</w:t>
        </w:r>
        <w:r w:rsidR="00BE2CA3" w:rsidRPr="006C6566">
          <w:rPr>
            <w:rFonts w:ascii="Times New Roman" w:eastAsiaTheme="minorEastAsia" w:hAnsi="Times New Roman" w:cs="Times New Roman"/>
            <w:smallCaps w:val="0"/>
            <w:noProof/>
            <w:color w:val="auto"/>
            <w:sz w:val="24"/>
            <w:lang w:eastAsia="hr-HR"/>
          </w:rPr>
          <w:tab/>
        </w:r>
        <w:r w:rsidR="00BE2CA3" w:rsidRPr="006C6566">
          <w:rPr>
            <w:rStyle w:val="Hiperveza"/>
            <w:rFonts w:ascii="Times New Roman" w:hAnsi="Times New Roman" w:cs="Times New Roman"/>
            <w:noProof/>
            <w:sz w:val="24"/>
            <w:lang w:bidi="en-US"/>
          </w:rPr>
          <w:t>More</w:t>
        </w:r>
        <w:r w:rsidR="00BE2CA3" w:rsidRPr="006C6566">
          <w:rPr>
            <w:rFonts w:ascii="Times New Roman" w:hAnsi="Times New Roman" w:cs="Times New Roman"/>
            <w:noProof/>
            <w:webHidden/>
            <w:sz w:val="24"/>
          </w:rPr>
          <w:tab/>
        </w:r>
        <w:r w:rsidR="00BE2CA3" w:rsidRPr="006C6566">
          <w:rPr>
            <w:rFonts w:ascii="Times New Roman" w:hAnsi="Times New Roman" w:cs="Times New Roman"/>
            <w:noProof/>
            <w:webHidden/>
            <w:sz w:val="24"/>
          </w:rPr>
          <w:fldChar w:fldCharType="begin"/>
        </w:r>
        <w:r w:rsidR="00BE2CA3" w:rsidRPr="006C6566">
          <w:rPr>
            <w:rFonts w:ascii="Times New Roman" w:hAnsi="Times New Roman" w:cs="Times New Roman"/>
            <w:noProof/>
            <w:webHidden/>
            <w:sz w:val="24"/>
          </w:rPr>
          <w:instrText xml:space="preserve"> PAGEREF _Toc64460728 \h </w:instrText>
        </w:r>
        <w:r w:rsidR="00BE2CA3" w:rsidRPr="006C6566">
          <w:rPr>
            <w:rFonts w:ascii="Times New Roman" w:hAnsi="Times New Roman" w:cs="Times New Roman"/>
            <w:noProof/>
            <w:webHidden/>
            <w:sz w:val="24"/>
          </w:rPr>
        </w:r>
        <w:r w:rsidR="00BE2CA3" w:rsidRPr="006C6566">
          <w:rPr>
            <w:rFonts w:ascii="Times New Roman" w:hAnsi="Times New Roman" w:cs="Times New Roman"/>
            <w:noProof/>
            <w:webHidden/>
            <w:sz w:val="24"/>
          </w:rPr>
          <w:fldChar w:fldCharType="separate"/>
        </w:r>
        <w:r w:rsidR="004C449C">
          <w:rPr>
            <w:rFonts w:ascii="Times New Roman" w:hAnsi="Times New Roman" w:cs="Times New Roman"/>
            <w:noProof/>
            <w:webHidden/>
            <w:sz w:val="24"/>
          </w:rPr>
          <w:t>76</w:t>
        </w:r>
        <w:r w:rsidR="00BE2CA3" w:rsidRPr="006C6566">
          <w:rPr>
            <w:rFonts w:ascii="Times New Roman" w:hAnsi="Times New Roman" w:cs="Times New Roman"/>
            <w:noProof/>
            <w:webHidden/>
            <w:sz w:val="24"/>
          </w:rPr>
          <w:fldChar w:fldCharType="end"/>
        </w:r>
      </w:hyperlink>
    </w:p>
    <w:p w14:paraId="1A26F9C9" w14:textId="3944DA14" w:rsidR="00BE2CA3" w:rsidRPr="006C6566" w:rsidRDefault="00EB1E23" w:rsidP="006C6566">
      <w:pPr>
        <w:pStyle w:val="Sadraj4"/>
        <w:rPr>
          <w:rFonts w:eastAsiaTheme="minorEastAsia"/>
          <w:color w:val="auto"/>
          <w:sz w:val="24"/>
          <w:szCs w:val="24"/>
          <w:lang w:eastAsia="hr-HR" w:bidi="ar-SA"/>
        </w:rPr>
      </w:pPr>
      <w:hyperlink w:anchor="_Toc64460729" w:history="1">
        <w:r w:rsidR="00BE2CA3" w:rsidRPr="006C6566">
          <w:rPr>
            <w:rStyle w:val="Hiperveza"/>
            <w:rFonts w:ascii="Times New Roman" w:hAnsi="Times New Roman"/>
            <w:sz w:val="24"/>
            <w:szCs w:val="24"/>
          </w:rPr>
          <w:t>3.7.2.1</w:t>
        </w:r>
        <w:r w:rsidR="00BE2CA3" w:rsidRPr="006C6566">
          <w:rPr>
            <w:rFonts w:eastAsiaTheme="minorEastAsia"/>
            <w:color w:val="auto"/>
            <w:sz w:val="24"/>
            <w:szCs w:val="24"/>
            <w:lang w:eastAsia="hr-HR" w:bidi="ar-SA"/>
          </w:rPr>
          <w:tab/>
        </w:r>
        <w:r w:rsidR="006C6566">
          <w:rPr>
            <w:rFonts w:eastAsiaTheme="minorEastAsia"/>
            <w:color w:val="auto"/>
            <w:sz w:val="24"/>
            <w:szCs w:val="24"/>
            <w:lang w:eastAsia="hr-HR" w:bidi="ar-SA"/>
          </w:rPr>
          <w:tab/>
        </w:r>
        <w:r w:rsidR="00BE2CA3" w:rsidRPr="006C6566">
          <w:rPr>
            <w:rStyle w:val="Hiperveza"/>
            <w:rFonts w:ascii="Times New Roman" w:hAnsi="Times New Roman"/>
            <w:sz w:val="24"/>
            <w:szCs w:val="24"/>
          </w:rPr>
          <w:t>POPs-ovi u prijelaznim vodama u 2018</w:t>
        </w:r>
        <w:r w:rsidR="004C449C">
          <w:rPr>
            <w:rStyle w:val="Hiperveza"/>
            <w:rFonts w:ascii="Times New Roman" w:hAnsi="Times New Roman"/>
            <w:sz w:val="24"/>
            <w:szCs w:val="24"/>
          </w:rPr>
          <w:t>.</w:t>
        </w:r>
        <w:r w:rsidR="00BE2CA3" w:rsidRPr="006C6566">
          <w:rPr>
            <w:webHidden/>
            <w:sz w:val="24"/>
            <w:szCs w:val="24"/>
          </w:rPr>
          <w:tab/>
        </w:r>
        <w:r w:rsidR="00BE2CA3" w:rsidRPr="006C6566">
          <w:rPr>
            <w:webHidden/>
            <w:sz w:val="24"/>
            <w:szCs w:val="24"/>
          </w:rPr>
          <w:fldChar w:fldCharType="begin"/>
        </w:r>
        <w:r w:rsidR="00BE2CA3" w:rsidRPr="006C6566">
          <w:rPr>
            <w:webHidden/>
            <w:sz w:val="24"/>
            <w:szCs w:val="24"/>
          </w:rPr>
          <w:instrText xml:space="preserve"> PAGEREF _Toc64460729 \h </w:instrText>
        </w:r>
        <w:r w:rsidR="00BE2CA3" w:rsidRPr="006C6566">
          <w:rPr>
            <w:webHidden/>
            <w:sz w:val="24"/>
            <w:szCs w:val="24"/>
          </w:rPr>
        </w:r>
        <w:r w:rsidR="00BE2CA3" w:rsidRPr="006C6566">
          <w:rPr>
            <w:webHidden/>
            <w:sz w:val="24"/>
            <w:szCs w:val="24"/>
          </w:rPr>
          <w:fldChar w:fldCharType="separate"/>
        </w:r>
        <w:r w:rsidR="004C449C">
          <w:rPr>
            <w:webHidden/>
            <w:sz w:val="24"/>
            <w:szCs w:val="24"/>
          </w:rPr>
          <w:t>86</w:t>
        </w:r>
        <w:r w:rsidR="00BE2CA3" w:rsidRPr="006C6566">
          <w:rPr>
            <w:webHidden/>
            <w:sz w:val="24"/>
            <w:szCs w:val="24"/>
          </w:rPr>
          <w:fldChar w:fldCharType="end"/>
        </w:r>
      </w:hyperlink>
    </w:p>
    <w:p w14:paraId="64496038" w14:textId="47D9F5FF" w:rsidR="00BE2CA3" w:rsidRPr="006C6566" w:rsidRDefault="00EB1E23" w:rsidP="006C6566">
      <w:pPr>
        <w:pStyle w:val="Sadraj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730" w:history="1">
        <w:r w:rsidR="00BE2CA3" w:rsidRPr="006C6566">
          <w:rPr>
            <w:rStyle w:val="Hiperveza"/>
            <w:rFonts w:ascii="Times New Roman" w:hAnsi="Times New Roman" w:cs="Times New Roman"/>
            <w:noProof/>
            <w:sz w:val="24"/>
            <w:lang w:bidi="en-US"/>
          </w:rPr>
          <w:t>3.7.3</w:t>
        </w:r>
        <w:r w:rsidR="00BE2CA3" w:rsidRPr="006C6566">
          <w:rPr>
            <w:rFonts w:ascii="Times New Roman" w:eastAsiaTheme="minorEastAsia" w:hAnsi="Times New Roman" w:cs="Times New Roman"/>
            <w:smallCaps w:val="0"/>
            <w:noProof/>
            <w:color w:val="auto"/>
            <w:sz w:val="24"/>
            <w:lang w:eastAsia="hr-HR"/>
          </w:rPr>
          <w:tab/>
        </w:r>
        <w:r w:rsidR="00BE2CA3" w:rsidRPr="006C6566">
          <w:rPr>
            <w:rStyle w:val="Hiperveza"/>
            <w:rFonts w:ascii="Times New Roman" w:hAnsi="Times New Roman" w:cs="Times New Roman"/>
            <w:noProof/>
            <w:sz w:val="24"/>
            <w:lang w:bidi="en-US"/>
          </w:rPr>
          <w:t>MONITORING POPs-ova U TLU (POLJOPRIVREDNO ZEMLJIŠTE)</w:t>
        </w:r>
        <w:r w:rsidR="00BE2CA3" w:rsidRPr="006C6566">
          <w:rPr>
            <w:rFonts w:ascii="Times New Roman" w:hAnsi="Times New Roman" w:cs="Times New Roman"/>
            <w:noProof/>
            <w:webHidden/>
            <w:sz w:val="24"/>
          </w:rPr>
          <w:tab/>
        </w:r>
        <w:r w:rsidR="00BE2CA3" w:rsidRPr="006C6566">
          <w:rPr>
            <w:rFonts w:ascii="Times New Roman" w:hAnsi="Times New Roman" w:cs="Times New Roman"/>
            <w:noProof/>
            <w:webHidden/>
            <w:sz w:val="24"/>
          </w:rPr>
          <w:fldChar w:fldCharType="begin"/>
        </w:r>
        <w:r w:rsidR="00BE2CA3" w:rsidRPr="006C6566">
          <w:rPr>
            <w:rFonts w:ascii="Times New Roman" w:hAnsi="Times New Roman" w:cs="Times New Roman"/>
            <w:noProof/>
            <w:webHidden/>
            <w:sz w:val="24"/>
          </w:rPr>
          <w:instrText xml:space="preserve"> PAGEREF _Toc64460730 \h </w:instrText>
        </w:r>
        <w:r w:rsidR="00BE2CA3" w:rsidRPr="006C6566">
          <w:rPr>
            <w:rFonts w:ascii="Times New Roman" w:hAnsi="Times New Roman" w:cs="Times New Roman"/>
            <w:noProof/>
            <w:webHidden/>
            <w:sz w:val="24"/>
          </w:rPr>
        </w:r>
        <w:r w:rsidR="00BE2CA3" w:rsidRPr="006C6566">
          <w:rPr>
            <w:rFonts w:ascii="Times New Roman" w:hAnsi="Times New Roman" w:cs="Times New Roman"/>
            <w:noProof/>
            <w:webHidden/>
            <w:sz w:val="24"/>
          </w:rPr>
          <w:fldChar w:fldCharType="separate"/>
        </w:r>
        <w:r w:rsidR="004C449C">
          <w:rPr>
            <w:rFonts w:ascii="Times New Roman" w:hAnsi="Times New Roman" w:cs="Times New Roman"/>
            <w:noProof/>
            <w:webHidden/>
            <w:sz w:val="24"/>
          </w:rPr>
          <w:t>95</w:t>
        </w:r>
        <w:r w:rsidR="00BE2CA3" w:rsidRPr="006C6566">
          <w:rPr>
            <w:rFonts w:ascii="Times New Roman" w:hAnsi="Times New Roman" w:cs="Times New Roman"/>
            <w:noProof/>
            <w:webHidden/>
            <w:sz w:val="24"/>
          </w:rPr>
          <w:fldChar w:fldCharType="end"/>
        </w:r>
      </w:hyperlink>
    </w:p>
    <w:p w14:paraId="6DFD3A21" w14:textId="1F12C2BA" w:rsidR="00BE2CA3" w:rsidRPr="006C6566" w:rsidRDefault="00EB1E23" w:rsidP="006C6566">
      <w:pPr>
        <w:pStyle w:val="Sadraj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731" w:history="1">
        <w:r w:rsidR="00BE2CA3" w:rsidRPr="006C6566">
          <w:rPr>
            <w:rStyle w:val="Hiperveza"/>
            <w:rFonts w:ascii="Times New Roman" w:hAnsi="Times New Roman" w:cs="Times New Roman"/>
            <w:noProof/>
            <w:sz w:val="24"/>
            <w:lang w:bidi="en-US"/>
          </w:rPr>
          <w:t>3.7.4</w:t>
        </w:r>
        <w:r w:rsidR="00BE2CA3" w:rsidRPr="006C6566">
          <w:rPr>
            <w:rFonts w:ascii="Times New Roman" w:eastAsiaTheme="minorEastAsia" w:hAnsi="Times New Roman" w:cs="Times New Roman"/>
            <w:smallCaps w:val="0"/>
            <w:noProof/>
            <w:color w:val="auto"/>
            <w:sz w:val="24"/>
            <w:lang w:eastAsia="hr-HR"/>
          </w:rPr>
          <w:tab/>
        </w:r>
        <w:r w:rsidR="00BE2CA3" w:rsidRPr="006C6566">
          <w:rPr>
            <w:rStyle w:val="Hiperveza"/>
            <w:rFonts w:ascii="Times New Roman" w:hAnsi="Times New Roman" w:cs="Times New Roman"/>
            <w:noProof/>
            <w:sz w:val="24"/>
            <w:lang w:bidi="en-US"/>
          </w:rPr>
          <w:t>MONITORING POPS-OVA U HRANI ZA ŽIVOTINJE</w:t>
        </w:r>
        <w:r w:rsidR="00BE2CA3" w:rsidRPr="006C6566">
          <w:rPr>
            <w:rFonts w:ascii="Times New Roman" w:hAnsi="Times New Roman" w:cs="Times New Roman"/>
            <w:noProof/>
            <w:webHidden/>
            <w:sz w:val="24"/>
          </w:rPr>
          <w:tab/>
        </w:r>
        <w:r w:rsidR="00BE2CA3" w:rsidRPr="006C6566">
          <w:rPr>
            <w:rFonts w:ascii="Times New Roman" w:hAnsi="Times New Roman" w:cs="Times New Roman"/>
            <w:noProof/>
            <w:webHidden/>
            <w:sz w:val="24"/>
          </w:rPr>
          <w:fldChar w:fldCharType="begin"/>
        </w:r>
        <w:r w:rsidR="00BE2CA3" w:rsidRPr="006C6566">
          <w:rPr>
            <w:rFonts w:ascii="Times New Roman" w:hAnsi="Times New Roman" w:cs="Times New Roman"/>
            <w:noProof/>
            <w:webHidden/>
            <w:sz w:val="24"/>
          </w:rPr>
          <w:instrText xml:space="preserve"> PAGEREF _Toc64460731 \h </w:instrText>
        </w:r>
        <w:r w:rsidR="00BE2CA3" w:rsidRPr="006C6566">
          <w:rPr>
            <w:rFonts w:ascii="Times New Roman" w:hAnsi="Times New Roman" w:cs="Times New Roman"/>
            <w:noProof/>
            <w:webHidden/>
            <w:sz w:val="24"/>
          </w:rPr>
        </w:r>
        <w:r w:rsidR="00BE2CA3" w:rsidRPr="006C6566">
          <w:rPr>
            <w:rFonts w:ascii="Times New Roman" w:hAnsi="Times New Roman" w:cs="Times New Roman"/>
            <w:noProof/>
            <w:webHidden/>
            <w:sz w:val="24"/>
          </w:rPr>
          <w:fldChar w:fldCharType="separate"/>
        </w:r>
        <w:r w:rsidR="004C449C">
          <w:rPr>
            <w:rFonts w:ascii="Times New Roman" w:hAnsi="Times New Roman" w:cs="Times New Roman"/>
            <w:noProof/>
            <w:webHidden/>
            <w:sz w:val="24"/>
          </w:rPr>
          <w:t>96</w:t>
        </w:r>
        <w:r w:rsidR="00BE2CA3" w:rsidRPr="006C6566">
          <w:rPr>
            <w:rFonts w:ascii="Times New Roman" w:hAnsi="Times New Roman" w:cs="Times New Roman"/>
            <w:noProof/>
            <w:webHidden/>
            <w:sz w:val="24"/>
          </w:rPr>
          <w:fldChar w:fldCharType="end"/>
        </w:r>
      </w:hyperlink>
    </w:p>
    <w:p w14:paraId="26ABF282" w14:textId="31D16992" w:rsidR="00BE2CA3" w:rsidRPr="006C6566" w:rsidRDefault="00EB1E23" w:rsidP="006C6566">
      <w:pPr>
        <w:pStyle w:val="Sadraj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732" w:history="1">
        <w:r w:rsidR="00BE2CA3" w:rsidRPr="006C6566">
          <w:rPr>
            <w:rStyle w:val="Hiperveza"/>
            <w:rFonts w:ascii="Times New Roman" w:hAnsi="Times New Roman" w:cs="Times New Roman"/>
            <w:noProof/>
            <w:sz w:val="24"/>
            <w:lang w:bidi="en-US"/>
          </w:rPr>
          <w:t>3.7.5</w:t>
        </w:r>
        <w:r w:rsidR="00BE2CA3" w:rsidRPr="006C6566">
          <w:rPr>
            <w:rFonts w:ascii="Times New Roman" w:eastAsiaTheme="minorEastAsia" w:hAnsi="Times New Roman" w:cs="Times New Roman"/>
            <w:smallCaps w:val="0"/>
            <w:noProof/>
            <w:color w:val="auto"/>
            <w:sz w:val="24"/>
            <w:lang w:eastAsia="hr-HR"/>
          </w:rPr>
          <w:tab/>
        </w:r>
        <w:r w:rsidR="00BE2CA3" w:rsidRPr="006C6566">
          <w:rPr>
            <w:rStyle w:val="Hiperveza"/>
            <w:rFonts w:ascii="Times New Roman" w:hAnsi="Times New Roman" w:cs="Times New Roman"/>
            <w:noProof/>
            <w:sz w:val="24"/>
            <w:lang w:bidi="en-US"/>
          </w:rPr>
          <w:t>MOTRENJE ŠUMSKIH EKOSUSTAVA</w:t>
        </w:r>
        <w:r w:rsidR="00BE2CA3" w:rsidRPr="006C6566">
          <w:rPr>
            <w:rFonts w:ascii="Times New Roman" w:hAnsi="Times New Roman" w:cs="Times New Roman"/>
            <w:noProof/>
            <w:webHidden/>
            <w:sz w:val="24"/>
          </w:rPr>
          <w:tab/>
        </w:r>
        <w:r w:rsidR="00BE2CA3" w:rsidRPr="006C6566">
          <w:rPr>
            <w:rFonts w:ascii="Times New Roman" w:hAnsi="Times New Roman" w:cs="Times New Roman"/>
            <w:noProof/>
            <w:webHidden/>
            <w:sz w:val="24"/>
          </w:rPr>
          <w:fldChar w:fldCharType="begin"/>
        </w:r>
        <w:r w:rsidR="00BE2CA3" w:rsidRPr="006C6566">
          <w:rPr>
            <w:rFonts w:ascii="Times New Roman" w:hAnsi="Times New Roman" w:cs="Times New Roman"/>
            <w:noProof/>
            <w:webHidden/>
            <w:sz w:val="24"/>
          </w:rPr>
          <w:instrText xml:space="preserve"> PAGEREF _Toc64460732 \h </w:instrText>
        </w:r>
        <w:r w:rsidR="00BE2CA3" w:rsidRPr="006C6566">
          <w:rPr>
            <w:rFonts w:ascii="Times New Roman" w:hAnsi="Times New Roman" w:cs="Times New Roman"/>
            <w:noProof/>
            <w:webHidden/>
            <w:sz w:val="24"/>
          </w:rPr>
        </w:r>
        <w:r w:rsidR="00BE2CA3" w:rsidRPr="006C6566">
          <w:rPr>
            <w:rFonts w:ascii="Times New Roman" w:hAnsi="Times New Roman" w:cs="Times New Roman"/>
            <w:noProof/>
            <w:webHidden/>
            <w:sz w:val="24"/>
          </w:rPr>
          <w:fldChar w:fldCharType="separate"/>
        </w:r>
        <w:r w:rsidR="004C449C">
          <w:rPr>
            <w:rFonts w:ascii="Times New Roman" w:hAnsi="Times New Roman" w:cs="Times New Roman"/>
            <w:noProof/>
            <w:webHidden/>
            <w:sz w:val="24"/>
          </w:rPr>
          <w:t>97</w:t>
        </w:r>
        <w:r w:rsidR="00BE2CA3" w:rsidRPr="006C6566">
          <w:rPr>
            <w:rFonts w:ascii="Times New Roman" w:hAnsi="Times New Roman" w:cs="Times New Roman"/>
            <w:noProof/>
            <w:webHidden/>
            <w:sz w:val="24"/>
          </w:rPr>
          <w:fldChar w:fldCharType="end"/>
        </w:r>
      </w:hyperlink>
    </w:p>
    <w:p w14:paraId="2D833C12" w14:textId="17C16399" w:rsidR="00BE2CA3" w:rsidRPr="006C6566" w:rsidRDefault="00EB1E23" w:rsidP="006C6566">
      <w:pPr>
        <w:pStyle w:val="Sadraj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733" w:history="1">
        <w:r w:rsidR="00BE2CA3" w:rsidRPr="006C6566">
          <w:rPr>
            <w:rStyle w:val="Hiperveza"/>
            <w:rFonts w:ascii="Times New Roman" w:hAnsi="Times New Roman" w:cs="Times New Roman"/>
            <w:noProof/>
            <w:sz w:val="24"/>
            <w:lang w:bidi="en-US"/>
          </w:rPr>
          <w:t>3.7.6</w:t>
        </w:r>
        <w:r w:rsidR="00BE2CA3" w:rsidRPr="006C6566">
          <w:rPr>
            <w:rFonts w:ascii="Times New Roman" w:eastAsiaTheme="minorEastAsia" w:hAnsi="Times New Roman" w:cs="Times New Roman"/>
            <w:smallCaps w:val="0"/>
            <w:noProof/>
            <w:color w:val="auto"/>
            <w:sz w:val="24"/>
            <w:lang w:eastAsia="hr-HR"/>
          </w:rPr>
          <w:tab/>
        </w:r>
        <w:r w:rsidR="00BE2CA3" w:rsidRPr="006C6566">
          <w:rPr>
            <w:rStyle w:val="Hiperveza"/>
            <w:rFonts w:ascii="Times New Roman" w:hAnsi="Times New Roman" w:cs="Times New Roman"/>
            <w:noProof/>
            <w:sz w:val="24"/>
            <w:lang w:bidi="en-US"/>
          </w:rPr>
          <w:t>PRAĆENJE IMISIJA POPS-OVA U ZRAKU</w:t>
        </w:r>
        <w:r w:rsidR="00BE2CA3" w:rsidRPr="006C6566">
          <w:rPr>
            <w:rFonts w:ascii="Times New Roman" w:hAnsi="Times New Roman" w:cs="Times New Roman"/>
            <w:noProof/>
            <w:webHidden/>
            <w:sz w:val="24"/>
          </w:rPr>
          <w:tab/>
        </w:r>
        <w:r w:rsidR="00BE2CA3" w:rsidRPr="006C6566">
          <w:rPr>
            <w:rFonts w:ascii="Times New Roman" w:hAnsi="Times New Roman" w:cs="Times New Roman"/>
            <w:noProof/>
            <w:webHidden/>
            <w:sz w:val="24"/>
          </w:rPr>
          <w:fldChar w:fldCharType="begin"/>
        </w:r>
        <w:r w:rsidR="00BE2CA3" w:rsidRPr="006C6566">
          <w:rPr>
            <w:rFonts w:ascii="Times New Roman" w:hAnsi="Times New Roman" w:cs="Times New Roman"/>
            <w:noProof/>
            <w:webHidden/>
            <w:sz w:val="24"/>
          </w:rPr>
          <w:instrText xml:space="preserve"> PAGEREF _Toc64460733 \h </w:instrText>
        </w:r>
        <w:r w:rsidR="00BE2CA3" w:rsidRPr="006C6566">
          <w:rPr>
            <w:rFonts w:ascii="Times New Roman" w:hAnsi="Times New Roman" w:cs="Times New Roman"/>
            <w:noProof/>
            <w:webHidden/>
            <w:sz w:val="24"/>
          </w:rPr>
        </w:r>
        <w:r w:rsidR="00BE2CA3" w:rsidRPr="006C6566">
          <w:rPr>
            <w:rFonts w:ascii="Times New Roman" w:hAnsi="Times New Roman" w:cs="Times New Roman"/>
            <w:noProof/>
            <w:webHidden/>
            <w:sz w:val="24"/>
          </w:rPr>
          <w:fldChar w:fldCharType="separate"/>
        </w:r>
        <w:r w:rsidR="004C449C">
          <w:rPr>
            <w:rFonts w:ascii="Times New Roman" w:hAnsi="Times New Roman" w:cs="Times New Roman"/>
            <w:noProof/>
            <w:webHidden/>
            <w:sz w:val="24"/>
          </w:rPr>
          <w:t>98</w:t>
        </w:r>
        <w:r w:rsidR="00BE2CA3" w:rsidRPr="006C6566">
          <w:rPr>
            <w:rFonts w:ascii="Times New Roman" w:hAnsi="Times New Roman" w:cs="Times New Roman"/>
            <w:noProof/>
            <w:webHidden/>
            <w:sz w:val="24"/>
          </w:rPr>
          <w:fldChar w:fldCharType="end"/>
        </w:r>
      </w:hyperlink>
    </w:p>
    <w:p w14:paraId="1EA44606" w14:textId="103F88F8" w:rsidR="00BE2CA3" w:rsidRPr="006C6566" w:rsidRDefault="00EB1E23" w:rsidP="006C6566">
      <w:pPr>
        <w:pStyle w:val="Sadraj4"/>
        <w:rPr>
          <w:rFonts w:eastAsiaTheme="minorEastAsia"/>
          <w:color w:val="auto"/>
          <w:sz w:val="24"/>
          <w:szCs w:val="24"/>
          <w:lang w:eastAsia="hr-HR" w:bidi="ar-SA"/>
        </w:rPr>
      </w:pPr>
      <w:hyperlink w:anchor="_Toc64460734" w:history="1">
        <w:r w:rsidR="00BE2CA3" w:rsidRPr="006C6566">
          <w:rPr>
            <w:rStyle w:val="Hiperveza"/>
            <w:rFonts w:ascii="Times New Roman" w:hAnsi="Times New Roman"/>
            <w:sz w:val="24"/>
            <w:szCs w:val="24"/>
          </w:rPr>
          <w:t>3.7.6.1</w:t>
        </w:r>
        <w:r w:rsidR="00BE2CA3" w:rsidRPr="006C6566">
          <w:rPr>
            <w:rFonts w:eastAsiaTheme="minorEastAsia"/>
            <w:color w:val="auto"/>
            <w:sz w:val="24"/>
            <w:szCs w:val="24"/>
            <w:lang w:eastAsia="hr-HR" w:bidi="ar-SA"/>
          </w:rPr>
          <w:tab/>
        </w:r>
        <w:r w:rsidR="006C6566">
          <w:rPr>
            <w:rFonts w:eastAsiaTheme="minorEastAsia"/>
            <w:color w:val="auto"/>
            <w:sz w:val="24"/>
            <w:szCs w:val="24"/>
            <w:lang w:eastAsia="hr-HR" w:bidi="ar-SA"/>
          </w:rPr>
          <w:tab/>
        </w:r>
        <w:r w:rsidR="00BE2CA3" w:rsidRPr="006C6566">
          <w:rPr>
            <w:rStyle w:val="Hiperveza"/>
            <w:rFonts w:ascii="Times New Roman" w:hAnsi="Times New Roman"/>
            <w:sz w:val="24"/>
            <w:szCs w:val="24"/>
          </w:rPr>
          <w:t>Rezultati određivanja benzo(a)pirena (BaP) u česticama PM10 – 2015</w:t>
        </w:r>
        <w:r w:rsidR="004C449C">
          <w:rPr>
            <w:rStyle w:val="Hiperveza"/>
            <w:rFonts w:ascii="Times New Roman" w:hAnsi="Times New Roman"/>
            <w:sz w:val="24"/>
            <w:szCs w:val="24"/>
          </w:rPr>
          <w:t>.</w:t>
        </w:r>
        <w:r w:rsidR="00BE2CA3" w:rsidRPr="006C6566">
          <w:rPr>
            <w:webHidden/>
            <w:sz w:val="24"/>
            <w:szCs w:val="24"/>
          </w:rPr>
          <w:tab/>
        </w:r>
        <w:r w:rsidR="00BE2CA3" w:rsidRPr="006C6566">
          <w:rPr>
            <w:webHidden/>
            <w:sz w:val="24"/>
            <w:szCs w:val="24"/>
          </w:rPr>
          <w:fldChar w:fldCharType="begin"/>
        </w:r>
        <w:r w:rsidR="00BE2CA3" w:rsidRPr="006C6566">
          <w:rPr>
            <w:webHidden/>
            <w:sz w:val="24"/>
            <w:szCs w:val="24"/>
          </w:rPr>
          <w:instrText xml:space="preserve"> PAGEREF _Toc64460734 \h </w:instrText>
        </w:r>
        <w:r w:rsidR="00BE2CA3" w:rsidRPr="006C6566">
          <w:rPr>
            <w:webHidden/>
            <w:sz w:val="24"/>
            <w:szCs w:val="24"/>
          </w:rPr>
        </w:r>
        <w:r w:rsidR="00BE2CA3" w:rsidRPr="006C6566">
          <w:rPr>
            <w:webHidden/>
            <w:sz w:val="24"/>
            <w:szCs w:val="24"/>
          </w:rPr>
          <w:fldChar w:fldCharType="separate"/>
        </w:r>
        <w:r w:rsidR="004C449C">
          <w:rPr>
            <w:webHidden/>
            <w:sz w:val="24"/>
            <w:szCs w:val="24"/>
          </w:rPr>
          <w:t>99</w:t>
        </w:r>
        <w:r w:rsidR="00BE2CA3" w:rsidRPr="006C6566">
          <w:rPr>
            <w:webHidden/>
            <w:sz w:val="24"/>
            <w:szCs w:val="24"/>
          </w:rPr>
          <w:fldChar w:fldCharType="end"/>
        </w:r>
      </w:hyperlink>
    </w:p>
    <w:p w14:paraId="1F1F1299" w14:textId="1B702AF2" w:rsidR="00BE2CA3" w:rsidRPr="006C6566" w:rsidRDefault="00EB1E23" w:rsidP="006C6566">
      <w:pPr>
        <w:pStyle w:val="Sadraj4"/>
        <w:rPr>
          <w:rFonts w:eastAsiaTheme="minorEastAsia"/>
          <w:color w:val="auto"/>
          <w:sz w:val="24"/>
          <w:szCs w:val="24"/>
          <w:lang w:eastAsia="hr-HR" w:bidi="ar-SA"/>
        </w:rPr>
      </w:pPr>
      <w:hyperlink w:anchor="_Toc64460735" w:history="1">
        <w:r w:rsidR="00BE2CA3" w:rsidRPr="006C6566">
          <w:rPr>
            <w:rStyle w:val="Hiperveza"/>
            <w:rFonts w:ascii="Times New Roman" w:hAnsi="Times New Roman"/>
            <w:sz w:val="24"/>
            <w:szCs w:val="24"/>
          </w:rPr>
          <w:t>3.7.6.2</w:t>
        </w:r>
        <w:r w:rsidR="00BE2CA3" w:rsidRPr="006C6566">
          <w:rPr>
            <w:rFonts w:eastAsiaTheme="minorEastAsia"/>
            <w:color w:val="auto"/>
            <w:sz w:val="24"/>
            <w:szCs w:val="24"/>
            <w:lang w:eastAsia="hr-HR" w:bidi="ar-SA"/>
          </w:rPr>
          <w:tab/>
        </w:r>
        <w:r w:rsidR="006C6566">
          <w:rPr>
            <w:rFonts w:eastAsiaTheme="minorEastAsia"/>
            <w:color w:val="auto"/>
            <w:sz w:val="24"/>
            <w:szCs w:val="24"/>
            <w:lang w:eastAsia="hr-HR" w:bidi="ar-SA"/>
          </w:rPr>
          <w:tab/>
        </w:r>
        <w:r w:rsidR="00BE2CA3" w:rsidRPr="006C6566">
          <w:rPr>
            <w:rStyle w:val="Hiperveza"/>
            <w:rFonts w:ascii="Times New Roman" w:hAnsi="Times New Roman"/>
            <w:sz w:val="24"/>
            <w:szCs w:val="24"/>
          </w:rPr>
          <w:t>Rezultati određivanja benzo(a)pirena (BaP) u česticama PM10 – 2016</w:t>
        </w:r>
        <w:r w:rsidR="004C449C">
          <w:rPr>
            <w:rStyle w:val="Hiperveza"/>
            <w:rFonts w:ascii="Times New Roman" w:hAnsi="Times New Roman"/>
            <w:sz w:val="24"/>
            <w:szCs w:val="24"/>
          </w:rPr>
          <w:t>.</w:t>
        </w:r>
        <w:r w:rsidR="00BE2CA3" w:rsidRPr="006C6566">
          <w:rPr>
            <w:webHidden/>
            <w:sz w:val="24"/>
            <w:szCs w:val="24"/>
          </w:rPr>
          <w:tab/>
        </w:r>
        <w:r w:rsidR="00BE2CA3" w:rsidRPr="006C6566">
          <w:rPr>
            <w:webHidden/>
            <w:sz w:val="24"/>
            <w:szCs w:val="24"/>
          </w:rPr>
          <w:fldChar w:fldCharType="begin"/>
        </w:r>
        <w:r w:rsidR="00BE2CA3" w:rsidRPr="006C6566">
          <w:rPr>
            <w:webHidden/>
            <w:sz w:val="24"/>
            <w:szCs w:val="24"/>
          </w:rPr>
          <w:instrText xml:space="preserve"> PAGEREF _Toc64460735 \h </w:instrText>
        </w:r>
        <w:r w:rsidR="00BE2CA3" w:rsidRPr="006C6566">
          <w:rPr>
            <w:webHidden/>
            <w:sz w:val="24"/>
            <w:szCs w:val="24"/>
          </w:rPr>
        </w:r>
        <w:r w:rsidR="00BE2CA3" w:rsidRPr="006C6566">
          <w:rPr>
            <w:webHidden/>
            <w:sz w:val="24"/>
            <w:szCs w:val="24"/>
          </w:rPr>
          <w:fldChar w:fldCharType="separate"/>
        </w:r>
        <w:r w:rsidR="004C449C">
          <w:rPr>
            <w:webHidden/>
            <w:sz w:val="24"/>
            <w:szCs w:val="24"/>
          </w:rPr>
          <w:t>99</w:t>
        </w:r>
        <w:r w:rsidR="00BE2CA3" w:rsidRPr="006C6566">
          <w:rPr>
            <w:webHidden/>
            <w:sz w:val="24"/>
            <w:szCs w:val="24"/>
          </w:rPr>
          <w:fldChar w:fldCharType="end"/>
        </w:r>
      </w:hyperlink>
    </w:p>
    <w:p w14:paraId="061936D3" w14:textId="69A95BF2" w:rsidR="00BE2CA3" w:rsidRPr="006C6566" w:rsidRDefault="00EB1E23" w:rsidP="006C6566">
      <w:pPr>
        <w:pStyle w:val="Sadraj4"/>
        <w:rPr>
          <w:rFonts w:eastAsiaTheme="minorEastAsia"/>
          <w:color w:val="auto"/>
          <w:sz w:val="24"/>
          <w:szCs w:val="24"/>
          <w:lang w:eastAsia="hr-HR" w:bidi="ar-SA"/>
        </w:rPr>
      </w:pPr>
      <w:hyperlink w:anchor="_Toc64460736" w:history="1">
        <w:r w:rsidR="00BE2CA3" w:rsidRPr="006C6566">
          <w:rPr>
            <w:rStyle w:val="Hiperveza"/>
            <w:rFonts w:ascii="Times New Roman" w:hAnsi="Times New Roman"/>
            <w:sz w:val="24"/>
            <w:szCs w:val="24"/>
          </w:rPr>
          <w:t>3.7.6.3</w:t>
        </w:r>
        <w:r w:rsidR="00BE2CA3" w:rsidRPr="006C6566">
          <w:rPr>
            <w:rFonts w:eastAsiaTheme="minorEastAsia"/>
            <w:color w:val="auto"/>
            <w:sz w:val="24"/>
            <w:szCs w:val="24"/>
            <w:lang w:eastAsia="hr-HR" w:bidi="ar-SA"/>
          </w:rPr>
          <w:tab/>
        </w:r>
        <w:r w:rsidR="006C6566">
          <w:rPr>
            <w:rFonts w:eastAsiaTheme="minorEastAsia"/>
            <w:color w:val="auto"/>
            <w:sz w:val="24"/>
            <w:szCs w:val="24"/>
            <w:lang w:eastAsia="hr-HR" w:bidi="ar-SA"/>
          </w:rPr>
          <w:tab/>
        </w:r>
        <w:r w:rsidR="00BE2CA3" w:rsidRPr="006C6566">
          <w:rPr>
            <w:rStyle w:val="Hiperveza"/>
            <w:rFonts w:ascii="Times New Roman" w:hAnsi="Times New Roman"/>
            <w:sz w:val="24"/>
            <w:szCs w:val="24"/>
          </w:rPr>
          <w:t>Rezultati određivanja benzo(a)pirena (BaP) u česticama PM10 – 2017</w:t>
        </w:r>
        <w:r w:rsidR="004C449C">
          <w:rPr>
            <w:rStyle w:val="Hiperveza"/>
            <w:rFonts w:ascii="Times New Roman" w:hAnsi="Times New Roman"/>
            <w:sz w:val="24"/>
            <w:szCs w:val="24"/>
          </w:rPr>
          <w:t>.</w:t>
        </w:r>
        <w:r w:rsidR="00BE2CA3" w:rsidRPr="006C6566">
          <w:rPr>
            <w:webHidden/>
            <w:sz w:val="24"/>
            <w:szCs w:val="24"/>
          </w:rPr>
          <w:tab/>
        </w:r>
        <w:r w:rsidR="00BE2CA3" w:rsidRPr="006C6566">
          <w:rPr>
            <w:webHidden/>
            <w:sz w:val="24"/>
            <w:szCs w:val="24"/>
          </w:rPr>
          <w:fldChar w:fldCharType="begin"/>
        </w:r>
        <w:r w:rsidR="00BE2CA3" w:rsidRPr="006C6566">
          <w:rPr>
            <w:webHidden/>
            <w:sz w:val="24"/>
            <w:szCs w:val="24"/>
          </w:rPr>
          <w:instrText xml:space="preserve"> PAGEREF _Toc64460736 \h </w:instrText>
        </w:r>
        <w:r w:rsidR="00BE2CA3" w:rsidRPr="006C6566">
          <w:rPr>
            <w:webHidden/>
            <w:sz w:val="24"/>
            <w:szCs w:val="24"/>
          </w:rPr>
        </w:r>
        <w:r w:rsidR="00BE2CA3" w:rsidRPr="006C6566">
          <w:rPr>
            <w:webHidden/>
            <w:sz w:val="24"/>
            <w:szCs w:val="24"/>
          </w:rPr>
          <w:fldChar w:fldCharType="separate"/>
        </w:r>
        <w:r w:rsidR="004C449C">
          <w:rPr>
            <w:webHidden/>
            <w:sz w:val="24"/>
            <w:szCs w:val="24"/>
          </w:rPr>
          <w:t>99</w:t>
        </w:r>
        <w:r w:rsidR="00BE2CA3" w:rsidRPr="006C6566">
          <w:rPr>
            <w:webHidden/>
            <w:sz w:val="24"/>
            <w:szCs w:val="24"/>
          </w:rPr>
          <w:fldChar w:fldCharType="end"/>
        </w:r>
      </w:hyperlink>
    </w:p>
    <w:p w14:paraId="1058FBD2" w14:textId="48694B75" w:rsidR="00BE2CA3" w:rsidRPr="006C6566" w:rsidRDefault="00EB1E23" w:rsidP="006C6566">
      <w:pPr>
        <w:pStyle w:val="Sadraj4"/>
        <w:rPr>
          <w:rFonts w:eastAsiaTheme="minorEastAsia"/>
          <w:color w:val="auto"/>
          <w:sz w:val="24"/>
          <w:szCs w:val="24"/>
          <w:lang w:eastAsia="hr-HR" w:bidi="ar-SA"/>
        </w:rPr>
      </w:pPr>
      <w:hyperlink w:anchor="_Toc64460737" w:history="1">
        <w:r w:rsidR="00BE2CA3" w:rsidRPr="006C6566">
          <w:rPr>
            <w:rStyle w:val="Hiperveza"/>
            <w:rFonts w:ascii="Times New Roman" w:hAnsi="Times New Roman"/>
            <w:sz w:val="24"/>
            <w:szCs w:val="24"/>
          </w:rPr>
          <w:t>3.7.6.4</w:t>
        </w:r>
        <w:r w:rsidR="00BE2CA3" w:rsidRPr="006C6566">
          <w:rPr>
            <w:rFonts w:eastAsiaTheme="minorEastAsia"/>
            <w:color w:val="auto"/>
            <w:sz w:val="24"/>
            <w:szCs w:val="24"/>
            <w:lang w:eastAsia="hr-HR" w:bidi="ar-SA"/>
          </w:rPr>
          <w:tab/>
        </w:r>
        <w:r w:rsidR="006C6566">
          <w:rPr>
            <w:rFonts w:eastAsiaTheme="minorEastAsia"/>
            <w:color w:val="auto"/>
            <w:sz w:val="24"/>
            <w:szCs w:val="24"/>
            <w:lang w:eastAsia="hr-HR" w:bidi="ar-SA"/>
          </w:rPr>
          <w:tab/>
        </w:r>
        <w:r w:rsidR="00BE2CA3" w:rsidRPr="006C6566">
          <w:rPr>
            <w:rStyle w:val="Hiperveza"/>
            <w:rFonts w:ascii="Times New Roman" w:hAnsi="Times New Roman"/>
            <w:sz w:val="24"/>
            <w:szCs w:val="24"/>
          </w:rPr>
          <w:t>Rezultati određivanja benzo(a)pirena (BaP) u česticama PM10 – 2018</w:t>
        </w:r>
        <w:r w:rsidR="004C449C">
          <w:rPr>
            <w:rStyle w:val="Hiperveza"/>
            <w:rFonts w:ascii="Times New Roman" w:hAnsi="Times New Roman"/>
            <w:sz w:val="24"/>
            <w:szCs w:val="24"/>
          </w:rPr>
          <w:t>.</w:t>
        </w:r>
        <w:r w:rsidR="00BE2CA3" w:rsidRPr="006C6566">
          <w:rPr>
            <w:webHidden/>
            <w:sz w:val="24"/>
            <w:szCs w:val="24"/>
          </w:rPr>
          <w:tab/>
        </w:r>
        <w:r w:rsidR="00BE2CA3" w:rsidRPr="006C6566">
          <w:rPr>
            <w:webHidden/>
            <w:sz w:val="24"/>
            <w:szCs w:val="24"/>
          </w:rPr>
          <w:fldChar w:fldCharType="begin"/>
        </w:r>
        <w:r w:rsidR="00BE2CA3" w:rsidRPr="006C6566">
          <w:rPr>
            <w:webHidden/>
            <w:sz w:val="24"/>
            <w:szCs w:val="24"/>
          </w:rPr>
          <w:instrText xml:space="preserve"> PAGEREF _Toc64460737 \h </w:instrText>
        </w:r>
        <w:r w:rsidR="00BE2CA3" w:rsidRPr="006C6566">
          <w:rPr>
            <w:webHidden/>
            <w:sz w:val="24"/>
            <w:szCs w:val="24"/>
          </w:rPr>
        </w:r>
        <w:r w:rsidR="00BE2CA3" w:rsidRPr="006C6566">
          <w:rPr>
            <w:webHidden/>
            <w:sz w:val="24"/>
            <w:szCs w:val="24"/>
          </w:rPr>
          <w:fldChar w:fldCharType="separate"/>
        </w:r>
        <w:r w:rsidR="004C449C">
          <w:rPr>
            <w:webHidden/>
            <w:sz w:val="24"/>
            <w:szCs w:val="24"/>
          </w:rPr>
          <w:t>99</w:t>
        </w:r>
        <w:r w:rsidR="00BE2CA3" w:rsidRPr="006C6566">
          <w:rPr>
            <w:webHidden/>
            <w:sz w:val="24"/>
            <w:szCs w:val="24"/>
          </w:rPr>
          <w:fldChar w:fldCharType="end"/>
        </w:r>
      </w:hyperlink>
    </w:p>
    <w:p w14:paraId="40C15F7C" w14:textId="6725E76E" w:rsidR="00BE2CA3" w:rsidRPr="006C6566" w:rsidRDefault="00EB1E23" w:rsidP="006C6566">
      <w:pPr>
        <w:pStyle w:val="Sadraj4"/>
        <w:rPr>
          <w:rFonts w:eastAsiaTheme="minorEastAsia"/>
          <w:color w:val="auto"/>
          <w:sz w:val="24"/>
          <w:szCs w:val="24"/>
          <w:lang w:eastAsia="hr-HR" w:bidi="ar-SA"/>
        </w:rPr>
      </w:pPr>
      <w:hyperlink w:anchor="_Toc64460738" w:history="1">
        <w:r w:rsidR="00BE2CA3" w:rsidRPr="006C6566">
          <w:rPr>
            <w:rStyle w:val="Hiperveza"/>
            <w:rFonts w:ascii="Times New Roman" w:hAnsi="Times New Roman"/>
            <w:sz w:val="24"/>
            <w:szCs w:val="24"/>
          </w:rPr>
          <w:t>3.7.6.5</w:t>
        </w:r>
        <w:r w:rsidR="00BE2CA3" w:rsidRPr="006C6566">
          <w:rPr>
            <w:rFonts w:eastAsiaTheme="minorEastAsia"/>
            <w:color w:val="auto"/>
            <w:sz w:val="24"/>
            <w:szCs w:val="24"/>
            <w:lang w:eastAsia="hr-HR" w:bidi="ar-SA"/>
          </w:rPr>
          <w:tab/>
        </w:r>
        <w:r w:rsidR="006C6566">
          <w:rPr>
            <w:rFonts w:eastAsiaTheme="minorEastAsia"/>
            <w:color w:val="auto"/>
            <w:sz w:val="24"/>
            <w:szCs w:val="24"/>
            <w:lang w:eastAsia="hr-HR" w:bidi="ar-SA"/>
          </w:rPr>
          <w:tab/>
        </w:r>
        <w:r w:rsidR="00BE2CA3" w:rsidRPr="006C6566">
          <w:rPr>
            <w:rStyle w:val="Hiperveza"/>
            <w:rFonts w:ascii="Times New Roman" w:hAnsi="Times New Roman"/>
            <w:sz w:val="24"/>
            <w:szCs w:val="24"/>
          </w:rPr>
          <w:t>Rezultati određivanja benzo(a)pirena (BaP) u česticama PM10 – 2019</w:t>
        </w:r>
        <w:r w:rsidR="004C449C">
          <w:rPr>
            <w:rStyle w:val="Hiperveza"/>
            <w:rFonts w:ascii="Times New Roman" w:hAnsi="Times New Roman"/>
            <w:sz w:val="24"/>
            <w:szCs w:val="24"/>
          </w:rPr>
          <w:t>.</w:t>
        </w:r>
        <w:r w:rsidR="00BE2CA3" w:rsidRPr="006C6566">
          <w:rPr>
            <w:webHidden/>
            <w:sz w:val="24"/>
            <w:szCs w:val="24"/>
          </w:rPr>
          <w:tab/>
        </w:r>
        <w:r w:rsidR="00BE2CA3" w:rsidRPr="006C6566">
          <w:rPr>
            <w:webHidden/>
            <w:sz w:val="24"/>
            <w:szCs w:val="24"/>
          </w:rPr>
          <w:fldChar w:fldCharType="begin"/>
        </w:r>
        <w:r w:rsidR="00BE2CA3" w:rsidRPr="006C6566">
          <w:rPr>
            <w:webHidden/>
            <w:sz w:val="24"/>
            <w:szCs w:val="24"/>
          </w:rPr>
          <w:instrText xml:space="preserve"> PAGEREF _Toc64460738 \h </w:instrText>
        </w:r>
        <w:r w:rsidR="00BE2CA3" w:rsidRPr="006C6566">
          <w:rPr>
            <w:webHidden/>
            <w:sz w:val="24"/>
            <w:szCs w:val="24"/>
          </w:rPr>
        </w:r>
        <w:r w:rsidR="00BE2CA3" w:rsidRPr="006C6566">
          <w:rPr>
            <w:webHidden/>
            <w:sz w:val="24"/>
            <w:szCs w:val="24"/>
          </w:rPr>
          <w:fldChar w:fldCharType="separate"/>
        </w:r>
        <w:r w:rsidR="004C449C">
          <w:rPr>
            <w:webHidden/>
            <w:sz w:val="24"/>
            <w:szCs w:val="24"/>
          </w:rPr>
          <w:t>99</w:t>
        </w:r>
        <w:r w:rsidR="00BE2CA3" w:rsidRPr="006C6566">
          <w:rPr>
            <w:webHidden/>
            <w:sz w:val="24"/>
            <w:szCs w:val="24"/>
          </w:rPr>
          <w:fldChar w:fldCharType="end"/>
        </w:r>
      </w:hyperlink>
    </w:p>
    <w:p w14:paraId="5578FABA" w14:textId="63B11A32" w:rsidR="00BE2CA3" w:rsidRPr="006C6566" w:rsidRDefault="00EB1E23" w:rsidP="006C6566">
      <w:pPr>
        <w:pStyle w:val="Sadraj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739" w:history="1">
        <w:r w:rsidR="00BE2CA3" w:rsidRPr="006C6566">
          <w:rPr>
            <w:rStyle w:val="Hiperveza"/>
            <w:rFonts w:ascii="Times New Roman" w:hAnsi="Times New Roman" w:cs="Times New Roman"/>
            <w:noProof/>
            <w:sz w:val="24"/>
            <w:lang w:bidi="en-US"/>
          </w:rPr>
          <w:t>3.7.7</w:t>
        </w:r>
        <w:r w:rsidR="00BE2CA3" w:rsidRPr="006C6566">
          <w:rPr>
            <w:rFonts w:ascii="Times New Roman" w:eastAsiaTheme="minorEastAsia" w:hAnsi="Times New Roman" w:cs="Times New Roman"/>
            <w:smallCaps w:val="0"/>
            <w:noProof/>
            <w:color w:val="auto"/>
            <w:sz w:val="24"/>
            <w:lang w:eastAsia="hr-HR"/>
          </w:rPr>
          <w:tab/>
        </w:r>
        <w:r w:rsidR="00BE2CA3" w:rsidRPr="006C6566">
          <w:rPr>
            <w:rStyle w:val="Hiperveza"/>
            <w:rFonts w:ascii="Times New Roman" w:hAnsi="Times New Roman" w:cs="Times New Roman"/>
            <w:noProof/>
            <w:sz w:val="24"/>
            <w:lang w:bidi="en-US"/>
          </w:rPr>
          <w:t>PRIJAVLJENE EMISIJE POPs-ova U BAZU REGISTAR ONEČIŠĆAVANJA OKOLIŠA (ROO) I PRIJAVLJENE KOLIČINE U BAZU REGISTAR POSTROJENJA U KOJIMA SU PRISUTNE OPASNE TVARI/OČEVIDNIK PRIJAVLJENIH VELIKIH NESREĆA (RPOT/OPVN)</w:t>
        </w:r>
        <w:r w:rsidR="00BE2CA3" w:rsidRPr="006C6566">
          <w:rPr>
            <w:rFonts w:ascii="Times New Roman" w:hAnsi="Times New Roman" w:cs="Times New Roman"/>
            <w:noProof/>
            <w:webHidden/>
            <w:sz w:val="24"/>
          </w:rPr>
          <w:tab/>
        </w:r>
        <w:r w:rsidR="00BE2CA3" w:rsidRPr="006C6566">
          <w:rPr>
            <w:rFonts w:ascii="Times New Roman" w:hAnsi="Times New Roman" w:cs="Times New Roman"/>
            <w:noProof/>
            <w:webHidden/>
            <w:sz w:val="24"/>
          </w:rPr>
          <w:fldChar w:fldCharType="begin"/>
        </w:r>
        <w:r w:rsidR="00BE2CA3" w:rsidRPr="006C6566">
          <w:rPr>
            <w:rFonts w:ascii="Times New Roman" w:hAnsi="Times New Roman" w:cs="Times New Roman"/>
            <w:noProof/>
            <w:webHidden/>
            <w:sz w:val="24"/>
          </w:rPr>
          <w:instrText xml:space="preserve"> PAGEREF _Toc64460739 \h </w:instrText>
        </w:r>
        <w:r w:rsidR="00BE2CA3" w:rsidRPr="006C6566">
          <w:rPr>
            <w:rFonts w:ascii="Times New Roman" w:hAnsi="Times New Roman" w:cs="Times New Roman"/>
            <w:noProof/>
            <w:webHidden/>
            <w:sz w:val="24"/>
          </w:rPr>
        </w:r>
        <w:r w:rsidR="00BE2CA3" w:rsidRPr="006C6566">
          <w:rPr>
            <w:rFonts w:ascii="Times New Roman" w:hAnsi="Times New Roman" w:cs="Times New Roman"/>
            <w:noProof/>
            <w:webHidden/>
            <w:sz w:val="24"/>
          </w:rPr>
          <w:fldChar w:fldCharType="separate"/>
        </w:r>
        <w:r w:rsidR="004C449C">
          <w:rPr>
            <w:rFonts w:ascii="Times New Roman" w:hAnsi="Times New Roman" w:cs="Times New Roman"/>
            <w:noProof/>
            <w:webHidden/>
            <w:sz w:val="24"/>
          </w:rPr>
          <w:t>100</w:t>
        </w:r>
        <w:r w:rsidR="00BE2CA3" w:rsidRPr="006C6566">
          <w:rPr>
            <w:rFonts w:ascii="Times New Roman" w:hAnsi="Times New Roman" w:cs="Times New Roman"/>
            <w:noProof/>
            <w:webHidden/>
            <w:sz w:val="24"/>
          </w:rPr>
          <w:fldChar w:fldCharType="end"/>
        </w:r>
      </w:hyperlink>
    </w:p>
    <w:p w14:paraId="1D3793E1" w14:textId="68C49DAC" w:rsidR="00BE2CA3" w:rsidRPr="006C6566" w:rsidRDefault="00EB1E23" w:rsidP="006C6566">
      <w:pPr>
        <w:pStyle w:val="Sadraj4"/>
        <w:rPr>
          <w:rFonts w:eastAsiaTheme="minorEastAsia"/>
          <w:color w:val="auto"/>
          <w:sz w:val="24"/>
          <w:szCs w:val="24"/>
          <w:lang w:eastAsia="hr-HR" w:bidi="ar-SA"/>
        </w:rPr>
      </w:pPr>
      <w:hyperlink w:anchor="_Toc64460740" w:history="1">
        <w:r w:rsidR="00BE2CA3" w:rsidRPr="006C6566">
          <w:rPr>
            <w:rStyle w:val="Hiperveza"/>
            <w:rFonts w:ascii="Times New Roman" w:hAnsi="Times New Roman"/>
            <w:sz w:val="24"/>
            <w:szCs w:val="24"/>
          </w:rPr>
          <w:t>3.7.7.1</w:t>
        </w:r>
        <w:r w:rsidR="00BE2CA3" w:rsidRPr="006C6566">
          <w:rPr>
            <w:rFonts w:eastAsiaTheme="minorEastAsia"/>
            <w:color w:val="auto"/>
            <w:sz w:val="24"/>
            <w:szCs w:val="24"/>
            <w:lang w:eastAsia="hr-HR" w:bidi="ar-SA"/>
          </w:rPr>
          <w:tab/>
        </w:r>
        <w:r w:rsidR="006C6566">
          <w:rPr>
            <w:rFonts w:eastAsiaTheme="minorEastAsia"/>
            <w:color w:val="auto"/>
            <w:sz w:val="24"/>
            <w:szCs w:val="24"/>
            <w:lang w:eastAsia="hr-HR" w:bidi="ar-SA"/>
          </w:rPr>
          <w:tab/>
        </w:r>
        <w:r w:rsidR="00BE2CA3" w:rsidRPr="006C6566">
          <w:rPr>
            <w:rStyle w:val="Hiperveza"/>
            <w:rFonts w:ascii="Times New Roman" w:hAnsi="Times New Roman"/>
            <w:sz w:val="24"/>
            <w:szCs w:val="24"/>
          </w:rPr>
          <w:t>Količine POPs-ova u zrak prema podacima baze RPOT/OPVN</w:t>
        </w:r>
        <w:r w:rsidR="00BE2CA3" w:rsidRPr="006C6566">
          <w:rPr>
            <w:webHidden/>
            <w:sz w:val="24"/>
            <w:szCs w:val="24"/>
          </w:rPr>
          <w:tab/>
        </w:r>
        <w:r w:rsidR="00BE2CA3" w:rsidRPr="006C6566">
          <w:rPr>
            <w:webHidden/>
            <w:sz w:val="24"/>
            <w:szCs w:val="24"/>
          </w:rPr>
          <w:fldChar w:fldCharType="begin"/>
        </w:r>
        <w:r w:rsidR="00BE2CA3" w:rsidRPr="006C6566">
          <w:rPr>
            <w:webHidden/>
            <w:sz w:val="24"/>
            <w:szCs w:val="24"/>
          </w:rPr>
          <w:instrText xml:space="preserve"> PAGEREF _Toc64460740 \h </w:instrText>
        </w:r>
        <w:r w:rsidR="00BE2CA3" w:rsidRPr="006C6566">
          <w:rPr>
            <w:webHidden/>
            <w:sz w:val="24"/>
            <w:szCs w:val="24"/>
          </w:rPr>
        </w:r>
        <w:r w:rsidR="00BE2CA3" w:rsidRPr="006C6566">
          <w:rPr>
            <w:webHidden/>
            <w:sz w:val="24"/>
            <w:szCs w:val="24"/>
          </w:rPr>
          <w:fldChar w:fldCharType="separate"/>
        </w:r>
        <w:r w:rsidR="004C449C">
          <w:rPr>
            <w:webHidden/>
            <w:sz w:val="24"/>
            <w:szCs w:val="24"/>
          </w:rPr>
          <w:t>100</w:t>
        </w:r>
        <w:r w:rsidR="00BE2CA3" w:rsidRPr="006C6566">
          <w:rPr>
            <w:webHidden/>
            <w:sz w:val="24"/>
            <w:szCs w:val="24"/>
          </w:rPr>
          <w:fldChar w:fldCharType="end"/>
        </w:r>
      </w:hyperlink>
    </w:p>
    <w:p w14:paraId="7830DE33" w14:textId="20840E17" w:rsidR="00BE2CA3" w:rsidRPr="006C6566" w:rsidRDefault="00EB1E23" w:rsidP="006C6566">
      <w:pPr>
        <w:pStyle w:val="Sadraj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741" w:history="1">
        <w:r w:rsidR="00BE2CA3" w:rsidRPr="006C6566">
          <w:rPr>
            <w:rStyle w:val="Hiperveza"/>
            <w:rFonts w:ascii="Times New Roman" w:hAnsi="Times New Roman" w:cs="Times New Roman"/>
            <w:noProof/>
            <w:sz w:val="24"/>
            <w:lang w:bidi="en-US"/>
          </w:rPr>
          <w:t>3.7.8</w:t>
        </w:r>
        <w:r w:rsidR="00BE2CA3" w:rsidRPr="006C6566">
          <w:rPr>
            <w:rFonts w:ascii="Times New Roman" w:eastAsiaTheme="minorEastAsia" w:hAnsi="Times New Roman" w:cs="Times New Roman"/>
            <w:smallCaps w:val="0"/>
            <w:noProof/>
            <w:color w:val="auto"/>
            <w:sz w:val="24"/>
            <w:lang w:eastAsia="hr-HR"/>
          </w:rPr>
          <w:tab/>
        </w:r>
        <w:r w:rsidR="00BE2CA3" w:rsidRPr="006C6566">
          <w:rPr>
            <w:rStyle w:val="Hiperveza"/>
            <w:rFonts w:ascii="Times New Roman" w:hAnsi="Times New Roman" w:cs="Times New Roman"/>
            <w:noProof/>
            <w:sz w:val="24"/>
            <w:lang w:bidi="en-US"/>
          </w:rPr>
          <w:t>MONITORING OSTATAKA PESTICIDA KOJI SU UJEDNO I POPS-OVI NA PROIZVODIMA BILJNOG I ŽIVOTINJSKOG PODRIJETLA</w:t>
        </w:r>
        <w:r w:rsidR="00BE2CA3" w:rsidRPr="006C6566">
          <w:rPr>
            <w:rFonts w:ascii="Times New Roman" w:hAnsi="Times New Roman" w:cs="Times New Roman"/>
            <w:noProof/>
            <w:webHidden/>
            <w:sz w:val="24"/>
          </w:rPr>
          <w:tab/>
        </w:r>
        <w:r w:rsidR="00BE2CA3" w:rsidRPr="006C6566">
          <w:rPr>
            <w:rFonts w:ascii="Times New Roman" w:hAnsi="Times New Roman" w:cs="Times New Roman"/>
            <w:noProof/>
            <w:webHidden/>
            <w:sz w:val="24"/>
          </w:rPr>
          <w:fldChar w:fldCharType="begin"/>
        </w:r>
        <w:r w:rsidR="00BE2CA3" w:rsidRPr="006C6566">
          <w:rPr>
            <w:rFonts w:ascii="Times New Roman" w:hAnsi="Times New Roman" w:cs="Times New Roman"/>
            <w:noProof/>
            <w:webHidden/>
            <w:sz w:val="24"/>
          </w:rPr>
          <w:instrText xml:space="preserve"> PAGEREF _Toc64460741 \h </w:instrText>
        </w:r>
        <w:r w:rsidR="00BE2CA3" w:rsidRPr="006C6566">
          <w:rPr>
            <w:rFonts w:ascii="Times New Roman" w:hAnsi="Times New Roman" w:cs="Times New Roman"/>
            <w:noProof/>
            <w:webHidden/>
            <w:sz w:val="24"/>
          </w:rPr>
        </w:r>
        <w:r w:rsidR="00BE2CA3" w:rsidRPr="006C6566">
          <w:rPr>
            <w:rFonts w:ascii="Times New Roman" w:hAnsi="Times New Roman" w:cs="Times New Roman"/>
            <w:noProof/>
            <w:webHidden/>
            <w:sz w:val="24"/>
          </w:rPr>
          <w:fldChar w:fldCharType="separate"/>
        </w:r>
        <w:r w:rsidR="004C449C">
          <w:rPr>
            <w:rFonts w:ascii="Times New Roman" w:hAnsi="Times New Roman" w:cs="Times New Roman"/>
            <w:noProof/>
            <w:webHidden/>
            <w:sz w:val="24"/>
          </w:rPr>
          <w:t>100</w:t>
        </w:r>
        <w:r w:rsidR="00BE2CA3" w:rsidRPr="006C6566">
          <w:rPr>
            <w:rFonts w:ascii="Times New Roman" w:hAnsi="Times New Roman" w:cs="Times New Roman"/>
            <w:noProof/>
            <w:webHidden/>
            <w:sz w:val="24"/>
          </w:rPr>
          <w:fldChar w:fldCharType="end"/>
        </w:r>
      </w:hyperlink>
    </w:p>
    <w:p w14:paraId="05C944F7" w14:textId="259DBB3C" w:rsidR="00BE2CA3" w:rsidRPr="006C6566" w:rsidRDefault="00EB1E23" w:rsidP="006C6566">
      <w:pPr>
        <w:pStyle w:val="Sadraj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742" w:history="1">
        <w:r w:rsidR="00BE2CA3" w:rsidRPr="006C6566">
          <w:rPr>
            <w:rStyle w:val="Hiperveza"/>
            <w:rFonts w:ascii="Times New Roman" w:hAnsi="Times New Roman" w:cs="Times New Roman"/>
            <w:noProof/>
            <w:sz w:val="24"/>
            <w:lang w:bidi="en-US"/>
          </w:rPr>
          <w:t>3.7.9</w:t>
        </w:r>
        <w:r w:rsidR="00BE2CA3" w:rsidRPr="006C6566">
          <w:rPr>
            <w:rFonts w:ascii="Times New Roman" w:eastAsiaTheme="minorEastAsia" w:hAnsi="Times New Roman" w:cs="Times New Roman"/>
            <w:smallCaps w:val="0"/>
            <w:noProof/>
            <w:color w:val="auto"/>
            <w:sz w:val="24"/>
            <w:lang w:eastAsia="hr-HR"/>
          </w:rPr>
          <w:tab/>
        </w:r>
        <w:r w:rsidR="00BE2CA3" w:rsidRPr="006C6566">
          <w:rPr>
            <w:rStyle w:val="Hiperveza"/>
            <w:rFonts w:ascii="Times New Roman" w:hAnsi="Times New Roman" w:cs="Times New Roman"/>
            <w:noProof/>
            <w:sz w:val="24"/>
            <w:lang w:bidi="en-US"/>
          </w:rPr>
          <w:t>PRAĆENJE STANJA OSTATAKA PESTICIDA U I NA HRANI</w:t>
        </w:r>
        <w:r w:rsidR="00BE2CA3" w:rsidRPr="006C6566">
          <w:rPr>
            <w:rFonts w:ascii="Times New Roman" w:hAnsi="Times New Roman" w:cs="Times New Roman"/>
            <w:noProof/>
            <w:webHidden/>
            <w:sz w:val="24"/>
          </w:rPr>
          <w:tab/>
        </w:r>
        <w:r w:rsidR="00BE2CA3" w:rsidRPr="006C6566">
          <w:rPr>
            <w:rFonts w:ascii="Times New Roman" w:hAnsi="Times New Roman" w:cs="Times New Roman"/>
            <w:noProof/>
            <w:webHidden/>
            <w:sz w:val="24"/>
          </w:rPr>
          <w:fldChar w:fldCharType="begin"/>
        </w:r>
        <w:r w:rsidR="00BE2CA3" w:rsidRPr="006C6566">
          <w:rPr>
            <w:rFonts w:ascii="Times New Roman" w:hAnsi="Times New Roman" w:cs="Times New Roman"/>
            <w:noProof/>
            <w:webHidden/>
            <w:sz w:val="24"/>
          </w:rPr>
          <w:instrText xml:space="preserve"> PAGEREF _Toc64460742 \h </w:instrText>
        </w:r>
        <w:r w:rsidR="00BE2CA3" w:rsidRPr="006C6566">
          <w:rPr>
            <w:rFonts w:ascii="Times New Roman" w:hAnsi="Times New Roman" w:cs="Times New Roman"/>
            <w:noProof/>
            <w:webHidden/>
            <w:sz w:val="24"/>
          </w:rPr>
        </w:r>
        <w:r w:rsidR="00BE2CA3" w:rsidRPr="006C6566">
          <w:rPr>
            <w:rFonts w:ascii="Times New Roman" w:hAnsi="Times New Roman" w:cs="Times New Roman"/>
            <w:noProof/>
            <w:webHidden/>
            <w:sz w:val="24"/>
          </w:rPr>
          <w:fldChar w:fldCharType="separate"/>
        </w:r>
        <w:r w:rsidR="004C449C">
          <w:rPr>
            <w:rFonts w:ascii="Times New Roman" w:hAnsi="Times New Roman" w:cs="Times New Roman"/>
            <w:noProof/>
            <w:webHidden/>
            <w:sz w:val="24"/>
          </w:rPr>
          <w:t>101</w:t>
        </w:r>
        <w:r w:rsidR="00BE2CA3" w:rsidRPr="006C6566">
          <w:rPr>
            <w:rFonts w:ascii="Times New Roman" w:hAnsi="Times New Roman" w:cs="Times New Roman"/>
            <w:noProof/>
            <w:webHidden/>
            <w:sz w:val="24"/>
          </w:rPr>
          <w:fldChar w:fldCharType="end"/>
        </w:r>
      </w:hyperlink>
    </w:p>
    <w:p w14:paraId="156763B7" w14:textId="0890245B" w:rsidR="00BE2CA3" w:rsidRPr="006C6566" w:rsidRDefault="00EB1E23" w:rsidP="006C6566">
      <w:pPr>
        <w:pStyle w:val="Sadraj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743" w:history="1">
        <w:r w:rsidR="00BE2CA3" w:rsidRPr="006C6566">
          <w:rPr>
            <w:rStyle w:val="Hiperveza"/>
            <w:rFonts w:ascii="Times New Roman" w:hAnsi="Times New Roman" w:cs="Times New Roman"/>
            <w:noProof/>
            <w:sz w:val="24"/>
            <w:lang w:bidi="en-US"/>
          </w:rPr>
          <w:t>3.7.10</w:t>
        </w:r>
        <w:r w:rsidR="00BE2CA3" w:rsidRPr="006C6566">
          <w:rPr>
            <w:rFonts w:ascii="Times New Roman" w:eastAsiaTheme="minorEastAsia" w:hAnsi="Times New Roman" w:cs="Times New Roman"/>
            <w:smallCaps w:val="0"/>
            <w:noProof/>
            <w:color w:val="auto"/>
            <w:sz w:val="24"/>
            <w:lang w:eastAsia="hr-HR"/>
          </w:rPr>
          <w:tab/>
        </w:r>
        <w:r w:rsidR="00BE2CA3" w:rsidRPr="006C6566">
          <w:rPr>
            <w:rStyle w:val="Hiperveza"/>
            <w:rFonts w:ascii="Times New Roman" w:hAnsi="Times New Roman" w:cs="Times New Roman"/>
            <w:noProof/>
            <w:sz w:val="24"/>
            <w:lang w:bidi="en-US"/>
          </w:rPr>
          <w:t>MONITORING OSTATAKA POPS-OVA U LJUDSKOM MLIJEKU DOJILJA</w:t>
        </w:r>
        <w:r w:rsidR="00BE2CA3" w:rsidRPr="006C6566">
          <w:rPr>
            <w:rFonts w:ascii="Times New Roman" w:hAnsi="Times New Roman" w:cs="Times New Roman"/>
            <w:noProof/>
            <w:webHidden/>
            <w:sz w:val="24"/>
          </w:rPr>
          <w:tab/>
        </w:r>
        <w:r w:rsidR="00BE2CA3" w:rsidRPr="006C6566">
          <w:rPr>
            <w:rFonts w:ascii="Times New Roman" w:hAnsi="Times New Roman" w:cs="Times New Roman"/>
            <w:noProof/>
            <w:webHidden/>
            <w:sz w:val="24"/>
          </w:rPr>
          <w:fldChar w:fldCharType="begin"/>
        </w:r>
        <w:r w:rsidR="00BE2CA3" w:rsidRPr="006C6566">
          <w:rPr>
            <w:rFonts w:ascii="Times New Roman" w:hAnsi="Times New Roman" w:cs="Times New Roman"/>
            <w:noProof/>
            <w:webHidden/>
            <w:sz w:val="24"/>
          </w:rPr>
          <w:instrText xml:space="preserve"> PAGEREF _Toc64460743 \h </w:instrText>
        </w:r>
        <w:r w:rsidR="00BE2CA3" w:rsidRPr="006C6566">
          <w:rPr>
            <w:rFonts w:ascii="Times New Roman" w:hAnsi="Times New Roman" w:cs="Times New Roman"/>
            <w:noProof/>
            <w:webHidden/>
            <w:sz w:val="24"/>
          </w:rPr>
        </w:r>
        <w:r w:rsidR="00BE2CA3" w:rsidRPr="006C6566">
          <w:rPr>
            <w:rFonts w:ascii="Times New Roman" w:hAnsi="Times New Roman" w:cs="Times New Roman"/>
            <w:noProof/>
            <w:webHidden/>
            <w:sz w:val="24"/>
          </w:rPr>
          <w:fldChar w:fldCharType="separate"/>
        </w:r>
        <w:r w:rsidR="004C449C">
          <w:rPr>
            <w:rFonts w:ascii="Times New Roman" w:hAnsi="Times New Roman" w:cs="Times New Roman"/>
            <w:noProof/>
            <w:webHidden/>
            <w:sz w:val="24"/>
          </w:rPr>
          <w:t>102</w:t>
        </w:r>
        <w:r w:rsidR="00BE2CA3" w:rsidRPr="006C6566">
          <w:rPr>
            <w:rFonts w:ascii="Times New Roman" w:hAnsi="Times New Roman" w:cs="Times New Roman"/>
            <w:noProof/>
            <w:webHidden/>
            <w:sz w:val="24"/>
          </w:rPr>
          <w:fldChar w:fldCharType="end"/>
        </w:r>
      </w:hyperlink>
    </w:p>
    <w:p w14:paraId="3A692EDC" w14:textId="43B876E4" w:rsidR="00BE2CA3" w:rsidRPr="006C6566" w:rsidRDefault="00EB1E23" w:rsidP="006C6566">
      <w:pPr>
        <w:pStyle w:val="Sadraj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744" w:history="1">
        <w:r w:rsidR="00BE2CA3" w:rsidRPr="006C6566">
          <w:rPr>
            <w:rStyle w:val="Hiperveza"/>
            <w:rFonts w:ascii="Times New Roman" w:hAnsi="Times New Roman" w:cs="Times New Roman"/>
            <w:noProof/>
            <w:sz w:val="24"/>
            <w:lang w:bidi="en-US"/>
          </w:rPr>
          <w:t>3.7.11</w:t>
        </w:r>
        <w:r w:rsidR="00BE2CA3" w:rsidRPr="006C6566">
          <w:rPr>
            <w:rFonts w:ascii="Times New Roman" w:eastAsiaTheme="minorEastAsia" w:hAnsi="Times New Roman" w:cs="Times New Roman"/>
            <w:smallCaps w:val="0"/>
            <w:noProof/>
            <w:color w:val="auto"/>
            <w:sz w:val="24"/>
            <w:lang w:eastAsia="hr-HR"/>
          </w:rPr>
          <w:tab/>
        </w:r>
        <w:r w:rsidR="00BE2CA3" w:rsidRPr="006C6566">
          <w:rPr>
            <w:rStyle w:val="Hiperveza"/>
            <w:rFonts w:ascii="Times New Roman" w:hAnsi="Times New Roman" w:cs="Times New Roman"/>
            <w:noProof/>
            <w:sz w:val="24"/>
            <w:lang w:bidi="en-US"/>
          </w:rPr>
          <w:t>MONITORING REZIDUA – OSTALI IZVORI</w:t>
        </w:r>
        <w:r w:rsidR="00BE2CA3" w:rsidRPr="006C6566">
          <w:rPr>
            <w:rFonts w:ascii="Times New Roman" w:hAnsi="Times New Roman" w:cs="Times New Roman"/>
            <w:noProof/>
            <w:webHidden/>
            <w:sz w:val="24"/>
          </w:rPr>
          <w:tab/>
        </w:r>
        <w:r w:rsidR="00BE2CA3" w:rsidRPr="006C6566">
          <w:rPr>
            <w:rFonts w:ascii="Times New Roman" w:hAnsi="Times New Roman" w:cs="Times New Roman"/>
            <w:noProof/>
            <w:webHidden/>
            <w:sz w:val="24"/>
          </w:rPr>
          <w:fldChar w:fldCharType="begin"/>
        </w:r>
        <w:r w:rsidR="00BE2CA3" w:rsidRPr="006C6566">
          <w:rPr>
            <w:rFonts w:ascii="Times New Roman" w:hAnsi="Times New Roman" w:cs="Times New Roman"/>
            <w:noProof/>
            <w:webHidden/>
            <w:sz w:val="24"/>
          </w:rPr>
          <w:instrText xml:space="preserve"> PAGEREF _Toc64460744 \h </w:instrText>
        </w:r>
        <w:r w:rsidR="00BE2CA3" w:rsidRPr="006C6566">
          <w:rPr>
            <w:rFonts w:ascii="Times New Roman" w:hAnsi="Times New Roman" w:cs="Times New Roman"/>
            <w:noProof/>
            <w:webHidden/>
            <w:sz w:val="24"/>
          </w:rPr>
        </w:r>
        <w:r w:rsidR="00BE2CA3" w:rsidRPr="006C6566">
          <w:rPr>
            <w:rFonts w:ascii="Times New Roman" w:hAnsi="Times New Roman" w:cs="Times New Roman"/>
            <w:noProof/>
            <w:webHidden/>
            <w:sz w:val="24"/>
          </w:rPr>
          <w:fldChar w:fldCharType="separate"/>
        </w:r>
        <w:r w:rsidR="004C449C">
          <w:rPr>
            <w:rFonts w:ascii="Times New Roman" w:hAnsi="Times New Roman" w:cs="Times New Roman"/>
            <w:noProof/>
            <w:webHidden/>
            <w:sz w:val="24"/>
          </w:rPr>
          <w:t>103</w:t>
        </w:r>
        <w:r w:rsidR="00BE2CA3" w:rsidRPr="006C6566">
          <w:rPr>
            <w:rFonts w:ascii="Times New Roman" w:hAnsi="Times New Roman" w:cs="Times New Roman"/>
            <w:noProof/>
            <w:webHidden/>
            <w:sz w:val="24"/>
          </w:rPr>
          <w:fldChar w:fldCharType="end"/>
        </w:r>
      </w:hyperlink>
    </w:p>
    <w:p w14:paraId="70377D6B" w14:textId="449A0C58" w:rsidR="00BE2CA3" w:rsidRPr="006C6566" w:rsidRDefault="00EB1E23" w:rsidP="006C6566">
      <w:pPr>
        <w:pStyle w:val="Sadraj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745" w:history="1">
        <w:r w:rsidR="00BE2CA3" w:rsidRPr="006C6566">
          <w:rPr>
            <w:rStyle w:val="Hiperveza"/>
            <w:rFonts w:ascii="Times New Roman" w:hAnsi="Times New Roman" w:cs="Times New Roman"/>
            <w:noProof/>
            <w:sz w:val="24"/>
            <w:lang w:bidi="en-US"/>
          </w:rPr>
          <w:t>3.7.12</w:t>
        </w:r>
        <w:r w:rsidR="00BE2CA3" w:rsidRPr="006C6566">
          <w:rPr>
            <w:rFonts w:ascii="Times New Roman" w:eastAsiaTheme="minorEastAsia" w:hAnsi="Times New Roman" w:cs="Times New Roman"/>
            <w:smallCaps w:val="0"/>
            <w:noProof/>
            <w:color w:val="auto"/>
            <w:sz w:val="24"/>
            <w:lang w:eastAsia="hr-HR"/>
          </w:rPr>
          <w:tab/>
        </w:r>
        <w:r w:rsidR="00BE2CA3" w:rsidRPr="006C6566">
          <w:rPr>
            <w:rStyle w:val="Hiperveza"/>
            <w:rFonts w:ascii="Times New Roman" w:hAnsi="Times New Roman" w:cs="Times New Roman"/>
            <w:noProof/>
            <w:sz w:val="24"/>
            <w:lang w:bidi="en-US"/>
          </w:rPr>
          <w:t>IZVJEŠTAJI IZ OVLAŠTENIH LABORATORIJA</w:t>
        </w:r>
        <w:r w:rsidR="00BE2CA3" w:rsidRPr="006C6566">
          <w:rPr>
            <w:rFonts w:ascii="Times New Roman" w:hAnsi="Times New Roman" w:cs="Times New Roman"/>
            <w:noProof/>
            <w:webHidden/>
            <w:sz w:val="24"/>
          </w:rPr>
          <w:tab/>
        </w:r>
        <w:r w:rsidR="00BE2CA3" w:rsidRPr="006C6566">
          <w:rPr>
            <w:rFonts w:ascii="Times New Roman" w:hAnsi="Times New Roman" w:cs="Times New Roman"/>
            <w:noProof/>
            <w:webHidden/>
            <w:sz w:val="24"/>
          </w:rPr>
          <w:fldChar w:fldCharType="begin"/>
        </w:r>
        <w:r w:rsidR="00BE2CA3" w:rsidRPr="006C6566">
          <w:rPr>
            <w:rFonts w:ascii="Times New Roman" w:hAnsi="Times New Roman" w:cs="Times New Roman"/>
            <w:noProof/>
            <w:webHidden/>
            <w:sz w:val="24"/>
          </w:rPr>
          <w:instrText xml:space="preserve"> PAGEREF _Toc64460745 \h </w:instrText>
        </w:r>
        <w:r w:rsidR="00BE2CA3" w:rsidRPr="006C6566">
          <w:rPr>
            <w:rFonts w:ascii="Times New Roman" w:hAnsi="Times New Roman" w:cs="Times New Roman"/>
            <w:noProof/>
            <w:webHidden/>
            <w:sz w:val="24"/>
          </w:rPr>
        </w:r>
        <w:r w:rsidR="00BE2CA3" w:rsidRPr="006C6566">
          <w:rPr>
            <w:rFonts w:ascii="Times New Roman" w:hAnsi="Times New Roman" w:cs="Times New Roman"/>
            <w:noProof/>
            <w:webHidden/>
            <w:sz w:val="24"/>
          </w:rPr>
          <w:fldChar w:fldCharType="separate"/>
        </w:r>
        <w:r w:rsidR="004C449C">
          <w:rPr>
            <w:rFonts w:ascii="Times New Roman" w:hAnsi="Times New Roman" w:cs="Times New Roman"/>
            <w:noProof/>
            <w:webHidden/>
            <w:sz w:val="24"/>
          </w:rPr>
          <w:t>103</w:t>
        </w:r>
        <w:r w:rsidR="00BE2CA3" w:rsidRPr="006C6566">
          <w:rPr>
            <w:rFonts w:ascii="Times New Roman" w:hAnsi="Times New Roman" w:cs="Times New Roman"/>
            <w:noProof/>
            <w:webHidden/>
            <w:sz w:val="24"/>
          </w:rPr>
          <w:fldChar w:fldCharType="end"/>
        </w:r>
      </w:hyperlink>
    </w:p>
    <w:p w14:paraId="1BD3675C" w14:textId="7A5EF373" w:rsidR="00BE2CA3" w:rsidRPr="006C6566" w:rsidRDefault="00EB1E23" w:rsidP="006C6566">
      <w:pPr>
        <w:pStyle w:val="Sadraj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746" w:history="1">
        <w:r w:rsidR="00BE2CA3" w:rsidRPr="006C6566">
          <w:rPr>
            <w:rStyle w:val="Hiperveza"/>
            <w:rFonts w:ascii="Times New Roman" w:hAnsi="Times New Roman" w:cs="Times New Roman"/>
            <w:noProof/>
            <w:sz w:val="24"/>
            <w:lang w:bidi="en-US"/>
          </w:rPr>
          <w:t>3.7.13</w:t>
        </w:r>
        <w:r w:rsidR="00BE2CA3" w:rsidRPr="006C6566">
          <w:rPr>
            <w:rFonts w:ascii="Times New Roman" w:eastAsiaTheme="minorEastAsia" w:hAnsi="Times New Roman" w:cs="Times New Roman"/>
            <w:smallCaps w:val="0"/>
            <w:noProof/>
            <w:color w:val="auto"/>
            <w:sz w:val="24"/>
            <w:lang w:eastAsia="hr-HR"/>
          </w:rPr>
          <w:tab/>
        </w:r>
        <w:r w:rsidR="00BE2CA3" w:rsidRPr="006C6566">
          <w:rPr>
            <w:rStyle w:val="Hiperveza"/>
            <w:rFonts w:ascii="Times New Roman" w:hAnsi="Times New Roman" w:cs="Times New Roman"/>
            <w:noProof/>
            <w:sz w:val="24"/>
            <w:lang w:bidi="en-US"/>
          </w:rPr>
          <w:t>MEĐUNARODNI PLAN PRAĆENJA STANJA POPS-OVA</w:t>
        </w:r>
        <w:r w:rsidR="00BE2CA3" w:rsidRPr="006C6566">
          <w:rPr>
            <w:rFonts w:ascii="Times New Roman" w:hAnsi="Times New Roman" w:cs="Times New Roman"/>
            <w:noProof/>
            <w:webHidden/>
            <w:sz w:val="24"/>
          </w:rPr>
          <w:tab/>
        </w:r>
        <w:r w:rsidR="00BE2CA3" w:rsidRPr="006C6566">
          <w:rPr>
            <w:rFonts w:ascii="Times New Roman" w:hAnsi="Times New Roman" w:cs="Times New Roman"/>
            <w:noProof/>
            <w:webHidden/>
            <w:sz w:val="24"/>
          </w:rPr>
          <w:fldChar w:fldCharType="begin"/>
        </w:r>
        <w:r w:rsidR="00BE2CA3" w:rsidRPr="006C6566">
          <w:rPr>
            <w:rFonts w:ascii="Times New Roman" w:hAnsi="Times New Roman" w:cs="Times New Roman"/>
            <w:noProof/>
            <w:webHidden/>
            <w:sz w:val="24"/>
          </w:rPr>
          <w:instrText xml:space="preserve"> PAGEREF _Toc64460746 \h </w:instrText>
        </w:r>
        <w:r w:rsidR="00BE2CA3" w:rsidRPr="006C6566">
          <w:rPr>
            <w:rFonts w:ascii="Times New Roman" w:hAnsi="Times New Roman" w:cs="Times New Roman"/>
            <w:noProof/>
            <w:webHidden/>
            <w:sz w:val="24"/>
          </w:rPr>
        </w:r>
        <w:r w:rsidR="00BE2CA3" w:rsidRPr="006C6566">
          <w:rPr>
            <w:rFonts w:ascii="Times New Roman" w:hAnsi="Times New Roman" w:cs="Times New Roman"/>
            <w:noProof/>
            <w:webHidden/>
            <w:sz w:val="24"/>
          </w:rPr>
          <w:fldChar w:fldCharType="separate"/>
        </w:r>
        <w:r w:rsidR="004C449C">
          <w:rPr>
            <w:rFonts w:ascii="Times New Roman" w:hAnsi="Times New Roman" w:cs="Times New Roman"/>
            <w:noProof/>
            <w:webHidden/>
            <w:sz w:val="24"/>
          </w:rPr>
          <w:t>106</w:t>
        </w:r>
        <w:r w:rsidR="00BE2CA3" w:rsidRPr="006C6566">
          <w:rPr>
            <w:rFonts w:ascii="Times New Roman" w:hAnsi="Times New Roman" w:cs="Times New Roman"/>
            <w:noProof/>
            <w:webHidden/>
            <w:sz w:val="24"/>
          </w:rPr>
          <w:fldChar w:fldCharType="end"/>
        </w:r>
      </w:hyperlink>
    </w:p>
    <w:p w14:paraId="18310712" w14:textId="2284E200" w:rsidR="00BE2CA3" w:rsidRPr="006C6566" w:rsidRDefault="00EB1E23" w:rsidP="006C6566">
      <w:pPr>
        <w:pStyle w:val="Sadraj2"/>
        <w:tabs>
          <w:tab w:val="left" w:pos="993"/>
          <w:tab w:val="right" w:leader="dot" w:pos="9062"/>
        </w:tabs>
        <w:ind w:left="993" w:hanging="993"/>
        <w:rPr>
          <w:rFonts w:ascii="Times New Roman" w:eastAsiaTheme="minorEastAsia" w:hAnsi="Times New Roman" w:cs="Times New Roman"/>
          <w:b w:val="0"/>
          <w:bCs w:val="0"/>
          <w:smallCaps w:val="0"/>
          <w:noProof/>
          <w:color w:val="auto"/>
          <w:sz w:val="24"/>
          <w:lang w:eastAsia="hr-HR"/>
        </w:rPr>
      </w:pPr>
      <w:hyperlink w:anchor="_Toc64460747" w:history="1">
        <w:r w:rsidR="00BE2CA3" w:rsidRPr="006C6566">
          <w:rPr>
            <w:rStyle w:val="Hiperveza"/>
            <w:rFonts w:ascii="Times New Roman" w:hAnsi="Times New Roman" w:cs="Times New Roman"/>
            <w:noProof/>
            <w:sz w:val="24"/>
          </w:rPr>
          <w:t>3.8</w:t>
        </w:r>
        <w:r w:rsidR="00BE2CA3" w:rsidRPr="006C6566">
          <w:rPr>
            <w:rFonts w:ascii="Times New Roman" w:eastAsiaTheme="minorEastAsia" w:hAnsi="Times New Roman" w:cs="Times New Roman"/>
            <w:b w:val="0"/>
            <w:bCs w:val="0"/>
            <w:smallCaps w:val="0"/>
            <w:noProof/>
            <w:color w:val="auto"/>
            <w:sz w:val="24"/>
            <w:lang w:eastAsia="hr-HR"/>
          </w:rPr>
          <w:tab/>
        </w:r>
        <w:r w:rsidR="00BE2CA3" w:rsidRPr="006C6566">
          <w:rPr>
            <w:rStyle w:val="Hiperveza"/>
            <w:rFonts w:ascii="Times New Roman" w:hAnsi="Times New Roman" w:cs="Times New Roman"/>
            <w:noProof/>
            <w:sz w:val="24"/>
          </w:rPr>
          <w:t>Trenutna razina informacija, stanje svijesti i edukacija javnosti</w:t>
        </w:r>
        <w:r w:rsidR="00BE2CA3" w:rsidRPr="006C6566">
          <w:rPr>
            <w:rFonts w:ascii="Times New Roman" w:hAnsi="Times New Roman" w:cs="Times New Roman"/>
            <w:noProof/>
            <w:webHidden/>
            <w:sz w:val="24"/>
          </w:rPr>
          <w:tab/>
        </w:r>
        <w:r w:rsidR="00BE2CA3" w:rsidRPr="006C6566">
          <w:rPr>
            <w:rFonts w:ascii="Times New Roman" w:hAnsi="Times New Roman" w:cs="Times New Roman"/>
            <w:noProof/>
            <w:webHidden/>
            <w:sz w:val="24"/>
          </w:rPr>
          <w:fldChar w:fldCharType="begin"/>
        </w:r>
        <w:r w:rsidR="00BE2CA3" w:rsidRPr="006C6566">
          <w:rPr>
            <w:rFonts w:ascii="Times New Roman" w:hAnsi="Times New Roman" w:cs="Times New Roman"/>
            <w:noProof/>
            <w:webHidden/>
            <w:sz w:val="24"/>
          </w:rPr>
          <w:instrText xml:space="preserve"> PAGEREF _Toc64460747 \h </w:instrText>
        </w:r>
        <w:r w:rsidR="00BE2CA3" w:rsidRPr="006C6566">
          <w:rPr>
            <w:rFonts w:ascii="Times New Roman" w:hAnsi="Times New Roman" w:cs="Times New Roman"/>
            <w:noProof/>
            <w:webHidden/>
            <w:sz w:val="24"/>
          </w:rPr>
        </w:r>
        <w:r w:rsidR="00BE2CA3" w:rsidRPr="006C6566">
          <w:rPr>
            <w:rFonts w:ascii="Times New Roman" w:hAnsi="Times New Roman" w:cs="Times New Roman"/>
            <w:noProof/>
            <w:webHidden/>
            <w:sz w:val="24"/>
          </w:rPr>
          <w:fldChar w:fldCharType="separate"/>
        </w:r>
        <w:r w:rsidR="004C449C">
          <w:rPr>
            <w:rFonts w:ascii="Times New Roman" w:hAnsi="Times New Roman" w:cs="Times New Roman"/>
            <w:noProof/>
            <w:webHidden/>
            <w:sz w:val="24"/>
          </w:rPr>
          <w:t>106</w:t>
        </w:r>
        <w:r w:rsidR="00BE2CA3" w:rsidRPr="006C6566">
          <w:rPr>
            <w:rFonts w:ascii="Times New Roman" w:hAnsi="Times New Roman" w:cs="Times New Roman"/>
            <w:noProof/>
            <w:webHidden/>
            <w:sz w:val="24"/>
          </w:rPr>
          <w:fldChar w:fldCharType="end"/>
        </w:r>
      </w:hyperlink>
    </w:p>
    <w:p w14:paraId="2BE8FE6E" w14:textId="15A6FA95" w:rsidR="00BE2CA3" w:rsidRPr="006C6566" w:rsidRDefault="00EB1E23" w:rsidP="006C6566">
      <w:pPr>
        <w:pStyle w:val="Sadraj2"/>
        <w:tabs>
          <w:tab w:val="left" w:pos="993"/>
          <w:tab w:val="right" w:leader="dot" w:pos="9062"/>
        </w:tabs>
        <w:ind w:left="993" w:hanging="993"/>
        <w:rPr>
          <w:rFonts w:ascii="Times New Roman" w:eastAsiaTheme="minorEastAsia" w:hAnsi="Times New Roman" w:cs="Times New Roman"/>
          <w:b w:val="0"/>
          <w:bCs w:val="0"/>
          <w:smallCaps w:val="0"/>
          <w:noProof/>
          <w:color w:val="auto"/>
          <w:sz w:val="24"/>
          <w:lang w:eastAsia="hr-HR"/>
        </w:rPr>
      </w:pPr>
      <w:hyperlink w:anchor="_Toc64460748" w:history="1">
        <w:r w:rsidR="00BE2CA3" w:rsidRPr="006C6566">
          <w:rPr>
            <w:rStyle w:val="Hiperveza"/>
            <w:rFonts w:ascii="Times New Roman" w:hAnsi="Times New Roman" w:cs="Times New Roman"/>
            <w:noProof/>
            <w:sz w:val="24"/>
          </w:rPr>
          <w:t>3.9</w:t>
        </w:r>
        <w:r w:rsidR="00BE2CA3" w:rsidRPr="006C6566">
          <w:rPr>
            <w:rFonts w:ascii="Times New Roman" w:eastAsiaTheme="minorEastAsia" w:hAnsi="Times New Roman" w:cs="Times New Roman"/>
            <w:b w:val="0"/>
            <w:bCs w:val="0"/>
            <w:smallCaps w:val="0"/>
            <w:noProof/>
            <w:color w:val="auto"/>
            <w:sz w:val="24"/>
            <w:lang w:eastAsia="hr-HR"/>
          </w:rPr>
          <w:tab/>
        </w:r>
        <w:r w:rsidR="00BE2CA3" w:rsidRPr="006C6566">
          <w:rPr>
            <w:rStyle w:val="Hiperveza"/>
            <w:rFonts w:ascii="Times New Roman" w:hAnsi="Times New Roman" w:cs="Times New Roman"/>
            <w:noProof/>
            <w:sz w:val="24"/>
          </w:rPr>
          <w:t>Mehanizmi izvješćivanja u skladu s člankom 15. Stockholmske konvencije o poduzetim mjerama i razmjeni informacija među strankama</w:t>
        </w:r>
        <w:r w:rsidR="00BE2CA3" w:rsidRPr="006C6566">
          <w:rPr>
            <w:rFonts w:ascii="Times New Roman" w:hAnsi="Times New Roman" w:cs="Times New Roman"/>
            <w:noProof/>
            <w:webHidden/>
            <w:sz w:val="24"/>
          </w:rPr>
          <w:tab/>
        </w:r>
        <w:r w:rsidR="00BE2CA3" w:rsidRPr="006C6566">
          <w:rPr>
            <w:rFonts w:ascii="Times New Roman" w:hAnsi="Times New Roman" w:cs="Times New Roman"/>
            <w:noProof/>
            <w:webHidden/>
            <w:sz w:val="24"/>
          </w:rPr>
          <w:fldChar w:fldCharType="begin"/>
        </w:r>
        <w:r w:rsidR="00BE2CA3" w:rsidRPr="006C6566">
          <w:rPr>
            <w:rFonts w:ascii="Times New Roman" w:hAnsi="Times New Roman" w:cs="Times New Roman"/>
            <w:noProof/>
            <w:webHidden/>
            <w:sz w:val="24"/>
          </w:rPr>
          <w:instrText xml:space="preserve"> PAGEREF _Toc64460748 \h </w:instrText>
        </w:r>
        <w:r w:rsidR="00BE2CA3" w:rsidRPr="006C6566">
          <w:rPr>
            <w:rFonts w:ascii="Times New Roman" w:hAnsi="Times New Roman" w:cs="Times New Roman"/>
            <w:noProof/>
            <w:webHidden/>
            <w:sz w:val="24"/>
          </w:rPr>
        </w:r>
        <w:r w:rsidR="00BE2CA3" w:rsidRPr="006C6566">
          <w:rPr>
            <w:rFonts w:ascii="Times New Roman" w:hAnsi="Times New Roman" w:cs="Times New Roman"/>
            <w:noProof/>
            <w:webHidden/>
            <w:sz w:val="24"/>
          </w:rPr>
          <w:fldChar w:fldCharType="separate"/>
        </w:r>
        <w:r w:rsidR="004C449C">
          <w:rPr>
            <w:rFonts w:ascii="Times New Roman" w:hAnsi="Times New Roman" w:cs="Times New Roman"/>
            <w:noProof/>
            <w:webHidden/>
            <w:sz w:val="24"/>
          </w:rPr>
          <w:t>107</w:t>
        </w:r>
        <w:r w:rsidR="00BE2CA3" w:rsidRPr="006C6566">
          <w:rPr>
            <w:rFonts w:ascii="Times New Roman" w:hAnsi="Times New Roman" w:cs="Times New Roman"/>
            <w:noProof/>
            <w:webHidden/>
            <w:sz w:val="24"/>
          </w:rPr>
          <w:fldChar w:fldCharType="end"/>
        </w:r>
      </w:hyperlink>
    </w:p>
    <w:p w14:paraId="247580FA" w14:textId="2DB34C11" w:rsidR="00BE2CA3" w:rsidRPr="006C6566" w:rsidRDefault="00EB1E23" w:rsidP="006C6566">
      <w:pPr>
        <w:pStyle w:val="Sadraj2"/>
        <w:tabs>
          <w:tab w:val="left" w:pos="993"/>
          <w:tab w:val="right" w:leader="dot" w:pos="9062"/>
        </w:tabs>
        <w:ind w:left="993" w:hanging="993"/>
        <w:rPr>
          <w:rFonts w:ascii="Times New Roman" w:eastAsiaTheme="minorEastAsia" w:hAnsi="Times New Roman" w:cs="Times New Roman"/>
          <w:b w:val="0"/>
          <w:bCs w:val="0"/>
          <w:smallCaps w:val="0"/>
          <w:noProof/>
          <w:color w:val="auto"/>
          <w:sz w:val="24"/>
          <w:lang w:eastAsia="hr-HR"/>
        </w:rPr>
      </w:pPr>
      <w:hyperlink w:anchor="_Toc64460749" w:history="1">
        <w:r w:rsidR="00BE2CA3" w:rsidRPr="006C6566">
          <w:rPr>
            <w:rStyle w:val="Hiperveza"/>
            <w:rFonts w:ascii="Times New Roman" w:hAnsi="Times New Roman" w:cs="Times New Roman"/>
            <w:noProof/>
            <w:sz w:val="24"/>
          </w:rPr>
          <w:t>3.10</w:t>
        </w:r>
        <w:r w:rsidR="00BE2CA3" w:rsidRPr="006C6566">
          <w:rPr>
            <w:rFonts w:ascii="Times New Roman" w:eastAsiaTheme="minorEastAsia" w:hAnsi="Times New Roman" w:cs="Times New Roman"/>
            <w:b w:val="0"/>
            <w:bCs w:val="0"/>
            <w:smallCaps w:val="0"/>
            <w:noProof/>
            <w:color w:val="auto"/>
            <w:sz w:val="24"/>
            <w:lang w:eastAsia="hr-HR"/>
          </w:rPr>
          <w:tab/>
        </w:r>
        <w:r w:rsidR="00BE2CA3" w:rsidRPr="006C6566">
          <w:rPr>
            <w:rStyle w:val="Hiperveza"/>
            <w:rFonts w:ascii="Times New Roman" w:hAnsi="Times New Roman" w:cs="Times New Roman"/>
            <w:noProof/>
            <w:sz w:val="24"/>
          </w:rPr>
          <w:t>Aktivnosti i rad nevladinih organizacija/udruga</w:t>
        </w:r>
        <w:r w:rsidR="00BE2CA3" w:rsidRPr="006C6566">
          <w:rPr>
            <w:rFonts w:ascii="Times New Roman" w:hAnsi="Times New Roman" w:cs="Times New Roman"/>
            <w:noProof/>
            <w:webHidden/>
            <w:sz w:val="24"/>
          </w:rPr>
          <w:tab/>
        </w:r>
        <w:r w:rsidR="00BE2CA3" w:rsidRPr="006C6566">
          <w:rPr>
            <w:rFonts w:ascii="Times New Roman" w:hAnsi="Times New Roman" w:cs="Times New Roman"/>
            <w:noProof/>
            <w:webHidden/>
            <w:sz w:val="24"/>
          </w:rPr>
          <w:fldChar w:fldCharType="begin"/>
        </w:r>
        <w:r w:rsidR="00BE2CA3" w:rsidRPr="006C6566">
          <w:rPr>
            <w:rFonts w:ascii="Times New Roman" w:hAnsi="Times New Roman" w:cs="Times New Roman"/>
            <w:noProof/>
            <w:webHidden/>
            <w:sz w:val="24"/>
          </w:rPr>
          <w:instrText xml:space="preserve"> PAGEREF _Toc64460749 \h </w:instrText>
        </w:r>
        <w:r w:rsidR="00BE2CA3" w:rsidRPr="006C6566">
          <w:rPr>
            <w:rFonts w:ascii="Times New Roman" w:hAnsi="Times New Roman" w:cs="Times New Roman"/>
            <w:noProof/>
            <w:webHidden/>
            <w:sz w:val="24"/>
          </w:rPr>
        </w:r>
        <w:r w:rsidR="00BE2CA3" w:rsidRPr="006C6566">
          <w:rPr>
            <w:rFonts w:ascii="Times New Roman" w:hAnsi="Times New Roman" w:cs="Times New Roman"/>
            <w:noProof/>
            <w:webHidden/>
            <w:sz w:val="24"/>
          </w:rPr>
          <w:fldChar w:fldCharType="separate"/>
        </w:r>
        <w:r w:rsidR="004C449C">
          <w:rPr>
            <w:rFonts w:ascii="Times New Roman" w:hAnsi="Times New Roman" w:cs="Times New Roman"/>
            <w:noProof/>
            <w:webHidden/>
            <w:sz w:val="24"/>
          </w:rPr>
          <w:t>107</w:t>
        </w:r>
        <w:r w:rsidR="00BE2CA3" w:rsidRPr="006C6566">
          <w:rPr>
            <w:rFonts w:ascii="Times New Roman" w:hAnsi="Times New Roman" w:cs="Times New Roman"/>
            <w:noProof/>
            <w:webHidden/>
            <w:sz w:val="24"/>
          </w:rPr>
          <w:fldChar w:fldCharType="end"/>
        </w:r>
      </w:hyperlink>
    </w:p>
    <w:p w14:paraId="4AE1C771" w14:textId="1B79B460" w:rsidR="00BE2CA3" w:rsidRPr="006C6566" w:rsidRDefault="00EB1E23" w:rsidP="006C6566">
      <w:pPr>
        <w:pStyle w:val="Sadraj2"/>
        <w:tabs>
          <w:tab w:val="left" w:pos="993"/>
          <w:tab w:val="right" w:leader="dot" w:pos="9062"/>
        </w:tabs>
        <w:ind w:left="993" w:hanging="993"/>
        <w:rPr>
          <w:rFonts w:ascii="Times New Roman" w:eastAsiaTheme="minorEastAsia" w:hAnsi="Times New Roman" w:cs="Times New Roman"/>
          <w:b w:val="0"/>
          <w:bCs w:val="0"/>
          <w:smallCaps w:val="0"/>
          <w:noProof/>
          <w:color w:val="auto"/>
          <w:sz w:val="24"/>
          <w:lang w:eastAsia="hr-HR"/>
        </w:rPr>
      </w:pPr>
      <w:hyperlink w:anchor="_Toc64460750" w:history="1">
        <w:r w:rsidR="00BE2CA3" w:rsidRPr="006C6566">
          <w:rPr>
            <w:rStyle w:val="Hiperveza"/>
            <w:rFonts w:ascii="Times New Roman" w:hAnsi="Times New Roman" w:cs="Times New Roman"/>
            <w:noProof/>
            <w:sz w:val="24"/>
          </w:rPr>
          <w:t>3.11</w:t>
        </w:r>
        <w:r w:rsidR="00BE2CA3" w:rsidRPr="006C6566">
          <w:rPr>
            <w:rFonts w:ascii="Times New Roman" w:eastAsiaTheme="minorEastAsia" w:hAnsi="Times New Roman" w:cs="Times New Roman"/>
            <w:b w:val="0"/>
            <w:bCs w:val="0"/>
            <w:smallCaps w:val="0"/>
            <w:noProof/>
            <w:color w:val="auto"/>
            <w:sz w:val="24"/>
            <w:lang w:eastAsia="hr-HR"/>
          </w:rPr>
          <w:tab/>
        </w:r>
        <w:r w:rsidR="00BE2CA3" w:rsidRPr="006C6566">
          <w:rPr>
            <w:rStyle w:val="Hiperveza"/>
            <w:rFonts w:ascii="Times New Roman" w:hAnsi="Times New Roman" w:cs="Times New Roman"/>
            <w:noProof/>
            <w:sz w:val="24"/>
          </w:rPr>
          <w:t>Pregled tehničke infrastrukture za procjenu POPs-ova, mjerenje, analiza, alternativne i preventivne mjere, upravljanje, istraživanje i razvoj</w:t>
        </w:r>
        <w:r w:rsidR="00BE2CA3" w:rsidRPr="006C6566">
          <w:rPr>
            <w:rFonts w:ascii="Times New Roman" w:hAnsi="Times New Roman" w:cs="Times New Roman"/>
            <w:noProof/>
            <w:webHidden/>
            <w:sz w:val="24"/>
          </w:rPr>
          <w:tab/>
        </w:r>
        <w:r w:rsidR="00BE2CA3" w:rsidRPr="006C6566">
          <w:rPr>
            <w:rFonts w:ascii="Times New Roman" w:hAnsi="Times New Roman" w:cs="Times New Roman"/>
            <w:noProof/>
            <w:webHidden/>
            <w:sz w:val="24"/>
          </w:rPr>
          <w:fldChar w:fldCharType="begin"/>
        </w:r>
        <w:r w:rsidR="00BE2CA3" w:rsidRPr="006C6566">
          <w:rPr>
            <w:rFonts w:ascii="Times New Roman" w:hAnsi="Times New Roman" w:cs="Times New Roman"/>
            <w:noProof/>
            <w:webHidden/>
            <w:sz w:val="24"/>
          </w:rPr>
          <w:instrText xml:space="preserve"> PAGEREF _Toc64460750 \h </w:instrText>
        </w:r>
        <w:r w:rsidR="00BE2CA3" w:rsidRPr="006C6566">
          <w:rPr>
            <w:rFonts w:ascii="Times New Roman" w:hAnsi="Times New Roman" w:cs="Times New Roman"/>
            <w:noProof/>
            <w:webHidden/>
            <w:sz w:val="24"/>
          </w:rPr>
        </w:r>
        <w:r w:rsidR="00BE2CA3" w:rsidRPr="006C6566">
          <w:rPr>
            <w:rFonts w:ascii="Times New Roman" w:hAnsi="Times New Roman" w:cs="Times New Roman"/>
            <w:noProof/>
            <w:webHidden/>
            <w:sz w:val="24"/>
          </w:rPr>
          <w:fldChar w:fldCharType="separate"/>
        </w:r>
        <w:r w:rsidR="004C449C">
          <w:rPr>
            <w:rFonts w:ascii="Times New Roman" w:hAnsi="Times New Roman" w:cs="Times New Roman"/>
            <w:noProof/>
            <w:webHidden/>
            <w:sz w:val="24"/>
          </w:rPr>
          <w:t>107</w:t>
        </w:r>
        <w:r w:rsidR="00BE2CA3" w:rsidRPr="006C6566">
          <w:rPr>
            <w:rFonts w:ascii="Times New Roman" w:hAnsi="Times New Roman" w:cs="Times New Roman"/>
            <w:noProof/>
            <w:webHidden/>
            <w:sz w:val="24"/>
          </w:rPr>
          <w:fldChar w:fldCharType="end"/>
        </w:r>
      </w:hyperlink>
    </w:p>
    <w:p w14:paraId="52AD24F9" w14:textId="4B23F260" w:rsidR="00BE2CA3" w:rsidRPr="006C6566" w:rsidRDefault="00EB1E23" w:rsidP="006C6566">
      <w:pPr>
        <w:pStyle w:val="Sadraj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751" w:history="1">
        <w:r w:rsidR="00BE2CA3" w:rsidRPr="006C6566">
          <w:rPr>
            <w:rStyle w:val="Hiperveza"/>
            <w:rFonts w:ascii="Times New Roman" w:hAnsi="Times New Roman" w:cs="Times New Roman"/>
            <w:noProof/>
            <w:sz w:val="24"/>
            <w:lang w:bidi="en-US"/>
          </w:rPr>
          <w:t>3.11.1</w:t>
        </w:r>
        <w:r w:rsidR="00BE2CA3" w:rsidRPr="006C6566">
          <w:rPr>
            <w:rFonts w:ascii="Times New Roman" w:eastAsiaTheme="minorEastAsia" w:hAnsi="Times New Roman" w:cs="Times New Roman"/>
            <w:smallCaps w:val="0"/>
            <w:noProof/>
            <w:color w:val="auto"/>
            <w:sz w:val="24"/>
            <w:lang w:eastAsia="hr-HR"/>
          </w:rPr>
          <w:tab/>
        </w:r>
        <w:r w:rsidR="00BE2CA3" w:rsidRPr="006C6566">
          <w:rPr>
            <w:rStyle w:val="Hiperveza"/>
            <w:rFonts w:ascii="Times New Roman" w:hAnsi="Times New Roman" w:cs="Times New Roman"/>
            <w:noProof/>
            <w:sz w:val="24"/>
            <w:lang w:bidi="en-US"/>
          </w:rPr>
          <w:t>NACIONALNI KAPACITETI PRAĆENJA ISPUŠTANJA POPs-ova U OKOLIŠU</w:t>
        </w:r>
        <w:r w:rsidR="00BE2CA3" w:rsidRPr="006C6566">
          <w:rPr>
            <w:rFonts w:ascii="Times New Roman" w:hAnsi="Times New Roman" w:cs="Times New Roman"/>
            <w:noProof/>
            <w:webHidden/>
            <w:sz w:val="24"/>
          </w:rPr>
          <w:tab/>
        </w:r>
        <w:r w:rsidR="00BE2CA3" w:rsidRPr="006C6566">
          <w:rPr>
            <w:rFonts w:ascii="Times New Roman" w:hAnsi="Times New Roman" w:cs="Times New Roman"/>
            <w:noProof/>
            <w:webHidden/>
            <w:sz w:val="24"/>
          </w:rPr>
          <w:fldChar w:fldCharType="begin"/>
        </w:r>
        <w:r w:rsidR="00BE2CA3" w:rsidRPr="006C6566">
          <w:rPr>
            <w:rFonts w:ascii="Times New Roman" w:hAnsi="Times New Roman" w:cs="Times New Roman"/>
            <w:noProof/>
            <w:webHidden/>
            <w:sz w:val="24"/>
          </w:rPr>
          <w:instrText xml:space="preserve"> PAGEREF _Toc64460751 \h </w:instrText>
        </w:r>
        <w:r w:rsidR="00BE2CA3" w:rsidRPr="006C6566">
          <w:rPr>
            <w:rFonts w:ascii="Times New Roman" w:hAnsi="Times New Roman" w:cs="Times New Roman"/>
            <w:noProof/>
            <w:webHidden/>
            <w:sz w:val="24"/>
          </w:rPr>
        </w:r>
        <w:r w:rsidR="00BE2CA3" w:rsidRPr="006C6566">
          <w:rPr>
            <w:rFonts w:ascii="Times New Roman" w:hAnsi="Times New Roman" w:cs="Times New Roman"/>
            <w:noProof/>
            <w:webHidden/>
            <w:sz w:val="24"/>
          </w:rPr>
          <w:fldChar w:fldCharType="separate"/>
        </w:r>
        <w:r w:rsidR="004C449C">
          <w:rPr>
            <w:rFonts w:ascii="Times New Roman" w:hAnsi="Times New Roman" w:cs="Times New Roman"/>
            <w:noProof/>
            <w:webHidden/>
            <w:sz w:val="24"/>
          </w:rPr>
          <w:t>107</w:t>
        </w:r>
        <w:r w:rsidR="00BE2CA3" w:rsidRPr="006C6566">
          <w:rPr>
            <w:rFonts w:ascii="Times New Roman" w:hAnsi="Times New Roman" w:cs="Times New Roman"/>
            <w:noProof/>
            <w:webHidden/>
            <w:sz w:val="24"/>
          </w:rPr>
          <w:fldChar w:fldCharType="end"/>
        </w:r>
      </w:hyperlink>
    </w:p>
    <w:p w14:paraId="57704603" w14:textId="1400CEAA" w:rsidR="00BE2CA3" w:rsidRPr="006C6566" w:rsidRDefault="00EB1E23" w:rsidP="006C6566">
      <w:pPr>
        <w:pStyle w:val="Sadraj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752" w:history="1">
        <w:r w:rsidR="00BE2CA3" w:rsidRPr="006C6566">
          <w:rPr>
            <w:rStyle w:val="Hiperveza"/>
            <w:rFonts w:ascii="Times New Roman" w:hAnsi="Times New Roman" w:cs="Times New Roman"/>
            <w:noProof/>
            <w:sz w:val="24"/>
            <w:lang w:bidi="en-US"/>
          </w:rPr>
          <w:t>3.11.2</w:t>
        </w:r>
        <w:r w:rsidR="00BE2CA3" w:rsidRPr="006C6566">
          <w:rPr>
            <w:rFonts w:ascii="Times New Roman" w:eastAsiaTheme="minorEastAsia" w:hAnsi="Times New Roman" w:cs="Times New Roman"/>
            <w:smallCaps w:val="0"/>
            <w:noProof/>
            <w:color w:val="auto"/>
            <w:sz w:val="24"/>
            <w:lang w:eastAsia="hr-HR"/>
          </w:rPr>
          <w:tab/>
        </w:r>
        <w:r w:rsidR="00BE2CA3" w:rsidRPr="006C6566">
          <w:rPr>
            <w:rStyle w:val="Hiperveza"/>
            <w:rFonts w:ascii="Times New Roman" w:hAnsi="Times New Roman" w:cs="Times New Roman"/>
            <w:noProof/>
            <w:sz w:val="24"/>
            <w:lang w:bidi="en-US"/>
          </w:rPr>
          <w:t>NACIONALNI KAPACITETI ZA PRAĆENJE UTJECAJA NA LJUDSKO ZDRAVLJE</w:t>
        </w:r>
        <w:r w:rsidR="00BE2CA3" w:rsidRPr="006C6566">
          <w:rPr>
            <w:rFonts w:ascii="Times New Roman" w:hAnsi="Times New Roman" w:cs="Times New Roman"/>
            <w:noProof/>
            <w:webHidden/>
            <w:sz w:val="24"/>
          </w:rPr>
          <w:tab/>
        </w:r>
        <w:r w:rsidR="00BE2CA3" w:rsidRPr="006C6566">
          <w:rPr>
            <w:rFonts w:ascii="Times New Roman" w:hAnsi="Times New Roman" w:cs="Times New Roman"/>
            <w:noProof/>
            <w:webHidden/>
            <w:sz w:val="24"/>
          </w:rPr>
          <w:fldChar w:fldCharType="begin"/>
        </w:r>
        <w:r w:rsidR="00BE2CA3" w:rsidRPr="006C6566">
          <w:rPr>
            <w:rFonts w:ascii="Times New Roman" w:hAnsi="Times New Roman" w:cs="Times New Roman"/>
            <w:noProof/>
            <w:webHidden/>
            <w:sz w:val="24"/>
          </w:rPr>
          <w:instrText xml:space="preserve"> PAGEREF _Toc64460752 \h </w:instrText>
        </w:r>
        <w:r w:rsidR="00BE2CA3" w:rsidRPr="006C6566">
          <w:rPr>
            <w:rFonts w:ascii="Times New Roman" w:hAnsi="Times New Roman" w:cs="Times New Roman"/>
            <w:noProof/>
            <w:webHidden/>
            <w:sz w:val="24"/>
          </w:rPr>
        </w:r>
        <w:r w:rsidR="00BE2CA3" w:rsidRPr="006C6566">
          <w:rPr>
            <w:rFonts w:ascii="Times New Roman" w:hAnsi="Times New Roman" w:cs="Times New Roman"/>
            <w:noProof/>
            <w:webHidden/>
            <w:sz w:val="24"/>
          </w:rPr>
          <w:fldChar w:fldCharType="separate"/>
        </w:r>
        <w:r w:rsidR="004C449C">
          <w:rPr>
            <w:rFonts w:ascii="Times New Roman" w:hAnsi="Times New Roman" w:cs="Times New Roman"/>
            <w:noProof/>
            <w:webHidden/>
            <w:sz w:val="24"/>
          </w:rPr>
          <w:t>108</w:t>
        </w:r>
        <w:r w:rsidR="00BE2CA3" w:rsidRPr="006C6566">
          <w:rPr>
            <w:rFonts w:ascii="Times New Roman" w:hAnsi="Times New Roman" w:cs="Times New Roman"/>
            <w:noProof/>
            <w:webHidden/>
            <w:sz w:val="24"/>
          </w:rPr>
          <w:fldChar w:fldCharType="end"/>
        </w:r>
      </w:hyperlink>
    </w:p>
    <w:p w14:paraId="093ACDF7" w14:textId="08F27B7C" w:rsidR="00BE2CA3" w:rsidRPr="006C6566" w:rsidRDefault="00EB1E23" w:rsidP="006C6566">
      <w:pPr>
        <w:pStyle w:val="Sadraj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753" w:history="1">
        <w:r w:rsidR="00BE2CA3" w:rsidRPr="006C6566">
          <w:rPr>
            <w:rStyle w:val="Hiperveza"/>
            <w:rFonts w:ascii="Times New Roman" w:hAnsi="Times New Roman" w:cs="Times New Roman"/>
            <w:noProof/>
            <w:sz w:val="24"/>
            <w:lang w:bidi="en-US"/>
          </w:rPr>
          <w:t>3.11.3</w:t>
        </w:r>
        <w:r w:rsidR="00BE2CA3" w:rsidRPr="006C6566">
          <w:rPr>
            <w:rFonts w:ascii="Times New Roman" w:eastAsiaTheme="minorEastAsia" w:hAnsi="Times New Roman" w:cs="Times New Roman"/>
            <w:smallCaps w:val="0"/>
            <w:noProof/>
            <w:color w:val="auto"/>
            <w:sz w:val="24"/>
            <w:lang w:eastAsia="hr-HR"/>
          </w:rPr>
          <w:tab/>
        </w:r>
        <w:r w:rsidR="00BE2CA3" w:rsidRPr="006C6566">
          <w:rPr>
            <w:rStyle w:val="Hiperveza"/>
            <w:rFonts w:ascii="Times New Roman" w:hAnsi="Times New Roman" w:cs="Times New Roman"/>
            <w:noProof/>
            <w:sz w:val="24"/>
            <w:lang w:bidi="en-US"/>
          </w:rPr>
          <w:t>PRIJEDLOG UNAPRJEĐENJA POSTOJEĆE PRAKSE</w:t>
        </w:r>
        <w:r w:rsidR="00BE2CA3" w:rsidRPr="006C6566">
          <w:rPr>
            <w:rFonts w:ascii="Times New Roman" w:hAnsi="Times New Roman" w:cs="Times New Roman"/>
            <w:noProof/>
            <w:webHidden/>
            <w:sz w:val="24"/>
          </w:rPr>
          <w:tab/>
        </w:r>
        <w:r w:rsidR="00BE2CA3" w:rsidRPr="006C6566">
          <w:rPr>
            <w:rFonts w:ascii="Times New Roman" w:hAnsi="Times New Roman" w:cs="Times New Roman"/>
            <w:noProof/>
            <w:webHidden/>
            <w:sz w:val="24"/>
          </w:rPr>
          <w:fldChar w:fldCharType="begin"/>
        </w:r>
        <w:r w:rsidR="00BE2CA3" w:rsidRPr="006C6566">
          <w:rPr>
            <w:rFonts w:ascii="Times New Roman" w:hAnsi="Times New Roman" w:cs="Times New Roman"/>
            <w:noProof/>
            <w:webHidden/>
            <w:sz w:val="24"/>
          </w:rPr>
          <w:instrText xml:space="preserve"> PAGEREF _Toc64460753 \h </w:instrText>
        </w:r>
        <w:r w:rsidR="00BE2CA3" w:rsidRPr="006C6566">
          <w:rPr>
            <w:rFonts w:ascii="Times New Roman" w:hAnsi="Times New Roman" w:cs="Times New Roman"/>
            <w:noProof/>
            <w:webHidden/>
            <w:sz w:val="24"/>
          </w:rPr>
        </w:r>
        <w:r w:rsidR="00BE2CA3" w:rsidRPr="006C6566">
          <w:rPr>
            <w:rFonts w:ascii="Times New Roman" w:hAnsi="Times New Roman" w:cs="Times New Roman"/>
            <w:noProof/>
            <w:webHidden/>
            <w:sz w:val="24"/>
          </w:rPr>
          <w:fldChar w:fldCharType="separate"/>
        </w:r>
        <w:r w:rsidR="004C449C">
          <w:rPr>
            <w:rFonts w:ascii="Times New Roman" w:hAnsi="Times New Roman" w:cs="Times New Roman"/>
            <w:noProof/>
            <w:webHidden/>
            <w:sz w:val="24"/>
          </w:rPr>
          <w:t>108</w:t>
        </w:r>
        <w:r w:rsidR="00BE2CA3" w:rsidRPr="006C6566">
          <w:rPr>
            <w:rFonts w:ascii="Times New Roman" w:hAnsi="Times New Roman" w:cs="Times New Roman"/>
            <w:noProof/>
            <w:webHidden/>
            <w:sz w:val="24"/>
          </w:rPr>
          <w:fldChar w:fldCharType="end"/>
        </w:r>
      </w:hyperlink>
    </w:p>
    <w:p w14:paraId="2FFC2D49" w14:textId="14D3A7FC" w:rsidR="00BE2CA3" w:rsidRPr="006C6566" w:rsidRDefault="00EB1E23" w:rsidP="006C6566">
      <w:pPr>
        <w:pStyle w:val="Sadraj2"/>
        <w:tabs>
          <w:tab w:val="left" w:pos="993"/>
          <w:tab w:val="right" w:leader="dot" w:pos="9062"/>
        </w:tabs>
        <w:ind w:left="993" w:hanging="993"/>
        <w:rPr>
          <w:rFonts w:ascii="Times New Roman" w:eastAsiaTheme="minorEastAsia" w:hAnsi="Times New Roman" w:cs="Times New Roman"/>
          <w:b w:val="0"/>
          <w:bCs w:val="0"/>
          <w:smallCaps w:val="0"/>
          <w:noProof/>
          <w:color w:val="auto"/>
          <w:sz w:val="24"/>
          <w:lang w:eastAsia="hr-HR"/>
        </w:rPr>
      </w:pPr>
      <w:hyperlink w:anchor="_Toc64460754" w:history="1">
        <w:r w:rsidR="00BE2CA3" w:rsidRPr="006C6566">
          <w:rPr>
            <w:rStyle w:val="Hiperveza"/>
            <w:rFonts w:ascii="Times New Roman" w:hAnsi="Times New Roman" w:cs="Times New Roman"/>
            <w:noProof/>
            <w:sz w:val="24"/>
          </w:rPr>
          <w:t>3.12</w:t>
        </w:r>
        <w:r w:rsidR="00BE2CA3" w:rsidRPr="006C6566">
          <w:rPr>
            <w:rFonts w:ascii="Times New Roman" w:eastAsiaTheme="minorEastAsia" w:hAnsi="Times New Roman" w:cs="Times New Roman"/>
            <w:b w:val="0"/>
            <w:bCs w:val="0"/>
            <w:smallCaps w:val="0"/>
            <w:noProof/>
            <w:color w:val="auto"/>
            <w:sz w:val="24"/>
            <w:lang w:eastAsia="hr-HR"/>
          </w:rPr>
          <w:tab/>
        </w:r>
        <w:r w:rsidR="00BE2CA3" w:rsidRPr="006C6566">
          <w:rPr>
            <w:rStyle w:val="Hiperveza"/>
            <w:rFonts w:ascii="Times New Roman" w:hAnsi="Times New Roman" w:cs="Times New Roman"/>
            <w:noProof/>
            <w:sz w:val="24"/>
          </w:rPr>
          <w:t>Identifikacija dijela populacije ili okoliša na kojem je utvrđen negativan utjecaj uzrokovan POPs-ovima</w:t>
        </w:r>
        <w:r w:rsidR="00BE2CA3" w:rsidRPr="006C6566">
          <w:rPr>
            <w:rFonts w:ascii="Times New Roman" w:hAnsi="Times New Roman" w:cs="Times New Roman"/>
            <w:noProof/>
            <w:webHidden/>
            <w:sz w:val="24"/>
          </w:rPr>
          <w:tab/>
        </w:r>
        <w:r w:rsidR="00BE2CA3" w:rsidRPr="006C6566">
          <w:rPr>
            <w:rFonts w:ascii="Times New Roman" w:hAnsi="Times New Roman" w:cs="Times New Roman"/>
            <w:noProof/>
            <w:webHidden/>
            <w:sz w:val="24"/>
          </w:rPr>
          <w:fldChar w:fldCharType="begin"/>
        </w:r>
        <w:r w:rsidR="00BE2CA3" w:rsidRPr="006C6566">
          <w:rPr>
            <w:rFonts w:ascii="Times New Roman" w:hAnsi="Times New Roman" w:cs="Times New Roman"/>
            <w:noProof/>
            <w:webHidden/>
            <w:sz w:val="24"/>
          </w:rPr>
          <w:instrText xml:space="preserve"> PAGEREF _Toc64460754 \h </w:instrText>
        </w:r>
        <w:r w:rsidR="00BE2CA3" w:rsidRPr="006C6566">
          <w:rPr>
            <w:rFonts w:ascii="Times New Roman" w:hAnsi="Times New Roman" w:cs="Times New Roman"/>
            <w:noProof/>
            <w:webHidden/>
            <w:sz w:val="24"/>
          </w:rPr>
        </w:r>
        <w:r w:rsidR="00BE2CA3" w:rsidRPr="006C6566">
          <w:rPr>
            <w:rFonts w:ascii="Times New Roman" w:hAnsi="Times New Roman" w:cs="Times New Roman"/>
            <w:noProof/>
            <w:webHidden/>
            <w:sz w:val="24"/>
          </w:rPr>
          <w:fldChar w:fldCharType="separate"/>
        </w:r>
        <w:r w:rsidR="004C449C">
          <w:rPr>
            <w:rFonts w:ascii="Times New Roman" w:hAnsi="Times New Roman" w:cs="Times New Roman"/>
            <w:noProof/>
            <w:webHidden/>
            <w:sz w:val="24"/>
          </w:rPr>
          <w:t>109</w:t>
        </w:r>
        <w:r w:rsidR="00BE2CA3" w:rsidRPr="006C6566">
          <w:rPr>
            <w:rFonts w:ascii="Times New Roman" w:hAnsi="Times New Roman" w:cs="Times New Roman"/>
            <w:noProof/>
            <w:webHidden/>
            <w:sz w:val="24"/>
          </w:rPr>
          <w:fldChar w:fldCharType="end"/>
        </w:r>
      </w:hyperlink>
    </w:p>
    <w:p w14:paraId="786217F7" w14:textId="7FEBC8C8" w:rsidR="00BE2CA3" w:rsidRPr="006C6566" w:rsidRDefault="00EB1E23" w:rsidP="006C6566">
      <w:pPr>
        <w:pStyle w:val="Sadraj2"/>
        <w:tabs>
          <w:tab w:val="left" w:pos="993"/>
          <w:tab w:val="right" w:leader="dot" w:pos="9062"/>
        </w:tabs>
        <w:ind w:left="993" w:hanging="993"/>
        <w:rPr>
          <w:rFonts w:ascii="Times New Roman" w:eastAsiaTheme="minorEastAsia" w:hAnsi="Times New Roman" w:cs="Times New Roman"/>
          <w:b w:val="0"/>
          <w:bCs w:val="0"/>
          <w:smallCaps w:val="0"/>
          <w:noProof/>
          <w:color w:val="auto"/>
          <w:sz w:val="24"/>
          <w:lang w:eastAsia="hr-HR"/>
        </w:rPr>
      </w:pPr>
      <w:hyperlink w:anchor="_Toc64460755" w:history="1">
        <w:r w:rsidR="00BE2CA3" w:rsidRPr="006C6566">
          <w:rPr>
            <w:rStyle w:val="Hiperveza"/>
            <w:rFonts w:ascii="Times New Roman" w:hAnsi="Times New Roman" w:cs="Times New Roman"/>
            <w:noProof/>
            <w:sz w:val="24"/>
          </w:rPr>
          <w:t>3.13</w:t>
        </w:r>
        <w:r w:rsidR="00BE2CA3" w:rsidRPr="006C6566">
          <w:rPr>
            <w:rFonts w:ascii="Times New Roman" w:eastAsiaTheme="minorEastAsia" w:hAnsi="Times New Roman" w:cs="Times New Roman"/>
            <w:b w:val="0"/>
            <w:bCs w:val="0"/>
            <w:smallCaps w:val="0"/>
            <w:noProof/>
            <w:color w:val="auto"/>
            <w:sz w:val="24"/>
            <w:lang w:eastAsia="hr-HR"/>
          </w:rPr>
          <w:tab/>
        </w:r>
        <w:r w:rsidR="00BE2CA3" w:rsidRPr="006C6566">
          <w:rPr>
            <w:rStyle w:val="Hiperveza"/>
            <w:rFonts w:ascii="Times New Roman" w:hAnsi="Times New Roman" w:cs="Times New Roman"/>
            <w:noProof/>
            <w:sz w:val="24"/>
          </w:rPr>
          <w:t>Relevantni mehanizmi za gospodarenje kemikalijama na tržištu i novim kemikalijama uključujući cjeloživotni sustav upravljanja kemikalijama i otpadom i kružno gospodarstvo te razvoj i preporuke sinergijskih mehanizama za ostale međunarodne ugovore</w:t>
        </w:r>
        <w:r w:rsidR="00BE2CA3" w:rsidRPr="006C6566">
          <w:rPr>
            <w:rFonts w:ascii="Times New Roman" w:hAnsi="Times New Roman" w:cs="Times New Roman"/>
            <w:noProof/>
            <w:webHidden/>
            <w:sz w:val="24"/>
          </w:rPr>
          <w:tab/>
        </w:r>
        <w:r w:rsidR="00BE2CA3" w:rsidRPr="006C6566">
          <w:rPr>
            <w:rFonts w:ascii="Times New Roman" w:hAnsi="Times New Roman" w:cs="Times New Roman"/>
            <w:noProof/>
            <w:webHidden/>
            <w:sz w:val="24"/>
          </w:rPr>
          <w:fldChar w:fldCharType="begin"/>
        </w:r>
        <w:r w:rsidR="00BE2CA3" w:rsidRPr="006C6566">
          <w:rPr>
            <w:rFonts w:ascii="Times New Roman" w:hAnsi="Times New Roman" w:cs="Times New Roman"/>
            <w:noProof/>
            <w:webHidden/>
            <w:sz w:val="24"/>
          </w:rPr>
          <w:instrText xml:space="preserve"> PAGEREF _Toc64460755 \h </w:instrText>
        </w:r>
        <w:r w:rsidR="00BE2CA3" w:rsidRPr="006C6566">
          <w:rPr>
            <w:rFonts w:ascii="Times New Roman" w:hAnsi="Times New Roman" w:cs="Times New Roman"/>
            <w:noProof/>
            <w:webHidden/>
            <w:sz w:val="24"/>
          </w:rPr>
        </w:r>
        <w:r w:rsidR="00BE2CA3" w:rsidRPr="006C6566">
          <w:rPr>
            <w:rFonts w:ascii="Times New Roman" w:hAnsi="Times New Roman" w:cs="Times New Roman"/>
            <w:noProof/>
            <w:webHidden/>
            <w:sz w:val="24"/>
          </w:rPr>
          <w:fldChar w:fldCharType="separate"/>
        </w:r>
        <w:r w:rsidR="004C449C">
          <w:rPr>
            <w:rFonts w:ascii="Times New Roman" w:hAnsi="Times New Roman" w:cs="Times New Roman"/>
            <w:noProof/>
            <w:webHidden/>
            <w:sz w:val="24"/>
          </w:rPr>
          <w:t>110</w:t>
        </w:r>
        <w:r w:rsidR="00BE2CA3" w:rsidRPr="006C6566">
          <w:rPr>
            <w:rFonts w:ascii="Times New Roman" w:hAnsi="Times New Roman" w:cs="Times New Roman"/>
            <w:noProof/>
            <w:webHidden/>
            <w:sz w:val="24"/>
          </w:rPr>
          <w:fldChar w:fldCharType="end"/>
        </w:r>
      </w:hyperlink>
    </w:p>
    <w:p w14:paraId="663E65C0" w14:textId="21C2447E" w:rsidR="00BE2CA3" w:rsidRPr="006C6566" w:rsidRDefault="00EB1E23" w:rsidP="006C6566">
      <w:pPr>
        <w:pStyle w:val="Sadraj1"/>
        <w:tabs>
          <w:tab w:val="left" w:pos="993"/>
          <w:tab w:val="right" w:leader="dot" w:pos="9062"/>
        </w:tabs>
        <w:ind w:left="993" w:hanging="993"/>
        <w:rPr>
          <w:rFonts w:ascii="Times New Roman" w:eastAsiaTheme="minorEastAsia" w:hAnsi="Times New Roman" w:cs="Times New Roman"/>
          <w:b w:val="0"/>
          <w:bCs w:val="0"/>
          <w:caps w:val="0"/>
          <w:noProof/>
          <w:color w:val="auto"/>
          <w:sz w:val="24"/>
          <w:u w:val="none"/>
          <w:lang w:eastAsia="hr-HR"/>
        </w:rPr>
      </w:pPr>
      <w:hyperlink w:anchor="_Toc64460756" w:history="1">
        <w:r w:rsidR="00BE2CA3" w:rsidRPr="006C6566">
          <w:rPr>
            <w:rStyle w:val="Hiperveza"/>
            <w:rFonts w:ascii="Times New Roman" w:hAnsi="Times New Roman" w:cs="Times New Roman"/>
            <w:noProof/>
            <w:sz w:val="24"/>
          </w:rPr>
          <w:t>4</w:t>
        </w:r>
        <w:r w:rsidR="00BE2CA3" w:rsidRPr="006C6566">
          <w:rPr>
            <w:rFonts w:ascii="Times New Roman" w:eastAsiaTheme="minorEastAsia" w:hAnsi="Times New Roman" w:cs="Times New Roman"/>
            <w:b w:val="0"/>
            <w:bCs w:val="0"/>
            <w:caps w:val="0"/>
            <w:noProof/>
            <w:color w:val="auto"/>
            <w:sz w:val="24"/>
            <w:u w:val="none"/>
            <w:lang w:eastAsia="hr-HR"/>
          </w:rPr>
          <w:tab/>
        </w:r>
        <w:r w:rsidR="00BE2CA3" w:rsidRPr="006C6566">
          <w:rPr>
            <w:rStyle w:val="Hiperveza"/>
            <w:rFonts w:ascii="Times New Roman" w:hAnsi="Times New Roman" w:cs="Times New Roman"/>
            <w:noProof/>
            <w:sz w:val="24"/>
          </w:rPr>
          <w:t>STRATEGIJE I AKCIJSKI PLANOVI</w:t>
        </w:r>
        <w:r w:rsidR="00BE2CA3" w:rsidRPr="006C6566">
          <w:rPr>
            <w:rFonts w:ascii="Times New Roman" w:hAnsi="Times New Roman" w:cs="Times New Roman"/>
            <w:noProof/>
            <w:webHidden/>
            <w:sz w:val="24"/>
          </w:rPr>
          <w:tab/>
        </w:r>
        <w:r w:rsidR="00BE2CA3" w:rsidRPr="006C6566">
          <w:rPr>
            <w:rFonts w:ascii="Times New Roman" w:hAnsi="Times New Roman" w:cs="Times New Roman"/>
            <w:noProof/>
            <w:webHidden/>
            <w:sz w:val="24"/>
          </w:rPr>
          <w:fldChar w:fldCharType="begin"/>
        </w:r>
        <w:r w:rsidR="00BE2CA3" w:rsidRPr="006C6566">
          <w:rPr>
            <w:rFonts w:ascii="Times New Roman" w:hAnsi="Times New Roman" w:cs="Times New Roman"/>
            <w:noProof/>
            <w:webHidden/>
            <w:sz w:val="24"/>
          </w:rPr>
          <w:instrText xml:space="preserve"> PAGEREF _Toc64460756 \h </w:instrText>
        </w:r>
        <w:r w:rsidR="00BE2CA3" w:rsidRPr="006C6566">
          <w:rPr>
            <w:rFonts w:ascii="Times New Roman" w:hAnsi="Times New Roman" w:cs="Times New Roman"/>
            <w:noProof/>
            <w:webHidden/>
            <w:sz w:val="24"/>
          </w:rPr>
        </w:r>
        <w:r w:rsidR="00BE2CA3" w:rsidRPr="006C6566">
          <w:rPr>
            <w:rFonts w:ascii="Times New Roman" w:hAnsi="Times New Roman" w:cs="Times New Roman"/>
            <w:noProof/>
            <w:webHidden/>
            <w:sz w:val="24"/>
          </w:rPr>
          <w:fldChar w:fldCharType="separate"/>
        </w:r>
        <w:r w:rsidR="004C449C">
          <w:rPr>
            <w:rFonts w:ascii="Times New Roman" w:hAnsi="Times New Roman" w:cs="Times New Roman"/>
            <w:noProof/>
            <w:webHidden/>
            <w:sz w:val="24"/>
          </w:rPr>
          <w:t>112</w:t>
        </w:r>
        <w:r w:rsidR="00BE2CA3" w:rsidRPr="006C6566">
          <w:rPr>
            <w:rFonts w:ascii="Times New Roman" w:hAnsi="Times New Roman" w:cs="Times New Roman"/>
            <w:noProof/>
            <w:webHidden/>
            <w:sz w:val="24"/>
          </w:rPr>
          <w:fldChar w:fldCharType="end"/>
        </w:r>
      </w:hyperlink>
    </w:p>
    <w:p w14:paraId="02D25CE2" w14:textId="08A8858D" w:rsidR="00BE2CA3" w:rsidRPr="006C6566" w:rsidRDefault="00EB1E23" w:rsidP="006C6566">
      <w:pPr>
        <w:pStyle w:val="Sadraj2"/>
        <w:tabs>
          <w:tab w:val="left" w:pos="993"/>
          <w:tab w:val="right" w:leader="dot" w:pos="9062"/>
        </w:tabs>
        <w:ind w:left="993" w:hanging="993"/>
        <w:rPr>
          <w:rFonts w:ascii="Times New Roman" w:eastAsiaTheme="minorEastAsia" w:hAnsi="Times New Roman" w:cs="Times New Roman"/>
          <w:b w:val="0"/>
          <w:bCs w:val="0"/>
          <w:smallCaps w:val="0"/>
          <w:noProof/>
          <w:color w:val="auto"/>
          <w:sz w:val="24"/>
          <w:lang w:eastAsia="hr-HR"/>
        </w:rPr>
      </w:pPr>
      <w:hyperlink w:anchor="_Toc64460757" w:history="1">
        <w:r w:rsidR="00BE2CA3" w:rsidRPr="006C6566">
          <w:rPr>
            <w:rStyle w:val="Hiperveza"/>
            <w:rFonts w:ascii="Times New Roman" w:hAnsi="Times New Roman" w:cs="Times New Roman"/>
            <w:noProof/>
            <w:sz w:val="24"/>
          </w:rPr>
          <w:t>4.1</w:t>
        </w:r>
        <w:r w:rsidR="00BE2CA3" w:rsidRPr="006C6566">
          <w:rPr>
            <w:rFonts w:ascii="Times New Roman" w:eastAsiaTheme="minorEastAsia" w:hAnsi="Times New Roman" w:cs="Times New Roman"/>
            <w:b w:val="0"/>
            <w:bCs w:val="0"/>
            <w:smallCaps w:val="0"/>
            <w:noProof/>
            <w:color w:val="auto"/>
            <w:sz w:val="24"/>
            <w:lang w:eastAsia="hr-HR"/>
          </w:rPr>
          <w:tab/>
        </w:r>
        <w:r w:rsidR="00BE2CA3" w:rsidRPr="006C6566">
          <w:rPr>
            <w:rStyle w:val="Hiperveza"/>
            <w:rFonts w:ascii="Times New Roman" w:hAnsi="Times New Roman" w:cs="Times New Roman"/>
            <w:noProof/>
            <w:sz w:val="24"/>
          </w:rPr>
          <w:t xml:space="preserve">Politika Vlade </w:t>
        </w:r>
        <w:r w:rsidR="00BE2CA3" w:rsidRPr="006C6566">
          <w:rPr>
            <w:rStyle w:val="Hiperveza"/>
            <w:rFonts w:ascii="Times New Roman" w:hAnsi="Times New Roman" w:cs="Times New Roman"/>
            <w:noProof/>
            <w:sz w:val="24"/>
            <w:lang w:bidi="en-US"/>
          </w:rPr>
          <w:t>Republike Hrvatske</w:t>
        </w:r>
        <w:r w:rsidR="00BE2CA3" w:rsidRPr="006C6566">
          <w:rPr>
            <w:rStyle w:val="Hiperveza"/>
            <w:rFonts w:ascii="Times New Roman" w:hAnsi="Times New Roman" w:cs="Times New Roman"/>
            <w:noProof/>
            <w:sz w:val="24"/>
          </w:rPr>
          <w:t xml:space="preserve"> i strategija primjene NIP-a</w:t>
        </w:r>
        <w:r w:rsidR="00BE2CA3" w:rsidRPr="006C6566">
          <w:rPr>
            <w:rFonts w:ascii="Times New Roman" w:hAnsi="Times New Roman" w:cs="Times New Roman"/>
            <w:noProof/>
            <w:webHidden/>
            <w:sz w:val="24"/>
          </w:rPr>
          <w:tab/>
        </w:r>
        <w:r w:rsidR="00BE2CA3" w:rsidRPr="006C6566">
          <w:rPr>
            <w:rFonts w:ascii="Times New Roman" w:hAnsi="Times New Roman" w:cs="Times New Roman"/>
            <w:noProof/>
            <w:webHidden/>
            <w:sz w:val="24"/>
          </w:rPr>
          <w:fldChar w:fldCharType="begin"/>
        </w:r>
        <w:r w:rsidR="00BE2CA3" w:rsidRPr="006C6566">
          <w:rPr>
            <w:rFonts w:ascii="Times New Roman" w:hAnsi="Times New Roman" w:cs="Times New Roman"/>
            <w:noProof/>
            <w:webHidden/>
            <w:sz w:val="24"/>
          </w:rPr>
          <w:instrText xml:space="preserve"> PAGEREF _Toc64460757 \h </w:instrText>
        </w:r>
        <w:r w:rsidR="00BE2CA3" w:rsidRPr="006C6566">
          <w:rPr>
            <w:rFonts w:ascii="Times New Roman" w:hAnsi="Times New Roman" w:cs="Times New Roman"/>
            <w:noProof/>
            <w:webHidden/>
            <w:sz w:val="24"/>
          </w:rPr>
        </w:r>
        <w:r w:rsidR="00BE2CA3" w:rsidRPr="006C6566">
          <w:rPr>
            <w:rFonts w:ascii="Times New Roman" w:hAnsi="Times New Roman" w:cs="Times New Roman"/>
            <w:noProof/>
            <w:webHidden/>
            <w:sz w:val="24"/>
          </w:rPr>
          <w:fldChar w:fldCharType="separate"/>
        </w:r>
        <w:r w:rsidR="004C449C">
          <w:rPr>
            <w:rFonts w:ascii="Times New Roman" w:hAnsi="Times New Roman" w:cs="Times New Roman"/>
            <w:noProof/>
            <w:webHidden/>
            <w:sz w:val="24"/>
          </w:rPr>
          <w:t>112</w:t>
        </w:r>
        <w:r w:rsidR="00BE2CA3" w:rsidRPr="006C6566">
          <w:rPr>
            <w:rFonts w:ascii="Times New Roman" w:hAnsi="Times New Roman" w:cs="Times New Roman"/>
            <w:noProof/>
            <w:webHidden/>
            <w:sz w:val="24"/>
          </w:rPr>
          <w:fldChar w:fldCharType="end"/>
        </w:r>
      </w:hyperlink>
    </w:p>
    <w:p w14:paraId="5B41ED51" w14:textId="4E181B66" w:rsidR="00BE2CA3" w:rsidRPr="006C6566" w:rsidRDefault="00EB1E23" w:rsidP="006C6566">
      <w:pPr>
        <w:pStyle w:val="Sadraj2"/>
        <w:tabs>
          <w:tab w:val="left" w:pos="993"/>
          <w:tab w:val="right" w:leader="dot" w:pos="9062"/>
        </w:tabs>
        <w:ind w:left="993" w:hanging="993"/>
        <w:rPr>
          <w:rFonts w:ascii="Times New Roman" w:eastAsiaTheme="minorEastAsia" w:hAnsi="Times New Roman" w:cs="Times New Roman"/>
          <w:b w:val="0"/>
          <w:bCs w:val="0"/>
          <w:smallCaps w:val="0"/>
          <w:noProof/>
          <w:color w:val="auto"/>
          <w:sz w:val="24"/>
          <w:lang w:eastAsia="hr-HR"/>
        </w:rPr>
      </w:pPr>
      <w:hyperlink w:anchor="_Toc64460758" w:history="1">
        <w:r w:rsidR="00BE2CA3" w:rsidRPr="006C6566">
          <w:rPr>
            <w:rStyle w:val="Hiperveza"/>
            <w:rFonts w:ascii="Times New Roman" w:hAnsi="Times New Roman" w:cs="Times New Roman"/>
            <w:noProof/>
            <w:sz w:val="24"/>
          </w:rPr>
          <w:t>4.2</w:t>
        </w:r>
        <w:r w:rsidR="00BE2CA3" w:rsidRPr="006C6566">
          <w:rPr>
            <w:rFonts w:ascii="Times New Roman" w:eastAsiaTheme="minorEastAsia" w:hAnsi="Times New Roman" w:cs="Times New Roman"/>
            <w:b w:val="0"/>
            <w:bCs w:val="0"/>
            <w:smallCaps w:val="0"/>
            <w:noProof/>
            <w:color w:val="auto"/>
            <w:sz w:val="24"/>
            <w:lang w:eastAsia="hr-HR"/>
          </w:rPr>
          <w:tab/>
        </w:r>
        <w:r w:rsidR="00BE2CA3" w:rsidRPr="006C6566">
          <w:rPr>
            <w:rStyle w:val="Hiperveza"/>
            <w:rFonts w:ascii="Times New Roman" w:hAnsi="Times New Roman" w:cs="Times New Roman"/>
            <w:noProof/>
            <w:sz w:val="24"/>
          </w:rPr>
          <w:t>Aktivnosti, strategije i akcijski planovi</w:t>
        </w:r>
        <w:r w:rsidR="00BE2CA3" w:rsidRPr="006C6566">
          <w:rPr>
            <w:rFonts w:ascii="Times New Roman" w:hAnsi="Times New Roman" w:cs="Times New Roman"/>
            <w:noProof/>
            <w:webHidden/>
            <w:sz w:val="24"/>
          </w:rPr>
          <w:tab/>
        </w:r>
        <w:r w:rsidR="00BE2CA3" w:rsidRPr="006C6566">
          <w:rPr>
            <w:rFonts w:ascii="Times New Roman" w:hAnsi="Times New Roman" w:cs="Times New Roman"/>
            <w:noProof/>
            <w:webHidden/>
            <w:sz w:val="24"/>
          </w:rPr>
          <w:fldChar w:fldCharType="begin"/>
        </w:r>
        <w:r w:rsidR="00BE2CA3" w:rsidRPr="006C6566">
          <w:rPr>
            <w:rFonts w:ascii="Times New Roman" w:hAnsi="Times New Roman" w:cs="Times New Roman"/>
            <w:noProof/>
            <w:webHidden/>
            <w:sz w:val="24"/>
          </w:rPr>
          <w:instrText xml:space="preserve"> PAGEREF _Toc64460758 \h </w:instrText>
        </w:r>
        <w:r w:rsidR="00BE2CA3" w:rsidRPr="006C6566">
          <w:rPr>
            <w:rFonts w:ascii="Times New Roman" w:hAnsi="Times New Roman" w:cs="Times New Roman"/>
            <w:noProof/>
            <w:webHidden/>
            <w:sz w:val="24"/>
          </w:rPr>
        </w:r>
        <w:r w:rsidR="00BE2CA3" w:rsidRPr="006C6566">
          <w:rPr>
            <w:rFonts w:ascii="Times New Roman" w:hAnsi="Times New Roman" w:cs="Times New Roman"/>
            <w:noProof/>
            <w:webHidden/>
            <w:sz w:val="24"/>
          </w:rPr>
          <w:fldChar w:fldCharType="separate"/>
        </w:r>
        <w:r w:rsidR="004C449C">
          <w:rPr>
            <w:rFonts w:ascii="Times New Roman" w:hAnsi="Times New Roman" w:cs="Times New Roman"/>
            <w:noProof/>
            <w:webHidden/>
            <w:sz w:val="24"/>
          </w:rPr>
          <w:t>114</w:t>
        </w:r>
        <w:r w:rsidR="00BE2CA3" w:rsidRPr="006C6566">
          <w:rPr>
            <w:rFonts w:ascii="Times New Roman" w:hAnsi="Times New Roman" w:cs="Times New Roman"/>
            <w:noProof/>
            <w:webHidden/>
            <w:sz w:val="24"/>
          </w:rPr>
          <w:fldChar w:fldCharType="end"/>
        </w:r>
      </w:hyperlink>
    </w:p>
    <w:p w14:paraId="0B3A2482" w14:textId="10E73B8D" w:rsidR="00BE2CA3" w:rsidRPr="006C6566" w:rsidRDefault="00EB1E23" w:rsidP="006C6566">
      <w:pPr>
        <w:pStyle w:val="Sadraj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759" w:history="1">
        <w:r w:rsidR="00BE2CA3" w:rsidRPr="006C6566">
          <w:rPr>
            <w:rStyle w:val="Hiperveza"/>
            <w:rFonts w:ascii="Times New Roman" w:hAnsi="Times New Roman" w:cs="Times New Roman"/>
            <w:noProof/>
            <w:sz w:val="24"/>
            <w:lang w:bidi="en-US"/>
          </w:rPr>
          <w:t>4.2.1</w:t>
        </w:r>
        <w:r w:rsidR="00BE2CA3" w:rsidRPr="006C6566">
          <w:rPr>
            <w:rFonts w:ascii="Times New Roman" w:eastAsiaTheme="minorEastAsia" w:hAnsi="Times New Roman" w:cs="Times New Roman"/>
            <w:smallCaps w:val="0"/>
            <w:noProof/>
            <w:color w:val="auto"/>
            <w:sz w:val="24"/>
            <w:lang w:eastAsia="hr-HR"/>
          </w:rPr>
          <w:tab/>
        </w:r>
        <w:r w:rsidR="00BE2CA3" w:rsidRPr="006C6566">
          <w:rPr>
            <w:rStyle w:val="Hiperveza"/>
            <w:rFonts w:ascii="Times New Roman" w:hAnsi="Times New Roman" w:cs="Times New Roman"/>
            <w:noProof/>
            <w:sz w:val="24"/>
            <w:lang w:bidi="en-US"/>
          </w:rPr>
          <w:t>Aktivnost: Proizvodnja, uvoz i izvoz, uporaba, zalihe i otpad POPs pesticida (Dodatak A, dio I.)</w:t>
        </w:r>
        <w:r w:rsidR="00BE2CA3" w:rsidRPr="006C6566">
          <w:rPr>
            <w:rFonts w:ascii="Times New Roman" w:hAnsi="Times New Roman" w:cs="Times New Roman"/>
            <w:noProof/>
            <w:webHidden/>
            <w:sz w:val="24"/>
          </w:rPr>
          <w:tab/>
        </w:r>
        <w:r w:rsidR="00BE2CA3" w:rsidRPr="006C6566">
          <w:rPr>
            <w:rFonts w:ascii="Times New Roman" w:hAnsi="Times New Roman" w:cs="Times New Roman"/>
            <w:noProof/>
            <w:webHidden/>
            <w:sz w:val="24"/>
          </w:rPr>
          <w:fldChar w:fldCharType="begin"/>
        </w:r>
        <w:r w:rsidR="00BE2CA3" w:rsidRPr="006C6566">
          <w:rPr>
            <w:rFonts w:ascii="Times New Roman" w:hAnsi="Times New Roman" w:cs="Times New Roman"/>
            <w:noProof/>
            <w:webHidden/>
            <w:sz w:val="24"/>
          </w:rPr>
          <w:instrText xml:space="preserve"> PAGEREF _Toc64460759 \h </w:instrText>
        </w:r>
        <w:r w:rsidR="00BE2CA3" w:rsidRPr="006C6566">
          <w:rPr>
            <w:rFonts w:ascii="Times New Roman" w:hAnsi="Times New Roman" w:cs="Times New Roman"/>
            <w:noProof/>
            <w:webHidden/>
            <w:sz w:val="24"/>
          </w:rPr>
        </w:r>
        <w:r w:rsidR="00BE2CA3" w:rsidRPr="006C6566">
          <w:rPr>
            <w:rFonts w:ascii="Times New Roman" w:hAnsi="Times New Roman" w:cs="Times New Roman"/>
            <w:noProof/>
            <w:webHidden/>
            <w:sz w:val="24"/>
          </w:rPr>
          <w:fldChar w:fldCharType="separate"/>
        </w:r>
        <w:r w:rsidR="004C449C">
          <w:rPr>
            <w:rFonts w:ascii="Times New Roman" w:hAnsi="Times New Roman" w:cs="Times New Roman"/>
            <w:noProof/>
            <w:webHidden/>
            <w:sz w:val="24"/>
          </w:rPr>
          <w:t>114</w:t>
        </w:r>
        <w:r w:rsidR="00BE2CA3" w:rsidRPr="006C6566">
          <w:rPr>
            <w:rFonts w:ascii="Times New Roman" w:hAnsi="Times New Roman" w:cs="Times New Roman"/>
            <w:noProof/>
            <w:webHidden/>
            <w:sz w:val="24"/>
          </w:rPr>
          <w:fldChar w:fldCharType="end"/>
        </w:r>
      </w:hyperlink>
    </w:p>
    <w:p w14:paraId="50973ECE" w14:textId="76C6FAC1" w:rsidR="00BE2CA3" w:rsidRPr="006C6566" w:rsidRDefault="00EB1E23" w:rsidP="006C6566">
      <w:pPr>
        <w:pStyle w:val="Sadraj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760" w:history="1">
        <w:r w:rsidR="00BE2CA3" w:rsidRPr="006C6566">
          <w:rPr>
            <w:rStyle w:val="Hiperveza"/>
            <w:rFonts w:ascii="Times New Roman" w:hAnsi="Times New Roman" w:cs="Times New Roman"/>
            <w:noProof/>
            <w:sz w:val="24"/>
            <w:lang w:bidi="en-US"/>
          </w:rPr>
          <w:t>4.2.2</w:t>
        </w:r>
        <w:r w:rsidR="00BE2CA3" w:rsidRPr="006C6566">
          <w:rPr>
            <w:rFonts w:ascii="Times New Roman" w:eastAsiaTheme="minorEastAsia" w:hAnsi="Times New Roman" w:cs="Times New Roman"/>
            <w:smallCaps w:val="0"/>
            <w:noProof/>
            <w:color w:val="auto"/>
            <w:sz w:val="24"/>
            <w:lang w:eastAsia="hr-HR"/>
          </w:rPr>
          <w:tab/>
        </w:r>
        <w:r w:rsidR="00BE2CA3" w:rsidRPr="006C6566">
          <w:rPr>
            <w:rStyle w:val="Hiperveza"/>
            <w:rFonts w:ascii="Times New Roman" w:hAnsi="Times New Roman" w:cs="Times New Roman"/>
            <w:noProof/>
            <w:sz w:val="24"/>
            <w:lang w:bidi="en-US"/>
          </w:rPr>
          <w:t>Aktivnost: Proizvodnja, uvoz i izvoz, uporaba, identifikacija, označavanje, dekontaminacija, skladištenje i zbrinjavanje PCB-a i opreme koja sadrži PCB (Dodatak A, dio II.)</w:t>
        </w:r>
        <w:r w:rsidR="00BE2CA3" w:rsidRPr="006C6566">
          <w:rPr>
            <w:rFonts w:ascii="Times New Roman" w:hAnsi="Times New Roman" w:cs="Times New Roman"/>
            <w:noProof/>
            <w:webHidden/>
            <w:sz w:val="24"/>
          </w:rPr>
          <w:tab/>
        </w:r>
        <w:r w:rsidR="00BE2CA3" w:rsidRPr="006C6566">
          <w:rPr>
            <w:rFonts w:ascii="Times New Roman" w:hAnsi="Times New Roman" w:cs="Times New Roman"/>
            <w:noProof/>
            <w:webHidden/>
            <w:sz w:val="24"/>
          </w:rPr>
          <w:fldChar w:fldCharType="begin"/>
        </w:r>
        <w:r w:rsidR="00BE2CA3" w:rsidRPr="006C6566">
          <w:rPr>
            <w:rFonts w:ascii="Times New Roman" w:hAnsi="Times New Roman" w:cs="Times New Roman"/>
            <w:noProof/>
            <w:webHidden/>
            <w:sz w:val="24"/>
          </w:rPr>
          <w:instrText xml:space="preserve"> PAGEREF _Toc64460760 \h </w:instrText>
        </w:r>
        <w:r w:rsidR="00BE2CA3" w:rsidRPr="006C6566">
          <w:rPr>
            <w:rFonts w:ascii="Times New Roman" w:hAnsi="Times New Roman" w:cs="Times New Roman"/>
            <w:noProof/>
            <w:webHidden/>
            <w:sz w:val="24"/>
          </w:rPr>
        </w:r>
        <w:r w:rsidR="00BE2CA3" w:rsidRPr="006C6566">
          <w:rPr>
            <w:rFonts w:ascii="Times New Roman" w:hAnsi="Times New Roman" w:cs="Times New Roman"/>
            <w:noProof/>
            <w:webHidden/>
            <w:sz w:val="24"/>
          </w:rPr>
          <w:fldChar w:fldCharType="separate"/>
        </w:r>
        <w:r w:rsidR="004C449C">
          <w:rPr>
            <w:rFonts w:ascii="Times New Roman" w:hAnsi="Times New Roman" w:cs="Times New Roman"/>
            <w:noProof/>
            <w:webHidden/>
            <w:sz w:val="24"/>
          </w:rPr>
          <w:t>116</w:t>
        </w:r>
        <w:r w:rsidR="00BE2CA3" w:rsidRPr="006C6566">
          <w:rPr>
            <w:rFonts w:ascii="Times New Roman" w:hAnsi="Times New Roman" w:cs="Times New Roman"/>
            <w:noProof/>
            <w:webHidden/>
            <w:sz w:val="24"/>
          </w:rPr>
          <w:fldChar w:fldCharType="end"/>
        </w:r>
      </w:hyperlink>
    </w:p>
    <w:p w14:paraId="55514BC9" w14:textId="3F0871E1" w:rsidR="00BE2CA3" w:rsidRPr="006C6566" w:rsidRDefault="00EB1E23" w:rsidP="006C6566">
      <w:pPr>
        <w:pStyle w:val="Sadraj4"/>
        <w:rPr>
          <w:rFonts w:eastAsiaTheme="minorEastAsia"/>
          <w:color w:val="auto"/>
          <w:sz w:val="24"/>
          <w:szCs w:val="24"/>
          <w:lang w:eastAsia="hr-HR" w:bidi="ar-SA"/>
        </w:rPr>
      </w:pPr>
      <w:hyperlink w:anchor="_Toc64460761" w:history="1">
        <w:r w:rsidR="00BE2CA3" w:rsidRPr="006C6566">
          <w:rPr>
            <w:rStyle w:val="Hiperveza"/>
            <w:rFonts w:ascii="Times New Roman" w:hAnsi="Times New Roman"/>
            <w:sz w:val="24"/>
            <w:szCs w:val="24"/>
          </w:rPr>
          <w:t>4.2.2.1</w:t>
        </w:r>
        <w:r w:rsidR="00BE2CA3" w:rsidRPr="006C6566">
          <w:rPr>
            <w:rFonts w:eastAsiaTheme="minorEastAsia"/>
            <w:color w:val="auto"/>
            <w:sz w:val="24"/>
            <w:szCs w:val="24"/>
            <w:lang w:eastAsia="hr-HR" w:bidi="ar-SA"/>
          </w:rPr>
          <w:tab/>
        </w:r>
        <w:r w:rsidR="006C6566">
          <w:rPr>
            <w:rFonts w:eastAsiaTheme="minorEastAsia"/>
            <w:color w:val="auto"/>
            <w:sz w:val="24"/>
            <w:szCs w:val="24"/>
            <w:lang w:eastAsia="hr-HR" w:bidi="ar-SA"/>
          </w:rPr>
          <w:tab/>
        </w:r>
        <w:r w:rsidR="00BE2CA3" w:rsidRPr="006C6566">
          <w:rPr>
            <w:rStyle w:val="Hiperveza"/>
            <w:rFonts w:ascii="Times New Roman" w:hAnsi="Times New Roman"/>
            <w:sz w:val="24"/>
            <w:szCs w:val="24"/>
          </w:rPr>
          <w:t>Uklanjanje opreme koja sadrži PCB do 2025</w:t>
        </w:r>
        <w:r w:rsidR="004C449C">
          <w:rPr>
            <w:rStyle w:val="Hiperveza"/>
            <w:rFonts w:ascii="Times New Roman" w:hAnsi="Times New Roman"/>
            <w:sz w:val="24"/>
            <w:szCs w:val="24"/>
          </w:rPr>
          <w:t>.</w:t>
        </w:r>
        <w:r w:rsidR="00BE2CA3" w:rsidRPr="006C6566">
          <w:rPr>
            <w:webHidden/>
            <w:sz w:val="24"/>
            <w:szCs w:val="24"/>
          </w:rPr>
          <w:tab/>
        </w:r>
        <w:r w:rsidR="00BE2CA3" w:rsidRPr="006C6566">
          <w:rPr>
            <w:webHidden/>
            <w:sz w:val="24"/>
            <w:szCs w:val="24"/>
          </w:rPr>
          <w:fldChar w:fldCharType="begin"/>
        </w:r>
        <w:r w:rsidR="00BE2CA3" w:rsidRPr="006C6566">
          <w:rPr>
            <w:webHidden/>
            <w:sz w:val="24"/>
            <w:szCs w:val="24"/>
          </w:rPr>
          <w:instrText xml:space="preserve"> PAGEREF _Toc64460761 \h </w:instrText>
        </w:r>
        <w:r w:rsidR="00BE2CA3" w:rsidRPr="006C6566">
          <w:rPr>
            <w:webHidden/>
            <w:sz w:val="24"/>
            <w:szCs w:val="24"/>
          </w:rPr>
        </w:r>
        <w:r w:rsidR="00BE2CA3" w:rsidRPr="006C6566">
          <w:rPr>
            <w:webHidden/>
            <w:sz w:val="24"/>
            <w:szCs w:val="24"/>
          </w:rPr>
          <w:fldChar w:fldCharType="separate"/>
        </w:r>
        <w:r w:rsidR="004C449C">
          <w:rPr>
            <w:webHidden/>
            <w:sz w:val="24"/>
            <w:szCs w:val="24"/>
          </w:rPr>
          <w:t>116</w:t>
        </w:r>
        <w:r w:rsidR="00BE2CA3" w:rsidRPr="006C6566">
          <w:rPr>
            <w:webHidden/>
            <w:sz w:val="24"/>
            <w:szCs w:val="24"/>
          </w:rPr>
          <w:fldChar w:fldCharType="end"/>
        </w:r>
      </w:hyperlink>
    </w:p>
    <w:p w14:paraId="2AD54DE4" w14:textId="2C5E541B" w:rsidR="00BE2CA3" w:rsidRPr="006C6566" w:rsidRDefault="00EB1E23" w:rsidP="006C6566">
      <w:pPr>
        <w:pStyle w:val="Sadraj4"/>
        <w:rPr>
          <w:rFonts w:eastAsiaTheme="minorEastAsia"/>
          <w:color w:val="auto"/>
          <w:sz w:val="24"/>
          <w:szCs w:val="24"/>
          <w:lang w:eastAsia="hr-HR" w:bidi="ar-SA"/>
        </w:rPr>
      </w:pPr>
      <w:hyperlink w:anchor="_Toc64460762" w:history="1">
        <w:r w:rsidR="00BE2CA3" w:rsidRPr="006C6566">
          <w:rPr>
            <w:rStyle w:val="Hiperveza"/>
            <w:rFonts w:ascii="Times New Roman" w:hAnsi="Times New Roman"/>
            <w:bCs/>
            <w:sz w:val="24"/>
            <w:szCs w:val="24"/>
          </w:rPr>
          <w:t>4.2.2.2</w:t>
        </w:r>
        <w:r w:rsidR="00BE2CA3" w:rsidRPr="006C6566">
          <w:rPr>
            <w:rFonts w:eastAsiaTheme="minorEastAsia"/>
            <w:color w:val="auto"/>
            <w:sz w:val="24"/>
            <w:szCs w:val="24"/>
            <w:lang w:eastAsia="hr-HR" w:bidi="ar-SA"/>
          </w:rPr>
          <w:tab/>
        </w:r>
        <w:r w:rsidR="006C6566">
          <w:rPr>
            <w:rFonts w:eastAsiaTheme="minorEastAsia"/>
            <w:color w:val="auto"/>
            <w:sz w:val="24"/>
            <w:szCs w:val="24"/>
            <w:lang w:eastAsia="hr-HR" w:bidi="ar-SA"/>
          </w:rPr>
          <w:tab/>
        </w:r>
        <w:r w:rsidR="00BE2CA3" w:rsidRPr="006C6566">
          <w:rPr>
            <w:rStyle w:val="Hiperveza"/>
            <w:rFonts w:ascii="Times New Roman" w:hAnsi="Times New Roman"/>
            <w:bCs/>
            <w:sz w:val="24"/>
            <w:szCs w:val="24"/>
          </w:rPr>
          <w:t>Edukacija i podizanje svijesti ciljnih skupina</w:t>
        </w:r>
        <w:r w:rsidR="00BE2CA3" w:rsidRPr="006C6566">
          <w:rPr>
            <w:webHidden/>
            <w:sz w:val="24"/>
            <w:szCs w:val="24"/>
          </w:rPr>
          <w:tab/>
        </w:r>
        <w:r w:rsidR="00BE2CA3" w:rsidRPr="006C6566">
          <w:rPr>
            <w:webHidden/>
            <w:sz w:val="24"/>
            <w:szCs w:val="24"/>
          </w:rPr>
          <w:fldChar w:fldCharType="begin"/>
        </w:r>
        <w:r w:rsidR="00BE2CA3" w:rsidRPr="006C6566">
          <w:rPr>
            <w:webHidden/>
            <w:sz w:val="24"/>
            <w:szCs w:val="24"/>
          </w:rPr>
          <w:instrText xml:space="preserve"> PAGEREF _Toc64460762 \h </w:instrText>
        </w:r>
        <w:r w:rsidR="00BE2CA3" w:rsidRPr="006C6566">
          <w:rPr>
            <w:webHidden/>
            <w:sz w:val="24"/>
            <w:szCs w:val="24"/>
          </w:rPr>
        </w:r>
        <w:r w:rsidR="00BE2CA3" w:rsidRPr="006C6566">
          <w:rPr>
            <w:webHidden/>
            <w:sz w:val="24"/>
            <w:szCs w:val="24"/>
          </w:rPr>
          <w:fldChar w:fldCharType="separate"/>
        </w:r>
        <w:r w:rsidR="004C449C">
          <w:rPr>
            <w:webHidden/>
            <w:sz w:val="24"/>
            <w:szCs w:val="24"/>
          </w:rPr>
          <w:t>117</w:t>
        </w:r>
        <w:r w:rsidR="00BE2CA3" w:rsidRPr="006C6566">
          <w:rPr>
            <w:webHidden/>
            <w:sz w:val="24"/>
            <w:szCs w:val="24"/>
          </w:rPr>
          <w:fldChar w:fldCharType="end"/>
        </w:r>
      </w:hyperlink>
    </w:p>
    <w:p w14:paraId="5419DE92" w14:textId="179459E1" w:rsidR="00BE2CA3" w:rsidRPr="006C6566" w:rsidRDefault="00EB1E23" w:rsidP="006C6566">
      <w:pPr>
        <w:pStyle w:val="Sadraj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763" w:history="1">
        <w:r w:rsidR="00BE2CA3" w:rsidRPr="006C6566">
          <w:rPr>
            <w:rStyle w:val="Hiperveza"/>
            <w:rFonts w:ascii="Times New Roman" w:hAnsi="Times New Roman" w:cs="Times New Roman"/>
            <w:noProof/>
            <w:sz w:val="24"/>
            <w:lang w:bidi="en-US"/>
          </w:rPr>
          <w:t>4.2.3</w:t>
        </w:r>
        <w:r w:rsidR="00BE2CA3" w:rsidRPr="006C6566">
          <w:rPr>
            <w:rFonts w:ascii="Times New Roman" w:eastAsiaTheme="minorEastAsia" w:hAnsi="Times New Roman" w:cs="Times New Roman"/>
            <w:smallCaps w:val="0"/>
            <w:noProof/>
            <w:color w:val="auto"/>
            <w:sz w:val="24"/>
            <w:lang w:eastAsia="hr-HR"/>
          </w:rPr>
          <w:tab/>
        </w:r>
        <w:r w:rsidR="00BE2CA3" w:rsidRPr="006C6566">
          <w:rPr>
            <w:rStyle w:val="Hiperveza"/>
            <w:rFonts w:ascii="Times New Roman" w:hAnsi="Times New Roman" w:cs="Times New Roman"/>
            <w:noProof/>
            <w:sz w:val="24"/>
            <w:lang w:bidi="en-US"/>
          </w:rPr>
          <w:t>Aktivnost: Proizvodnja, uvoz i izvoz, uporaba, zalihe i otpad heksaBDE i heptaBDE (Dodatak A, dio IV.) i tetraBDE i pentaBDE (Dodatak A, dio V.) i HBB, gdje je primjenjivo (Dodatak A, dio I.)</w:t>
        </w:r>
        <w:r w:rsidR="00BE2CA3" w:rsidRPr="006C6566">
          <w:rPr>
            <w:rFonts w:ascii="Times New Roman" w:hAnsi="Times New Roman" w:cs="Times New Roman"/>
            <w:noProof/>
            <w:webHidden/>
            <w:sz w:val="24"/>
          </w:rPr>
          <w:tab/>
        </w:r>
        <w:r w:rsidR="00BE2CA3" w:rsidRPr="006C6566">
          <w:rPr>
            <w:rFonts w:ascii="Times New Roman" w:hAnsi="Times New Roman" w:cs="Times New Roman"/>
            <w:noProof/>
            <w:webHidden/>
            <w:sz w:val="24"/>
          </w:rPr>
          <w:fldChar w:fldCharType="begin"/>
        </w:r>
        <w:r w:rsidR="00BE2CA3" w:rsidRPr="006C6566">
          <w:rPr>
            <w:rFonts w:ascii="Times New Roman" w:hAnsi="Times New Roman" w:cs="Times New Roman"/>
            <w:noProof/>
            <w:webHidden/>
            <w:sz w:val="24"/>
          </w:rPr>
          <w:instrText xml:space="preserve"> PAGEREF _Toc64460763 \h </w:instrText>
        </w:r>
        <w:r w:rsidR="00BE2CA3" w:rsidRPr="006C6566">
          <w:rPr>
            <w:rFonts w:ascii="Times New Roman" w:hAnsi="Times New Roman" w:cs="Times New Roman"/>
            <w:noProof/>
            <w:webHidden/>
            <w:sz w:val="24"/>
          </w:rPr>
        </w:r>
        <w:r w:rsidR="00BE2CA3" w:rsidRPr="006C6566">
          <w:rPr>
            <w:rFonts w:ascii="Times New Roman" w:hAnsi="Times New Roman" w:cs="Times New Roman"/>
            <w:noProof/>
            <w:webHidden/>
            <w:sz w:val="24"/>
          </w:rPr>
          <w:fldChar w:fldCharType="separate"/>
        </w:r>
        <w:r w:rsidR="004C449C">
          <w:rPr>
            <w:rFonts w:ascii="Times New Roman" w:hAnsi="Times New Roman" w:cs="Times New Roman"/>
            <w:noProof/>
            <w:webHidden/>
            <w:sz w:val="24"/>
          </w:rPr>
          <w:t>118</w:t>
        </w:r>
        <w:r w:rsidR="00BE2CA3" w:rsidRPr="006C6566">
          <w:rPr>
            <w:rFonts w:ascii="Times New Roman" w:hAnsi="Times New Roman" w:cs="Times New Roman"/>
            <w:noProof/>
            <w:webHidden/>
            <w:sz w:val="24"/>
          </w:rPr>
          <w:fldChar w:fldCharType="end"/>
        </w:r>
      </w:hyperlink>
    </w:p>
    <w:p w14:paraId="7F7C7076" w14:textId="55020061" w:rsidR="00BE2CA3" w:rsidRPr="006C6566" w:rsidRDefault="00EB1E23" w:rsidP="006C6566">
      <w:pPr>
        <w:pStyle w:val="Sadraj4"/>
        <w:rPr>
          <w:rFonts w:eastAsiaTheme="minorEastAsia"/>
          <w:color w:val="auto"/>
          <w:sz w:val="24"/>
          <w:szCs w:val="24"/>
          <w:lang w:eastAsia="hr-HR" w:bidi="ar-SA"/>
        </w:rPr>
      </w:pPr>
      <w:hyperlink w:anchor="_Toc64460764" w:history="1">
        <w:r w:rsidR="00BE2CA3" w:rsidRPr="006C6566">
          <w:rPr>
            <w:rStyle w:val="Hiperveza"/>
            <w:rFonts w:ascii="Times New Roman" w:hAnsi="Times New Roman"/>
            <w:sz w:val="24"/>
            <w:szCs w:val="24"/>
          </w:rPr>
          <w:t>4.2.3.1</w:t>
        </w:r>
        <w:r w:rsidR="00BE2CA3" w:rsidRPr="006C6566">
          <w:rPr>
            <w:rFonts w:eastAsiaTheme="minorEastAsia"/>
            <w:color w:val="auto"/>
            <w:sz w:val="24"/>
            <w:szCs w:val="24"/>
            <w:lang w:eastAsia="hr-HR" w:bidi="ar-SA"/>
          </w:rPr>
          <w:tab/>
        </w:r>
        <w:r w:rsidR="006C6566">
          <w:rPr>
            <w:rFonts w:eastAsiaTheme="minorEastAsia"/>
            <w:color w:val="auto"/>
            <w:sz w:val="24"/>
            <w:szCs w:val="24"/>
            <w:lang w:eastAsia="hr-HR" w:bidi="ar-SA"/>
          </w:rPr>
          <w:tab/>
        </w:r>
        <w:r w:rsidR="00BE2CA3" w:rsidRPr="006C6566">
          <w:rPr>
            <w:rStyle w:val="Hiperveza"/>
            <w:rFonts w:ascii="Times New Roman" w:hAnsi="Times New Roman"/>
            <w:sz w:val="24"/>
            <w:szCs w:val="24"/>
          </w:rPr>
          <w:t>Jačanje svijesti i tehničkih kapaciteta za gospodarenje PBDE-om</w:t>
        </w:r>
        <w:r w:rsidR="00BE2CA3" w:rsidRPr="006C6566">
          <w:rPr>
            <w:webHidden/>
            <w:sz w:val="24"/>
            <w:szCs w:val="24"/>
          </w:rPr>
          <w:tab/>
        </w:r>
        <w:r w:rsidR="00BE2CA3" w:rsidRPr="006C6566">
          <w:rPr>
            <w:webHidden/>
            <w:sz w:val="24"/>
            <w:szCs w:val="24"/>
          </w:rPr>
          <w:fldChar w:fldCharType="begin"/>
        </w:r>
        <w:r w:rsidR="00BE2CA3" w:rsidRPr="006C6566">
          <w:rPr>
            <w:webHidden/>
            <w:sz w:val="24"/>
            <w:szCs w:val="24"/>
          </w:rPr>
          <w:instrText xml:space="preserve"> PAGEREF _Toc64460764 \h </w:instrText>
        </w:r>
        <w:r w:rsidR="00BE2CA3" w:rsidRPr="006C6566">
          <w:rPr>
            <w:webHidden/>
            <w:sz w:val="24"/>
            <w:szCs w:val="24"/>
          </w:rPr>
        </w:r>
        <w:r w:rsidR="00BE2CA3" w:rsidRPr="006C6566">
          <w:rPr>
            <w:webHidden/>
            <w:sz w:val="24"/>
            <w:szCs w:val="24"/>
          </w:rPr>
          <w:fldChar w:fldCharType="separate"/>
        </w:r>
        <w:r w:rsidR="004C449C">
          <w:rPr>
            <w:webHidden/>
            <w:sz w:val="24"/>
            <w:szCs w:val="24"/>
          </w:rPr>
          <w:t>119</w:t>
        </w:r>
        <w:r w:rsidR="00BE2CA3" w:rsidRPr="006C6566">
          <w:rPr>
            <w:webHidden/>
            <w:sz w:val="24"/>
            <w:szCs w:val="24"/>
          </w:rPr>
          <w:fldChar w:fldCharType="end"/>
        </w:r>
      </w:hyperlink>
    </w:p>
    <w:p w14:paraId="63F34E82" w14:textId="08B81119" w:rsidR="00BE2CA3" w:rsidRPr="006C6566" w:rsidRDefault="00EB1E23" w:rsidP="006C6566">
      <w:pPr>
        <w:pStyle w:val="Sadraj4"/>
        <w:rPr>
          <w:rFonts w:eastAsiaTheme="minorEastAsia"/>
          <w:color w:val="auto"/>
          <w:sz w:val="24"/>
          <w:szCs w:val="24"/>
          <w:lang w:eastAsia="hr-HR" w:bidi="ar-SA"/>
        </w:rPr>
      </w:pPr>
      <w:hyperlink w:anchor="_Toc64460765" w:history="1">
        <w:r w:rsidR="00BE2CA3" w:rsidRPr="006C6566">
          <w:rPr>
            <w:rStyle w:val="Hiperveza"/>
            <w:rFonts w:ascii="Times New Roman" w:hAnsi="Times New Roman"/>
            <w:sz w:val="24"/>
            <w:szCs w:val="24"/>
          </w:rPr>
          <w:t>4.2.3.2</w:t>
        </w:r>
        <w:r w:rsidR="00BE2CA3" w:rsidRPr="006C6566">
          <w:rPr>
            <w:rFonts w:eastAsiaTheme="minorEastAsia"/>
            <w:color w:val="auto"/>
            <w:sz w:val="24"/>
            <w:szCs w:val="24"/>
            <w:lang w:eastAsia="hr-HR" w:bidi="ar-SA"/>
          </w:rPr>
          <w:tab/>
        </w:r>
        <w:r w:rsidR="006C6566">
          <w:rPr>
            <w:rFonts w:eastAsiaTheme="minorEastAsia"/>
            <w:color w:val="auto"/>
            <w:sz w:val="24"/>
            <w:szCs w:val="24"/>
            <w:lang w:eastAsia="hr-HR" w:bidi="ar-SA"/>
          </w:rPr>
          <w:tab/>
        </w:r>
        <w:r w:rsidR="00BE2CA3" w:rsidRPr="006C6566">
          <w:rPr>
            <w:rStyle w:val="Hiperveza"/>
            <w:rFonts w:ascii="Times New Roman" w:hAnsi="Times New Roman"/>
            <w:sz w:val="24"/>
            <w:szCs w:val="24"/>
          </w:rPr>
          <w:t>Edukacija i podizanje svijesti ciljnih skupina</w:t>
        </w:r>
        <w:r w:rsidR="00BE2CA3" w:rsidRPr="006C6566">
          <w:rPr>
            <w:webHidden/>
            <w:sz w:val="24"/>
            <w:szCs w:val="24"/>
          </w:rPr>
          <w:tab/>
        </w:r>
        <w:r w:rsidR="00BE2CA3" w:rsidRPr="006C6566">
          <w:rPr>
            <w:webHidden/>
            <w:sz w:val="24"/>
            <w:szCs w:val="24"/>
          </w:rPr>
          <w:fldChar w:fldCharType="begin"/>
        </w:r>
        <w:r w:rsidR="00BE2CA3" w:rsidRPr="006C6566">
          <w:rPr>
            <w:webHidden/>
            <w:sz w:val="24"/>
            <w:szCs w:val="24"/>
          </w:rPr>
          <w:instrText xml:space="preserve"> PAGEREF _Toc64460765 \h </w:instrText>
        </w:r>
        <w:r w:rsidR="00BE2CA3" w:rsidRPr="006C6566">
          <w:rPr>
            <w:webHidden/>
            <w:sz w:val="24"/>
            <w:szCs w:val="24"/>
          </w:rPr>
        </w:r>
        <w:r w:rsidR="00BE2CA3" w:rsidRPr="006C6566">
          <w:rPr>
            <w:webHidden/>
            <w:sz w:val="24"/>
            <w:szCs w:val="24"/>
          </w:rPr>
          <w:fldChar w:fldCharType="separate"/>
        </w:r>
        <w:r w:rsidR="004C449C">
          <w:rPr>
            <w:webHidden/>
            <w:sz w:val="24"/>
            <w:szCs w:val="24"/>
          </w:rPr>
          <w:t>119</w:t>
        </w:r>
        <w:r w:rsidR="00BE2CA3" w:rsidRPr="006C6566">
          <w:rPr>
            <w:webHidden/>
            <w:sz w:val="24"/>
            <w:szCs w:val="24"/>
          </w:rPr>
          <w:fldChar w:fldCharType="end"/>
        </w:r>
      </w:hyperlink>
    </w:p>
    <w:p w14:paraId="0817C3F2" w14:textId="03A415B0" w:rsidR="00BE2CA3" w:rsidRPr="006C6566" w:rsidRDefault="00EB1E23" w:rsidP="006C6566">
      <w:pPr>
        <w:pStyle w:val="Sadraj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766" w:history="1">
        <w:r w:rsidR="00BE2CA3" w:rsidRPr="006C6566">
          <w:rPr>
            <w:rStyle w:val="Hiperveza"/>
            <w:rFonts w:ascii="Times New Roman" w:hAnsi="Times New Roman" w:cs="Times New Roman"/>
            <w:noProof/>
            <w:sz w:val="24"/>
            <w:lang w:bidi="en-US"/>
          </w:rPr>
          <w:t>4.2.4</w:t>
        </w:r>
        <w:r w:rsidR="00BE2CA3" w:rsidRPr="006C6566">
          <w:rPr>
            <w:rFonts w:ascii="Times New Roman" w:eastAsiaTheme="minorEastAsia" w:hAnsi="Times New Roman" w:cs="Times New Roman"/>
            <w:smallCaps w:val="0"/>
            <w:noProof/>
            <w:color w:val="auto"/>
            <w:sz w:val="24"/>
            <w:lang w:eastAsia="hr-HR"/>
          </w:rPr>
          <w:tab/>
        </w:r>
        <w:r w:rsidR="00BE2CA3" w:rsidRPr="006C6566">
          <w:rPr>
            <w:rStyle w:val="Hiperveza"/>
            <w:rFonts w:ascii="Times New Roman" w:hAnsi="Times New Roman" w:cs="Times New Roman"/>
            <w:noProof/>
            <w:sz w:val="24"/>
            <w:lang w:bidi="en-US"/>
          </w:rPr>
          <w:t>Aktivnost: Institucionalne i zakonske mjere jačanja</w:t>
        </w:r>
        <w:r w:rsidR="00BE2CA3" w:rsidRPr="006C6566">
          <w:rPr>
            <w:rFonts w:ascii="Times New Roman" w:hAnsi="Times New Roman" w:cs="Times New Roman"/>
            <w:noProof/>
            <w:webHidden/>
            <w:sz w:val="24"/>
          </w:rPr>
          <w:tab/>
        </w:r>
        <w:r w:rsidR="00BE2CA3" w:rsidRPr="006C6566">
          <w:rPr>
            <w:rFonts w:ascii="Times New Roman" w:hAnsi="Times New Roman" w:cs="Times New Roman"/>
            <w:noProof/>
            <w:webHidden/>
            <w:sz w:val="24"/>
          </w:rPr>
          <w:fldChar w:fldCharType="begin"/>
        </w:r>
        <w:r w:rsidR="00BE2CA3" w:rsidRPr="006C6566">
          <w:rPr>
            <w:rFonts w:ascii="Times New Roman" w:hAnsi="Times New Roman" w:cs="Times New Roman"/>
            <w:noProof/>
            <w:webHidden/>
            <w:sz w:val="24"/>
          </w:rPr>
          <w:instrText xml:space="preserve"> PAGEREF _Toc64460766 \h </w:instrText>
        </w:r>
        <w:r w:rsidR="00BE2CA3" w:rsidRPr="006C6566">
          <w:rPr>
            <w:rFonts w:ascii="Times New Roman" w:hAnsi="Times New Roman" w:cs="Times New Roman"/>
            <w:noProof/>
            <w:webHidden/>
            <w:sz w:val="24"/>
          </w:rPr>
        </w:r>
        <w:r w:rsidR="00BE2CA3" w:rsidRPr="006C6566">
          <w:rPr>
            <w:rFonts w:ascii="Times New Roman" w:hAnsi="Times New Roman" w:cs="Times New Roman"/>
            <w:noProof/>
            <w:webHidden/>
            <w:sz w:val="24"/>
          </w:rPr>
          <w:fldChar w:fldCharType="separate"/>
        </w:r>
        <w:r w:rsidR="004C449C">
          <w:rPr>
            <w:rFonts w:ascii="Times New Roman" w:hAnsi="Times New Roman" w:cs="Times New Roman"/>
            <w:noProof/>
            <w:webHidden/>
            <w:sz w:val="24"/>
          </w:rPr>
          <w:t>120</w:t>
        </w:r>
        <w:r w:rsidR="00BE2CA3" w:rsidRPr="006C6566">
          <w:rPr>
            <w:rFonts w:ascii="Times New Roman" w:hAnsi="Times New Roman" w:cs="Times New Roman"/>
            <w:noProof/>
            <w:webHidden/>
            <w:sz w:val="24"/>
          </w:rPr>
          <w:fldChar w:fldCharType="end"/>
        </w:r>
      </w:hyperlink>
    </w:p>
    <w:p w14:paraId="12C4D1EA" w14:textId="0CABC1B8" w:rsidR="00BE2CA3" w:rsidRPr="006C6566" w:rsidRDefault="00EB1E23" w:rsidP="006C6566">
      <w:pPr>
        <w:pStyle w:val="Sadraj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767" w:history="1">
        <w:r w:rsidR="00BE2CA3" w:rsidRPr="006C6566">
          <w:rPr>
            <w:rStyle w:val="Hiperveza"/>
            <w:rFonts w:ascii="Times New Roman" w:hAnsi="Times New Roman" w:cs="Times New Roman"/>
            <w:noProof/>
            <w:sz w:val="24"/>
            <w:lang w:bidi="en-US"/>
          </w:rPr>
          <w:t>4.2.5</w:t>
        </w:r>
        <w:r w:rsidR="00BE2CA3" w:rsidRPr="006C6566">
          <w:rPr>
            <w:rFonts w:ascii="Times New Roman" w:eastAsiaTheme="minorEastAsia" w:hAnsi="Times New Roman" w:cs="Times New Roman"/>
            <w:smallCaps w:val="0"/>
            <w:noProof/>
            <w:color w:val="auto"/>
            <w:sz w:val="24"/>
            <w:lang w:eastAsia="hr-HR"/>
          </w:rPr>
          <w:tab/>
        </w:r>
        <w:r w:rsidR="00BE2CA3" w:rsidRPr="006C6566">
          <w:rPr>
            <w:rStyle w:val="Hiperveza"/>
            <w:rFonts w:ascii="Times New Roman" w:hAnsi="Times New Roman" w:cs="Times New Roman"/>
            <w:noProof/>
            <w:sz w:val="24"/>
            <w:lang w:bidi="en-US"/>
          </w:rPr>
          <w:t>Aktivnost: Proizvodnja, uvoz i izvoz, uporaba, zalihe i otpad DDT-a (Dodatak B) ako se koristi u državi</w:t>
        </w:r>
        <w:r w:rsidR="00BE2CA3" w:rsidRPr="006C6566">
          <w:rPr>
            <w:rFonts w:ascii="Times New Roman" w:hAnsi="Times New Roman" w:cs="Times New Roman"/>
            <w:noProof/>
            <w:webHidden/>
            <w:sz w:val="24"/>
          </w:rPr>
          <w:tab/>
        </w:r>
        <w:r w:rsidR="00BE2CA3" w:rsidRPr="006C6566">
          <w:rPr>
            <w:rFonts w:ascii="Times New Roman" w:hAnsi="Times New Roman" w:cs="Times New Roman"/>
            <w:noProof/>
            <w:webHidden/>
            <w:sz w:val="24"/>
          </w:rPr>
          <w:fldChar w:fldCharType="begin"/>
        </w:r>
        <w:r w:rsidR="00BE2CA3" w:rsidRPr="006C6566">
          <w:rPr>
            <w:rFonts w:ascii="Times New Roman" w:hAnsi="Times New Roman" w:cs="Times New Roman"/>
            <w:noProof/>
            <w:webHidden/>
            <w:sz w:val="24"/>
          </w:rPr>
          <w:instrText xml:space="preserve"> PAGEREF _Toc64460767 \h </w:instrText>
        </w:r>
        <w:r w:rsidR="00BE2CA3" w:rsidRPr="006C6566">
          <w:rPr>
            <w:rFonts w:ascii="Times New Roman" w:hAnsi="Times New Roman" w:cs="Times New Roman"/>
            <w:noProof/>
            <w:webHidden/>
            <w:sz w:val="24"/>
          </w:rPr>
        </w:r>
        <w:r w:rsidR="00BE2CA3" w:rsidRPr="006C6566">
          <w:rPr>
            <w:rFonts w:ascii="Times New Roman" w:hAnsi="Times New Roman" w:cs="Times New Roman"/>
            <w:noProof/>
            <w:webHidden/>
            <w:sz w:val="24"/>
          </w:rPr>
          <w:fldChar w:fldCharType="separate"/>
        </w:r>
        <w:r w:rsidR="004C449C">
          <w:rPr>
            <w:rFonts w:ascii="Times New Roman" w:hAnsi="Times New Roman" w:cs="Times New Roman"/>
            <w:noProof/>
            <w:webHidden/>
            <w:sz w:val="24"/>
          </w:rPr>
          <w:t>121</w:t>
        </w:r>
        <w:r w:rsidR="00BE2CA3" w:rsidRPr="006C6566">
          <w:rPr>
            <w:rFonts w:ascii="Times New Roman" w:hAnsi="Times New Roman" w:cs="Times New Roman"/>
            <w:noProof/>
            <w:webHidden/>
            <w:sz w:val="24"/>
          </w:rPr>
          <w:fldChar w:fldCharType="end"/>
        </w:r>
      </w:hyperlink>
    </w:p>
    <w:p w14:paraId="23B5BDEC" w14:textId="41DFA740" w:rsidR="00BE2CA3" w:rsidRPr="006C6566" w:rsidRDefault="00EB1E23" w:rsidP="006C6566">
      <w:pPr>
        <w:pStyle w:val="Sadraj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768" w:history="1">
        <w:r w:rsidR="00BE2CA3" w:rsidRPr="006C6566">
          <w:rPr>
            <w:rStyle w:val="Hiperveza"/>
            <w:rFonts w:ascii="Times New Roman" w:hAnsi="Times New Roman" w:cs="Times New Roman"/>
            <w:noProof/>
            <w:sz w:val="24"/>
            <w:lang w:bidi="en-US"/>
          </w:rPr>
          <w:t>4.2.6</w:t>
        </w:r>
        <w:r w:rsidR="00BE2CA3" w:rsidRPr="006C6566">
          <w:rPr>
            <w:rFonts w:ascii="Times New Roman" w:eastAsiaTheme="minorEastAsia" w:hAnsi="Times New Roman" w:cs="Times New Roman"/>
            <w:smallCaps w:val="0"/>
            <w:noProof/>
            <w:color w:val="auto"/>
            <w:sz w:val="24"/>
            <w:lang w:eastAsia="hr-HR"/>
          </w:rPr>
          <w:tab/>
        </w:r>
        <w:r w:rsidR="00BE2CA3" w:rsidRPr="006C6566">
          <w:rPr>
            <w:rStyle w:val="Hiperveza"/>
            <w:rFonts w:ascii="Times New Roman" w:hAnsi="Times New Roman" w:cs="Times New Roman"/>
            <w:noProof/>
            <w:sz w:val="24"/>
            <w:lang w:bidi="en-US"/>
          </w:rPr>
          <w:t>Aktivnost: Proizvodnja, uvoz i izvoz, uporaba, zalihe i otpad PFOS-e, njezinih soli i PFOSF-a (Dodatak B, dio III.)</w:t>
        </w:r>
        <w:r w:rsidR="00BE2CA3" w:rsidRPr="006C6566">
          <w:rPr>
            <w:rFonts w:ascii="Times New Roman" w:hAnsi="Times New Roman" w:cs="Times New Roman"/>
            <w:noProof/>
            <w:webHidden/>
            <w:sz w:val="24"/>
          </w:rPr>
          <w:tab/>
        </w:r>
        <w:r w:rsidR="00BE2CA3" w:rsidRPr="006C6566">
          <w:rPr>
            <w:rFonts w:ascii="Times New Roman" w:hAnsi="Times New Roman" w:cs="Times New Roman"/>
            <w:noProof/>
            <w:webHidden/>
            <w:sz w:val="24"/>
          </w:rPr>
          <w:fldChar w:fldCharType="begin"/>
        </w:r>
        <w:r w:rsidR="00BE2CA3" w:rsidRPr="006C6566">
          <w:rPr>
            <w:rFonts w:ascii="Times New Roman" w:hAnsi="Times New Roman" w:cs="Times New Roman"/>
            <w:noProof/>
            <w:webHidden/>
            <w:sz w:val="24"/>
          </w:rPr>
          <w:instrText xml:space="preserve"> PAGEREF _Toc64460768 \h </w:instrText>
        </w:r>
        <w:r w:rsidR="00BE2CA3" w:rsidRPr="006C6566">
          <w:rPr>
            <w:rFonts w:ascii="Times New Roman" w:hAnsi="Times New Roman" w:cs="Times New Roman"/>
            <w:noProof/>
            <w:webHidden/>
            <w:sz w:val="24"/>
          </w:rPr>
        </w:r>
        <w:r w:rsidR="00BE2CA3" w:rsidRPr="006C6566">
          <w:rPr>
            <w:rFonts w:ascii="Times New Roman" w:hAnsi="Times New Roman" w:cs="Times New Roman"/>
            <w:noProof/>
            <w:webHidden/>
            <w:sz w:val="24"/>
          </w:rPr>
          <w:fldChar w:fldCharType="separate"/>
        </w:r>
        <w:r w:rsidR="004C449C">
          <w:rPr>
            <w:rFonts w:ascii="Times New Roman" w:hAnsi="Times New Roman" w:cs="Times New Roman"/>
            <w:noProof/>
            <w:webHidden/>
            <w:sz w:val="24"/>
          </w:rPr>
          <w:t>121</w:t>
        </w:r>
        <w:r w:rsidR="00BE2CA3" w:rsidRPr="006C6566">
          <w:rPr>
            <w:rFonts w:ascii="Times New Roman" w:hAnsi="Times New Roman" w:cs="Times New Roman"/>
            <w:noProof/>
            <w:webHidden/>
            <w:sz w:val="24"/>
          </w:rPr>
          <w:fldChar w:fldCharType="end"/>
        </w:r>
      </w:hyperlink>
    </w:p>
    <w:p w14:paraId="0E43DE41" w14:textId="74E8F1E1" w:rsidR="00BE2CA3" w:rsidRPr="006C6566" w:rsidRDefault="00EB1E23" w:rsidP="006C6566">
      <w:pPr>
        <w:pStyle w:val="Sadraj4"/>
        <w:rPr>
          <w:rFonts w:eastAsiaTheme="minorEastAsia"/>
          <w:color w:val="auto"/>
          <w:sz w:val="24"/>
          <w:szCs w:val="24"/>
          <w:lang w:eastAsia="hr-HR" w:bidi="ar-SA"/>
        </w:rPr>
      </w:pPr>
      <w:hyperlink w:anchor="_Toc64460769" w:history="1">
        <w:r w:rsidR="00BE2CA3" w:rsidRPr="006C6566">
          <w:rPr>
            <w:rStyle w:val="Hiperveza"/>
            <w:rFonts w:ascii="Times New Roman" w:hAnsi="Times New Roman"/>
            <w:sz w:val="24"/>
            <w:szCs w:val="24"/>
          </w:rPr>
          <w:t>4.2.6.1</w:t>
        </w:r>
        <w:r w:rsidR="00BE2CA3" w:rsidRPr="006C6566">
          <w:rPr>
            <w:rFonts w:eastAsiaTheme="minorEastAsia"/>
            <w:color w:val="auto"/>
            <w:sz w:val="24"/>
            <w:szCs w:val="24"/>
            <w:lang w:eastAsia="hr-HR" w:bidi="ar-SA"/>
          </w:rPr>
          <w:tab/>
        </w:r>
        <w:r w:rsidR="006C6566">
          <w:rPr>
            <w:rFonts w:eastAsiaTheme="minorEastAsia"/>
            <w:color w:val="auto"/>
            <w:sz w:val="24"/>
            <w:szCs w:val="24"/>
            <w:lang w:eastAsia="hr-HR" w:bidi="ar-SA"/>
          </w:rPr>
          <w:tab/>
        </w:r>
        <w:r w:rsidR="00BE2CA3" w:rsidRPr="006C6566">
          <w:rPr>
            <w:rStyle w:val="Hiperveza"/>
            <w:rFonts w:ascii="Times New Roman" w:hAnsi="Times New Roman"/>
            <w:sz w:val="24"/>
            <w:szCs w:val="24"/>
          </w:rPr>
          <w:t>Jačanje tehničkih kapaciteta za upravljanje PFOS-om/PFOSF-om</w:t>
        </w:r>
        <w:r w:rsidR="00BE2CA3" w:rsidRPr="006C6566">
          <w:rPr>
            <w:webHidden/>
            <w:sz w:val="24"/>
            <w:szCs w:val="24"/>
          </w:rPr>
          <w:tab/>
        </w:r>
        <w:r w:rsidR="00BE2CA3" w:rsidRPr="006C6566">
          <w:rPr>
            <w:webHidden/>
            <w:sz w:val="24"/>
            <w:szCs w:val="24"/>
          </w:rPr>
          <w:fldChar w:fldCharType="begin"/>
        </w:r>
        <w:r w:rsidR="00BE2CA3" w:rsidRPr="006C6566">
          <w:rPr>
            <w:webHidden/>
            <w:sz w:val="24"/>
            <w:szCs w:val="24"/>
          </w:rPr>
          <w:instrText xml:space="preserve"> PAGEREF _Toc64460769 \h </w:instrText>
        </w:r>
        <w:r w:rsidR="00BE2CA3" w:rsidRPr="006C6566">
          <w:rPr>
            <w:webHidden/>
            <w:sz w:val="24"/>
            <w:szCs w:val="24"/>
          </w:rPr>
        </w:r>
        <w:r w:rsidR="00BE2CA3" w:rsidRPr="006C6566">
          <w:rPr>
            <w:webHidden/>
            <w:sz w:val="24"/>
            <w:szCs w:val="24"/>
          </w:rPr>
          <w:fldChar w:fldCharType="separate"/>
        </w:r>
        <w:r w:rsidR="004C449C">
          <w:rPr>
            <w:webHidden/>
            <w:sz w:val="24"/>
            <w:szCs w:val="24"/>
          </w:rPr>
          <w:t>122</w:t>
        </w:r>
        <w:r w:rsidR="00BE2CA3" w:rsidRPr="006C6566">
          <w:rPr>
            <w:webHidden/>
            <w:sz w:val="24"/>
            <w:szCs w:val="24"/>
          </w:rPr>
          <w:fldChar w:fldCharType="end"/>
        </w:r>
      </w:hyperlink>
    </w:p>
    <w:p w14:paraId="5CB21D15" w14:textId="4E01F1AE" w:rsidR="00BE2CA3" w:rsidRPr="006C6566" w:rsidRDefault="00EB1E23" w:rsidP="006C6566">
      <w:pPr>
        <w:pStyle w:val="Sadraj4"/>
        <w:rPr>
          <w:rFonts w:eastAsiaTheme="minorEastAsia"/>
          <w:color w:val="auto"/>
          <w:sz w:val="24"/>
          <w:szCs w:val="24"/>
          <w:lang w:eastAsia="hr-HR" w:bidi="ar-SA"/>
        </w:rPr>
      </w:pPr>
      <w:hyperlink w:anchor="_Toc64460770" w:history="1">
        <w:r w:rsidR="00BE2CA3" w:rsidRPr="006C6566">
          <w:rPr>
            <w:rStyle w:val="Hiperveza"/>
            <w:rFonts w:ascii="Times New Roman" w:hAnsi="Times New Roman"/>
            <w:sz w:val="24"/>
            <w:szCs w:val="24"/>
          </w:rPr>
          <w:t>4.2.6.2</w:t>
        </w:r>
        <w:r w:rsidR="00BE2CA3" w:rsidRPr="006C6566">
          <w:rPr>
            <w:rFonts w:eastAsiaTheme="minorEastAsia"/>
            <w:color w:val="auto"/>
            <w:sz w:val="24"/>
            <w:szCs w:val="24"/>
            <w:lang w:eastAsia="hr-HR" w:bidi="ar-SA"/>
          </w:rPr>
          <w:tab/>
        </w:r>
        <w:r w:rsidR="006C6566">
          <w:rPr>
            <w:rFonts w:eastAsiaTheme="minorEastAsia"/>
            <w:color w:val="auto"/>
            <w:sz w:val="24"/>
            <w:szCs w:val="24"/>
            <w:lang w:eastAsia="hr-HR" w:bidi="ar-SA"/>
          </w:rPr>
          <w:tab/>
        </w:r>
        <w:r w:rsidR="00BE2CA3" w:rsidRPr="006C6566">
          <w:rPr>
            <w:rStyle w:val="Hiperveza"/>
            <w:rFonts w:ascii="Times New Roman" w:hAnsi="Times New Roman"/>
            <w:sz w:val="24"/>
            <w:szCs w:val="24"/>
          </w:rPr>
          <w:t>Edukacija i podizanje svijesti ciljnih skupina</w:t>
        </w:r>
        <w:r w:rsidR="00BE2CA3" w:rsidRPr="006C6566">
          <w:rPr>
            <w:webHidden/>
            <w:sz w:val="24"/>
            <w:szCs w:val="24"/>
          </w:rPr>
          <w:tab/>
        </w:r>
        <w:r w:rsidR="00BE2CA3" w:rsidRPr="006C6566">
          <w:rPr>
            <w:webHidden/>
            <w:sz w:val="24"/>
            <w:szCs w:val="24"/>
          </w:rPr>
          <w:fldChar w:fldCharType="begin"/>
        </w:r>
        <w:r w:rsidR="00BE2CA3" w:rsidRPr="006C6566">
          <w:rPr>
            <w:webHidden/>
            <w:sz w:val="24"/>
            <w:szCs w:val="24"/>
          </w:rPr>
          <w:instrText xml:space="preserve"> PAGEREF _Toc64460770 \h </w:instrText>
        </w:r>
        <w:r w:rsidR="00BE2CA3" w:rsidRPr="006C6566">
          <w:rPr>
            <w:webHidden/>
            <w:sz w:val="24"/>
            <w:szCs w:val="24"/>
          </w:rPr>
        </w:r>
        <w:r w:rsidR="00BE2CA3" w:rsidRPr="006C6566">
          <w:rPr>
            <w:webHidden/>
            <w:sz w:val="24"/>
            <w:szCs w:val="24"/>
          </w:rPr>
          <w:fldChar w:fldCharType="separate"/>
        </w:r>
        <w:r w:rsidR="004C449C">
          <w:rPr>
            <w:webHidden/>
            <w:sz w:val="24"/>
            <w:szCs w:val="24"/>
          </w:rPr>
          <w:t>122</w:t>
        </w:r>
        <w:r w:rsidR="00BE2CA3" w:rsidRPr="006C6566">
          <w:rPr>
            <w:webHidden/>
            <w:sz w:val="24"/>
            <w:szCs w:val="24"/>
          </w:rPr>
          <w:fldChar w:fldCharType="end"/>
        </w:r>
      </w:hyperlink>
    </w:p>
    <w:p w14:paraId="381294AF" w14:textId="4089FEA8" w:rsidR="00BE2CA3" w:rsidRPr="006C6566" w:rsidRDefault="00EB1E23" w:rsidP="006C6566">
      <w:pPr>
        <w:pStyle w:val="Sadraj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771" w:history="1">
        <w:r w:rsidR="00BE2CA3" w:rsidRPr="006C6566">
          <w:rPr>
            <w:rStyle w:val="Hiperveza"/>
            <w:rFonts w:ascii="Times New Roman" w:hAnsi="Times New Roman" w:cs="Times New Roman"/>
            <w:noProof/>
            <w:sz w:val="24"/>
            <w:lang w:bidi="en-US"/>
          </w:rPr>
          <w:t>4.2.7</w:t>
        </w:r>
        <w:r w:rsidR="00BE2CA3" w:rsidRPr="006C6566">
          <w:rPr>
            <w:rFonts w:ascii="Times New Roman" w:eastAsiaTheme="minorEastAsia" w:hAnsi="Times New Roman" w:cs="Times New Roman"/>
            <w:smallCaps w:val="0"/>
            <w:noProof/>
            <w:color w:val="auto"/>
            <w:sz w:val="24"/>
            <w:lang w:eastAsia="hr-HR"/>
          </w:rPr>
          <w:tab/>
        </w:r>
        <w:r w:rsidR="00BE2CA3" w:rsidRPr="006C6566">
          <w:rPr>
            <w:rStyle w:val="Hiperveza"/>
            <w:rFonts w:ascii="Times New Roman" w:hAnsi="Times New Roman" w:cs="Times New Roman"/>
            <w:noProof/>
            <w:sz w:val="24"/>
            <w:lang w:bidi="en-US"/>
          </w:rPr>
          <w:t>Aktivnost: Proizvodnja, uvoz i izvoz, uporaba, zalihe i otpad HBCD-a</w:t>
        </w:r>
        <w:r w:rsidR="00BE2CA3" w:rsidRPr="006C6566">
          <w:rPr>
            <w:rFonts w:ascii="Times New Roman" w:hAnsi="Times New Roman" w:cs="Times New Roman"/>
            <w:noProof/>
            <w:webHidden/>
            <w:sz w:val="24"/>
          </w:rPr>
          <w:tab/>
        </w:r>
        <w:r w:rsidR="00BE2CA3" w:rsidRPr="006C6566">
          <w:rPr>
            <w:rFonts w:ascii="Times New Roman" w:hAnsi="Times New Roman" w:cs="Times New Roman"/>
            <w:noProof/>
            <w:webHidden/>
            <w:sz w:val="24"/>
          </w:rPr>
          <w:fldChar w:fldCharType="begin"/>
        </w:r>
        <w:r w:rsidR="00BE2CA3" w:rsidRPr="006C6566">
          <w:rPr>
            <w:rFonts w:ascii="Times New Roman" w:hAnsi="Times New Roman" w:cs="Times New Roman"/>
            <w:noProof/>
            <w:webHidden/>
            <w:sz w:val="24"/>
          </w:rPr>
          <w:instrText xml:space="preserve"> PAGEREF _Toc64460771 \h </w:instrText>
        </w:r>
        <w:r w:rsidR="00BE2CA3" w:rsidRPr="006C6566">
          <w:rPr>
            <w:rFonts w:ascii="Times New Roman" w:hAnsi="Times New Roman" w:cs="Times New Roman"/>
            <w:noProof/>
            <w:webHidden/>
            <w:sz w:val="24"/>
          </w:rPr>
        </w:r>
        <w:r w:rsidR="00BE2CA3" w:rsidRPr="006C6566">
          <w:rPr>
            <w:rFonts w:ascii="Times New Roman" w:hAnsi="Times New Roman" w:cs="Times New Roman"/>
            <w:noProof/>
            <w:webHidden/>
            <w:sz w:val="24"/>
          </w:rPr>
          <w:fldChar w:fldCharType="separate"/>
        </w:r>
        <w:r w:rsidR="004C449C">
          <w:rPr>
            <w:rFonts w:ascii="Times New Roman" w:hAnsi="Times New Roman" w:cs="Times New Roman"/>
            <w:noProof/>
            <w:webHidden/>
            <w:sz w:val="24"/>
          </w:rPr>
          <w:t>123</w:t>
        </w:r>
        <w:r w:rsidR="00BE2CA3" w:rsidRPr="006C6566">
          <w:rPr>
            <w:rFonts w:ascii="Times New Roman" w:hAnsi="Times New Roman" w:cs="Times New Roman"/>
            <w:noProof/>
            <w:webHidden/>
            <w:sz w:val="24"/>
          </w:rPr>
          <w:fldChar w:fldCharType="end"/>
        </w:r>
      </w:hyperlink>
    </w:p>
    <w:p w14:paraId="3BDEC030" w14:textId="0ABE2CBB" w:rsidR="00BE2CA3" w:rsidRPr="006C6566" w:rsidRDefault="00EB1E23" w:rsidP="006C6566">
      <w:pPr>
        <w:pStyle w:val="Sadraj4"/>
        <w:rPr>
          <w:rFonts w:eastAsiaTheme="minorEastAsia"/>
          <w:color w:val="auto"/>
          <w:sz w:val="24"/>
          <w:szCs w:val="24"/>
          <w:lang w:eastAsia="hr-HR" w:bidi="ar-SA"/>
        </w:rPr>
      </w:pPr>
      <w:hyperlink w:anchor="_Toc64460772" w:history="1">
        <w:r w:rsidR="00BE2CA3" w:rsidRPr="006C6566">
          <w:rPr>
            <w:rStyle w:val="Hiperveza"/>
            <w:rFonts w:ascii="Times New Roman" w:hAnsi="Times New Roman"/>
            <w:sz w:val="24"/>
            <w:szCs w:val="24"/>
          </w:rPr>
          <w:t>4.2.7.1</w:t>
        </w:r>
        <w:r w:rsidR="00BE2CA3" w:rsidRPr="006C6566">
          <w:rPr>
            <w:rFonts w:eastAsiaTheme="minorEastAsia"/>
            <w:color w:val="auto"/>
            <w:sz w:val="24"/>
            <w:szCs w:val="24"/>
            <w:lang w:eastAsia="hr-HR" w:bidi="ar-SA"/>
          </w:rPr>
          <w:tab/>
        </w:r>
        <w:r w:rsidR="006C6566">
          <w:rPr>
            <w:rFonts w:eastAsiaTheme="minorEastAsia"/>
            <w:color w:val="auto"/>
            <w:sz w:val="24"/>
            <w:szCs w:val="24"/>
            <w:lang w:eastAsia="hr-HR" w:bidi="ar-SA"/>
          </w:rPr>
          <w:tab/>
        </w:r>
        <w:r w:rsidR="00BE2CA3" w:rsidRPr="006C6566">
          <w:rPr>
            <w:rStyle w:val="Hiperveza"/>
            <w:rFonts w:ascii="Times New Roman" w:hAnsi="Times New Roman"/>
            <w:sz w:val="24"/>
            <w:szCs w:val="24"/>
          </w:rPr>
          <w:t>Jačanje tehničkih kapaciteta za upravljanje HBCD-om</w:t>
        </w:r>
        <w:r w:rsidR="00BE2CA3" w:rsidRPr="006C6566">
          <w:rPr>
            <w:webHidden/>
            <w:sz w:val="24"/>
            <w:szCs w:val="24"/>
          </w:rPr>
          <w:tab/>
        </w:r>
        <w:r w:rsidR="00BE2CA3" w:rsidRPr="006C6566">
          <w:rPr>
            <w:webHidden/>
            <w:sz w:val="24"/>
            <w:szCs w:val="24"/>
          </w:rPr>
          <w:fldChar w:fldCharType="begin"/>
        </w:r>
        <w:r w:rsidR="00BE2CA3" w:rsidRPr="006C6566">
          <w:rPr>
            <w:webHidden/>
            <w:sz w:val="24"/>
            <w:szCs w:val="24"/>
          </w:rPr>
          <w:instrText xml:space="preserve"> PAGEREF _Toc64460772 \h </w:instrText>
        </w:r>
        <w:r w:rsidR="00BE2CA3" w:rsidRPr="006C6566">
          <w:rPr>
            <w:webHidden/>
            <w:sz w:val="24"/>
            <w:szCs w:val="24"/>
          </w:rPr>
        </w:r>
        <w:r w:rsidR="00BE2CA3" w:rsidRPr="006C6566">
          <w:rPr>
            <w:webHidden/>
            <w:sz w:val="24"/>
            <w:szCs w:val="24"/>
          </w:rPr>
          <w:fldChar w:fldCharType="separate"/>
        </w:r>
        <w:r w:rsidR="004C449C">
          <w:rPr>
            <w:webHidden/>
            <w:sz w:val="24"/>
            <w:szCs w:val="24"/>
          </w:rPr>
          <w:t>124</w:t>
        </w:r>
        <w:r w:rsidR="00BE2CA3" w:rsidRPr="006C6566">
          <w:rPr>
            <w:webHidden/>
            <w:sz w:val="24"/>
            <w:szCs w:val="24"/>
          </w:rPr>
          <w:fldChar w:fldCharType="end"/>
        </w:r>
      </w:hyperlink>
    </w:p>
    <w:p w14:paraId="6B7FB745" w14:textId="04AB551A" w:rsidR="00BE2CA3" w:rsidRPr="006C6566" w:rsidRDefault="00EB1E23" w:rsidP="006C6566">
      <w:pPr>
        <w:pStyle w:val="Sadraj4"/>
        <w:rPr>
          <w:rFonts w:eastAsiaTheme="minorEastAsia"/>
          <w:color w:val="auto"/>
          <w:sz w:val="24"/>
          <w:szCs w:val="24"/>
          <w:lang w:eastAsia="hr-HR" w:bidi="ar-SA"/>
        </w:rPr>
      </w:pPr>
      <w:hyperlink w:anchor="_Toc64460773" w:history="1">
        <w:r w:rsidR="00BE2CA3" w:rsidRPr="006C6566">
          <w:rPr>
            <w:rStyle w:val="Hiperveza"/>
            <w:rFonts w:ascii="Times New Roman" w:hAnsi="Times New Roman"/>
            <w:sz w:val="24"/>
            <w:szCs w:val="24"/>
          </w:rPr>
          <w:t>4.2.7.2</w:t>
        </w:r>
        <w:r w:rsidR="00BE2CA3" w:rsidRPr="006C6566">
          <w:rPr>
            <w:rFonts w:eastAsiaTheme="minorEastAsia"/>
            <w:color w:val="auto"/>
            <w:sz w:val="24"/>
            <w:szCs w:val="24"/>
            <w:lang w:eastAsia="hr-HR" w:bidi="ar-SA"/>
          </w:rPr>
          <w:tab/>
        </w:r>
        <w:r w:rsidR="006C6566">
          <w:rPr>
            <w:rFonts w:eastAsiaTheme="minorEastAsia"/>
            <w:color w:val="auto"/>
            <w:sz w:val="24"/>
            <w:szCs w:val="24"/>
            <w:lang w:eastAsia="hr-HR" w:bidi="ar-SA"/>
          </w:rPr>
          <w:tab/>
        </w:r>
        <w:r w:rsidR="00BE2CA3" w:rsidRPr="006C6566">
          <w:rPr>
            <w:rStyle w:val="Hiperveza"/>
            <w:rFonts w:ascii="Times New Roman" w:hAnsi="Times New Roman"/>
            <w:sz w:val="24"/>
            <w:szCs w:val="24"/>
          </w:rPr>
          <w:t>Edukacija i podizanje svijesti ciljnih skupina</w:t>
        </w:r>
        <w:r w:rsidR="00BE2CA3" w:rsidRPr="006C6566">
          <w:rPr>
            <w:webHidden/>
            <w:sz w:val="24"/>
            <w:szCs w:val="24"/>
          </w:rPr>
          <w:tab/>
        </w:r>
        <w:r w:rsidR="00BE2CA3" w:rsidRPr="006C6566">
          <w:rPr>
            <w:webHidden/>
            <w:sz w:val="24"/>
            <w:szCs w:val="24"/>
          </w:rPr>
          <w:fldChar w:fldCharType="begin"/>
        </w:r>
        <w:r w:rsidR="00BE2CA3" w:rsidRPr="006C6566">
          <w:rPr>
            <w:webHidden/>
            <w:sz w:val="24"/>
            <w:szCs w:val="24"/>
          </w:rPr>
          <w:instrText xml:space="preserve"> PAGEREF _Toc64460773 \h </w:instrText>
        </w:r>
        <w:r w:rsidR="00BE2CA3" w:rsidRPr="006C6566">
          <w:rPr>
            <w:webHidden/>
            <w:sz w:val="24"/>
            <w:szCs w:val="24"/>
          </w:rPr>
        </w:r>
        <w:r w:rsidR="00BE2CA3" w:rsidRPr="006C6566">
          <w:rPr>
            <w:webHidden/>
            <w:sz w:val="24"/>
            <w:szCs w:val="24"/>
          </w:rPr>
          <w:fldChar w:fldCharType="separate"/>
        </w:r>
        <w:r w:rsidR="004C449C">
          <w:rPr>
            <w:webHidden/>
            <w:sz w:val="24"/>
            <w:szCs w:val="24"/>
          </w:rPr>
          <w:t>124</w:t>
        </w:r>
        <w:r w:rsidR="00BE2CA3" w:rsidRPr="006C6566">
          <w:rPr>
            <w:webHidden/>
            <w:sz w:val="24"/>
            <w:szCs w:val="24"/>
          </w:rPr>
          <w:fldChar w:fldCharType="end"/>
        </w:r>
      </w:hyperlink>
    </w:p>
    <w:p w14:paraId="1DA6B6FF" w14:textId="15B58907" w:rsidR="00BE2CA3" w:rsidRPr="006C6566" w:rsidRDefault="00EB1E23" w:rsidP="006C6566">
      <w:pPr>
        <w:pStyle w:val="Sadraj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774" w:history="1">
        <w:r w:rsidR="00BE2CA3" w:rsidRPr="006C6566">
          <w:rPr>
            <w:rStyle w:val="Hiperveza"/>
            <w:rFonts w:ascii="Times New Roman" w:hAnsi="Times New Roman" w:cs="Times New Roman"/>
            <w:noProof/>
            <w:sz w:val="24"/>
            <w:lang w:bidi="en-US"/>
          </w:rPr>
          <w:t>4.2.8</w:t>
        </w:r>
        <w:r w:rsidR="00BE2CA3" w:rsidRPr="006C6566">
          <w:rPr>
            <w:rFonts w:ascii="Times New Roman" w:eastAsiaTheme="minorEastAsia" w:hAnsi="Times New Roman" w:cs="Times New Roman"/>
            <w:smallCaps w:val="0"/>
            <w:noProof/>
            <w:color w:val="auto"/>
            <w:sz w:val="24"/>
            <w:lang w:eastAsia="hr-HR"/>
          </w:rPr>
          <w:tab/>
        </w:r>
        <w:r w:rsidR="00BE2CA3" w:rsidRPr="006C6566">
          <w:rPr>
            <w:rStyle w:val="Hiperveza"/>
            <w:rFonts w:ascii="Times New Roman" w:hAnsi="Times New Roman" w:cs="Times New Roman"/>
            <w:noProof/>
            <w:sz w:val="24"/>
            <w:lang w:bidi="en-US"/>
          </w:rPr>
          <w:t>Aktivnost: Proizvodnja, uvoz i izvoz, uporaba, zalihe i otpad HCBD-a</w:t>
        </w:r>
        <w:r w:rsidR="00BE2CA3" w:rsidRPr="006C6566">
          <w:rPr>
            <w:rFonts w:ascii="Times New Roman" w:hAnsi="Times New Roman" w:cs="Times New Roman"/>
            <w:noProof/>
            <w:webHidden/>
            <w:sz w:val="24"/>
          </w:rPr>
          <w:tab/>
        </w:r>
        <w:r w:rsidR="00BE2CA3" w:rsidRPr="006C6566">
          <w:rPr>
            <w:rFonts w:ascii="Times New Roman" w:hAnsi="Times New Roman" w:cs="Times New Roman"/>
            <w:noProof/>
            <w:webHidden/>
            <w:sz w:val="24"/>
          </w:rPr>
          <w:fldChar w:fldCharType="begin"/>
        </w:r>
        <w:r w:rsidR="00BE2CA3" w:rsidRPr="006C6566">
          <w:rPr>
            <w:rFonts w:ascii="Times New Roman" w:hAnsi="Times New Roman" w:cs="Times New Roman"/>
            <w:noProof/>
            <w:webHidden/>
            <w:sz w:val="24"/>
          </w:rPr>
          <w:instrText xml:space="preserve"> PAGEREF _Toc64460774 \h </w:instrText>
        </w:r>
        <w:r w:rsidR="00BE2CA3" w:rsidRPr="006C6566">
          <w:rPr>
            <w:rFonts w:ascii="Times New Roman" w:hAnsi="Times New Roman" w:cs="Times New Roman"/>
            <w:noProof/>
            <w:webHidden/>
            <w:sz w:val="24"/>
          </w:rPr>
        </w:r>
        <w:r w:rsidR="00BE2CA3" w:rsidRPr="006C6566">
          <w:rPr>
            <w:rFonts w:ascii="Times New Roman" w:hAnsi="Times New Roman" w:cs="Times New Roman"/>
            <w:noProof/>
            <w:webHidden/>
            <w:sz w:val="24"/>
          </w:rPr>
          <w:fldChar w:fldCharType="separate"/>
        </w:r>
        <w:r w:rsidR="004C449C">
          <w:rPr>
            <w:rFonts w:ascii="Times New Roman" w:hAnsi="Times New Roman" w:cs="Times New Roman"/>
            <w:noProof/>
            <w:webHidden/>
            <w:sz w:val="24"/>
          </w:rPr>
          <w:t>125</w:t>
        </w:r>
        <w:r w:rsidR="00BE2CA3" w:rsidRPr="006C6566">
          <w:rPr>
            <w:rFonts w:ascii="Times New Roman" w:hAnsi="Times New Roman" w:cs="Times New Roman"/>
            <w:noProof/>
            <w:webHidden/>
            <w:sz w:val="24"/>
          </w:rPr>
          <w:fldChar w:fldCharType="end"/>
        </w:r>
      </w:hyperlink>
    </w:p>
    <w:p w14:paraId="1FC721E4" w14:textId="494E3F34" w:rsidR="00BE2CA3" w:rsidRPr="006C6566" w:rsidRDefault="00EB1E23" w:rsidP="006C6566">
      <w:pPr>
        <w:pStyle w:val="Sadraj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775" w:history="1">
        <w:r w:rsidR="00BE2CA3" w:rsidRPr="006C6566">
          <w:rPr>
            <w:rStyle w:val="Hiperveza"/>
            <w:rFonts w:ascii="Times New Roman" w:hAnsi="Times New Roman" w:cs="Times New Roman"/>
            <w:noProof/>
            <w:sz w:val="24"/>
            <w:lang w:bidi="en-US"/>
          </w:rPr>
          <w:t>4.2.9</w:t>
        </w:r>
        <w:r w:rsidR="00BE2CA3" w:rsidRPr="006C6566">
          <w:rPr>
            <w:rFonts w:ascii="Times New Roman" w:eastAsiaTheme="minorEastAsia" w:hAnsi="Times New Roman" w:cs="Times New Roman"/>
            <w:smallCaps w:val="0"/>
            <w:noProof/>
            <w:color w:val="auto"/>
            <w:sz w:val="24"/>
            <w:lang w:eastAsia="hr-HR"/>
          </w:rPr>
          <w:tab/>
        </w:r>
        <w:r w:rsidR="00BE2CA3" w:rsidRPr="006C6566">
          <w:rPr>
            <w:rStyle w:val="Hiperveza"/>
            <w:rFonts w:ascii="Times New Roman" w:hAnsi="Times New Roman" w:cs="Times New Roman"/>
            <w:noProof/>
            <w:sz w:val="24"/>
            <w:lang w:bidi="en-US"/>
          </w:rPr>
          <w:t>Aktivnost: Proizvodnja, uvoz i izvoz, uporaba, zalihe i otpad pentaklorofenola, njegovih soli i estera</w:t>
        </w:r>
        <w:r w:rsidR="00BE2CA3" w:rsidRPr="006C6566">
          <w:rPr>
            <w:rFonts w:ascii="Times New Roman" w:hAnsi="Times New Roman" w:cs="Times New Roman"/>
            <w:noProof/>
            <w:webHidden/>
            <w:sz w:val="24"/>
          </w:rPr>
          <w:tab/>
        </w:r>
        <w:r w:rsidR="00BE2CA3" w:rsidRPr="006C6566">
          <w:rPr>
            <w:rFonts w:ascii="Times New Roman" w:hAnsi="Times New Roman" w:cs="Times New Roman"/>
            <w:noProof/>
            <w:webHidden/>
            <w:sz w:val="24"/>
          </w:rPr>
          <w:fldChar w:fldCharType="begin"/>
        </w:r>
        <w:r w:rsidR="00BE2CA3" w:rsidRPr="006C6566">
          <w:rPr>
            <w:rFonts w:ascii="Times New Roman" w:hAnsi="Times New Roman" w:cs="Times New Roman"/>
            <w:noProof/>
            <w:webHidden/>
            <w:sz w:val="24"/>
          </w:rPr>
          <w:instrText xml:space="preserve"> PAGEREF _Toc64460775 \h </w:instrText>
        </w:r>
        <w:r w:rsidR="00BE2CA3" w:rsidRPr="006C6566">
          <w:rPr>
            <w:rFonts w:ascii="Times New Roman" w:hAnsi="Times New Roman" w:cs="Times New Roman"/>
            <w:noProof/>
            <w:webHidden/>
            <w:sz w:val="24"/>
          </w:rPr>
        </w:r>
        <w:r w:rsidR="00BE2CA3" w:rsidRPr="006C6566">
          <w:rPr>
            <w:rFonts w:ascii="Times New Roman" w:hAnsi="Times New Roman" w:cs="Times New Roman"/>
            <w:noProof/>
            <w:webHidden/>
            <w:sz w:val="24"/>
          </w:rPr>
          <w:fldChar w:fldCharType="separate"/>
        </w:r>
        <w:r w:rsidR="004C449C">
          <w:rPr>
            <w:rFonts w:ascii="Times New Roman" w:hAnsi="Times New Roman" w:cs="Times New Roman"/>
            <w:noProof/>
            <w:webHidden/>
            <w:sz w:val="24"/>
          </w:rPr>
          <w:t>125</w:t>
        </w:r>
        <w:r w:rsidR="00BE2CA3" w:rsidRPr="006C6566">
          <w:rPr>
            <w:rFonts w:ascii="Times New Roman" w:hAnsi="Times New Roman" w:cs="Times New Roman"/>
            <w:noProof/>
            <w:webHidden/>
            <w:sz w:val="24"/>
          </w:rPr>
          <w:fldChar w:fldCharType="end"/>
        </w:r>
      </w:hyperlink>
    </w:p>
    <w:p w14:paraId="356BE5B8" w14:textId="55A90991" w:rsidR="00BE2CA3" w:rsidRPr="006C6566" w:rsidRDefault="00EB1E23" w:rsidP="006C6566">
      <w:pPr>
        <w:pStyle w:val="Sadraj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776" w:history="1">
        <w:r w:rsidR="00BE2CA3" w:rsidRPr="006C6566">
          <w:rPr>
            <w:rStyle w:val="Hiperveza"/>
            <w:rFonts w:ascii="Times New Roman" w:hAnsi="Times New Roman" w:cs="Times New Roman"/>
            <w:noProof/>
            <w:sz w:val="24"/>
            <w:lang w:bidi="en-US"/>
          </w:rPr>
          <w:t>4.2.10</w:t>
        </w:r>
        <w:r w:rsidR="00BE2CA3" w:rsidRPr="006C6566">
          <w:rPr>
            <w:rFonts w:ascii="Times New Roman" w:eastAsiaTheme="minorEastAsia" w:hAnsi="Times New Roman" w:cs="Times New Roman"/>
            <w:smallCaps w:val="0"/>
            <w:noProof/>
            <w:color w:val="auto"/>
            <w:sz w:val="24"/>
            <w:lang w:eastAsia="hr-HR"/>
          </w:rPr>
          <w:tab/>
        </w:r>
        <w:r w:rsidR="00BE2CA3" w:rsidRPr="006C6566">
          <w:rPr>
            <w:rStyle w:val="Hiperveza"/>
            <w:rFonts w:ascii="Times New Roman" w:hAnsi="Times New Roman" w:cs="Times New Roman"/>
            <w:noProof/>
            <w:sz w:val="24"/>
            <w:lang w:bidi="en-US"/>
          </w:rPr>
          <w:t>Aktivnost: Proizvodnja, uvoz i izvoz, uporaba, zalihe i otpad dekabromodifenil (bde-209-a)</w:t>
        </w:r>
        <w:r w:rsidR="00BE2CA3" w:rsidRPr="006C6566">
          <w:rPr>
            <w:rFonts w:ascii="Times New Roman" w:hAnsi="Times New Roman" w:cs="Times New Roman"/>
            <w:noProof/>
            <w:webHidden/>
            <w:sz w:val="24"/>
          </w:rPr>
          <w:tab/>
        </w:r>
        <w:r w:rsidR="00BE2CA3" w:rsidRPr="006C6566">
          <w:rPr>
            <w:rFonts w:ascii="Times New Roman" w:hAnsi="Times New Roman" w:cs="Times New Roman"/>
            <w:noProof/>
            <w:webHidden/>
            <w:sz w:val="24"/>
          </w:rPr>
          <w:fldChar w:fldCharType="begin"/>
        </w:r>
        <w:r w:rsidR="00BE2CA3" w:rsidRPr="006C6566">
          <w:rPr>
            <w:rFonts w:ascii="Times New Roman" w:hAnsi="Times New Roman" w:cs="Times New Roman"/>
            <w:noProof/>
            <w:webHidden/>
            <w:sz w:val="24"/>
          </w:rPr>
          <w:instrText xml:space="preserve"> PAGEREF _Toc64460776 \h </w:instrText>
        </w:r>
        <w:r w:rsidR="00BE2CA3" w:rsidRPr="006C6566">
          <w:rPr>
            <w:rFonts w:ascii="Times New Roman" w:hAnsi="Times New Roman" w:cs="Times New Roman"/>
            <w:noProof/>
            <w:webHidden/>
            <w:sz w:val="24"/>
          </w:rPr>
        </w:r>
        <w:r w:rsidR="00BE2CA3" w:rsidRPr="006C6566">
          <w:rPr>
            <w:rFonts w:ascii="Times New Roman" w:hAnsi="Times New Roman" w:cs="Times New Roman"/>
            <w:noProof/>
            <w:webHidden/>
            <w:sz w:val="24"/>
          </w:rPr>
          <w:fldChar w:fldCharType="separate"/>
        </w:r>
        <w:r w:rsidR="004C449C">
          <w:rPr>
            <w:rFonts w:ascii="Times New Roman" w:hAnsi="Times New Roman" w:cs="Times New Roman"/>
            <w:noProof/>
            <w:webHidden/>
            <w:sz w:val="24"/>
          </w:rPr>
          <w:t>125</w:t>
        </w:r>
        <w:r w:rsidR="00BE2CA3" w:rsidRPr="006C6566">
          <w:rPr>
            <w:rFonts w:ascii="Times New Roman" w:hAnsi="Times New Roman" w:cs="Times New Roman"/>
            <w:noProof/>
            <w:webHidden/>
            <w:sz w:val="24"/>
          </w:rPr>
          <w:fldChar w:fldCharType="end"/>
        </w:r>
      </w:hyperlink>
    </w:p>
    <w:p w14:paraId="07589F09" w14:textId="18D867C5" w:rsidR="00BE2CA3" w:rsidRPr="006C6566" w:rsidRDefault="00EB1E23" w:rsidP="006C6566">
      <w:pPr>
        <w:pStyle w:val="Sadraj4"/>
        <w:rPr>
          <w:rFonts w:eastAsiaTheme="minorEastAsia"/>
          <w:color w:val="auto"/>
          <w:sz w:val="24"/>
          <w:szCs w:val="24"/>
          <w:lang w:eastAsia="hr-HR" w:bidi="ar-SA"/>
        </w:rPr>
      </w:pPr>
      <w:hyperlink w:anchor="_Toc64460777" w:history="1">
        <w:r w:rsidR="00BE2CA3" w:rsidRPr="006C6566">
          <w:rPr>
            <w:rStyle w:val="Hiperveza"/>
            <w:rFonts w:ascii="Times New Roman" w:hAnsi="Times New Roman"/>
            <w:sz w:val="24"/>
            <w:szCs w:val="24"/>
          </w:rPr>
          <w:t>4.2.10.1</w:t>
        </w:r>
        <w:r w:rsidR="00BE2CA3" w:rsidRPr="006C6566">
          <w:rPr>
            <w:rFonts w:eastAsiaTheme="minorEastAsia"/>
            <w:color w:val="auto"/>
            <w:sz w:val="24"/>
            <w:szCs w:val="24"/>
            <w:lang w:eastAsia="hr-HR" w:bidi="ar-SA"/>
          </w:rPr>
          <w:tab/>
        </w:r>
        <w:r w:rsidR="006C6566">
          <w:rPr>
            <w:rFonts w:eastAsiaTheme="minorEastAsia"/>
            <w:color w:val="auto"/>
            <w:sz w:val="24"/>
            <w:szCs w:val="24"/>
            <w:lang w:eastAsia="hr-HR" w:bidi="ar-SA"/>
          </w:rPr>
          <w:tab/>
        </w:r>
        <w:r w:rsidR="00BE2CA3" w:rsidRPr="006C6566">
          <w:rPr>
            <w:rStyle w:val="Hiperveza"/>
            <w:rFonts w:ascii="Times New Roman" w:hAnsi="Times New Roman"/>
            <w:sz w:val="24"/>
            <w:szCs w:val="24"/>
          </w:rPr>
          <w:t>Provođenje testiranja opreme koje bi ukazalo na prisutnost dekaBDE-a</w:t>
        </w:r>
        <w:r w:rsidR="00BE2CA3" w:rsidRPr="006C6566">
          <w:rPr>
            <w:webHidden/>
            <w:sz w:val="24"/>
            <w:szCs w:val="24"/>
          </w:rPr>
          <w:tab/>
        </w:r>
        <w:r w:rsidR="00BE2CA3" w:rsidRPr="006C6566">
          <w:rPr>
            <w:webHidden/>
            <w:sz w:val="24"/>
            <w:szCs w:val="24"/>
          </w:rPr>
          <w:fldChar w:fldCharType="begin"/>
        </w:r>
        <w:r w:rsidR="00BE2CA3" w:rsidRPr="006C6566">
          <w:rPr>
            <w:webHidden/>
            <w:sz w:val="24"/>
            <w:szCs w:val="24"/>
          </w:rPr>
          <w:instrText xml:space="preserve"> PAGEREF _Toc64460777 \h </w:instrText>
        </w:r>
        <w:r w:rsidR="00BE2CA3" w:rsidRPr="006C6566">
          <w:rPr>
            <w:webHidden/>
            <w:sz w:val="24"/>
            <w:szCs w:val="24"/>
          </w:rPr>
        </w:r>
        <w:r w:rsidR="00BE2CA3" w:rsidRPr="006C6566">
          <w:rPr>
            <w:webHidden/>
            <w:sz w:val="24"/>
            <w:szCs w:val="24"/>
          </w:rPr>
          <w:fldChar w:fldCharType="separate"/>
        </w:r>
        <w:r w:rsidR="004C449C">
          <w:rPr>
            <w:webHidden/>
            <w:sz w:val="24"/>
            <w:szCs w:val="24"/>
          </w:rPr>
          <w:t>126</w:t>
        </w:r>
        <w:r w:rsidR="00BE2CA3" w:rsidRPr="006C6566">
          <w:rPr>
            <w:webHidden/>
            <w:sz w:val="24"/>
            <w:szCs w:val="24"/>
          </w:rPr>
          <w:fldChar w:fldCharType="end"/>
        </w:r>
      </w:hyperlink>
    </w:p>
    <w:p w14:paraId="6DD9D1EA" w14:textId="3F5E72B6" w:rsidR="00BE2CA3" w:rsidRPr="006C6566" w:rsidRDefault="00EB1E23" w:rsidP="006C6566">
      <w:pPr>
        <w:pStyle w:val="Sadraj4"/>
        <w:rPr>
          <w:rFonts w:eastAsiaTheme="minorEastAsia"/>
          <w:color w:val="auto"/>
          <w:sz w:val="24"/>
          <w:szCs w:val="24"/>
          <w:lang w:eastAsia="hr-HR" w:bidi="ar-SA"/>
        </w:rPr>
      </w:pPr>
      <w:hyperlink w:anchor="_Toc64460778" w:history="1">
        <w:r w:rsidR="00BE2CA3" w:rsidRPr="006C6566">
          <w:rPr>
            <w:rStyle w:val="Hiperveza"/>
            <w:rFonts w:ascii="Times New Roman" w:hAnsi="Times New Roman"/>
            <w:sz w:val="24"/>
            <w:szCs w:val="24"/>
          </w:rPr>
          <w:t>4.2.10.2</w:t>
        </w:r>
        <w:r w:rsidR="00BE2CA3" w:rsidRPr="006C6566">
          <w:rPr>
            <w:rFonts w:eastAsiaTheme="minorEastAsia"/>
            <w:color w:val="auto"/>
            <w:sz w:val="24"/>
            <w:szCs w:val="24"/>
            <w:lang w:eastAsia="hr-HR" w:bidi="ar-SA"/>
          </w:rPr>
          <w:tab/>
        </w:r>
        <w:r w:rsidR="006C6566">
          <w:rPr>
            <w:rFonts w:eastAsiaTheme="minorEastAsia"/>
            <w:color w:val="auto"/>
            <w:sz w:val="24"/>
            <w:szCs w:val="24"/>
            <w:lang w:eastAsia="hr-HR" w:bidi="ar-SA"/>
          </w:rPr>
          <w:tab/>
        </w:r>
        <w:r w:rsidR="00BE2CA3" w:rsidRPr="006C6566">
          <w:rPr>
            <w:rStyle w:val="Hiperveza"/>
            <w:rFonts w:ascii="Times New Roman" w:hAnsi="Times New Roman"/>
            <w:sz w:val="24"/>
            <w:szCs w:val="24"/>
          </w:rPr>
          <w:t>Edukacija i podizanje svijesti ciljnih skupina</w:t>
        </w:r>
        <w:r w:rsidR="00BE2CA3" w:rsidRPr="006C6566">
          <w:rPr>
            <w:webHidden/>
            <w:sz w:val="24"/>
            <w:szCs w:val="24"/>
          </w:rPr>
          <w:tab/>
        </w:r>
        <w:r w:rsidR="00BE2CA3" w:rsidRPr="006C6566">
          <w:rPr>
            <w:webHidden/>
            <w:sz w:val="24"/>
            <w:szCs w:val="24"/>
          </w:rPr>
          <w:fldChar w:fldCharType="begin"/>
        </w:r>
        <w:r w:rsidR="00BE2CA3" w:rsidRPr="006C6566">
          <w:rPr>
            <w:webHidden/>
            <w:sz w:val="24"/>
            <w:szCs w:val="24"/>
          </w:rPr>
          <w:instrText xml:space="preserve"> PAGEREF _Toc64460778 \h </w:instrText>
        </w:r>
        <w:r w:rsidR="00BE2CA3" w:rsidRPr="006C6566">
          <w:rPr>
            <w:webHidden/>
            <w:sz w:val="24"/>
            <w:szCs w:val="24"/>
          </w:rPr>
        </w:r>
        <w:r w:rsidR="00BE2CA3" w:rsidRPr="006C6566">
          <w:rPr>
            <w:webHidden/>
            <w:sz w:val="24"/>
            <w:szCs w:val="24"/>
          </w:rPr>
          <w:fldChar w:fldCharType="separate"/>
        </w:r>
        <w:r w:rsidR="004C449C">
          <w:rPr>
            <w:webHidden/>
            <w:sz w:val="24"/>
            <w:szCs w:val="24"/>
          </w:rPr>
          <w:t>126</w:t>
        </w:r>
        <w:r w:rsidR="00BE2CA3" w:rsidRPr="006C6566">
          <w:rPr>
            <w:webHidden/>
            <w:sz w:val="24"/>
            <w:szCs w:val="24"/>
          </w:rPr>
          <w:fldChar w:fldCharType="end"/>
        </w:r>
      </w:hyperlink>
    </w:p>
    <w:p w14:paraId="5857004F" w14:textId="23AD4D35" w:rsidR="00BE2CA3" w:rsidRPr="006C6566" w:rsidRDefault="00EB1E23" w:rsidP="006C6566">
      <w:pPr>
        <w:pStyle w:val="Sadraj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779" w:history="1">
        <w:r w:rsidR="00BE2CA3" w:rsidRPr="006C6566">
          <w:rPr>
            <w:rStyle w:val="Hiperveza"/>
            <w:rFonts w:ascii="Times New Roman" w:hAnsi="Times New Roman" w:cs="Times New Roman"/>
            <w:noProof/>
            <w:sz w:val="24"/>
            <w:lang w:bidi="en-US"/>
          </w:rPr>
          <w:t>4.2.11</w:t>
        </w:r>
        <w:r w:rsidR="00BE2CA3" w:rsidRPr="006C6566">
          <w:rPr>
            <w:rFonts w:ascii="Times New Roman" w:eastAsiaTheme="minorEastAsia" w:hAnsi="Times New Roman" w:cs="Times New Roman"/>
            <w:smallCaps w:val="0"/>
            <w:noProof/>
            <w:color w:val="auto"/>
            <w:sz w:val="24"/>
            <w:lang w:eastAsia="hr-HR"/>
          </w:rPr>
          <w:tab/>
        </w:r>
        <w:r w:rsidR="00BE2CA3" w:rsidRPr="006C6566">
          <w:rPr>
            <w:rStyle w:val="Hiperveza"/>
            <w:rFonts w:ascii="Times New Roman" w:hAnsi="Times New Roman" w:cs="Times New Roman"/>
            <w:noProof/>
            <w:sz w:val="24"/>
            <w:lang w:bidi="en-US"/>
          </w:rPr>
          <w:t>Aktivnost: Proizvodnja, uvoz i izvoz, uporaba, zalihe i otpad kloriranih parafina (SCCP-a)</w:t>
        </w:r>
        <w:r w:rsidR="00BE2CA3" w:rsidRPr="006C6566">
          <w:rPr>
            <w:rFonts w:ascii="Times New Roman" w:hAnsi="Times New Roman" w:cs="Times New Roman"/>
            <w:noProof/>
            <w:webHidden/>
            <w:sz w:val="24"/>
          </w:rPr>
          <w:tab/>
        </w:r>
        <w:r w:rsidR="00BE2CA3" w:rsidRPr="006C6566">
          <w:rPr>
            <w:rFonts w:ascii="Times New Roman" w:hAnsi="Times New Roman" w:cs="Times New Roman"/>
            <w:noProof/>
            <w:webHidden/>
            <w:sz w:val="24"/>
          </w:rPr>
          <w:fldChar w:fldCharType="begin"/>
        </w:r>
        <w:r w:rsidR="00BE2CA3" w:rsidRPr="006C6566">
          <w:rPr>
            <w:rFonts w:ascii="Times New Roman" w:hAnsi="Times New Roman" w:cs="Times New Roman"/>
            <w:noProof/>
            <w:webHidden/>
            <w:sz w:val="24"/>
          </w:rPr>
          <w:instrText xml:space="preserve"> PAGEREF _Toc64460779 \h </w:instrText>
        </w:r>
        <w:r w:rsidR="00BE2CA3" w:rsidRPr="006C6566">
          <w:rPr>
            <w:rFonts w:ascii="Times New Roman" w:hAnsi="Times New Roman" w:cs="Times New Roman"/>
            <w:noProof/>
            <w:webHidden/>
            <w:sz w:val="24"/>
          </w:rPr>
        </w:r>
        <w:r w:rsidR="00BE2CA3" w:rsidRPr="006C6566">
          <w:rPr>
            <w:rFonts w:ascii="Times New Roman" w:hAnsi="Times New Roman" w:cs="Times New Roman"/>
            <w:noProof/>
            <w:webHidden/>
            <w:sz w:val="24"/>
          </w:rPr>
          <w:fldChar w:fldCharType="separate"/>
        </w:r>
        <w:r w:rsidR="004C449C">
          <w:rPr>
            <w:rFonts w:ascii="Times New Roman" w:hAnsi="Times New Roman" w:cs="Times New Roman"/>
            <w:noProof/>
            <w:webHidden/>
            <w:sz w:val="24"/>
          </w:rPr>
          <w:t>127</w:t>
        </w:r>
        <w:r w:rsidR="00BE2CA3" w:rsidRPr="006C6566">
          <w:rPr>
            <w:rFonts w:ascii="Times New Roman" w:hAnsi="Times New Roman" w:cs="Times New Roman"/>
            <w:noProof/>
            <w:webHidden/>
            <w:sz w:val="24"/>
          </w:rPr>
          <w:fldChar w:fldCharType="end"/>
        </w:r>
      </w:hyperlink>
    </w:p>
    <w:p w14:paraId="1CB3ABBF" w14:textId="646E4E65" w:rsidR="00BE2CA3" w:rsidRPr="006C6566" w:rsidRDefault="00EB1E23" w:rsidP="006C6566">
      <w:pPr>
        <w:pStyle w:val="Sadraj4"/>
        <w:rPr>
          <w:rFonts w:eastAsiaTheme="minorEastAsia"/>
          <w:color w:val="auto"/>
          <w:sz w:val="24"/>
          <w:szCs w:val="24"/>
          <w:lang w:eastAsia="hr-HR" w:bidi="ar-SA"/>
        </w:rPr>
      </w:pPr>
      <w:hyperlink w:anchor="_Toc64460780" w:history="1">
        <w:r w:rsidR="00BE2CA3" w:rsidRPr="006C6566">
          <w:rPr>
            <w:rStyle w:val="Hiperveza"/>
            <w:rFonts w:ascii="Times New Roman" w:hAnsi="Times New Roman"/>
            <w:sz w:val="24"/>
            <w:szCs w:val="24"/>
          </w:rPr>
          <w:t>4.2.11.1</w:t>
        </w:r>
        <w:r w:rsidR="00BE2CA3" w:rsidRPr="006C6566">
          <w:rPr>
            <w:rFonts w:eastAsiaTheme="minorEastAsia"/>
            <w:color w:val="auto"/>
            <w:sz w:val="24"/>
            <w:szCs w:val="24"/>
            <w:lang w:eastAsia="hr-HR" w:bidi="ar-SA"/>
          </w:rPr>
          <w:tab/>
        </w:r>
        <w:r w:rsidR="006C6566">
          <w:rPr>
            <w:rFonts w:eastAsiaTheme="minorEastAsia"/>
            <w:color w:val="auto"/>
            <w:sz w:val="24"/>
            <w:szCs w:val="24"/>
            <w:lang w:eastAsia="hr-HR" w:bidi="ar-SA"/>
          </w:rPr>
          <w:tab/>
        </w:r>
        <w:r w:rsidR="00BE2CA3" w:rsidRPr="006C6566">
          <w:rPr>
            <w:rStyle w:val="Hiperveza"/>
            <w:rFonts w:ascii="Times New Roman" w:hAnsi="Times New Roman"/>
            <w:sz w:val="24"/>
            <w:szCs w:val="24"/>
          </w:rPr>
          <w:t>Analiza ocjene potrebe za novim informacijama o SCCP-u</w:t>
        </w:r>
        <w:r w:rsidR="00BE2CA3" w:rsidRPr="006C6566">
          <w:rPr>
            <w:webHidden/>
            <w:sz w:val="24"/>
            <w:szCs w:val="24"/>
          </w:rPr>
          <w:tab/>
        </w:r>
        <w:r w:rsidR="00BE2CA3" w:rsidRPr="006C6566">
          <w:rPr>
            <w:webHidden/>
            <w:sz w:val="24"/>
            <w:szCs w:val="24"/>
          </w:rPr>
          <w:fldChar w:fldCharType="begin"/>
        </w:r>
        <w:r w:rsidR="00BE2CA3" w:rsidRPr="006C6566">
          <w:rPr>
            <w:webHidden/>
            <w:sz w:val="24"/>
            <w:szCs w:val="24"/>
          </w:rPr>
          <w:instrText xml:space="preserve"> PAGEREF _Toc64460780 \h </w:instrText>
        </w:r>
        <w:r w:rsidR="00BE2CA3" w:rsidRPr="006C6566">
          <w:rPr>
            <w:webHidden/>
            <w:sz w:val="24"/>
            <w:szCs w:val="24"/>
          </w:rPr>
        </w:r>
        <w:r w:rsidR="00BE2CA3" w:rsidRPr="006C6566">
          <w:rPr>
            <w:webHidden/>
            <w:sz w:val="24"/>
            <w:szCs w:val="24"/>
          </w:rPr>
          <w:fldChar w:fldCharType="separate"/>
        </w:r>
        <w:r w:rsidR="004C449C">
          <w:rPr>
            <w:webHidden/>
            <w:sz w:val="24"/>
            <w:szCs w:val="24"/>
          </w:rPr>
          <w:t>127</w:t>
        </w:r>
        <w:r w:rsidR="00BE2CA3" w:rsidRPr="006C6566">
          <w:rPr>
            <w:webHidden/>
            <w:sz w:val="24"/>
            <w:szCs w:val="24"/>
          </w:rPr>
          <w:fldChar w:fldCharType="end"/>
        </w:r>
      </w:hyperlink>
    </w:p>
    <w:p w14:paraId="33D07815" w14:textId="0F5CC3F2" w:rsidR="00BE2CA3" w:rsidRPr="006C6566" w:rsidRDefault="00EB1E23" w:rsidP="006C6566">
      <w:pPr>
        <w:pStyle w:val="Sadraj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781" w:history="1">
        <w:r w:rsidR="00BE2CA3" w:rsidRPr="006C6566">
          <w:rPr>
            <w:rStyle w:val="Hiperveza"/>
            <w:rFonts w:ascii="Times New Roman" w:hAnsi="Times New Roman" w:cs="Times New Roman"/>
            <w:noProof/>
            <w:sz w:val="24"/>
            <w:lang w:bidi="en-US"/>
          </w:rPr>
          <w:t>4.2.12</w:t>
        </w:r>
        <w:r w:rsidR="00BE2CA3" w:rsidRPr="006C6566">
          <w:rPr>
            <w:rFonts w:ascii="Times New Roman" w:eastAsiaTheme="minorEastAsia" w:hAnsi="Times New Roman" w:cs="Times New Roman"/>
            <w:smallCaps w:val="0"/>
            <w:noProof/>
            <w:color w:val="auto"/>
            <w:sz w:val="24"/>
            <w:lang w:eastAsia="hr-HR"/>
          </w:rPr>
          <w:tab/>
        </w:r>
        <w:r w:rsidR="00BE2CA3" w:rsidRPr="006C6566">
          <w:rPr>
            <w:rStyle w:val="Hiperveza"/>
            <w:rFonts w:ascii="Times New Roman" w:hAnsi="Times New Roman" w:cs="Times New Roman"/>
            <w:noProof/>
            <w:sz w:val="24"/>
            <w:lang w:bidi="en-US"/>
          </w:rPr>
          <w:t>Aktivnost: Registar izuzeća i potreba za izuzećima (članak 4.)</w:t>
        </w:r>
        <w:r w:rsidR="00BE2CA3" w:rsidRPr="006C6566">
          <w:rPr>
            <w:rFonts w:ascii="Times New Roman" w:hAnsi="Times New Roman" w:cs="Times New Roman"/>
            <w:noProof/>
            <w:webHidden/>
            <w:sz w:val="24"/>
          </w:rPr>
          <w:tab/>
        </w:r>
        <w:r w:rsidR="00BE2CA3" w:rsidRPr="006C6566">
          <w:rPr>
            <w:rFonts w:ascii="Times New Roman" w:hAnsi="Times New Roman" w:cs="Times New Roman"/>
            <w:noProof/>
            <w:webHidden/>
            <w:sz w:val="24"/>
          </w:rPr>
          <w:fldChar w:fldCharType="begin"/>
        </w:r>
        <w:r w:rsidR="00BE2CA3" w:rsidRPr="006C6566">
          <w:rPr>
            <w:rFonts w:ascii="Times New Roman" w:hAnsi="Times New Roman" w:cs="Times New Roman"/>
            <w:noProof/>
            <w:webHidden/>
            <w:sz w:val="24"/>
          </w:rPr>
          <w:instrText xml:space="preserve"> PAGEREF _Toc64460781 \h </w:instrText>
        </w:r>
        <w:r w:rsidR="00BE2CA3" w:rsidRPr="006C6566">
          <w:rPr>
            <w:rFonts w:ascii="Times New Roman" w:hAnsi="Times New Roman" w:cs="Times New Roman"/>
            <w:noProof/>
            <w:webHidden/>
            <w:sz w:val="24"/>
          </w:rPr>
        </w:r>
        <w:r w:rsidR="00BE2CA3" w:rsidRPr="006C6566">
          <w:rPr>
            <w:rFonts w:ascii="Times New Roman" w:hAnsi="Times New Roman" w:cs="Times New Roman"/>
            <w:noProof/>
            <w:webHidden/>
            <w:sz w:val="24"/>
          </w:rPr>
          <w:fldChar w:fldCharType="separate"/>
        </w:r>
        <w:r w:rsidR="004C449C">
          <w:rPr>
            <w:rFonts w:ascii="Times New Roman" w:hAnsi="Times New Roman" w:cs="Times New Roman"/>
            <w:noProof/>
            <w:webHidden/>
            <w:sz w:val="24"/>
          </w:rPr>
          <w:t>128</w:t>
        </w:r>
        <w:r w:rsidR="00BE2CA3" w:rsidRPr="006C6566">
          <w:rPr>
            <w:rFonts w:ascii="Times New Roman" w:hAnsi="Times New Roman" w:cs="Times New Roman"/>
            <w:noProof/>
            <w:webHidden/>
            <w:sz w:val="24"/>
          </w:rPr>
          <w:fldChar w:fldCharType="end"/>
        </w:r>
      </w:hyperlink>
    </w:p>
    <w:p w14:paraId="5F9B9239" w14:textId="750493D4" w:rsidR="00BE2CA3" w:rsidRPr="006C6566" w:rsidRDefault="00EB1E23" w:rsidP="006C6566">
      <w:pPr>
        <w:pStyle w:val="Sadraj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782" w:history="1">
        <w:r w:rsidR="00BE2CA3" w:rsidRPr="006C6566">
          <w:rPr>
            <w:rStyle w:val="Hiperveza"/>
            <w:rFonts w:ascii="Times New Roman" w:hAnsi="Times New Roman" w:cs="Times New Roman"/>
            <w:noProof/>
            <w:sz w:val="24"/>
            <w:lang w:bidi="en-US"/>
          </w:rPr>
          <w:t>4.2.13</w:t>
        </w:r>
        <w:r w:rsidR="00BE2CA3" w:rsidRPr="006C6566">
          <w:rPr>
            <w:rFonts w:ascii="Times New Roman" w:eastAsiaTheme="minorEastAsia" w:hAnsi="Times New Roman" w:cs="Times New Roman"/>
            <w:smallCaps w:val="0"/>
            <w:noProof/>
            <w:color w:val="auto"/>
            <w:sz w:val="24"/>
            <w:lang w:eastAsia="hr-HR"/>
          </w:rPr>
          <w:tab/>
        </w:r>
        <w:r w:rsidR="00BE2CA3" w:rsidRPr="006C6566">
          <w:rPr>
            <w:rStyle w:val="Hiperveza"/>
            <w:rFonts w:ascii="Times New Roman" w:hAnsi="Times New Roman" w:cs="Times New Roman"/>
            <w:noProof/>
            <w:sz w:val="24"/>
            <w:lang w:bidi="en-US"/>
          </w:rPr>
          <w:t>Aktivnost: Mjere za smjenjuje ispuštanja iz nenamjerne proizvodnje (članak 5.)</w:t>
        </w:r>
        <w:r w:rsidR="00BE2CA3" w:rsidRPr="006C6566">
          <w:rPr>
            <w:rFonts w:ascii="Times New Roman" w:hAnsi="Times New Roman" w:cs="Times New Roman"/>
            <w:noProof/>
            <w:webHidden/>
            <w:sz w:val="24"/>
          </w:rPr>
          <w:tab/>
        </w:r>
        <w:r w:rsidR="00BE2CA3" w:rsidRPr="006C6566">
          <w:rPr>
            <w:rFonts w:ascii="Times New Roman" w:hAnsi="Times New Roman" w:cs="Times New Roman"/>
            <w:noProof/>
            <w:webHidden/>
            <w:sz w:val="24"/>
          </w:rPr>
          <w:fldChar w:fldCharType="begin"/>
        </w:r>
        <w:r w:rsidR="00BE2CA3" w:rsidRPr="006C6566">
          <w:rPr>
            <w:rFonts w:ascii="Times New Roman" w:hAnsi="Times New Roman" w:cs="Times New Roman"/>
            <w:noProof/>
            <w:webHidden/>
            <w:sz w:val="24"/>
          </w:rPr>
          <w:instrText xml:space="preserve"> PAGEREF _Toc64460782 \h </w:instrText>
        </w:r>
        <w:r w:rsidR="00BE2CA3" w:rsidRPr="006C6566">
          <w:rPr>
            <w:rFonts w:ascii="Times New Roman" w:hAnsi="Times New Roman" w:cs="Times New Roman"/>
            <w:noProof/>
            <w:webHidden/>
            <w:sz w:val="24"/>
          </w:rPr>
        </w:r>
        <w:r w:rsidR="00BE2CA3" w:rsidRPr="006C6566">
          <w:rPr>
            <w:rFonts w:ascii="Times New Roman" w:hAnsi="Times New Roman" w:cs="Times New Roman"/>
            <w:noProof/>
            <w:webHidden/>
            <w:sz w:val="24"/>
          </w:rPr>
          <w:fldChar w:fldCharType="separate"/>
        </w:r>
        <w:r w:rsidR="004C449C">
          <w:rPr>
            <w:rFonts w:ascii="Times New Roman" w:hAnsi="Times New Roman" w:cs="Times New Roman"/>
            <w:noProof/>
            <w:webHidden/>
            <w:sz w:val="24"/>
          </w:rPr>
          <w:t>128</w:t>
        </w:r>
        <w:r w:rsidR="00BE2CA3" w:rsidRPr="006C6566">
          <w:rPr>
            <w:rFonts w:ascii="Times New Roman" w:hAnsi="Times New Roman" w:cs="Times New Roman"/>
            <w:noProof/>
            <w:webHidden/>
            <w:sz w:val="24"/>
          </w:rPr>
          <w:fldChar w:fldCharType="end"/>
        </w:r>
      </w:hyperlink>
    </w:p>
    <w:p w14:paraId="6E457151" w14:textId="2B412768" w:rsidR="00BE2CA3" w:rsidRPr="006C6566" w:rsidRDefault="00EB1E23" w:rsidP="006C6566">
      <w:pPr>
        <w:pStyle w:val="Sadraj4"/>
        <w:rPr>
          <w:rFonts w:eastAsiaTheme="minorEastAsia"/>
          <w:color w:val="auto"/>
          <w:sz w:val="24"/>
          <w:szCs w:val="24"/>
          <w:lang w:eastAsia="hr-HR" w:bidi="ar-SA"/>
        </w:rPr>
      </w:pPr>
      <w:hyperlink w:anchor="_Toc64460783" w:history="1">
        <w:r w:rsidR="00BE2CA3" w:rsidRPr="006C6566">
          <w:rPr>
            <w:rStyle w:val="Hiperveza"/>
            <w:rFonts w:ascii="Times New Roman" w:hAnsi="Times New Roman"/>
            <w:sz w:val="24"/>
            <w:szCs w:val="24"/>
          </w:rPr>
          <w:t>4.2.13.1</w:t>
        </w:r>
        <w:r w:rsidR="00BE2CA3" w:rsidRPr="006C6566">
          <w:rPr>
            <w:rFonts w:eastAsiaTheme="minorEastAsia"/>
            <w:color w:val="auto"/>
            <w:sz w:val="24"/>
            <w:szCs w:val="24"/>
            <w:lang w:eastAsia="hr-HR" w:bidi="ar-SA"/>
          </w:rPr>
          <w:tab/>
        </w:r>
        <w:r w:rsidR="006C6566">
          <w:rPr>
            <w:rFonts w:eastAsiaTheme="minorEastAsia"/>
            <w:color w:val="auto"/>
            <w:sz w:val="24"/>
            <w:szCs w:val="24"/>
            <w:lang w:eastAsia="hr-HR" w:bidi="ar-SA"/>
          </w:rPr>
          <w:tab/>
        </w:r>
        <w:r w:rsidR="00BE2CA3" w:rsidRPr="006C6566">
          <w:rPr>
            <w:rStyle w:val="Hiperveza"/>
            <w:rFonts w:ascii="Times New Roman" w:hAnsi="Times New Roman"/>
            <w:sz w:val="24"/>
            <w:szCs w:val="24"/>
          </w:rPr>
          <w:t>Daljnja izrada i održavanje Inventara ispuštanja POPs-ova</w:t>
        </w:r>
        <w:r w:rsidR="00BE2CA3" w:rsidRPr="006C6566">
          <w:rPr>
            <w:webHidden/>
            <w:sz w:val="24"/>
            <w:szCs w:val="24"/>
          </w:rPr>
          <w:tab/>
        </w:r>
        <w:r w:rsidR="00BE2CA3" w:rsidRPr="006C6566">
          <w:rPr>
            <w:webHidden/>
            <w:sz w:val="24"/>
            <w:szCs w:val="24"/>
          </w:rPr>
          <w:fldChar w:fldCharType="begin"/>
        </w:r>
        <w:r w:rsidR="00BE2CA3" w:rsidRPr="006C6566">
          <w:rPr>
            <w:webHidden/>
            <w:sz w:val="24"/>
            <w:szCs w:val="24"/>
          </w:rPr>
          <w:instrText xml:space="preserve"> PAGEREF _Toc64460783 \h </w:instrText>
        </w:r>
        <w:r w:rsidR="00BE2CA3" w:rsidRPr="006C6566">
          <w:rPr>
            <w:webHidden/>
            <w:sz w:val="24"/>
            <w:szCs w:val="24"/>
          </w:rPr>
        </w:r>
        <w:r w:rsidR="00BE2CA3" w:rsidRPr="006C6566">
          <w:rPr>
            <w:webHidden/>
            <w:sz w:val="24"/>
            <w:szCs w:val="24"/>
          </w:rPr>
          <w:fldChar w:fldCharType="separate"/>
        </w:r>
        <w:r w:rsidR="004C449C">
          <w:rPr>
            <w:webHidden/>
            <w:sz w:val="24"/>
            <w:szCs w:val="24"/>
          </w:rPr>
          <w:t>129</w:t>
        </w:r>
        <w:r w:rsidR="00BE2CA3" w:rsidRPr="006C6566">
          <w:rPr>
            <w:webHidden/>
            <w:sz w:val="24"/>
            <w:szCs w:val="24"/>
          </w:rPr>
          <w:fldChar w:fldCharType="end"/>
        </w:r>
      </w:hyperlink>
    </w:p>
    <w:p w14:paraId="79191DBE" w14:textId="42630E8F" w:rsidR="00BE2CA3" w:rsidRPr="006C6566" w:rsidRDefault="00EB1E23" w:rsidP="006C6566">
      <w:pPr>
        <w:pStyle w:val="Sadraj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784" w:history="1">
        <w:r w:rsidR="00BE2CA3" w:rsidRPr="006C6566">
          <w:rPr>
            <w:rStyle w:val="Hiperveza"/>
            <w:rFonts w:ascii="Times New Roman" w:hAnsi="Times New Roman" w:cs="Times New Roman"/>
            <w:noProof/>
            <w:sz w:val="24"/>
            <w:lang w:bidi="en-US"/>
          </w:rPr>
          <w:t>4.2.14</w:t>
        </w:r>
        <w:r w:rsidR="00BE2CA3" w:rsidRPr="006C6566">
          <w:rPr>
            <w:rFonts w:ascii="Times New Roman" w:eastAsiaTheme="minorEastAsia" w:hAnsi="Times New Roman" w:cs="Times New Roman"/>
            <w:smallCaps w:val="0"/>
            <w:noProof/>
            <w:color w:val="auto"/>
            <w:sz w:val="24"/>
            <w:lang w:eastAsia="hr-HR"/>
          </w:rPr>
          <w:tab/>
        </w:r>
        <w:r w:rsidR="00BE2CA3" w:rsidRPr="006C6566">
          <w:rPr>
            <w:rStyle w:val="Hiperveza"/>
            <w:rFonts w:ascii="Times New Roman" w:hAnsi="Times New Roman" w:cs="Times New Roman"/>
            <w:noProof/>
            <w:sz w:val="24"/>
            <w:lang w:bidi="en-US"/>
          </w:rPr>
          <w:t>Aktivnost: Mjere za smanjenje ispuštanja iz zaliha i otpada (članak 6.)</w:t>
        </w:r>
        <w:r w:rsidR="00BE2CA3" w:rsidRPr="006C6566">
          <w:rPr>
            <w:rFonts w:ascii="Times New Roman" w:hAnsi="Times New Roman" w:cs="Times New Roman"/>
            <w:noProof/>
            <w:webHidden/>
            <w:sz w:val="24"/>
          </w:rPr>
          <w:tab/>
        </w:r>
        <w:r w:rsidR="00BE2CA3" w:rsidRPr="006C6566">
          <w:rPr>
            <w:rFonts w:ascii="Times New Roman" w:hAnsi="Times New Roman" w:cs="Times New Roman"/>
            <w:noProof/>
            <w:webHidden/>
            <w:sz w:val="24"/>
          </w:rPr>
          <w:fldChar w:fldCharType="begin"/>
        </w:r>
        <w:r w:rsidR="00BE2CA3" w:rsidRPr="006C6566">
          <w:rPr>
            <w:rFonts w:ascii="Times New Roman" w:hAnsi="Times New Roman" w:cs="Times New Roman"/>
            <w:noProof/>
            <w:webHidden/>
            <w:sz w:val="24"/>
          </w:rPr>
          <w:instrText xml:space="preserve"> PAGEREF _Toc64460784 \h </w:instrText>
        </w:r>
        <w:r w:rsidR="00BE2CA3" w:rsidRPr="006C6566">
          <w:rPr>
            <w:rFonts w:ascii="Times New Roman" w:hAnsi="Times New Roman" w:cs="Times New Roman"/>
            <w:noProof/>
            <w:webHidden/>
            <w:sz w:val="24"/>
          </w:rPr>
        </w:r>
        <w:r w:rsidR="00BE2CA3" w:rsidRPr="006C6566">
          <w:rPr>
            <w:rFonts w:ascii="Times New Roman" w:hAnsi="Times New Roman" w:cs="Times New Roman"/>
            <w:noProof/>
            <w:webHidden/>
            <w:sz w:val="24"/>
          </w:rPr>
          <w:fldChar w:fldCharType="separate"/>
        </w:r>
        <w:r w:rsidR="004C449C">
          <w:rPr>
            <w:rFonts w:ascii="Times New Roman" w:hAnsi="Times New Roman" w:cs="Times New Roman"/>
            <w:noProof/>
            <w:webHidden/>
            <w:sz w:val="24"/>
          </w:rPr>
          <w:t>130</w:t>
        </w:r>
        <w:r w:rsidR="00BE2CA3" w:rsidRPr="006C6566">
          <w:rPr>
            <w:rFonts w:ascii="Times New Roman" w:hAnsi="Times New Roman" w:cs="Times New Roman"/>
            <w:noProof/>
            <w:webHidden/>
            <w:sz w:val="24"/>
          </w:rPr>
          <w:fldChar w:fldCharType="end"/>
        </w:r>
      </w:hyperlink>
    </w:p>
    <w:p w14:paraId="539702D3" w14:textId="40F4CCB9" w:rsidR="00BE2CA3" w:rsidRPr="006C6566" w:rsidRDefault="00EB1E23" w:rsidP="006C6566">
      <w:pPr>
        <w:pStyle w:val="Sadraj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785" w:history="1">
        <w:r w:rsidR="00BE2CA3" w:rsidRPr="006C6566">
          <w:rPr>
            <w:rStyle w:val="Hiperveza"/>
            <w:rFonts w:ascii="Times New Roman" w:hAnsi="Times New Roman" w:cs="Times New Roman"/>
            <w:noProof/>
            <w:sz w:val="24"/>
            <w:lang w:bidi="en-US"/>
          </w:rPr>
          <w:t>4.2.15</w:t>
        </w:r>
        <w:r w:rsidR="00BE2CA3" w:rsidRPr="006C6566">
          <w:rPr>
            <w:rFonts w:ascii="Times New Roman" w:eastAsiaTheme="minorEastAsia" w:hAnsi="Times New Roman" w:cs="Times New Roman"/>
            <w:smallCaps w:val="0"/>
            <w:noProof/>
            <w:color w:val="auto"/>
            <w:sz w:val="24"/>
            <w:lang w:eastAsia="hr-HR"/>
          </w:rPr>
          <w:tab/>
        </w:r>
        <w:r w:rsidR="00BE2CA3" w:rsidRPr="006C6566">
          <w:rPr>
            <w:rStyle w:val="Hiperveza"/>
            <w:rFonts w:ascii="Times New Roman" w:hAnsi="Times New Roman" w:cs="Times New Roman"/>
            <w:noProof/>
            <w:sz w:val="24"/>
            <w:lang w:bidi="en-US"/>
          </w:rPr>
          <w:t>Strategija: Identifikacija zaliha, predmeta u uporabi i otpadu</w:t>
        </w:r>
        <w:r w:rsidR="00BE2CA3" w:rsidRPr="006C6566">
          <w:rPr>
            <w:rFonts w:ascii="Times New Roman" w:hAnsi="Times New Roman" w:cs="Times New Roman"/>
            <w:noProof/>
            <w:webHidden/>
            <w:sz w:val="24"/>
          </w:rPr>
          <w:tab/>
        </w:r>
        <w:r w:rsidR="00BE2CA3" w:rsidRPr="006C6566">
          <w:rPr>
            <w:rFonts w:ascii="Times New Roman" w:hAnsi="Times New Roman" w:cs="Times New Roman"/>
            <w:noProof/>
            <w:webHidden/>
            <w:sz w:val="24"/>
          </w:rPr>
          <w:fldChar w:fldCharType="begin"/>
        </w:r>
        <w:r w:rsidR="00BE2CA3" w:rsidRPr="006C6566">
          <w:rPr>
            <w:rFonts w:ascii="Times New Roman" w:hAnsi="Times New Roman" w:cs="Times New Roman"/>
            <w:noProof/>
            <w:webHidden/>
            <w:sz w:val="24"/>
          </w:rPr>
          <w:instrText xml:space="preserve"> PAGEREF _Toc64460785 \h </w:instrText>
        </w:r>
        <w:r w:rsidR="00BE2CA3" w:rsidRPr="006C6566">
          <w:rPr>
            <w:rFonts w:ascii="Times New Roman" w:hAnsi="Times New Roman" w:cs="Times New Roman"/>
            <w:noProof/>
            <w:webHidden/>
            <w:sz w:val="24"/>
          </w:rPr>
        </w:r>
        <w:r w:rsidR="00BE2CA3" w:rsidRPr="006C6566">
          <w:rPr>
            <w:rFonts w:ascii="Times New Roman" w:hAnsi="Times New Roman" w:cs="Times New Roman"/>
            <w:noProof/>
            <w:webHidden/>
            <w:sz w:val="24"/>
          </w:rPr>
          <w:fldChar w:fldCharType="separate"/>
        </w:r>
        <w:r w:rsidR="004C449C">
          <w:rPr>
            <w:rFonts w:ascii="Times New Roman" w:hAnsi="Times New Roman" w:cs="Times New Roman"/>
            <w:noProof/>
            <w:webHidden/>
            <w:sz w:val="24"/>
          </w:rPr>
          <w:t>131</w:t>
        </w:r>
        <w:r w:rsidR="00BE2CA3" w:rsidRPr="006C6566">
          <w:rPr>
            <w:rFonts w:ascii="Times New Roman" w:hAnsi="Times New Roman" w:cs="Times New Roman"/>
            <w:noProof/>
            <w:webHidden/>
            <w:sz w:val="24"/>
          </w:rPr>
          <w:fldChar w:fldCharType="end"/>
        </w:r>
      </w:hyperlink>
    </w:p>
    <w:p w14:paraId="63543BC8" w14:textId="647096F0" w:rsidR="00BE2CA3" w:rsidRPr="006C6566" w:rsidRDefault="00EB1E23" w:rsidP="006C6566">
      <w:pPr>
        <w:pStyle w:val="Sadraj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786" w:history="1">
        <w:r w:rsidR="00BE2CA3" w:rsidRPr="006C6566">
          <w:rPr>
            <w:rStyle w:val="Hiperveza"/>
            <w:rFonts w:ascii="Times New Roman" w:hAnsi="Times New Roman" w:cs="Times New Roman"/>
            <w:noProof/>
            <w:sz w:val="24"/>
            <w:lang w:bidi="en-US"/>
          </w:rPr>
          <w:t>4.2.16</w:t>
        </w:r>
        <w:r w:rsidR="00BE2CA3" w:rsidRPr="006C6566">
          <w:rPr>
            <w:rFonts w:ascii="Times New Roman" w:eastAsiaTheme="minorEastAsia" w:hAnsi="Times New Roman" w:cs="Times New Roman"/>
            <w:smallCaps w:val="0"/>
            <w:noProof/>
            <w:color w:val="auto"/>
            <w:sz w:val="24"/>
            <w:lang w:eastAsia="hr-HR"/>
          </w:rPr>
          <w:tab/>
        </w:r>
        <w:r w:rsidR="00BE2CA3" w:rsidRPr="006C6566">
          <w:rPr>
            <w:rStyle w:val="Hiperveza"/>
            <w:rFonts w:ascii="Times New Roman" w:hAnsi="Times New Roman" w:cs="Times New Roman"/>
            <w:noProof/>
            <w:sz w:val="24"/>
            <w:lang w:bidi="en-US"/>
          </w:rPr>
          <w:t>Strategija: Identifikacija kontaminiranih lokacija (Dodatak A, B i C) i sanacija na okolišno prihvatljiv način</w:t>
        </w:r>
        <w:r w:rsidR="00BE2CA3" w:rsidRPr="006C6566">
          <w:rPr>
            <w:rFonts w:ascii="Times New Roman" w:hAnsi="Times New Roman" w:cs="Times New Roman"/>
            <w:noProof/>
            <w:webHidden/>
            <w:sz w:val="24"/>
          </w:rPr>
          <w:tab/>
        </w:r>
        <w:r w:rsidR="00BE2CA3" w:rsidRPr="006C6566">
          <w:rPr>
            <w:rFonts w:ascii="Times New Roman" w:hAnsi="Times New Roman" w:cs="Times New Roman"/>
            <w:noProof/>
            <w:webHidden/>
            <w:sz w:val="24"/>
          </w:rPr>
          <w:fldChar w:fldCharType="begin"/>
        </w:r>
        <w:r w:rsidR="00BE2CA3" w:rsidRPr="006C6566">
          <w:rPr>
            <w:rFonts w:ascii="Times New Roman" w:hAnsi="Times New Roman" w:cs="Times New Roman"/>
            <w:noProof/>
            <w:webHidden/>
            <w:sz w:val="24"/>
          </w:rPr>
          <w:instrText xml:space="preserve"> PAGEREF _Toc64460786 \h </w:instrText>
        </w:r>
        <w:r w:rsidR="00BE2CA3" w:rsidRPr="006C6566">
          <w:rPr>
            <w:rFonts w:ascii="Times New Roman" w:hAnsi="Times New Roman" w:cs="Times New Roman"/>
            <w:noProof/>
            <w:webHidden/>
            <w:sz w:val="24"/>
          </w:rPr>
        </w:r>
        <w:r w:rsidR="00BE2CA3" w:rsidRPr="006C6566">
          <w:rPr>
            <w:rFonts w:ascii="Times New Roman" w:hAnsi="Times New Roman" w:cs="Times New Roman"/>
            <w:noProof/>
            <w:webHidden/>
            <w:sz w:val="24"/>
          </w:rPr>
          <w:fldChar w:fldCharType="separate"/>
        </w:r>
        <w:r w:rsidR="004C449C">
          <w:rPr>
            <w:rFonts w:ascii="Times New Roman" w:hAnsi="Times New Roman" w:cs="Times New Roman"/>
            <w:noProof/>
            <w:webHidden/>
            <w:sz w:val="24"/>
          </w:rPr>
          <w:t>132</w:t>
        </w:r>
        <w:r w:rsidR="00BE2CA3" w:rsidRPr="006C6566">
          <w:rPr>
            <w:rFonts w:ascii="Times New Roman" w:hAnsi="Times New Roman" w:cs="Times New Roman"/>
            <w:noProof/>
            <w:webHidden/>
            <w:sz w:val="24"/>
          </w:rPr>
          <w:fldChar w:fldCharType="end"/>
        </w:r>
      </w:hyperlink>
    </w:p>
    <w:p w14:paraId="31864D69" w14:textId="57692F52" w:rsidR="00BE2CA3" w:rsidRPr="006C6566" w:rsidRDefault="00EB1E23" w:rsidP="006C6566">
      <w:pPr>
        <w:pStyle w:val="Sadraj4"/>
        <w:rPr>
          <w:rFonts w:eastAsiaTheme="minorEastAsia"/>
          <w:color w:val="auto"/>
          <w:sz w:val="24"/>
          <w:szCs w:val="24"/>
          <w:lang w:eastAsia="hr-HR" w:bidi="ar-SA"/>
        </w:rPr>
      </w:pPr>
      <w:hyperlink w:anchor="_Toc64460787" w:history="1">
        <w:r w:rsidR="00BE2CA3" w:rsidRPr="006C6566">
          <w:rPr>
            <w:rStyle w:val="Hiperveza"/>
            <w:rFonts w:ascii="Times New Roman" w:hAnsi="Times New Roman"/>
            <w:sz w:val="24"/>
            <w:szCs w:val="24"/>
          </w:rPr>
          <w:t>4.2.16.1</w:t>
        </w:r>
        <w:r w:rsidR="00BE2CA3" w:rsidRPr="006C6566">
          <w:rPr>
            <w:rFonts w:eastAsiaTheme="minorEastAsia"/>
            <w:color w:val="auto"/>
            <w:sz w:val="24"/>
            <w:szCs w:val="24"/>
            <w:lang w:eastAsia="hr-HR" w:bidi="ar-SA"/>
          </w:rPr>
          <w:tab/>
        </w:r>
        <w:r w:rsidR="006C6566">
          <w:rPr>
            <w:rFonts w:eastAsiaTheme="minorEastAsia"/>
            <w:color w:val="auto"/>
            <w:sz w:val="24"/>
            <w:szCs w:val="24"/>
            <w:lang w:eastAsia="hr-HR" w:bidi="ar-SA"/>
          </w:rPr>
          <w:tab/>
        </w:r>
        <w:r w:rsidR="00BE2CA3" w:rsidRPr="006C6566">
          <w:rPr>
            <w:rStyle w:val="Hiperveza"/>
            <w:rFonts w:ascii="Times New Roman" w:hAnsi="Times New Roman"/>
            <w:sz w:val="24"/>
            <w:szCs w:val="24"/>
          </w:rPr>
          <w:t>Uspostava sustava upravljanja kontaminiranim područjima</w:t>
        </w:r>
        <w:r w:rsidR="00BE2CA3" w:rsidRPr="006C6566">
          <w:rPr>
            <w:webHidden/>
            <w:sz w:val="24"/>
            <w:szCs w:val="24"/>
          </w:rPr>
          <w:tab/>
        </w:r>
        <w:r w:rsidR="00BE2CA3" w:rsidRPr="006C6566">
          <w:rPr>
            <w:webHidden/>
            <w:sz w:val="24"/>
            <w:szCs w:val="24"/>
          </w:rPr>
          <w:fldChar w:fldCharType="begin"/>
        </w:r>
        <w:r w:rsidR="00BE2CA3" w:rsidRPr="006C6566">
          <w:rPr>
            <w:webHidden/>
            <w:sz w:val="24"/>
            <w:szCs w:val="24"/>
          </w:rPr>
          <w:instrText xml:space="preserve"> PAGEREF _Toc64460787 \h </w:instrText>
        </w:r>
        <w:r w:rsidR="00BE2CA3" w:rsidRPr="006C6566">
          <w:rPr>
            <w:webHidden/>
            <w:sz w:val="24"/>
            <w:szCs w:val="24"/>
          </w:rPr>
        </w:r>
        <w:r w:rsidR="00BE2CA3" w:rsidRPr="006C6566">
          <w:rPr>
            <w:webHidden/>
            <w:sz w:val="24"/>
            <w:szCs w:val="24"/>
          </w:rPr>
          <w:fldChar w:fldCharType="separate"/>
        </w:r>
        <w:r w:rsidR="004C449C">
          <w:rPr>
            <w:webHidden/>
            <w:sz w:val="24"/>
            <w:szCs w:val="24"/>
          </w:rPr>
          <w:t>132</w:t>
        </w:r>
        <w:r w:rsidR="00BE2CA3" w:rsidRPr="006C6566">
          <w:rPr>
            <w:webHidden/>
            <w:sz w:val="24"/>
            <w:szCs w:val="24"/>
          </w:rPr>
          <w:fldChar w:fldCharType="end"/>
        </w:r>
      </w:hyperlink>
    </w:p>
    <w:p w14:paraId="08548240" w14:textId="7842F003" w:rsidR="00BE2CA3" w:rsidRPr="006C6566" w:rsidRDefault="00EB1E23" w:rsidP="006C6566">
      <w:pPr>
        <w:pStyle w:val="Sadraj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788" w:history="1">
        <w:r w:rsidR="00BE2CA3" w:rsidRPr="006C6566">
          <w:rPr>
            <w:rStyle w:val="Hiperveza"/>
            <w:rFonts w:ascii="Times New Roman" w:hAnsi="Times New Roman" w:cs="Times New Roman"/>
            <w:noProof/>
            <w:sz w:val="24"/>
            <w:lang w:bidi="en-US"/>
          </w:rPr>
          <w:t>4.2.17</w:t>
        </w:r>
        <w:r w:rsidR="00BE2CA3" w:rsidRPr="006C6566">
          <w:rPr>
            <w:rFonts w:ascii="Times New Roman" w:eastAsiaTheme="minorEastAsia" w:hAnsi="Times New Roman" w:cs="Times New Roman"/>
            <w:smallCaps w:val="0"/>
            <w:noProof/>
            <w:color w:val="auto"/>
            <w:sz w:val="24"/>
            <w:lang w:eastAsia="hr-HR"/>
          </w:rPr>
          <w:tab/>
        </w:r>
        <w:r w:rsidR="00BE2CA3" w:rsidRPr="006C6566">
          <w:rPr>
            <w:rStyle w:val="Hiperveza"/>
            <w:rFonts w:ascii="Times New Roman" w:hAnsi="Times New Roman" w:cs="Times New Roman"/>
            <w:noProof/>
            <w:sz w:val="24"/>
            <w:lang w:bidi="en-US"/>
          </w:rPr>
          <w:t>Aktivnost: Omogućavanje ili provođenje razmjene informacija i uključenost interesnih grupa</w:t>
        </w:r>
        <w:r w:rsidR="00BE2CA3" w:rsidRPr="006C6566">
          <w:rPr>
            <w:rFonts w:ascii="Times New Roman" w:hAnsi="Times New Roman" w:cs="Times New Roman"/>
            <w:noProof/>
            <w:webHidden/>
            <w:sz w:val="24"/>
          </w:rPr>
          <w:tab/>
        </w:r>
        <w:r w:rsidR="00BE2CA3" w:rsidRPr="006C6566">
          <w:rPr>
            <w:rFonts w:ascii="Times New Roman" w:hAnsi="Times New Roman" w:cs="Times New Roman"/>
            <w:noProof/>
            <w:webHidden/>
            <w:sz w:val="24"/>
          </w:rPr>
          <w:fldChar w:fldCharType="begin"/>
        </w:r>
        <w:r w:rsidR="00BE2CA3" w:rsidRPr="006C6566">
          <w:rPr>
            <w:rFonts w:ascii="Times New Roman" w:hAnsi="Times New Roman" w:cs="Times New Roman"/>
            <w:noProof/>
            <w:webHidden/>
            <w:sz w:val="24"/>
          </w:rPr>
          <w:instrText xml:space="preserve"> PAGEREF _Toc64460788 \h </w:instrText>
        </w:r>
        <w:r w:rsidR="00BE2CA3" w:rsidRPr="006C6566">
          <w:rPr>
            <w:rFonts w:ascii="Times New Roman" w:hAnsi="Times New Roman" w:cs="Times New Roman"/>
            <w:noProof/>
            <w:webHidden/>
            <w:sz w:val="24"/>
          </w:rPr>
        </w:r>
        <w:r w:rsidR="00BE2CA3" w:rsidRPr="006C6566">
          <w:rPr>
            <w:rFonts w:ascii="Times New Roman" w:hAnsi="Times New Roman" w:cs="Times New Roman"/>
            <w:noProof/>
            <w:webHidden/>
            <w:sz w:val="24"/>
          </w:rPr>
          <w:fldChar w:fldCharType="separate"/>
        </w:r>
        <w:r w:rsidR="004C449C">
          <w:rPr>
            <w:rFonts w:ascii="Times New Roman" w:hAnsi="Times New Roman" w:cs="Times New Roman"/>
            <w:noProof/>
            <w:webHidden/>
            <w:sz w:val="24"/>
          </w:rPr>
          <w:t>134</w:t>
        </w:r>
        <w:r w:rsidR="00BE2CA3" w:rsidRPr="006C6566">
          <w:rPr>
            <w:rFonts w:ascii="Times New Roman" w:hAnsi="Times New Roman" w:cs="Times New Roman"/>
            <w:noProof/>
            <w:webHidden/>
            <w:sz w:val="24"/>
          </w:rPr>
          <w:fldChar w:fldCharType="end"/>
        </w:r>
      </w:hyperlink>
    </w:p>
    <w:p w14:paraId="2D158135" w14:textId="4B68447A" w:rsidR="00BE2CA3" w:rsidRPr="006C6566" w:rsidRDefault="00EB1E23" w:rsidP="006C6566">
      <w:pPr>
        <w:pStyle w:val="Sadraj4"/>
        <w:rPr>
          <w:rFonts w:eastAsiaTheme="minorEastAsia"/>
          <w:color w:val="auto"/>
          <w:sz w:val="24"/>
          <w:szCs w:val="24"/>
          <w:lang w:eastAsia="hr-HR" w:bidi="ar-SA"/>
        </w:rPr>
      </w:pPr>
      <w:hyperlink w:anchor="_Toc64460789" w:history="1">
        <w:r w:rsidR="00BE2CA3" w:rsidRPr="006C6566">
          <w:rPr>
            <w:rStyle w:val="Hiperveza"/>
            <w:rFonts w:ascii="Times New Roman" w:hAnsi="Times New Roman"/>
            <w:sz w:val="24"/>
            <w:szCs w:val="24"/>
          </w:rPr>
          <w:t>4.2.17.1</w:t>
        </w:r>
        <w:r w:rsidR="00BE2CA3" w:rsidRPr="006C6566">
          <w:rPr>
            <w:rFonts w:eastAsiaTheme="minorEastAsia"/>
            <w:color w:val="auto"/>
            <w:sz w:val="24"/>
            <w:szCs w:val="24"/>
            <w:lang w:eastAsia="hr-HR" w:bidi="ar-SA"/>
          </w:rPr>
          <w:tab/>
        </w:r>
        <w:r w:rsidR="006C6566">
          <w:rPr>
            <w:rFonts w:eastAsiaTheme="minorEastAsia"/>
            <w:color w:val="auto"/>
            <w:sz w:val="24"/>
            <w:szCs w:val="24"/>
            <w:lang w:eastAsia="hr-HR" w:bidi="ar-SA"/>
          </w:rPr>
          <w:tab/>
        </w:r>
        <w:r w:rsidR="00BE2CA3" w:rsidRPr="006C6566">
          <w:rPr>
            <w:rStyle w:val="Hiperveza"/>
            <w:rFonts w:ascii="Times New Roman" w:hAnsi="Times New Roman"/>
            <w:sz w:val="24"/>
            <w:szCs w:val="24"/>
          </w:rPr>
          <w:t>Razvoj sustava razmjene informacija između odgovornih institucija u Republici Hrvatskoj i Nacionalne kontakt točke</w:t>
        </w:r>
        <w:r w:rsidR="00BE2CA3" w:rsidRPr="006C6566">
          <w:rPr>
            <w:webHidden/>
            <w:sz w:val="24"/>
            <w:szCs w:val="24"/>
          </w:rPr>
          <w:tab/>
        </w:r>
        <w:r w:rsidR="00BE2CA3" w:rsidRPr="006C6566">
          <w:rPr>
            <w:webHidden/>
            <w:sz w:val="24"/>
            <w:szCs w:val="24"/>
          </w:rPr>
          <w:fldChar w:fldCharType="begin"/>
        </w:r>
        <w:r w:rsidR="00BE2CA3" w:rsidRPr="006C6566">
          <w:rPr>
            <w:webHidden/>
            <w:sz w:val="24"/>
            <w:szCs w:val="24"/>
          </w:rPr>
          <w:instrText xml:space="preserve"> PAGEREF _Toc64460789 \h </w:instrText>
        </w:r>
        <w:r w:rsidR="00BE2CA3" w:rsidRPr="006C6566">
          <w:rPr>
            <w:webHidden/>
            <w:sz w:val="24"/>
            <w:szCs w:val="24"/>
          </w:rPr>
        </w:r>
        <w:r w:rsidR="00BE2CA3" w:rsidRPr="006C6566">
          <w:rPr>
            <w:webHidden/>
            <w:sz w:val="24"/>
            <w:szCs w:val="24"/>
          </w:rPr>
          <w:fldChar w:fldCharType="separate"/>
        </w:r>
        <w:r w:rsidR="004C449C">
          <w:rPr>
            <w:webHidden/>
            <w:sz w:val="24"/>
            <w:szCs w:val="24"/>
          </w:rPr>
          <w:t>135</w:t>
        </w:r>
        <w:r w:rsidR="00BE2CA3" w:rsidRPr="006C6566">
          <w:rPr>
            <w:webHidden/>
            <w:sz w:val="24"/>
            <w:szCs w:val="24"/>
          </w:rPr>
          <w:fldChar w:fldCharType="end"/>
        </w:r>
      </w:hyperlink>
    </w:p>
    <w:p w14:paraId="2D0A8B52" w14:textId="1E64A1F9" w:rsidR="00BE2CA3" w:rsidRPr="006C6566" w:rsidRDefault="00EB1E23" w:rsidP="006C6566">
      <w:pPr>
        <w:pStyle w:val="Sadraj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790" w:history="1">
        <w:r w:rsidR="00BE2CA3" w:rsidRPr="006C6566">
          <w:rPr>
            <w:rStyle w:val="Hiperveza"/>
            <w:rFonts w:ascii="Times New Roman" w:hAnsi="Times New Roman" w:cs="Times New Roman"/>
            <w:noProof/>
            <w:sz w:val="24"/>
            <w:lang w:bidi="en-US"/>
          </w:rPr>
          <w:t>4.2.18</w:t>
        </w:r>
        <w:r w:rsidR="00BE2CA3" w:rsidRPr="006C6566">
          <w:rPr>
            <w:rFonts w:ascii="Times New Roman" w:eastAsiaTheme="minorEastAsia" w:hAnsi="Times New Roman" w:cs="Times New Roman"/>
            <w:smallCaps w:val="0"/>
            <w:noProof/>
            <w:color w:val="auto"/>
            <w:sz w:val="24"/>
            <w:lang w:eastAsia="hr-HR"/>
          </w:rPr>
          <w:tab/>
        </w:r>
        <w:r w:rsidR="00BE2CA3" w:rsidRPr="006C6566">
          <w:rPr>
            <w:rStyle w:val="Hiperveza"/>
            <w:rFonts w:ascii="Times New Roman" w:hAnsi="Times New Roman" w:cs="Times New Roman"/>
            <w:noProof/>
            <w:sz w:val="24"/>
            <w:lang w:bidi="en-US"/>
          </w:rPr>
          <w:t>Aktivnost: Podizanje svijesti, informiranje i edukacija javnosti (članak 10.)</w:t>
        </w:r>
        <w:r w:rsidR="00BE2CA3" w:rsidRPr="006C6566">
          <w:rPr>
            <w:rFonts w:ascii="Times New Roman" w:hAnsi="Times New Roman" w:cs="Times New Roman"/>
            <w:noProof/>
            <w:webHidden/>
            <w:sz w:val="24"/>
          </w:rPr>
          <w:tab/>
        </w:r>
        <w:r w:rsidR="00BE2CA3" w:rsidRPr="006C6566">
          <w:rPr>
            <w:rFonts w:ascii="Times New Roman" w:hAnsi="Times New Roman" w:cs="Times New Roman"/>
            <w:noProof/>
            <w:webHidden/>
            <w:sz w:val="24"/>
          </w:rPr>
          <w:fldChar w:fldCharType="begin"/>
        </w:r>
        <w:r w:rsidR="00BE2CA3" w:rsidRPr="006C6566">
          <w:rPr>
            <w:rFonts w:ascii="Times New Roman" w:hAnsi="Times New Roman" w:cs="Times New Roman"/>
            <w:noProof/>
            <w:webHidden/>
            <w:sz w:val="24"/>
          </w:rPr>
          <w:instrText xml:space="preserve"> PAGEREF _Toc64460790 \h </w:instrText>
        </w:r>
        <w:r w:rsidR="00BE2CA3" w:rsidRPr="006C6566">
          <w:rPr>
            <w:rFonts w:ascii="Times New Roman" w:hAnsi="Times New Roman" w:cs="Times New Roman"/>
            <w:noProof/>
            <w:webHidden/>
            <w:sz w:val="24"/>
          </w:rPr>
        </w:r>
        <w:r w:rsidR="00BE2CA3" w:rsidRPr="006C6566">
          <w:rPr>
            <w:rFonts w:ascii="Times New Roman" w:hAnsi="Times New Roman" w:cs="Times New Roman"/>
            <w:noProof/>
            <w:webHidden/>
            <w:sz w:val="24"/>
          </w:rPr>
          <w:fldChar w:fldCharType="separate"/>
        </w:r>
        <w:r w:rsidR="004C449C">
          <w:rPr>
            <w:rFonts w:ascii="Times New Roman" w:hAnsi="Times New Roman" w:cs="Times New Roman"/>
            <w:noProof/>
            <w:webHidden/>
            <w:sz w:val="24"/>
          </w:rPr>
          <w:t>135</w:t>
        </w:r>
        <w:r w:rsidR="00BE2CA3" w:rsidRPr="006C6566">
          <w:rPr>
            <w:rFonts w:ascii="Times New Roman" w:hAnsi="Times New Roman" w:cs="Times New Roman"/>
            <w:noProof/>
            <w:webHidden/>
            <w:sz w:val="24"/>
          </w:rPr>
          <w:fldChar w:fldCharType="end"/>
        </w:r>
      </w:hyperlink>
    </w:p>
    <w:p w14:paraId="088FA40E" w14:textId="0845A1E9" w:rsidR="00BE2CA3" w:rsidRPr="006C6566" w:rsidRDefault="00EB1E23" w:rsidP="006C6566">
      <w:pPr>
        <w:pStyle w:val="Sadraj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791" w:history="1">
        <w:r w:rsidR="00BE2CA3" w:rsidRPr="006C6566">
          <w:rPr>
            <w:rStyle w:val="Hiperveza"/>
            <w:rFonts w:ascii="Times New Roman" w:hAnsi="Times New Roman" w:cs="Times New Roman"/>
            <w:noProof/>
            <w:sz w:val="24"/>
            <w:lang w:bidi="en-US"/>
          </w:rPr>
          <w:t>4.2.19</w:t>
        </w:r>
        <w:r w:rsidR="00BE2CA3" w:rsidRPr="006C6566">
          <w:rPr>
            <w:rFonts w:ascii="Times New Roman" w:eastAsiaTheme="minorEastAsia" w:hAnsi="Times New Roman" w:cs="Times New Roman"/>
            <w:smallCaps w:val="0"/>
            <w:noProof/>
            <w:color w:val="auto"/>
            <w:sz w:val="24"/>
            <w:lang w:eastAsia="hr-HR"/>
          </w:rPr>
          <w:tab/>
        </w:r>
        <w:r w:rsidR="00BE2CA3" w:rsidRPr="006C6566">
          <w:rPr>
            <w:rStyle w:val="Hiperveza"/>
            <w:rFonts w:ascii="Times New Roman" w:hAnsi="Times New Roman" w:cs="Times New Roman"/>
            <w:noProof/>
            <w:sz w:val="24"/>
            <w:lang w:bidi="en-US"/>
          </w:rPr>
          <w:t>Aktivnost: Ocjena učinkovitosti (Članak 16.)</w:t>
        </w:r>
        <w:r w:rsidR="00BE2CA3" w:rsidRPr="006C6566">
          <w:rPr>
            <w:rFonts w:ascii="Times New Roman" w:hAnsi="Times New Roman" w:cs="Times New Roman"/>
            <w:noProof/>
            <w:webHidden/>
            <w:sz w:val="24"/>
          </w:rPr>
          <w:tab/>
        </w:r>
        <w:r w:rsidR="00BE2CA3" w:rsidRPr="006C6566">
          <w:rPr>
            <w:rFonts w:ascii="Times New Roman" w:hAnsi="Times New Roman" w:cs="Times New Roman"/>
            <w:noProof/>
            <w:webHidden/>
            <w:sz w:val="24"/>
          </w:rPr>
          <w:fldChar w:fldCharType="begin"/>
        </w:r>
        <w:r w:rsidR="00BE2CA3" w:rsidRPr="006C6566">
          <w:rPr>
            <w:rFonts w:ascii="Times New Roman" w:hAnsi="Times New Roman" w:cs="Times New Roman"/>
            <w:noProof/>
            <w:webHidden/>
            <w:sz w:val="24"/>
          </w:rPr>
          <w:instrText xml:space="preserve"> PAGEREF _Toc64460791 \h </w:instrText>
        </w:r>
        <w:r w:rsidR="00BE2CA3" w:rsidRPr="006C6566">
          <w:rPr>
            <w:rFonts w:ascii="Times New Roman" w:hAnsi="Times New Roman" w:cs="Times New Roman"/>
            <w:noProof/>
            <w:webHidden/>
            <w:sz w:val="24"/>
          </w:rPr>
        </w:r>
        <w:r w:rsidR="00BE2CA3" w:rsidRPr="006C6566">
          <w:rPr>
            <w:rFonts w:ascii="Times New Roman" w:hAnsi="Times New Roman" w:cs="Times New Roman"/>
            <w:noProof/>
            <w:webHidden/>
            <w:sz w:val="24"/>
          </w:rPr>
          <w:fldChar w:fldCharType="separate"/>
        </w:r>
        <w:r w:rsidR="004C449C">
          <w:rPr>
            <w:rFonts w:ascii="Times New Roman" w:hAnsi="Times New Roman" w:cs="Times New Roman"/>
            <w:noProof/>
            <w:webHidden/>
            <w:sz w:val="24"/>
          </w:rPr>
          <w:t>135</w:t>
        </w:r>
        <w:r w:rsidR="00BE2CA3" w:rsidRPr="006C6566">
          <w:rPr>
            <w:rFonts w:ascii="Times New Roman" w:hAnsi="Times New Roman" w:cs="Times New Roman"/>
            <w:noProof/>
            <w:webHidden/>
            <w:sz w:val="24"/>
          </w:rPr>
          <w:fldChar w:fldCharType="end"/>
        </w:r>
      </w:hyperlink>
    </w:p>
    <w:p w14:paraId="099569B5" w14:textId="63C9D61B" w:rsidR="00BE2CA3" w:rsidRPr="006C6566" w:rsidRDefault="00EB1E23" w:rsidP="006C6566">
      <w:pPr>
        <w:pStyle w:val="Sadraj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792" w:history="1">
        <w:r w:rsidR="00BE2CA3" w:rsidRPr="006C6566">
          <w:rPr>
            <w:rStyle w:val="Hiperveza"/>
            <w:rFonts w:ascii="Times New Roman" w:hAnsi="Times New Roman" w:cs="Times New Roman"/>
            <w:noProof/>
            <w:sz w:val="24"/>
            <w:lang w:bidi="en-US"/>
          </w:rPr>
          <w:t>4.2.20</w:t>
        </w:r>
        <w:r w:rsidR="00BE2CA3" w:rsidRPr="006C6566">
          <w:rPr>
            <w:rFonts w:ascii="Times New Roman" w:eastAsiaTheme="minorEastAsia" w:hAnsi="Times New Roman" w:cs="Times New Roman"/>
            <w:smallCaps w:val="0"/>
            <w:noProof/>
            <w:color w:val="auto"/>
            <w:sz w:val="24"/>
            <w:lang w:eastAsia="hr-HR"/>
          </w:rPr>
          <w:tab/>
        </w:r>
        <w:r w:rsidR="00BE2CA3" w:rsidRPr="006C6566">
          <w:rPr>
            <w:rStyle w:val="Hiperveza"/>
            <w:rFonts w:ascii="Times New Roman" w:hAnsi="Times New Roman" w:cs="Times New Roman"/>
            <w:noProof/>
            <w:sz w:val="24"/>
            <w:lang w:bidi="en-US"/>
          </w:rPr>
          <w:t>Aktivnost: Izvješćivanje (članak 15.)</w:t>
        </w:r>
        <w:r w:rsidR="00BE2CA3" w:rsidRPr="006C6566">
          <w:rPr>
            <w:rFonts w:ascii="Times New Roman" w:hAnsi="Times New Roman" w:cs="Times New Roman"/>
            <w:noProof/>
            <w:webHidden/>
            <w:sz w:val="24"/>
          </w:rPr>
          <w:tab/>
        </w:r>
        <w:r w:rsidR="00BE2CA3" w:rsidRPr="006C6566">
          <w:rPr>
            <w:rFonts w:ascii="Times New Roman" w:hAnsi="Times New Roman" w:cs="Times New Roman"/>
            <w:noProof/>
            <w:webHidden/>
            <w:sz w:val="24"/>
          </w:rPr>
          <w:fldChar w:fldCharType="begin"/>
        </w:r>
        <w:r w:rsidR="00BE2CA3" w:rsidRPr="006C6566">
          <w:rPr>
            <w:rFonts w:ascii="Times New Roman" w:hAnsi="Times New Roman" w:cs="Times New Roman"/>
            <w:noProof/>
            <w:webHidden/>
            <w:sz w:val="24"/>
          </w:rPr>
          <w:instrText xml:space="preserve"> PAGEREF _Toc64460792 \h </w:instrText>
        </w:r>
        <w:r w:rsidR="00BE2CA3" w:rsidRPr="006C6566">
          <w:rPr>
            <w:rFonts w:ascii="Times New Roman" w:hAnsi="Times New Roman" w:cs="Times New Roman"/>
            <w:noProof/>
            <w:webHidden/>
            <w:sz w:val="24"/>
          </w:rPr>
        </w:r>
        <w:r w:rsidR="00BE2CA3" w:rsidRPr="006C6566">
          <w:rPr>
            <w:rFonts w:ascii="Times New Roman" w:hAnsi="Times New Roman" w:cs="Times New Roman"/>
            <w:noProof/>
            <w:webHidden/>
            <w:sz w:val="24"/>
          </w:rPr>
          <w:fldChar w:fldCharType="separate"/>
        </w:r>
        <w:r w:rsidR="004C449C">
          <w:rPr>
            <w:rFonts w:ascii="Times New Roman" w:hAnsi="Times New Roman" w:cs="Times New Roman"/>
            <w:noProof/>
            <w:webHidden/>
            <w:sz w:val="24"/>
          </w:rPr>
          <w:t>136</w:t>
        </w:r>
        <w:r w:rsidR="00BE2CA3" w:rsidRPr="006C6566">
          <w:rPr>
            <w:rFonts w:ascii="Times New Roman" w:hAnsi="Times New Roman" w:cs="Times New Roman"/>
            <w:noProof/>
            <w:webHidden/>
            <w:sz w:val="24"/>
          </w:rPr>
          <w:fldChar w:fldCharType="end"/>
        </w:r>
      </w:hyperlink>
    </w:p>
    <w:p w14:paraId="4404F635" w14:textId="2FDDD125" w:rsidR="00BE2CA3" w:rsidRPr="006C6566" w:rsidRDefault="00EB1E23" w:rsidP="006C6566">
      <w:pPr>
        <w:pStyle w:val="Sadraj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793" w:history="1">
        <w:r w:rsidR="00BE2CA3" w:rsidRPr="006C6566">
          <w:rPr>
            <w:rStyle w:val="Hiperveza"/>
            <w:rFonts w:ascii="Times New Roman" w:hAnsi="Times New Roman" w:cs="Times New Roman"/>
            <w:noProof/>
            <w:sz w:val="24"/>
            <w:lang w:bidi="en-US"/>
          </w:rPr>
          <w:t>4.2.21</w:t>
        </w:r>
        <w:r w:rsidR="00BE2CA3" w:rsidRPr="006C6566">
          <w:rPr>
            <w:rFonts w:ascii="Times New Roman" w:eastAsiaTheme="minorEastAsia" w:hAnsi="Times New Roman" w:cs="Times New Roman"/>
            <w:smallCaps w:val="0"/>
            <w:noProof/>
            <w:color w:val="auto"/>
            <w:sz w:val="24"/>
            <w:lang w:eastAsia="hr-HR"/>
          </w:rPr>
          <w:tab/>
        </w:r>
        <w:r w:rsidR="00BE2CA3" w:rsidRPr="006C6566">
          <w:rPr>
            <w:rStyle w:val="Hiperveza"/>
            <w:rFonts w:ascii="Times New Roman" w:hAnsi="Times New Roman" w:cs="Times New Roman"/>
            <w:noProof/>
            <w:sz w:val="24"/>
            <w:lang w:bidi="en-US"/>
          </w:rPr>
          <w:t>Aktivnost: Istraživanje, razvoj i praćenje (članak 11.)</w:t>
        </w:r>
        <w:r w:rsidR="00BE2CA3" w:rsidRPr="006C6566">
          <w:rPr>
            <w:rFonts w:ascii="Times New Roman" w:hAnsi="Times New Roman" w:cs="Times New Roman"/>
            <w:noProof/>
            <w:webHidden/>
            <w:sz w:val="24"/>
          </w:rPr>
          <w:tab/>
        </w:r>
        <w:r w:rsidR="00BE2CA3" w:rsidRPr="006C6566">
          <w:rPr>
            <w:rFonts w:ascii="Times New Roman" w:hAnsi="Times New Roman" w:cs="Times New Roman"/>
            <w:noProof/>
            <w:webHidden/>
            <w:sz w:val="24"/>
          </w:rPr>
          <w:fldChar w:fldCharType="begin"/>
        </w:r>
        <w:r w:rsidR="00BE2CA3" w:rsidRPr="006C6566">
          <w:rPr>
            <w:rFonts w:ascii="Times New Roman" w:hAnsi="Times New Roman" w:cs="Times New Roman"/>
            <w:noProof/>
            <w:webHidden/>
            <w:sz w:val="24"/>
          </w:rPr>
          <w:instrText xml:space="preserve"> PAGEREF _Toc64460793 \h </w:instrText>
        </w:r>
        <w:r w:rsidR="00BE2CA3" w:rsidRPr="006C6566">
          <w:rPr>
            <w:rFonts w:ascii="Times New Roman" w:hAnsi="Times New Roman" w:cs="Times New Roman"/>
            <w:noProof/>
            <w:webHidden/>
            <w:sz w:val="24"/>
          </w:rPr>
        </w:r>
        <w:r w:rsidR="00BE2CA3" w:rsidRPr="006C6566">
          <w:rPr>
            <w:rFonts w:ascii="Times New Roman" w:hAnsi="Times New Roman" w:cs="Times New Roman"/>
            <w:noProof/>
            <w:webHidden/>
            <w:sz w:val="24"/>
          </w:rPr>
          <w:fldChar w:fldCharType="separate"/>
        </w:r>
        <w:r w:rsidR="004C449C">
          <w:rPr>
            <w:rFonts w:ascii="Times New Roman" w:hAnsi="Times New Roman" w:cs="Times New Roman"/>
            <w:noProof/>
            <w:webHidden/>
            <w:sz w:val="24"/>
          </w:rPr>
          <w:t>136</w:t>
        </w:r>
        <w:r w:rsidR="00BE2CA3" w:rsidRPr="006C6566">
          <w:rPr>
            <w:rFonts w:ascii="Times New Roman" w:hAnsi="Times New Roman" w:cs="Times New Roman"/>
            <w:noProof/>
            <w:webHidden/>
            <w:sz w:val="24"/>
          </w:rPr>
          <w:fldChar w:fldCharType="end"/>
        </w:r>
      </w:hyperlink>
    </w:p>
    <w:p w14:paraId="0D66249A" w14:textId="5B7AF71E" w:rsidR="00BE2CA3" w:rsidRPr="006C6566" w:rsidRDefault="00EB1E23" w:rsidP="006C6566">
      <w:pPr>
        <w:pStyle w:val="Sadraj4"/>
        <w:rPr>
          <w:rFonts w:eastAsiaTheme="minorEastAsia"/>
          <w:color w:val="auto"/>
          <w:sz w:val="24"/>
          <w:szCs w:val="24"/>
          <w:lang w:eastAsia="hr-HR" w:bidi="ar-SA"/>
        </w:rPr>
      </w:pPr>
      <w:hyperlink w:anchor="_Toc64460794" w:history="1">
        <w:r w:rsidR="00BE2CA3" w:rsidRPr="006C6566">
          <w:rPr>
            <w:rStyle w:val="Hiperveza"/>
            <w:rFonts w:ascii="Times New Roman" w:hAnsi="Times New Roman"/>
            <w:sz w:val="24"/>
            <w:szCs w:val="24"/>
          </w:rPr>
          <w:t>4.2.21.1</w:t>
        </w:r>
        <w:r w:rsidR="00BE2CA3" w:rsidRPr="006C6566">
          <w:rPr>
            <w:rFonts w:eastAsiaTheme="minorEastAsia"/>
            <w:color w:val="auto"/>
            <w:sz w:val="24"/>
            <w:szCs w:val="24"/>
            <w:lang w:eastAsia="hr-HR" w:bidi="ar-SA"/>
          </w:rPr>
          <w:tab/>
        </w:r>
        <w:r w:rsidR="006C6566">
          <w:rPr>
            <w:rFonts w:eastAsiaTheme="minorEastAsia"/>
            <w:color w:val="auto"/>
            <w:sz w:val="24"/>
            <w:szCs w:val="24"/>
            <w:lang w:eastAsia="hr-HR" w:bidi="ar-SA"/>
          </w:rPr>
          <w:tab/>
        </w:r>
        <w:r w:rsidR="00BE2CA3" w:rsidRPr="006C6566">
          <w:rPr>
            <w:rStyle w:val="Hiperveza"/>
            <w:rFonts w:ascii="Times New Roman" w:hAnsi="Times New Roman"/>
            <w:sz w:val="24"/>
            <w:szCs w:val="24"/>
          </w:rPr>
          <w:t>Jačanje tehničkih kapaciteta za praćenje POPs-ova u okolišu i ljudima, uključujući nove POPs-ove</w:t>
        </w:r>
        <w:r w:rsidR="00BE2CA3" w:rsidRPr="006C6566">
          <w:rPr>
            <w:webHidden/>
            <w:sz w:val="24"/>
            <w:szCs w:val="24"/>
          </w:rPr>
          <w:tab/>
        </w:r>
        <w:r w:rsidR="00BE2CA3" w:rsidRPr="006C6566">
          <w:rPr>
            <w:webHidden/>
            <w:sz w:val="24"/>
            <w:szCs w:val="24"/>
          </w:rPr>
          <w:fldChar w:fldCharType="begin"/>
        </w:r>
        <w:r w:rsidR="00BE2CA3" w:rsidRPr="006C6566">
          <w:rPr>
            <w:webHidden/>
            <w:sz w:val="24"/>
            <w:szCs w:val="24"/>
          </w:rPr>
          <w:instrText xml:space="preserve"> PAGEREF _Toc64460794 \h </w:instrText>
        </w:r>
        <w:r w:rsidR="00BE2CA3" w:rsidRPr="006C6566">
          <w:rPr>
            <w:webHidden/>
            <w:sz w:val="24"/>
            <w:szCs w:val="24"/>
          </w:rPr>
        </w:r>
        <w:r w:rsidR="00BE2CA3" w:rsidRPr="006C6566">
          <w:rPr>
            <w:webHidden/>
            <w:sz w:val="24"/>
            <w:szCs w:val="24"/>
          </w:rPr>
          <w:fldChar w:fldCharType="separate"/>
        </w:r>
        <w:r w:rsidR="004C449C">
          <w:rPr>
            <w:webHidden/>
            <w:sz w:val="24"/>
            <w:szCs w:val="24"/>
          </w:rPr>
          <w:t>137</w:t>
        </w:r>
        <w:r w:rsidR="00BE2CA3" w:rsidRPr="006C6566">
          <w:rPr>
            <w:webHidden/>
            <w:sz w:val="24"/>
            <w:szCs w:val="24"/>
          </w:rPr>
          <w:fldChar w:fldCharType="end"/>
        </w:r>
      </w:hyperlink>
    </w:p>
    <w:p w14:paraId="2296D727" w14:textId="20A61796" w:rsidR="00BE2CA3" w:rsidRPr="006C6566" w:rsidRDefault="00EB1E23" w:rsidP="006C6566">
      <w:pPr>
        <w:pStyle w:val="Sadraj4"/>
        <w:rPr>
          <w:rFonts w:eastAsiaTheme="minorEastAsia"/>
          <w:color w:val="auto"/>
          <w:sz w:val="24"/>
          <w:szCs w:val="24"/>
          <w:lang w:eastAsia="hr-HR" w:bidi="ar-SA"/>
        </w:rPr>
      </w:pPr>
      <w:hyperlink w:anchor="_Toc64460795" w:history="1">
        <w:r w:rsidR="00BE2CA3" w:rsidRPr="006C6566">
          <w:rPr>
            <w:rStyle w:val="Hiperveza"/>
            <w:rFonts w:ascii="Times New Roman" w:hAnsi="Times New Roman"/>
            <w:sz w:val="24"/>
            <w:szCs w:val="24"/>
          </w:rPr>
          <w:t>4.2.21.2</w:t>
        </w:r>
        <w:r w:rsidR="00BE2CA3" w:rsidRPr="006C6566">
          <w:rPr>
            <w:rFonts w:eastAsiaTheme="minorEastAsia"/>
            <w:color w:val="auto"/>
            <w:sz w:val="24"/>
            <w:szCs w:val="24"/>
            <w:lang w:eastAsia="hr-HR" w:bidi="ar-SA"/>
          </w:rPr>
          <w:tab/>
        </w:r>
        <w:r w:rsidR="006C6566">
          <w:rPr>
            <w:rFonts w:eastAsiaTheme="minorEastAsia"/>
            <w:color w:val="auto"/>
            <w:sz w:val="24"/>
            <w:szCs w:val="24"/>
            <w:lang w:eastAsia="hr-HR" w:bidi="ar-SA"/>
          </w:rPr>
          <w:tab/>
        </w:r>
        <w:r w:rsidR="00BE2CA3" w:rsidRPr="006C6566">
          <w:rPr>
            <w:rStyle w:val="Hiperveza"/>
            <w:rFonts w:ascii="Times New Roman" w:hAnsi="Times New Roman"/>
            <w:sz w:val="24"/>
            <w:szCs w:val="24"/>
          </w:rPr>
          <w:t>Praćenje POPs-ova u okolišu i ljudima</w:t>
        </w:r>
        <w:r w:rsidR="00BE2CA3" w:rsidRPr="006C6566">
          <w:rPr>
            <w:webHidden/>
            <w:sz w:val="24"/>
            <w:szCs w:val="24"/>
          </w:rPr>
          <w:tab/>
        </w:r>
        <w:r w:rsidR="00BE2CA3" w:rsidRPr="006C6566">
          <w:rPr>
            <w:webHidden/>
            <w:sz w:val="24"/>
            <w:szCs w:val="24"/>
          </w:rPr>
          <w:fldChar w:fldCharType="begin"/>
        </w:r>
        <w:r w:rsidR="00BE2CA3" w:rsidRPr="006C6566">
          <w:rPr>
            <w:webHidden/>
            <w:sz w:val="24"/>
            <w:szCs w:val="24"/>
          </w:rPr>
          <w:instrText xml:space="preserve"> PAGEREF _Toc64460795 \h </w:instrText>
        </w:r>
        <w:r w:rsidR="00BE2CA3" w:rsidRPr="006C6566">
          <w:rPr>
            <w:webHidden/>
            <w:sz w:val="24"/>
            <w:szCs w:val="24"/>
          </w:rPr>
        </w:r>
        <w:r w:rsidR="00BE2CA3" w:rsidRPr="006C6566">
          <w:rPr>
            <w:webHidden/>
            <w:sz w:val="24"/>
            <w:szCs w:val="24"/>
          </w:rPr>
          <w:fldChar w:fldCharType="separate"/>
        </w:r>
        <w:r w:rsidR="004C449C">
          <w:rPr>
            <w:webHidden/>
            <w:sz w:val="24"/>
            <w:szCs w:val="24"/>
          </w:rPr>
          <w:t>137</w:t>
        </w:r>
        <w:r w:rsidR="00BE2CA3" w:rsidRPr="006C6566">
          <w:rPr>
            <w:webHidden/>
            <w:sz w:val="24"/>
            <w:szCs w:val="24"/>
          </w:rPr>
          <w:fldChar w:fldCharType="end"/>
        </w:r>
      </w:hyperlink>
    </w:p>
    <w:p w14:paraId="0FC8B748" w14:textId="56839E1C" w:rsidR="00BE2CA3" w:rsidRPr="006C6566" w:rsidRDefault="00EB1E23" w:rsidP="006C6566">
      <w:pPr>
        <w:pStyle w:val="Sadraj3"/>
        <w:tabs>
          <w:tab w:val="left" w:pos="993"/>
          <w:tab w:val="right" w:leader="dot" w:pos="9062"/>
        </w:tabs>
        <w:ind w:left="993" w:hanging="993"/>
        <w:rPr>
          <w:rFonts w:ascii="Times New Roman" w:eastAsiaTheme="minorEastAsia" w:hAnsi="Times New Roman" w:cs="Times New Roman"/>
          <w:smallCaps w:val="0"/>
          <w:noProof/>
          <w:color w:val="auto"/>
          <w:sz w:val="24"/>
          <w:lang w:eastAsia="hr-HR"/>
        </w:rPr>
      </w:pPr>
      <w:hyperlink w:anchor="_Toc64460796" w:history="1">
        <w:r w:rsidR="00BE2CA3" w:rsidRPr="006C6566">
          <w:rPr>
            <w:rStyle w:val="Hiperveza"/>
            <w:rFonts w:ascii="Times New Roman" w:hAnsi="Times New Roman" w:cs="Times New Roman"/>
            <w:noProof/>
            <w:sz w:val="24"/>
            <w:lang w:bidi="en-US"/>
          </w:rPr>
          <w:t>4.2.22</w:t>
        </w:r>
        <w:r w:rsidR="00BE2CA3" w:rsidRPr="006C6566">
          <w:rPr>
            <w:rFonts w:ascii="Times New Roman" w:eastAsiaTheme="minorEastAsia" w:hAnsi="Times New Roman" w:cs="Times New Roman"/>
            <w:smallCaps w:val="0"/>
            <w:noProof/>
            <w:color w:val="auto"/>
            <w:sz w:val="24"/>
            <w:lang w:eastAsia="hr-HR"/>
          </w:rPr>
          <w:tab/>
        </w:r>
        <w:r w:rsidR="00BE2CA3" w:rsidRPr="006C6566">
          <w:rPr>
            <w:rStyle w:val="Hiperveza"/>
            <w:rFonts w:ascii="Times New Roman" w:hAnsi="Times New Roman" w:cs="Times New Roman"/>
            <w:noProof/>
            <w:sz w:val="24"/>
            <w:lang w:bidi="en-US"/>
          </w:rPr>
          <w:t>Aktivnost: Tehnička i financijska pomoć (Članci 12. i 13.)</w:t>
        </w:r>
        <w:r w:rsidR="00BE2CA3" w:rsidRPr="006C6566">
          <w:rPr>
            <w:rFonts w:ascii="Times New Roman" w:hAnsi="Times New Roman" w:cs="Times New Roman"/>
            <w:noProof/>
            <w:webHidden/>
            <w:sz w:val="24"/>
          </w:rPr>
          <w:tab/>
        </w:r>
        <w:r w:rsidR="00BE2CA3" w:rsidRPr="006C6566">
          <w:rPr>
            <w:rFonts w:ascii="Times New Roman" w:hAnsi="Times New Roman" w:cs="Times New Roman"/>
            <w:noProof/>
            <w:webHidden/>
            <w:sz w:val="24"/>
          </w:rPr>
          <w:fldChar w:fldCharType="begin"/>
        </w:r>
        <w:r w:rsidR="00BE2CA3" w:rsidRPr="006C6566">
          <w:rPr>
            <w:rFonts w:ascii="Times New Roman" w:hAnsi="Times New Roman" w:cs="Times New Roman"/>
            <w:noProof/>
            <w:webHidden/>
            <w:sz w:val="24"/>
          </w:rPr>
          <w:instrText xml:space="preserve"> PAGEREF _Toc64460796 \h </w:instrText>
        </w:r>
        <w:r w:rsidR="00BE2CA3" w:rsidRPr="006C6566">
          <w:rPr>
            <w:rFonts w:ascii="Times New Roman" w:hAnsi="Times New Roman" w:cs="Times New Roman"/>
            <w:noProof/>
            <w:webHidden/>
            <w:sz w:val="24"/>
          </w:rPr>
        </w:r>
        <w:r w:rsidR="00BE2CA3" w:rsidRPr="006C6566">
          <w:rPr>
            <w:rFonts w:ascii="Times New Roman" w:hAnsi="Times New Roman" w:cs="Times New Roman"/>
            <w:noProof/>
            <w:webHidden/>
            <w:sz w:val="24"/>
          </w:rPr>
          <w:fldChar w:fldCharType="separate"/>
        </w:r>
        <w:r w:rsidR="004C449C">
          <w:rPr>
            <w:rFonts w:ascii="Times New Roman" w:hAnsi="Times New Roman" w:cs="Times New Roman"/>
            <w:noProof/>
            <w:webHidden/>
            <w:sz w:val="24"/>
          </w:rPr>
          <w:t>138</w:t>
        </w:r>
        <w:r w:rsidR="00BE2CA3" w:rsidRPr="006C6566">
          <w:rPr>
            <w:rFonts w:ascii="Times New Roman" w:hAnsi="Times New Roman" w:cs="Times New Roman"/>
            <w:noProof/>
            <w:webHidden/>
            <w:sz w:val="24"/>
          </w:rPr>
          <w:fldChar w:fldCharType="end"/>
        </w:r>
      </w:hyperlink>
    </w:p>
    <w:p w14:paraId="222BFCE8" w14:textId="511953C6" w:rsidR="00BE2CA3" w:rsidRPr="006C6566" w:rsidRDefault="00EB1E23" w:rsidP="006C6566">
      <w:pPr>
        <w:pStyle w:val="Sadraj2"/>
        <w:tabs>
          <w:tab w:val="left" w:pos="993"/>
          <w:tab w:val="right" w:leader="dot" w:pos="9062"/>
        </w:tabs>
        <w:ind w:left="993" w:hanging="993"/>
        <w:rPr>
          <w:rFonts w:ascii="Times New Roman" w:eastAsiaTheme="minorEastAsia" w:hAnsi="Times New Roman" w:cs="Times New Roman"/>
          <w:b w:val="0"/>
          <w:bCs w:val="0"/>
          <w:smallCaps w:val="0"/>
          <w:noProof/>
          <w:color w:val="auto"/>
          <w:sz w:val="24"/>
          <w:lang w:eastAsia="hr-HR"/>
        </w:rPr>
      </w:pPr>
      <w:hyperlink w:anchor="_Toc64460797" w:history="1">
        <w:r w:rsidR="00BE2CA3" w:rsidRPr="006C6566">
          <w:rPr>
            <w:rStyle w:val="Hiperveza"/>
            <w:rFonts w:ascii="Times New Roman" w:hAnsi="Times New Roman" w:cs="Times New Roman"/>
            <w:noProof/>
            <w:sz w:val="24"/>
            <w:lang w:bidi="en-US"/>
          </w:rPr>
          <w:t>4.3</w:t>
        </w:r>
        <w:r w:rsidR="00BE2CA3" w:rsidRPr="006C6566">
          <w:rPr>
            <w:rFonts w:ascii="Times New Roman" w:eastAsiaTheme="minorEastAsia" w:hAnsi="Times New Roman" w:cs="Times New Roman"/>
            <w:b w:val="0"/>
            <w:bCs w:val="0"/>
            <w:smallCaps w:val="0"/>
            <w:noProof/>
            <w:color w:val="auto"/>
            <w:sz w:val="24"/>
            <w:lang w:eastAsia="hr-HR"/>
          </w:rPr>
          <w:tab/>
        </w:r>
        <w:r w:rsidR="00BE2CA3" w:rsidRPr="006C6566">
          <w:rPr>
            <w:rStyle w:val="Hiperveza"/>
            <w:rFonts w:ascii="Times New Roman" w:hAnsi="Times New Roman" w:cs="Times New Roman"/>
            <w:noProof/>
            <w:sz w:val="24"/>
            <w:lang w:bidi="en-US"/>
          </w:rPr>
          <w:t>Područja u kojima je potrebno jačanje trenutnih kapaciteta</w:t>
        </w:r>
        <w:r w:rsidR="00BE2CA3" w:rsidRPr="006C6566">
          <w:rPr>
            <w:rFonts w:ascii="Times New Roman" w:hAnsi="Times New Roman" w:cs="Times New Roman"/>
            <w:noProof/>
            <w:webHidden/>
            <w:sz w:val="24"/>
          </w:rPr>
          <w:tab/>
        </w:r>
        <w:r w:rsidR="00BE2CA3" w:rsidRPr="006C6566">
          <w:rPr>
            <w:rFonts w:ascii="Times New Roman" w:hAnsi="Times New Roman" w:cs="Times New Roman"/>
            <w:noProof/>
            <w:webHidden/>
            <w:sz w:val="24"/>
          </w:rPr>
          <w:fldChar w:fldCharType="begin"/>
        </w:r>
        <w:r w:rsidR="00BE2CA3" w:rsidRPr="006C6566">
          <w:rPr>
            <w:rFonts w:ascii="Times New Roman" w:hAnsi="Times New Roman" w:cs="Times New Roman"/>
            <w:noProof/>
            <w:webHidden/>
            <w:sz w:val="24"/>
          </w:rPr>
          <w:instrText xml:space="preserve"> PAGEREF _Toc64460797 \h </w:instrText>
        </w:r>
        <w:r w:rsidR="00BE2CA3" w:rsidRPr="006C6566">
          <w:rPr>
            <w:rFonts w:ascii="Times New Roman" w:hAnsi="Times New Roman" w:cs="Times New Roman"/>
            <w:noProof/>
            <w:webHidden/>
            <w:sz w:val="24"/>
          </w:rPr>
        </w:r>
        <w:r w:rsidR="00BE2CA3" w:rsidRPr="006C6566">
          <w:rPr>
            <w:rFonts w:ascii="Times New Roman" w:hAnsi="Times New Roman" w:cs="Times New Roman"/>
            <w:noProof/>
            <w:webHidden/>
            <w:sz w:val="24"/>
          </w:rPr>
          <w:fldChar w:fldCharType="separate"/>
        </w:r>
        <w:r w:rsidR="004C449C">
          <w:rPr>
            <w:rFonts w:ascii="Times New Roman" w:hAnsi="Times New Roman" w:cs="Times New Roman"/>
            <w:noProof/>
            <w:webHidden/>
            <w:sz w:val="24"/>
          </w:rPr>
          <w:t>138</w:t>
        </w:r>
        <w:r w:rsidR="00BE2CA3" w:rsidRPr="006C6566">
          <w:rPr>
            <w:rFonts w:ascii="Times New Roman" w:hAnsi="Times New Roman" w:cs="Times New Roman"/>
            <w:noProof/>
            <w:webHidden/>
            <w:sz w:val="24"/>
          </w:rPr>
          <w:fldChar w:fldCharType="end"/>
        </w:r>
      </w:hyperlink>
    </w:p>
    <w:p w14:paraId="0C920928" w14:textId="694DD30E" w:rsidR="00BE2CA3" w:rsidRPr="006C6566" w:rsidRDefault="00EB1E23" w:rsidP="006C6566">
      <w:pPr>
        <w:pStyle w:val="Sadraj2"/>
        <w:tabs>
          <w:tab w:val="left" w:pos="993"/>
          <w:tab w:val="right" w:leader="dot" w:pos="9062"/>
        </w:tabs>
        <w:ind w:left="993" w:hanging="993"/>
        <w:rPr>
          <w:rFonts w:ascii="Times New Roman" w:eastAsiaTheme="minorEastAsia" w:hAnsi="Times New Roman" w:cs="Times New Roman"/>
          <w:b w:val="0"/>
          <w:bCs w:val="0"/>
          <w:smallCaps w:val="0"/>
          <w:noProof/>
          <w:color w:val="auto"/>
          <w:sz w:val="24"/>
          <w:lang w:eastAsia="hr-HR"/>
        </w:rPr>
      </w:pPr>
      <w:hyperlink w:anchor="_Toc64460798" w:history="1">
        <w:r w:rsidR="00BE2CA3" w:rsidRPr="006C6566">
          <w:rPr>
            <w:rStyle w:val="Hiperveza"/>
            <w:rFonts w:ascii="Times New Roman" w:hAnsi="Times New Roman" w:cs="Times New Roman"/>
            <w:noProof/>
            <w:sz w:val="24"/>
            <w:lang w:bidi="en-US"/>
          </w:rPr>
          <w:t>4.4</w:t>
        </w:r>
        <w:r w:rsidR="00BE2CA3" w:rsidRPr="006C6566">
          <w:rPr>
            <w:rFonts w:ascii="Times New Roman" w:eastAsiaTheme="minorEastAsia" w:hAnsi="Times New Roman" w:cs="Times New Roman"/>
            <w:b w:val="0"/>
            <w:bCs w:val="0"/>
            <w:smallCaps w:val="0"/>
            <w:noProof/>
            <w:color w:val="auto"/>
            <w:sz w:val="24"/>
            <w:lang w:eastAsia="hr-HR"/>
          </w:rPr>
          <w:tab/>
        </w:r>
        <w:r w:rsidR="00BE2CA3" w:rsidRPr="006C6566">
          <w:rPr>
            <w:rStyle w:val="Hiperveza"/>
            <w:rFonts w:ascii="Times New Roman" w:hAnsi="Times New Roman" w:cs="Times New Roman"/>
            <w:noProof/>
            <w:sz w:val="24"/>
            <w:lang w:bidi="en-US"/>
          </w:rPr>
          <w:t>Vremenski plan provedbe NIP-a</w:t>
        </w:r>
        <w:r w:rsidR="00BE2CA3" w:rsidRPr="006C6566">
          <w:rPr>
            <w:rFonts w:ascii="Times New Roman" w:hAnsi="Times New Roman" w:cs="Times New Roman"/>
            <w:noProof/>
            <w:webHidden/>
            <w:sz w:val="24"/>
          </w:rPr>
          <w:tab/>
        </w:r>
        <w:r w:rsidR="00BE2CA3" w:rsidRPr="006C6566">
          <w:rPr>
            <w:rFonts w:ascii="Times New Roman" w:hAnsi="Times New Roman" w:cs="Times New Roman"/>
            <w:noProof/>
            <w:webHidden/>
            <w:sz w:val="24"/>
          </w:rPr>
          <w:fldChar w:fldCharType="begin"/>
        </w:r>
        <w:r w:rsidR="00BE2CA3" w:rsidRPr="006C6566">
          <w:rPr>
            <w:rFonts w:ascii="Times New Roman" w:hAnsi="Times New Roman" w:cs="Times New Roman"/>
            <w:noProof/>
            <w:webHidden/>
            <w:sz w:val="24"/>
          </w:rPr>
          <w:instrText xml:space="preserve"> PAGEREF _Toc64460798 \h </w:instrText>
        </w:r>
        <w:r w:rsidR="00BE2CA3" w:rsidRPr="006C6566">
          <w:rPr>
            <w:rFonts w:ascii="Times New Roman" w:hAnsi="Times New Roman" w:cs="Times New Roman"/>
            <w:noProof/>
            <w:webHidden/>
            <w:sz w:val="24"/>
          </w:rPr>
        </w:r>
        <w:r w:rsidR="00BE2CA3" w:rsidRPr="006C6566">
          <w:rPr>
            <w:rFonts w:ascii="Times New Roman" w:hAnsi="Times New Roman" w:cs="Times New Roman"/>
            <w:noProof/>
            <w:webHidden/>
            <w:sz w:val="24"/>
          </w:rPr>
          <w:fldChar w:fldCharType="separate"/>
        </w:r>
        <w:r w:rsidR="004C449C">
          <w:rPr>
            <w:rFonts w:ascii="Times New Roman" w:hAnsi="Times New Roman" w:cs="Times New Roman"/>
            <w:noProof/>
            <w:webHidden/>
            <w:sz w:val="24"/>
          </w:rPr>
          <w:t>139</w:t>
        </w:r>
        <w:r w:rsidR="00BE2CA3" w:rsidRPr="006C6566">
          <w:rPr>
            <w:rFonts w:ascii="Times New Roman" w:hAnsi="Times New Roman" w:cs="Times New Roman"/>
            <w:noProof/>
            <w:webHidden/>
            <w:sz w:val="24"/>
          </w:rPr>
          <w:fldChar w:fldCharType="end"/>
        </w:r>
      </w:hyperlink>
    </w:p>
    <w:p w14:paraId="5975F1D6" w14:textId="0CAF646B" w:rsidR="00BE2CA3" w:rsidRPr="006C6566" w:rsidRDefault="00EB1E23" w:rsidP="006C6566">
      <w:pPr>
        <w:pStyle w:val="Sadraj2"/>
        <w:tabs>
          <w:tab w:val="left" w:pos="993"/>
          <w:tab w:val="right" w:leader="dot" w:pos="9062"/>
        </w:tabs>
        <w:ind w:left="993" w:hanging="993"/>
        <w:rPr>
          <w:rFonts w:ascii="Times New Roman" w:eastAsiaTheme="minorEastAsia" w:hAnsi="Times New Roman" w:cs="Times New Roman"/>
          <w:b w:val="0"/>
          <w:bCs w:val="0"/>
          <w:smallCaps w:val="0"/>
          <w:noProof/>
          <w:color w:val="auto"/>
          <w:sz w:val="24"/>
          <w:lang w:eastAsia="hr-HR"/>
        </w:rPr>
      </w:pPr>
      <w:hyperlink w:anchor="_Toc64460799" w:history="1">
        <w:r w:rsidR="00BE2CA3" w:rsidRPr="006C6566">
          <w:rPr>
            <w:rStyle w:val="Hiperveza"/>
            <w:rFonts w:ascii="Times New Roman" w:hAnsi="Times New Roman" w:cs="Times New Roman"/>
            <w:noProof/>
            <w:sz w:val="24"/>
            <w:lang w:bidi="en-US"/>
          </w:rPr>
          <w:t>4.5</w:t>
        </w:r>
        <w:r w:rsidR="00BE2CA3" w:rsidRPr="006C6566">
          <w:rPr>
            <w:rFonts w:ascii="Times New Roman" w:eastAsiaTheme="minorEastAsia" w:hAnsi="Times New Roman" w:cs="Times New Roman"/>
            <w:b w:val="0"/>
            <w:bCs w:val="0"/>
            <w:smallCaps w:val="0"/>
            <w:noProof/>
            <w:color w:val="auto"/>
            <w:sz w:val="24"/>
            <w:lang w:eastAsia="hr-HR"/>
          </w:rPr>
          <w:tab/>
        </w:r>
        <w:r w:rsidR="00BE2CA3" w:rsidRPr="006C6566">
          <w:rPr>
            <w:rStyle w:val="Hiperveza"/>
            <w:rFonts w:ascii="Times New Roman" w:hAnsi="Times New Roman" w:cs="Times New Roman"/>
            <w:noProof/>
            <w:sz w:val="24"/>
            <w:lang w:bidi="en-US"/>
          </w:rPr>
          <w:t>FINANCIJSKA SREDSTVA POTREBNA ZA PROVEDBU NIP-a</w:t>
        </w:r>
        <w:r w:rsidR="00BE2CA3" w:rsidRPr="006C6566">
          <w:rPr>
            <w:rFonts w:ascii="Times New Roman" w:hAnsi="Times New Roman" w:cs="Times New Roman"/>
            <w:noProof/>
            <w:webHidden/>
            <w:sz w:val="24"/>
          </w:rPr>
          <w:tab/>
        </w:r>
        <w:r w:rsidR="00BE2CA3" w:rsidRPr="006C6566">
          <w:rPr>
            <w:rFonts w:ascii="Times New Roman" w:hAnsi="Times New Roman" w:cs="Times New Roman"/>
            <w:noProof/>
            <w:webHidden/>
            <w:sz w:val="24"/>
          </w:rPr>
          <w:fldChar w:fldCharType="begin"/>
        </w:r>
        <w:r w:rsidR="00BE2CA3" w:rsidRPr="006C6566">
          <w:rPr>
            <w:rFonts w:ascii="Times New Roman" w:hAnsi="Times New Roman" w:cs="Times New Roman"/>
            <w:noProof/>
            <w:webHidden/>
            <w:sz w:val="24"/>
          </w:rPr>
          <w:instrText xml:space="preserve"> PAGEREF _Toc64460799 \h </w:instrText>
        </w:r>
        <w:r w:rsidR="00BE2CA3" w:rsidRPr="006C6566">
          <w:rPr>
            <w:rFonts w:ascii="Times New Roman" w:hAnsi="Times New Roman" w:cs="Times New Roman"/>
            <w:noProof/>
            <w:webHidden/>
            <w:sz w:val="24"/>
          </w:rPr>
        </w:r>
        <w:r w:rsidR="00BE2CA3" w:rsidRPr="006C6566">
          <w:rPr>
            <w:rFonts w:ascii="Times New Roman" w:hAnsi="Times New Roman" w:cs="Times New Roman"/>
            <w:noProof/>
            <w:webHidden/>
            <w:sz w:val="24"/>
          </w:rPr>
          <w:fldChar w:fldCharType="separate"/>
        </w:r>
        <w:r w:rsidR="004C449C">
          <w:rPr>
            <w:rFonts w:ascii="Times New Roman" w:hAnsi="Times New Roman" w:cs="Times New Roman"/>
            <w:noProof/>
            <w:webHidden/>
            <w:sz w:val="24"/>
          </w:rPr>
          <w:t>140</w:t>
        </w:r>
        <w:r w:rsidR="00BE2CA3" w:rsidRPr="006C6566">
          <w:rPr>
            <w:rFonts w:ascii="Times New Roman" w:hAnsi="Times New Roman" w:cs="Times New Roman"/>
            <w:noProof/>
            <w:webHidden/>
            <w:sz w:val="24"/>
          </w:rPr>
          <w:fldChar w:fldCharType="end"/>
        </w:r>
      </w:hyperlink>
    </w:p>
    <w:p w14:paraId="1CCB8253" w14:textId="77777777" w:rsidR="00D84719" w:rsidRPr="006C6566" w:rsidRDefault="00D84719" w:rsidP="006C6566">
      <w:pPr>
        <w:tabs>
          <w:tab w:val="left" w:pos="993"/>
        </w:tabs>
        <w:spacing w:before="80" w:line="276" w:lineRule="auto"/>
        <w:ind w:left="993" w:hanging="993"/>
        <w:jc w:val="both"/>
        <w:rPr>
          <w:rFonts w:ascii="Times New Roman" w:eastAsia="Times New Roman" w:hAnsi="Times New Roman" w:cs="Times New Roman"/>
          <w:color w:val="000000"/>
          <w:sz w:val="24"/>
          <w:szCs w:val="24"/>
          <w:highlight w:val="yellow"/>
        </w:rPr>
      </w:pPr>
      <w:r w:rsidRPr="006C6566">
        <w:rPr>
          <w:rFonts w:ascii="Times New Roman" w:eastAsia="Times New Roman" w:hAnsi="Times New Roman" w:cs="Times New Roman"/>
          <w:b/>
          <w:bCs/>
          <w:caps/>
          <w:sz w:val="24"/>
          <w:szCs w:val="24"/>
          <w:highlight w:val="yellow"/>
          <w:u w:val="single"/>
        </w:rPr>
        <w:fldChar w:fldCharType="end"/>
      </w:r>
      <w:r w:rsidRPr="006C6566">
        <w:rPr>
          <w:rFonts w:ascii="Times New Roman" w:eastAsia="Times New Roman" w:hAnsi="Times New Roman" w:cs="Times New Roman"/>
          <w:color w:val="000000"/>
          <w:sz w:val="24"/>
          <w:szCs w:val="24"/>
          <w:highlight w:val="yellow"/>
        </w:rPr>
        <w:br w:type="page"/>
      </w:r>
    </w:p>
    <w:p w14:paraId="46536CFD" w14:textId="77777777" w:rsidR="00D84719" w:rsidRPr="00D84719" w:rsidRDefault="00D84719" w:rsidP="00D84719">
      <w:pPr>
        <w:spacing w:before="80" w:line="276" w:lineRule="auto"/>
        <w:jc w:val="both"/>
        <w:rPr>
          <w:rFonts w:ascii="Times New Roman" w:eastAsia="Times New Roman" w:hAnsi="Times New Roman" w:cs="Times New Roman"/>
          <w:i/>
          <w:iCs/>
          <w:szCs w:val="24"/>
        </w:rPr>
      </w:pPr>
      <w:r w:rsidRPr="00D84719">
        <w:rPr>
          <w:rFonts w:ascii="Times New Roman" w:eastAsia="Times New Roman" w:hAnsi="Times New Roman" w:cs="Times New Roman"/>
          <w:i/>
          <w:iCs/>
          <w:szCs w:val="24"/>
        </w:rPr>
        <w:lastRenderedPageBreak/>
        <w:t>Kratice</w:t>
      </w:r>
    </w:p>
    <w:tbl>
      <w:tblPr>
        <w:tblStyle w:val="Reetkatablice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
        <w:gridCol w:w="4168"/>
        <w:gridCol w:w="3500"/>
      </w:tblGrid>
      <w:tr w:rsidR="00D84719" w:rsidRPr="00D84719" w14:paraId="007BFCCA" w14:textId="77777777" w:rsidTr="00F831D6">
        <w:tc>
          <w:tcPr>
            <w:tcW w:w="725" w:type="pct"/>
            <w:vAlign w:val="center"/>
          </w:tcPr>
          <w:p w14:paraId="098900A7" w14:textId="77777777" w:rsidR="00D84719" w:rsidRPr="006A4FA2" w:rsidRDefault="00D84719" w:rsidP="00D84719">
            <w:pPr>
              <w:rPr>
                <w:b/>
                <w:bCs/>
                <w:color w:val="000000"/>
                <w:sz w:val="20"/>
                <w:szCs w:val="20"/>
              </w:rPr>
            </w:pPr>
            <w:r w:rsidRPr="006A4FA2">
              <w:rPr>
                <w:b/>
                <w:bCs/>
                <w:color w:val="000000"/>
                <w:sz w:val="20"/>
                <w:szCs w:val="20"/>
              </w:rPr>
              <w:t>APZ</w:t>
            </w:r>
          </w:p>
        </w:tc>
        <w:tc>
          <w:tcPr>
            <w:tcW w:w="2322" w:type="pct"/>
            <w:vAlign w:val="center"/>
          </w:tcPr>
          <w:p w14:paraId="67EAB8DE" w14:textId="77777777" w:rsidR="00D84719" w:rsidRPr="00D84719" w:rsidRDefault="00D84719" w:rsidP="00D84719">
            <w:pPr>
              <w:rPr>
                <w:color w:val="000000"/>
                <w:sz w:val="20"/>
                <w:szCs w:val="20"/>
              </w:rPr>
            </w:pPr>
            <w:r w:rsidRPr="00D84719">
              <w:rPr>
                <w:color w:val="000000"/>
                <w:sz w:val="20"/>
                <w:szCs w:val="20"/>
              </w:rPr>
              <w:t>Agencija za poljoprivredno zemljište</w:t>
            </w:r>
          </w:p>
        </w:tc>
        <w:tc>
          <w:tcPr>
            <w:tcW w:w="1953" w:type="pct"/>
            <w:vAlign w:val="center"/>
          </w:tcPr>
          <w:p w14:paraId="32C31150" w14:textId="77777777" w:rsidR="00D84719" w:rsidRPr="00D84719" w:rsidRDefault="00D84719" w:rsidP="00D84719">
            <w:pPr>
              <w:rPr>
                <w:color w:val="000000"/>
                <w:sz w:val="20"/>
                <w:szCs w:val="20"/>
              </w:rPr>
            </w:pPr>
          </w:p>
        </w:tc>
      </w:tr>
      <w:tr w:rsidR="00D84719" w:rsidRPr="00D84719" w14:paraId="0F8EBF6C" w14:textId="77777777" w:rsidTr="00F831D6">
        <w:tc>
          <w:tcPr>
            <w:tcW w:w="725" w:type="pct"/>
            <w:vAlign w:val="center"/>
          </w:tcPr>
          <w:p w14:paraId="2F9D72E1" w14:textId="77777777" w:rsidR="00D84719" w:rsidRPr="006A4FA2" w:rsidRDefault="00D84719" w:rsidP="00D84719">
            <w:pPr>
              <w:rPr>
                <w:b/>
                <w:bCs/>
                <w:color w:val="000000"/>
                <w:sz w:val="20"/>
                <w:szCs w:val="20"/>
              </w:rPr>
            </w:pPr>
            <w:r w:rsidRPr="006A4FA2">
              <w:rPr>
                <w:b/>
                <w:bCs/>
                <w:color w:val="000000"/>
                <w:sz w:val="20"/>
                <w:szCs w:val="20"/>
                <w:lang w:bidi="en-US"/>
              </w:rPr>
              <w:t>BaP</w:t>
            </w:r>
          </w:p>
        </w:tc>
        <w:tc>
          <w:tcPr>
            <w:tcW w:w="2322" w:type="pct"/>
            <w:vAlign w:val="center"/>
          </w:tcPr>
          <w:p w14:paraId="464CDCA2" w14:textId="77777777" w:rsidR="00D84719" w:rsidRPr="00D84719" w:rsidRDefault="00D84719" w:rsidP="00D84719">
            <w:pPr>
              <w:rPr>
                <w:color w:val="000000"/>
                <w:sz w:val="20"/>
                <w:szCs w:val="20"/>
              </w:rPr>
            </w:pPr>
            <w:r w:rsidRPr="00D84719">
              <w:rPr>
                <w:color w:val="000000"/>
                <w:sz w:val="20"/>
                <w:szCs w:val="20"/>
                <w:lang w:bidi="en-US"/>
              </w:rPr>
              <w:t>Benzo(a)piren</w:t>
            </w:r>
          </w:p>
        </w:tc>
        <w:tc>
          <w:tcPr>
            <w:tcW w:w="1953" w:type="pct"/>
            <w:vAlign w:val="center"/>
          </w:tcPr>
          <w:p w14:paraId="0DB90F5B" w14:textId="77777777" w:rsidR="00D84719" w:rsidRPr="00D84719" w:rsidRDefault="00D84719" w:rsidP="00D84719">
            <w:pPr>
              <w:rPr>
                <w:color w:val="000000"/>
                <w:sz w:val="20"/>
                <w:szCs w:val="20"/>
              </w:rPr>
            </w:pPr>
          </w:p>
        </w:tc>
      </w:tr>
      <w:tr w:rsidR="00D84719" w:rsidRPr="00D84719" w14:paraId="15D1237A" w14:textId="77777777" w:rsidTr="00F831D6">
        <w:tc>
          <w:tcPr>
            <w:tcW w:w="725" w:type="pct"/>
            <w:vAlign w:val="center"/>
          </w:tcPr>
          <w:p w14:paraId="72524FE6" w14:textId="77777777" w:rsidR="00D84719" w:rsidRPr="006A4FA2" w:rsidRDefault="00D84719" w:rsidP="00D84719">
            <w:pPr>
              <w:rPr>
                <w:b/>
                <w:bCs/>
                <w:color w:val="000000"/>
                <w:sz w:val="20"/>
                <w:szCs w:val="20"/>
              </w:rPr>
            </w:pPr>
            <w:r w:rsidRPr="006A4FA2">
              <w:rPr>
                <w:b/>
                <w:bCs/>
                <w:color w:val="000000"/>
                <w:sz w:val="20"/>
                <w:szCs w:val="20"/>
              </w:rPr>
              <w:t>BDP</w:t>
            </w:r>
          </w:p>
        </w:tc>
        <w:tc>
          <w:tcPr>
            <w:tcW w:w="2322" w:type="pct"/>
            <w:vAlign w:val="center"/>
          </w:tcPr>
          <w:p w14:paraId="5AD01733" w14:textId="77777777" w:rsidR="00D84719" w:rsidRPr="00D84719" w:rsidRDefault="00D84719" w:rsidP="00D84719">
            <w:pPr>
              <w:rPr>
                <w:color w:val="000000"/>
                <w:sz w:val="20"/>
                <w:szCs w:val="20"/>
              </w:rPr>
            </w:pPr>
            <w:r w:rsidRPr="00D84719">
              <w:rPr>
                <w:color w:val="000000"/>
                <w:sz w:val="20"/>
                <w:szCs w:val="20"/>
              </w:rPr>
              <w:t>Bruto domaći proizvod</w:t>
            </w:r>
          </w:p>
        </w:tc>
        <w:tc>
          <w:tcPr>
            <w:tcW w:w="1953" w:type="pct"/>
            <w:vAlign w:val="center"/>
          </w:tcPr>
          <w:p w14:paraId="7C16E80D" w14:textId="77777777" w:rsidR="00D84719" w:rsidRPr="00D84719" w:rsidRDefault="00D84719" w:rsidP="00D84719">
            <w:pPr>
              <w:rPr>
                <w:color w:val="000000"/>
                <w:sz w:val="20"/>
                <w:szCs w:val="20"/>
              </w:rPr>
            </w:pPr>
          </w:p>
        </w:tc>
      </w:tr>
      <w:tr w:rsidR="00D84719" w:rsidRPr="00D84719" w14:paraId="16EC1319" w14:textId="77777777" w:rsidTr="00F831D6">
        <w:tc>
          <w:tcPr>
            <w:tcW w:w="725" w:type="pct"/>
            <w:vAlign w:val="center"/>
          </w:tcPr>
          <w:p w14:paraId="134AB067" w14:textId="77777777" w:rsidR="00D84719" w:rsidRPr="006A4FA2" w:rsidRDefault="00D84719" w:rsidP="00D84719">
            <w:pPr>
              <w:rPr>
                <w:b/>
                <w:bCs/>
                <w:color w:val="000000"/>
                <w:sz w:val="20"/>
                <w:szCs w:val="20"/>
              </w:rPr>
            </w:pPr>
            <w:r w:rsidRPr="006A4FA2">
              <w:rPr>
                <w:b/>
                <w:bCs/>
                <w:color w:val="000000"/>
                <w:sz w:val="20"/>
                <w:szCs w:val="20"/>
              </w:rPr>
              <w:t>BC</w:t>
            </w:r>
          </w:p>
        </w:tc>
        <w:tc>
          <w:tcPr>
            <w:tcW w:w="2322" w:type="pct"/>
            <w:vAlign w:val="center"/>
          </w:tcPr>
          <w:p w14:paraId="335E11EC" w14:textId="77777777" w:rsidR="00D84719" w:rsidRPr="00D84719" w:rsidRDefault="00D84719" w:rsidP="00D84719">
            <w:pPr>
              <w:rPr>
                <w:color w:val="000000"/>
                <w:sz w:val="20"/>
                <w:szCs w:val="20"/>
              </w:rPr>
            </w:pPr>
          </w:p>
        </w:tc>
        <w:tc>
          <w:tcPr>
            <w:tcW w:w="1953" w:type="pct"/>
            <w:vAlign w:val="center"/>
          </w:tcPr>
          <w:p w14:paraId="3AE24E8C" w14:textId="77777777" w:rsidR="00D84719" w:rsidRPr="00D84719" w:rsidRDefault="00D84719" w:rsidP="00D84719">
            <w:pPr>
              <w:rPr>
                <w:color w:val="000000"/>
                <w:sz w:val="20"/>
                <w:szCs w:val="20"/>
              </w:rPr>
            </w:pPr>
            <w:r w:rsidRPr="00D84719">
              <w:rPr>
                <w:color w:val="000000"/>
                <w:sz w:val="20"/>
                <w:szCs w:val="20"/>
              </w:rPr>
              <w:t xml:space="preserve">Black </w:t>
            </w:r>
            <w:proofErr w:type="spellStart"/>
            <w:r w:rsidRPr="00D84719">
              <w:rPr>
                <w:color w:val="000000"/>
                <w:sz w:val="20"/>
                <w:szCs w:val="20"/>
              </w:rPr>
              <w:t>carbon</w:t>
            </w:r>
            <w:proofErr w:type="spellEnd"/>
          </w:p>
        </w:tc>
      </w:tr>
      <w:tr w:rsidR="00D84719" w:rsidRPr="00D84719" w14:paraId="2C4DEE58" w14:textId="77777777" w:rsidTr="00F831D6">
        <w:tc>
          <w:tcPr>
            <w:tcW w:w="725" w:type="pct"/>
            <w:vAlign w:val="center"/>
          </w:tcPr>
          <w:p w14:paraId="79A56F6F" w14:textId="77777777" w:rsidR="00D84719" w:rsidRPr="006A4FA2" w:rsidRDefault="00D84719" w:rsidP="00D84719">
            <w:pPr>
              <w:rPr>
                <w:b/>
                <w:bCs/>
                <w:color w:val="000000"/>
                <w:sz w:val="20"/>
                <w:szCs w:val="20"/>
              </w:rPr>
            </w:pPr>
            <w:r w:rsidRPr="006A4FA2">
              <w:rPr>
                <w:b/>
                <w:bCs/>
                <w:color w:val="000000"/>
                <w:sz w:val="20"/>
                <w:szCs w:val="20"/>
              </w:rPr>
              <w:t>CAS</w:t>
            </w:r>
          </w:p>
        </w:tc>
        <w:tc>
          <w:tcPr>
            <w:tcW w:w="2322" w:type="pct"/>
            <w:vAlign w:val="center"/>
          </w:tcPr>
          <w:p w14:paraId="5AB0EEDB" w14:textId="77777777" w:rsidR="00D84719" w:rsidRPr="00D84719" w:rsidRDefault="00D84719" w:rsidP="00D84719">
            <w:pPr>
              <w:rPr>
                <w:color w:val="000000"/>
                <w:sz w:val="20"/>
                <w:szCs w:val="20"/>
              </w:rPr>
            </w:pPr>
            <w:r w:rsidRPr="00D84719">
              <w:rPr>
                <w:color w:val="000000"/>
                <w:sz w:val="20"/>
                <w:szCs w:val="20"/>
              </w:rPr>
              <w:t>CAS registarski broj</w:t>
            </w:r>
          </w:p>
        </w:tc>
        <w:tc>
          <w:tcPr>
            <w:tcW w:w="1953" w:type="pct"/>
            <w:vAlign w:val="center"/>
          </w:tcPr>
          <w:p w14:paraId="50C83960" w14:textId="77777777" w:rsidR="00D84719" w:rsidRPr="00D84719" w:rsidRDefault="00D84719" w:rsidP="00D84719">
            <w:pPr>
              <w:rPr>
                <w:color w:val="000000"/>
                <w:sz w:val="20"/>
                <w:szCs w:val="20"/>
              </w:rPr>
            </w:pPr>
            <w:r w:rsidRPr="00D84719">
              <w:rPr>
                <w:color w:val="000000"/>
                <w:sz w:val="20"/>
                <w:szCs w:val="20"/>
                <w:shd w:val="clear" w:color="auto" w:fill="FFFFFF"/>
              </w:rPr>
              <w:t xml:space="preserve">Chemical </w:t>
            </w:r>
            <w:proofErr w:type="spellStart"/>
            <w:r w:rsidRPr="00D84719">
              <w:rPr>
                <w:color w:val="000000"/>
                <w:sz w:val="20"/>
                <w:szCs w:val="20"/>
                <w:shd w:val="clear" w:color="auto" w:fill="FFFFFF"/>
              </w:rPr>
              <w:t>Abstracts</w:t>
            </w:r>
            <w:proofErr w:type="spellEnd"/>
            <w:r w:rsidRPr="00D84719">
              <w:rPr>
                <w:color w:val="000000"/>
                <w:sz w:val="20"/>
                <w:szCs w:val="20"/>
                <w:shd w:val="clear" w:color="auto" w:fill="FFFFFF"/>
              </w:rPr>
              <w:t xml:space="preserve"> Service </w:t>
            </w:r>
            <w:proofErr w:type="spellStart"/>
            <w:r w:rsidRPr="00D84719">
              <w:rPr>
                <w:color w:val="000000"/>
                <w:sz w:val="20"/>
                <w:szCs w:val="20"/>
                <w:shd w:val="clear" w:color="auto" w:fill="FFFFFF"/>
              </w:rPr>
              <w:t>number</w:t>
            </w:r>
            <w:proofErr w:type="spellEnd"/>
          </w:p>
        </w:tc>
      </w:tr>
      <w:tr w:rsidR="00D84719" w:rsidRPr="00D84719" w14:paraId="38516A7F" w14:textId="77777777" w:rsidTr="00F831D6">
        <w:tc>
          <w:tcPr>
            <w:tcW w:w="725" w:type="pct"/>
            <w:vAlign w:val="center"/>
          </w:tcPr>
          <w:p w14:paraId="44BD70F9" w14:textId="77777777" w:rsidR="00D84719" w:rsidRPr="006A4FA2" w:rsidRDefault="00D84719" w:rsidP="00D84719">
            <w:pPr>
              <w:rPr>
                <w:b/>
                <w:bCs/>
                <w:color w:val="000000"/>
                <w:sz w:val="20"/>
                <w:szCs w:val="20"/>
              </w:rPr>
            </w:pPr>
            <w:r w:rsidRPr="006A4FA2">
              <w:rPr>
                <w:b/>
                <w:bCs/>
                <w:color w:val="000000"/>
                <w:sz w:val="20"/>
                <w:szCs w:val="20"/>
              </w:rPr>
              <w:t>CBD</w:t>
            </w:r>
          </w:p>
        </w:tc>
        <w:tc>
          <w:tcPr>
            <w:tcW w:w="2322" w:type="pct"/>
            <w:vAlign w:val="center"/>
          </w:tcPr>
          <w:p w14:paraId="32A3D37B" w14:textId="77777777" w:rsidR="00D84719" w:rsidRPr="00D84719" w:rsidRDefault="00D84719" w:rsidP="00D84719">
            <w:pPr>
              <w:rPr>
                <w:color w:val="000000"/>
                <w:sz w:val="20"/>
                <w:szCs w:val="20"/>
              </w:rPr>
            </w:pPr>
            <w:r w:rsidRPr="00D84719">
              <w:rPr>
                <w:color w:val="000000"/>
                <w:sz w:val="20"/>
                <w:szCs w:val="20"/>
              </w:rPr>
              <w:t>Konvencija o biološkoj raznolikosti</w:t>
            </w:r>
          </w:p>
        </w:tc>
        <w:tc>
          <w:tcPr>
            <w:tcW w:w="1953" w:type="pct"/>
            <w:vAlign w:val="center"/>
          </w:tcPr>
          <w:p w14:paraId="51F4D30D" w14:textId="77777777" w:rsidR="00D84719" w:rsidRPr="00D84719" w:rsidRDefault="00D84719" w:rsidP="00D84719">
            <w:pPr>
              <w:rPr>
                <w:color w:val="000000"/>
                <w:sz w:val="20"/>
                <w:szCs w:val="20"/>
              </w:rPr>
            </w:pPr>
            <w:proofErr w:type="spellStart"/>
            <w:r w:rsidRPr="00D84719">
              <w:rPr>
                <w:color w:val="000000"/>
                <w:sz w:val="20"/>
                <w:szCs w:val="20"/>
              </w:rPr>
              <w:t>Convention</w:t>
            </w:r>
            <w:proofErr w:type="spellEnd"/>
            <w:r w:rsidRPr="00D84719">
              <w:rPr>
                <w:color w:val="000000"/>
                <w:sz w:val="20"/>
                <w:szCs w:val="20"/>
              </w:rPr>
              <w:t xml:space="preserve"> on </w:t>
            </w:r>
            <w:proofErr w:type="spellStart"/>
            <w:r w:rsidRPr="00D84719">
              <w:rPr>
                <w:color w:val="000000"/>
                <w:sz w:val="20"/>
                <w:szCs w:val="20"/>
              </w:rPr>
              <w:t>Biological</w:t>
            </w:r>
            <w:proofErr w:type="spellEnd"/>
            <w:r w:rsidRPr="00D84719">
              <w:rPr>
                <w:color w:val="000000"/>
                <w:sz w:val="20"/>
                <w:szCs w:val="20"/>
              </w:rPr>
              <w:t xml:space="preserve"> </w:t>
            </w:r>
            <w:proofErr w:type="spellStart"/>
            <w:r w:rsidRPr="00D84719">
              <w:rPr>
                <w:color w:val="000000"/>
                <w:sz w:val="20"/>
                <w:szCs w:val="20"/>
              </w:rPr>
              <w:t>Diversity</w:t>
            </w:r>
            <w:proofErr w:type="spellEnd"/>
          </w:p>
        </w:tc>
      </w:tr>
      <w:tr w:rsidR="00D84719" w:rsidRPr="00D84719" w14:paraId="784CCB9C" w14:textId="77777777" w:rsidTr="00F831D6">
        <w:tc>
          <w:tcPr>
            <w:tcW w:w="725" w:type="pct"/>
            <w:vAlign w:val="center"/>
          </w:tcPr>
          <w:p w14:paraId="266F5CA2" w14:textId="77777777" w:rsidR="00D84719" w:rsidRPr="006A4FA2" w:rsidRDefault="00D84719" w:rsidP="00D84719">
            <w:pPr>
              <w:rPr>
                <w:b/>
                <w:bCs/>
                <w:color w:val="000000"/>
                <w:sz w:val="20"/>
                <w:szCs w:val="20"/>
              </w:rPr>
            </w:pPr>
            <w:r w:rsidRPr="006A4FA2">
              <w:rPr>
                <w:b/>
                <w:bCs/>
                <w:color w:val="000000"/>
                <w:sz w:val="20"/>
                <w:szCs w:val="20"/>
              </w:rPr>
              <w:t>COP</w:t>
            </w:r>
          </w:p>
        </w:tc>
        <w:tc>
          <w:tcPr>
            <w:tcW w:w="2322" w:type="pct"/>
            <w:vAlign w:val="center"/>
          </w:tcPr>
          <w:p w14:paraId="19418C2B" w14:textId="77777777" w:rsidR="00D84719" w:rsidRPr="00D84719" w:rsidRDefault="00D84719" w:rsidP="006B09B7">
            <w:pPr>
              <w:rPr>
                <w:color w:val="000000"/>
                <w:sz w:val="20"/>
                <w:szCs w:val="20"/>
              </w:rPr>
            </w:pPr>
            <w:r w:rsidRPr="00D84719">
              <w:rPr>
                <w:color w:val="000000"/>
                <w:sz w:val="20"/>
                <w:szCs w:val="20"/>
              </w:rPr>
              <w:t>Konferencija stranaka Stockholmske konvencije</w:t>
            </w:r>
          </w:p>
        </w:tc>
        <w:tc>
          <w:tcPr>
            <w:tcW w:w="1953" w:type="pct"/>
            <w:vAlign w:val="center"/>
          </w:tcPr>
          <w:p w14:paraId="02AB14E2" w14:textId="77777777" w:rsidR="00D84719" w:rsidRPr="00D84719" w:rsidRDefault="00D84719" w:rsidP="00D84719">
            <w:pPr>
              <w:rPr>
                <w:color w:val="000000"/>
                <w:sz w:val="20"/>
                <w:szCs w:val="20"/>
              </w:rPr>
            </w:pPr>
            <w:proofErr w:type="spellStart"/>
            <w:r w:rsidRPr="00D84719">
              <w:rPr>
                <w:color w:val="000000"/>
                <w:sz w:val="20"/>
                <w:szCs w:val="20"/>
              </w:rPr>
              <w:t>Conference</w:t>
            </w:r>
            <w:proofErr w:type="spellEnd"/>
            <w:r w:rsidRPr="00D84719">
              <w:rPr>
                <w:color w:val="000000"/>
                <w:sz w:val="20"/>
                <w:szCs w:val="20"/>
              </w:rPr>
              <w:t xml:space="preserve"> </w:t>
            </w:r>
            <w:proofErr w:type="spellStart"/>
            <w:r w:rsidRPr="00D84719">
              <w:rPr>
                <w:color w:val="000000"/>
                <w:sz w:val="20"/>
                <w:szCs w:val="20"/>
              </w:rPr>
              <w:t>of</w:t>
            </w:r>
            <w:proofErr w:type="spellEnd"/>
            <w:r w:rsidRPr="00D84719">
              <w:rPr>
                <w:color w:val="000000"/>
                <w:sz w:val="20"/>
                <w:szCs w:val="20"/>
              </w:rPr>
              <w:t xml:space="preserve"> </w:t>
            </w:r>
            <w:proofErr w:type="spellStart"/>
            <w:r w:rsidRPr="00D84719">
              <w:rPr>
                <w:color w:val="000000"/>
                <w:sz w:val="20"/>
                <w:szCs w:val="20"/>
              </w:rPr>
              <w:t>the</w:t>
            </w:r>
            <w:proofErr w:type="spellEnd"/>
            <w:r w:rsidRPr="00D84719">
              <w:rPr>
                <w:color w:val="000000"/>
                <w:sz w:val="20"/>
                <w:szCs w:val="20"/>
              </w:rPr>
              <w:t xml:space="preserve"> </w:t>
            </w:r>
            <w:proofErr w:type="spellStart"/>
            <w:r w:rsidRPr="00D84719">
              <w:rPr>
                <w:color w:val="000000"/>
                <w:sz w:val="20"/>
                <w:szCs w:val="20"/>
              </w:rPr>
              <w:t>Parties</w:t>
            </w:r>
            <w:proofErr w:type="spellEnd"/>
            <w:r w:rsidRPr="00D84719">
              <w:rPr>
                <w:color w:val="000000"/>
                <w:sz w:val="20"/>
                <w:szCs w:val="20"/>
              </w:rPr>
              <w:t xml:space="preserve"> to </w:t>
            </w:r>
            <w:proofErr w:type="spellStart"/>
            <w:r w:rsidRPr="00D84719">
              <w:rPr>
                <w:color w:val="000000"/>
                <w:sz w:val="20"/>
                <w:szCs w:val="20"/>
              </w:rPr>
              <w:t>the</w:t>
            </w:r>
            <w:proofErr w:type="spellEnd"/>
            <w:r w:rsidRPr="00D84719">
              <w:rPr>
                <w:color w:val="000000"/>
                <w:sz w:val="20"/>
                <w:szCs w:val="20"/>
              </w:rPr>
              <w:t xml:space="preserve"> Stockholm </w:t>
            </w:r>
            <w:proofErr w:type="spellStart"/>
            <w:r w:rsidRPr="00D84719">
              <w:rPr>
                <w:color w:val="000000"/>
                <w:sz w:val="20"/>
                <w:szCs w:val="20"/>
              </w:rPr>
              <w:t>Convention</w:t>
            </w:r>
            <w:proofErr w:type="spellEnd"/>
          </w:p>
        </w:tc>
      </w:tr>
      <w:tr w:rsidR="00D84719" w:rsidRPr="00D84719" w14:paraId="6A5E5108" w14:textId="77777777" w:rsidTr="00F831D6">
        <w:tc>
          <w:tcPr>
            <w:tcW w:w="725" w:type="pct"/>
            <w:vAlign w:val="center"/>
          </w:tcPr>
          <w:p w14:paraId="352C11A4" w14:textId="77777777" w:rsidR="00D84719" w:rsidRPr="006A4FA2" w:rsidRDefault="00D84719" w:rsidP="00D84719">
            <w:pPr>
              <w:rPr>
                <w:b/>
                <w:bCs/>
                <w:color w:val="000000"/>
                <w:sz w:val="20"/>
                <w:szCs w:val="20"/>
              </w:rPr>
            </w:pPr>
            <w:r w:rsidRPr="006A4FA2">
              <w:rPr>
                <w:b/>
                <w:bCs/>
                <w:color w:val="000000"/>
                <w:sz w:val="20"/>
                <w:szCs w:val="20"/>
                <w:lang w:bidi="en-US"/>
              </w:rPr>
              <w:t>DHMZ</w:t>
            </w:r>
          </w:p>
        </w:tc>
        <w:tc>
          <w:tcPr>
            <w:tcW w:w="2322" w:type="pct"/>
            <w:vAlign w:val="center"/>
          </w:tcPr>
          <w:p w14:paraId="76AD959E" w14:textId="77777777" w:rsidR="00D84719" w:rsidRPr="00D84719" w:rsidRDefault="00D84719" w:rsidP="00D84719">
            <w:pPr>
              <w:rPr>
                <w:color w:val="000000"/>
                <w:sz w:val="20"/>
                <w:szCs w:val="20"/>
              </w:rPr>
            </w:pPr>
            <w:r w:rsidRPr="00D84719">
              <w:rPr>
                <w:color w:val="000000"/>
                <w:sz w:val="20"/>
                <w:szCs w:val="20"/>
              </w:rPr>
              <w:t>Državni hidrometeorološki zavod</w:t>
            </w:r>
          </w:p>
        </w:tc>
        <w:tc>
          <w:tcPr>
            <w:tcW w:w="1953" w:type="pct"/>
            <w:vAlign w:val="center"/>
          </w:tcPr>
          <w:p w14:paraId="7C51D4D1" w14:textId="77777777" w:rsidR="00D84719" w:rsidRPr="00D84719" w:rsidRDefault="00D84719" w:rsidP="00D84719">
            <w:pPr>
              <w:rPr>
                <w:color w:val="000000"/>
                <w:sz w:val="20"/>
                <w:szCs w:val="20"/>
              </w:rPr>
            </w:pPr>
          </w:p>
        </w:tc>
      </w:tr>
      <w:tr w:rsidR="00D84719" w:rsidRPr="00D84719" w14:paraId="193301C1" w14:textId="77777777" w:rsidTr="00F831D6">
        <w:tc>
          <w:tcPr>
            <w:tcW w:w="725" w:type="pct"/>
            <w:vAlign w:val="center"/>
          </w:tcPr>
          <w:p w14:paraId="3F578A88" w14:textId="77777777" w:rsidR="00D84719" w:rsidRPr="006A4FA2" w:rsidRDefault="00D84719" w:rsidP="00D84719">
            <w:pPr>
              <w:rPr>
                <w:b/>
                <w:bCs/>
                <w:color w:val="000000"/>
                <w:sz w:val="20"/>
                <w:szCs w:val="20"/>
              </w:rPr>
            </w:pPr>
            <w:r w:rsidRPr="006A4FA2">
              <w:rPr>
                <w:b/>
                <w:bCs/>
                <w:color w:val="000000"/>
                <w:sz w:val="20"/>
                <w:szCs w:val="20"/>
                <w:lang w:bidi="en-US"/>
              </w:rPr>
              <w:t>DZS</w:t>
            </w:r>
          </w:p>
        </w:tc>
        <w:tc>
          <w:tcPr>
            <w:tcW w:w="2322" w:type="pct"/>
            <w:vAlign w:val="center"/>
          </w:tcPr>
          <w:p w14:paraId="1C6A4918" w14:textId="77777777" w:rsidR="00D84719" w:rsidRPr="00D84719" w:rsidRDefault="00D84719" w:rsidP="00D84719">
            <w:pPr>
              <w:rPr>
                <w:color w:val="000000"/>
                <w:sz w:val="20"/>
                <w:szCs w:val="20"/>
              </w:rPr>
            </w:pPr>
            <w:r w:rsidRPr="00D84719">
              <w:rPr>
                <w:color w:val="000000"/>
                <w:sz w:val="20"/>
                <w:szCs w:val="20"/>
              </w:rPr>
              <w:t>Državni zavod za statistiku Republike Hrvatske</w:t>
            </w:r>
          </w:p>
        </w:tc>
        <w:tc>
          <w:tcPr>
            <w:tcW w:w="1953" w:type="pct"/>
            <w:vAlign w:val="center"/>
          </w:tcPr>
          <w:p w14:paraId="3482CE59" w14:textId="77777777" w:rsidR="00D84719" w:rsidRPr="00D84719" w:rsidRDefault="00D84719" w:rsidP="00D84719">
            <w:pPr>
              <w:rPr>
                <w:color w:val="000000"/>
                <w:sz w:val="20"/>
              </w:rPr>
            </w:pPr>
          </w:p>
        </w:tc>
      </w:tr>
      <w:tr w:rsidR="00D84719" w:rsidRPr="00D84719" w14:paraId="2EE669DA" w14:textId="77777777" w:rsidTr="00F831D6">
        <w:tc>
          <w:tcPr>
            <w:tcW w:w="725" w:type="pct"/>
            <w:vAlign w:val="center"/>
          </w:tcPr>
          <w:p w14:paraId="54D6FF49" w14:textId="77777777" w:rsidR="00D84719" w:rsidRPr="006A4FA2" w:rsidRDefault="00D84719" w:rsidP="00D84719">
            <w:pPr>
              <w:rPr>
                <w:b/>
                <w:bCs/>
                <w:color w:val="000000"/>
                <w:sz w:val="20"/>
                <w:szCs w:val="20"/>
              </w:rPr>
            </w:pPr>
            <w:r w:rsidRPr="006A4FA2">
              <w:rPr>
                <w:b/>
                <w:bCs/>
                <w:color w:val="000000"/>
                <w:sz w:val="20"/>
                <w:szCs w:val="20"/>
              </w:rPr>
              <w:t>ECHA</w:t>
            </w:r>
          </w:p>
        </w:tc>
        <w:tc>
          <w:tcPr>
            <w:tcW w:w="2322" w:type="pct"/>
            <w:vAlign w:val="center"/>
          </w:tcPr>
          <w:p w14:paraId="570C79DF" w14:textId="77777777" w:rsidR="00D84719" w:rsidRPr="00D84719" w:rsidRDefault="00D84719" w:rsidP="00D84719">
            <w:pPr>
              <w:rPr>
                <w:color w:val="000000"/>
                <w:sz w:val="20"/>
                <w:szCs w:val="20"/>
              </w:rPr>
            </w:pPr>
            <w:r w:rsidRPr="00D84719">
              <w:rPr>
                <w:color w:val="000000"/>
                <w:sz w:val="20"/>
                <w:szCs w:val="20"/>
              </w:rPr>
              <w:t>Europska agencija za kemikalije</w:t>
            </w:r>
          </w:p>
        </w:tc>
        <w:tc>
          <w:tcPr>
            <w:tcW w:w="1953" w:type="pct"/>
            <w:vAlign w:val="center"/>
          </w:tcPr>
          <w:p w14:paraId="14AC3E80" w14:textId="77777777" w:rsidR="00D84719" w:rsidRPr="00D84719" w:rsidRDefault="00D84719" w:rsidP="00D84719">
            <w:pPr>
              <w:rPr>
                <w:color w:val="000000"/>
                <w:sz w:val="20"/>
                <w:szCs w:val="20"/>
              </w:rPr>
            </w:pPr>
            <w:proofErr w:type="spellStart"/>
            <w:r w:rsidRPr="00D84719">
              <w:rPr>
                <w:color w:val="000000"/>
                <w:sz w:val="20"/>
                <w:szCs w:val="20"/>
                <w:shd w:val="clear" w:color="auto" w:fill="FFFFFF"/>
              </w:rPr>
              <w:t>The</w:t>
            </w:r>
            <w:proofErr w:type="spellEnd"/>
            <w:r w:rsidRPr="00D84719">
              <w:rPr>
                <w:color w:val="000000"/>
                <w:sz w:val="20"/>
                <w:szCs w:val="20"/>
                <w:shd w:val="clear" w:color="auto" w:fill="FFFFFF"/>
              </w:rPr>
              <w:t xml:space="preserve"> European </w:t>
            </w:r>
            <w:proofErr w:type="spellStart"/>
            <w:r w:rsidRPr="00D84719">
              <w:rPr>
                <w:color w:val="000000"/>
                <w:sz w:val="20"/>
                <w:szCs w:val="20"/>
                <w:shd w:val="clear" w:color="auto" w:fill="FFFFFF"/>
              </w:rPr>
              <w:t>Chemicals</w:t>
            </w:r>
            <w:proofErr w:type="spellEnd"/>
            <w:r w:rsidRPr="00D84719">
              <w:rPr>
                <w:color w:val="000000"/>
                <w:sz w:val="20"/>
                <w:szCs w:val="20"/>
                <w:shd w:val="clear" w:color="auto" w:fill="FFFFFF"/>
              </w:rPr>
              <w:t xml:space="preserve"> </w:t>
            </w:r>
            <w:proofErr w:type="spellStart"/>
            <w:r w:rsidRPr="00D84719">
              <w:rPr>
                <w:color w:val="000000"/>
                <w:sz w:val="20"/>
                <w:szCs w:val="20"/>
                <w:shd w:val="clear" w:color="auto" w:fill="FFFFFF"/>
              </w:rPr>
              <w:t>Agency</w:t>
            </w:r>
            <w:proofErr w:type="spellEnd"/>
          </w:p>
        </w:tc>
      </w:tr>
      <w:tr w:rsidR="00D84719" w:rsidRPr="00D84719" w14:paraId="3039D01A" w14:textId="77777777" w:rsidTr="00F831D6">
        <w:tc>
          <w:tcPr>
            <w:tcW w:w="725" w:type="pct"/>
            <w:vAlign w:val="center"/>
          </w:tcPr>
          <w:p w14:paraId="58779042" w14:textId="77777777" w:rsidR="00D84719" w:rsidRPr="006A4FA2" w:rsidRDefault="00D84719" w:rsidP="00D84719">
            <w:pPr>
              <w:rPr>
                <w:b/>
                <w:bCs/>
                <w:color w:val="000000"/>
                <w:sz w:val="20"/>
                <w:szCs w:val="20"/>
              </w:rPr>
            </w:pPr>
            <w:r w:rsidRPr="006A4FA2">
              <w:rPr>
                <w:b/>
                <w:bCs/>
                <w:color w:val="000000"/>
                <w:sz w:val="20"/>
                <w:szCs w:val="20"/>
              </w:rPr>
              <w:t>EFFIS</w:t>
            </w:r>
          </w:p>
        </w:tc>
        <w:tc>
          <w:tcPr>
            <w:tcW w:w="2322" w:type="pct"/>
            <w:vAlign w:val="center"/>
          </w:tcPr>
          <w:p w14:paraId="7DE6196D" w14:textId="77777777" w:rsidR="00D84719" w:rsidRPr="00D84719" w:rsidRDefault="00D84719" w:rsidP="00D84719">
            <w:pPr>
              <w:rPr>
                <w:color w:val="000000"/>
                <w:sz w:val="20"/>
                <w:szCs w:val="20"/>
              </w:rPr>
            </w:pPr>
            <w:r w:rsidRPr="00D84719">
              <w:rPr>
                <w:color w:val="000000"/>
                <w:sz w:val="20"/>
                <w:szCs w:val="20"/>
              </w:rPr>
              <w:t>Europski informacijski sustav za šumske požare</w:t>
            </w:r>
          </w:p>
        </w:tc>
        <w:tc>
          <w:tcPr>
            <w:tcW w:w="1953" w:type="pct"/>
            <w:vAlign w:val="center"/>
          </w:tcPr>
          <w:p w14:paraId="7F6A688C" w14:textId="77777777" w:rsidR="00D84719" w:rsidRPr="00D84719" w:rsidRDefault="00D84719" w:rsidP="00D84719">
            <w:pPr>
              <w:rPr>
                <w:color w:val="000000"/>
                <w:sz w:val="20"/>
                <w:szCs w:val="20"/>
              </w:rPr>
            </w:pPr>
            <w:proofErr w:type="spellStart"/>
            <w:r w:rsidRPr="00D84719">
              <w:rPr>
                <w:color w:val="000000"/>
                <w:sz w:val="20"/>
                <w:szCs w:val="20"/>
              </w:rPr>
              <w:t>The</w:t>
            </w:r>
            <w:proofErr w:type="spellEnd"/>
            <w:r w:rsidRPr="00D84719">
              <w:rPr>
                <w:color w:val="000000"/>
                <w:sz w:val="20"/>
                <w:szCs w:val="20"/>
              </w:rPr>
              <w:t xml:space="preserve"> European </w:t>
            </w:r>
            <w:proofErr w:type="spellStart"/>
            <w:r w:rsidRPr="00D84719">
              <w:rPr>
                <w:color w:val="000000"/>
                <w:sz w:val="20"/>
                <w:szCs w:val="20"/>
              </w:rPr>
              <w:t>Forest</w:t>
            </w:r>
            <w:proofErr w:type="spellEnd"/>
            <w:r w:rsidRPr="00D84719">
              <w:rPr>
                <w:color w:val="000000"/>
                <w:sz w:val="20"/>
                <w:szCs w:val="20"/>
              </w:rPr>
              <w:t xml:space="preserve"> </w:t>
            </w:r>
            <w:proofErr w:type="spellStart"/>
            <w:r w:rsidRPr="00D84719">
              <w:rPr>
                <w:color w:val="000000"/>
                <w:sz w:val="20"/>
                <w:szCs w:val="20"/>
              </w:rPr>
              <w:t>Fire</w:t>
            </w:r>
            <w:proofErr w:type="spellEnd"/>
            <w:r w:rsidRPr="00D84719">
              <w:rPr>
                <w:color w:val="000000"/>
                <w:sz w:val="20"/>
                <w:szCs w:val="20"/>
              </w:rPr>
              <w:t xml:space="preserve"> </w:t>
            </w:r>
            <w:proofErr w:type="spellStart"/>
            <w:r w:rsidRPr="00D84719">
              <w:rPr>
                <w:color w:val="000000"/>
                <w:sz w:val="20"/>
                <w:szCs w:val="20"/>
              </w:rPr>
              <w:t>Information</w:t>
            </w:r>
            <w:proofErr w:type="spellEnd"/>
            <w:r w:rsidRPr="00D84719">
              <w:rPr>
                <w:color w:val="000000"/>
                <w:sz w:val="20"/>
                <w:szCs w:val="20"/>
              </w:rPr>
              <w:t xml:space="preserve"> System</w:t>
            </w:r>
          </w:p>
        </w:tc>
      </w:tr>
      <w:tr w:rsidR="00D84719" w:rsidRPr="00D84719" w14:paraId="2B96B12B" w14:textId="77777777" w:rsidTr="00F831D6">
        <w:tc>
          <w:tcPr>
            <w:tcW w:w="725" w:type="pct"/>
            <w:vAlign w:val="center"/>
          </w:tcPr>
          <w:p w14:paraId="34F1380F" w14:textId="77777777" w:rsidR="00D84719" w:rsidRPr="006A4FA2" w:rsidRDefault="00D84719" w:rsidP="00D84719">
            <w:pPr>
              <w:rPr>
                <w:b/>
                <w:bCs/>
                <w:color w:val="000000"/>
                <w:sz w:val="20"/>
                <w:szCs w:val="20"/>
              </w:rPr>
            </w:pPr>
            <w:r w:rsidRPr="006A4FA2">
              <w:rPr>
                <w:b/>
                <w:bCs/>
                <w:color w:val="000000"/>
                <w:sz w:val="20"/>
                <w:szCs w:val="20"/>
              </w:rPr>
              <w:t>EEA</w:t>
            </w:r>
          </w:p>
        </w:tc>
        <w:tc>
          <w:tcPr>
            <w:tcW w:w="2322" w:type="pct"/>
            <w:vAlign w:val="center"/>
          </w:tcPr>
          <w:p w14:paraId="25005D49" w14:textId="77777777" w:rsidR="00D84719" w:rsidRPr="00D84719" w:rsidRDefault="00D84719" w:rsidP="00D84719">
            <w:pPr>
              <w:rPr>
                <w:color w:val="000000"/>
                <w:sz w:val="20"/>
                <w:szCs w:val="20"/>
              </w:rPr>
            </w:pPr>
            <w:r w:rsidRPr="00D84719">
              <w:rPr>
                <w:color w:val="000000"/>
                <w:sz w:val="20"/>
                <w:szCs w:val="20"/>
              </w:rPr>
              <w:t>Europska agencija za okoliš</w:t>
            </w:r>
          </w:p>
        </w:tc>
        <w:tc>
          <w:tcPr>
            <w:tcW w:w="1953" w:type="pct"/>
            <w:vAlign w:val="center"/>
          </w:tcPr>
          <w:p w14:paraId="1A077816" w14:textId="77777777" w:rsidR="00D84719" w:rsidRPr="00D84719" w:rsidRDefault="00D84719" w:rsidP="00D84719">
            <w:pPr>
              <w:rPr>
                <w:color w:val="000000"/>
                <w:sz w:val="20"/>
                <w:szCs w:val="20"/>
              </w:rPr>
            </w:pPr>
            <w:r w:rsidRPr="00D84719">
              <w:rPr>
                <w:color w:val="000000"/>
                <w:sz w:val="20"/>
                <w:szCs w:val="20"/>
              </w:rPr>
              <w:t xml:space="preserve">European </w:t>
            </w:r>
            <w:proofErr w:type="spellStart"/>
            <w:r w:rsidRPr="00D84719">
              <w:rPr>
                <w:color w:val="000000"/>
                <w:sz w:val="20"/>
                <w:szCs w:val="20"/>
              </w:rPr>
              <w:t>Environment</w:t>
            </w:r>
            <w:proofErr w:type="spellEnd"/>
            <w:r w:rsidRPr="00D84719">
              <w:rPr>
                <w:color w:val="000000"/>
                <w:sz w:val="20"/>
                <w:szCs w:val="20"/>
              </w:rPr>
              <w:t xml:space="preserve"> </w:t>
            </w:r>
            <w:proofErr w:type="spellStart"/>
            <w:r w:rsidRPr="00D84719">
              <w:rPr>
                <w:color w:val="000000"/>
                <w:sz w:val="20"/>
                <w:szCs w:val="20"/>
              </w:rPr>
              <w:t>Agency</w:t>
            </w:r>
            <w:proofErr w:type="spellEnd"/>
          </w:p>
        </w:tc>
      </w:tr>
      <w:tr w:rsidR="00D84719" w:rsidRPr="00D84719" w14:paraId="19B7CF3C" w14:textId="77777777" w:rsidTr="00F831D6">
        <w:tc>
          <w:tcPr>
            <w:tcW w:w="725" w:type="pct"/>
            <w:vAlign w:val="center"/>
          </w:tcPr>
          <w:p w14:paraId="4F179BE8" w14:textId="77777777" w:rsidR="00D84719" w:rsidRPr="006A4FA2" w:rsidRDefault="00D84719" w:rsidP="00D84719">
            <w:pPr>
              <w:rPr>
                <w:b/>
                <w:bCs/>
                <w:color w:val="000000"/>
                <w:sz w:val="20"/>
                <w:szCs w:val="20"/>
              </w:rPr>
            </w:pPr>
            <w:r w:rsidRPr="006A4FA2">
              <w:rPr>
                <w:b/>
                <w:bCs/>
                <w:color w:val="000000"/>
                <w:sz w:val="20"/>
                <w:szCs w:val="20"/>
              </w:rPr>
              <w:t>EMEP</w:t>
            </w:r>
          </w:p>
        </w:tc>
        <w:tc>
          <w:tcPr>
            <w:tcW w:w="2322" w:type="pct"/>
            <w:vAlign w:val="center"/>
          </w:tcPr>
          <w:p w14:paraId="57C4F297" w14:textId="77777777" w:rsidR="00D84719" w:rsidRPr="00D84719" w:rsidRDefault="00D84719" w:rsidP="00D84719">
            <w:pPr>
              <w:rPr>
                <w:color w:val="000000"/>
                <w:sz w:val="20"/>
                <w:szCs w:val="20"/>
              </w:rPr>
            </w:pPr>
            <w:r w:rsidRPr="00D84719">
              <w:rPr>
                <w:color w:val="000000"/>
                <w:sz w:val="20"/>
                <w:szCs w:val="20"/>
              </w:rPr>
              <w:t>Program suradnje za praćenje i procjenu daljinskog prijenosa atmosferskog onečišćenja u Europi</w:t>
            </w:r>
          </w:p>
        </w:tc>
        <w:tc>
          <w:tcPr>
            <w:tcW w:w="1953" w:type="pct"/>
            <w:vAlign w:val="center"/>
          </w:tcPr>
          <w:p w14:paraId="399B667E" w14:textId="77777777" w:rsidR="00D84719" w:rsidRPr="00D84719" w:rsidRDefault="00D84719" w:rsidP="00D84719">
            <w:pPr>
              <w:rPr>
                <w:color w:val="000000"/>
                <w:sz w:val="20"/>
                <w:szCs w:val="20"/>
              </w:rPr>
            </w:pPr>
            <w:r w:rsidRPr="00D84719">
              <w:rPr>
                <w:color w:val="000000"/>
                <w:sz w:val="20"/>
                <w:szCs w:val="20"/>
              </w:rPr>
              <w:t xml:space="preserve">European Monitoring </w:t>
            </w:r>
            <w:proofErr w:type="spellStart"/>
            <w:r w:rsidRPr="00D84719">
              <w:rPr>
                <w:color w:val="000000"/>
                <w:sz w:val="20"/>
                <w:szCs w:val="20"/>
              </w:rPr>
              <w:t>and</w:t>
            </w:r>
            <w:proofErr w:type="spellEnd"/>
            <w:r w:rsidRPr="00D84719">
              <w:rPr>
                <w:color w:val="000000"/>
                <w:sz w:val="20"/>
                <w:szCs w:val="20"/>
              </w:rPr>
              <w:t xml:space="preserve"> </w:t>
            </w:r>
            <w:proofErr w:type="spellStart"/>
            <w:r w:rsidRPr="00D84719">
              <w:rPr>
                <w:color w:val="000000"/>
                <w:sz w:val="20"/>
                <w:szCs w:val="20"/>
              </w:rPr>
              <w:t>Evaluation</w:t>
            </w:r>
            <w:proofErr w:type="spellEnd"/>
            <w:r w:rsidRPr="00D84719">
              <w:rPr>
                <w:color w:val="000000"/>
                <w:sz w:val="20"/>
                <w:szCs w:val="20"/>
              </w:rPr>
              <w:t xml:space="preserve"> </w:t>
            </w:r>
            <w:proofErr w:type="spellStart"/>
            <w:r w:rsidRPr="00D84719">
              <w:rPr>
                <w:color w:val="000000"/>
                <w:sz w:val="20"/>
                <w:szCs w:val="20"/>
              </w:rPr>
              <w:t>Programme</w:t>
            </w:r>
            <w:proofErr w:type="spellEnd"/>
          </w:p>
        </w:tc>
      </w:tr>
      <w:tr w:rsidR="00D84719" w:rsidRPr="00D84719" w14:paraId="3CBD2B8D" w14:textId="77777777" w:rsidTr="00F831D6">
        <w:tc>
          <w:tcPr>
            <w:tcW w:w="725" w:type="pct"/>
            <w:vAlign w:val="center"/>
          </w:tcPr>
          <w:p w14:paraId="3B95F402" w14:textId="77777777" w:rsidR="00D84719" w:rsidRPr="006A4FA2" w:rsidRDefault="00D84719" w:rsidP="00D84719">
            <w:pPr>
              <w:rPr>
                <w:b/>
                <w:bCs/>
                <w:color w:val="000000"/>
                <w:sz w:val="20"/>
                <w:szCs w:val="20"/>
              </w:rPr>
            </w:pPr>
            <w:r w:rsidRPr="006A4FA2">
              <w:rPr>
                <w:b/>
                <w:bCs/>
                <w:color w:val="000000"/>
                <w:sz w:val="20"/>
                <w:szCs w:val="20"/>
                <w:lang w:bidi="en-US"/>
              </w:rPr>
              <w:t>E-PRTR</w:t>
            </w:r>
          </w:p>
        </w:tc>
        <w:tc>
          <w:tcPr>
            <w:tcW w:w="2322" w:type="pct"/>
            <w:vAlign w:val="center"/>
          </w:tcPr>
          <w:p w14:paraId="02BEC7F2" w14:textId="77777777" w:rsidR="00D84719" w:rsidRPr="00D84719" w:rsidRDefault="00D84719" w:rsidP="00D84719">
            <w:pPr>
              <w:rPr>
                <w:color w:val="000000"/>
                <w:sz w:val="20"/>
                <w:szCs w:val="20"/>
              </w:rPr>
            </w:pPr>
            <w:r w:rsidRPr="00D84719">
              <w:rPr>
                <w:color w:val="000000"/>
                <w:sz w:val="20"/>
                <w:szCs w:val="20"/>
                <w:lang w:bidi="en-US"/>
              </w:rPr>
              <w:t>Europski registar ispuštanja i prijenosa onečišćujućih tvari</w:t>
            </w:r>
          </w:p>
        </w:tc>
        <w:tc>
          <w:tcPr>
            <w:tcW w:w="1953" w:type="pct"/>
            <w:vAlign w:val="center"/>
          </w:tcPr>
          <w:p w14:paraId="6C0952DF" w14:textId="77777777" w:rsidR="00D84719" w:rsidRPr="00D84719" w:rsidRDefault="00D84719" w:rsidP="00D84719">
            <w:pPr>
              <w:rPr>
                <w:color w:val="000000"/>
                <w:sz w:val="20"/>
                <w:szCs w:val="20"/>
              </w:rPr>
            </w:pPr>
            <w:proofErr w:type="spellStart"/>
            <w:r w:rsidRPr="00D84719">
              <w:rPr>
                <w:color w:val="000000"/>
                <w:sz w:val="20"/>
                <w:szCs w:val="20"/>
                <w:shd w:val="clear" w:color="auto" w:fill="FFFFFF"/>
              </w:rPr>
              <w:t>The</w:t>
            </w:r>
            <w:proofErr w:type="spellEnd"/>
            <w:r w:rsidRPr="00D84719">
              <w:rPr>
                <w:color w:val="000000"/>
                <w:sz w:val="20"/>
                <w:szCs w:val="20"/>
                <w:shd w:val="clear" w:color="auto" w:fill="FFFFFF"/>
              </w:rPr>
              <w:t xml:space="preserve"> European </w:t>
            </w:r>
            <w:proofErr w:type="spellStart"/>
            <w:r w:rsidRPr="00D84719">
              <w:rPr>
                <w:color w:val="000000"/>
                <w:sz w:val="20"/>
                <w:szCs w:val="20"/>
                <w:shd w:val="clear" w:color="auto" w:fill="FFFFFF"/>
              </w:rPr>
              <w:t>Pollutant</w:t>
            </w:r>
            <w:proofErr w:type="spellEnd"/>
            <w:r w:rsidRPr="00D84719">
              <w:rPr>
                <w:color w:val="000000"/>
                <w:sz w:val="20"/>
                <w:szCs w:val="20"/>
                <w:shd w:val="clear" w:color="auto" w:fill="FFFFFF"/>
              </w:rPr>
              <w:t xml:space="preserve"> </w:t>
            </w:r>
            <w:proofErr w:type="spellStart"/>
            <w:r w:rsidRPr="00D84719">
              <w:rPr>
                <w:color w:val="000000"/>
                <w:sz w:val="20"/>
                <w:szCs w:val="20"/>
                <w:shd w:val="clear" w:color="auto" w:fill="FFFFFF"/>
              </w:rPr>
              <w:t>Release</w:t>
            </w:r>
            <w:proofErr w:type="spellEnd"/>
            <w:r w:rsidRPr="00D84719">
              <w:rPr>
                <w:color w:val="000000"/>
                <w:sz w:val="20"/>
                <w:szCs w:val="20"/>
                <w:shd w:val="clear" w:color="auto" w:fill="FFFFFF"/>
              </w:rPr>
              <w:t xml:space="preserve"> </w:t>
            </w:r>
            <w:proofErr w:type="spellStart"/>
            <w:r w:rsidRPr="00D84719">
              <w:rPr>
                <w:color w:val="000000"/>
                <w:sz w:val="20"/>
                <w:szCs w:val="20"/>
                <w:shd w:val="clear" w:color="auto" w:fill="FFFFFF"/>
              </w:rPr>
              <w:t>and</w:t>
            </w:r>
            <w:proofErr w:type="spellEnd"/>
            <w:r w:rsidRPr="00D84719">
              <w:rPr>
                <w:color w:val="000000"/>
                <w:sz w:val="20"/>
                <w:szCs w:val="20"/>
                <w:shd w:val="clear" w:color="auto" w:fill="FFFFFF"/>
              </w:rPr>
              <w:t xml:space="preserve"> Transfer </w:t>
            </w:r>
            <w:proofErr w:type="spellStart"/>
            <w:r w:rsidRPr="00D84719">
              <w:rPr>
                <w:color w:val="000000"/>
                <w:sz w:val="20"/>
                <w:szCs w:val="20"/>
                <w:shd w:val="clear" w:color="auto" w:fill="FFFFFF"/>
              </w:rPr>
              <w:t>Register</w:t>
            </w:r>
            <w:proofErr w:type="spellEnd"/>
          </w:p>
        </w:tc>
      </w:tr>
      <w:tr w:rsidR="00D84719" w:rsidRPr="00D84719" w14:paraId="6259D986" w14:textId="77777777" w:rsidTr="00F831D6">
        <w:tc>
          <w:tcPr>
            <w:tcW w:w="725" w:type="pct"/>
            <w:vAlign w:val="center"/>
          </w:tcPr>
          <w:p w14:paraId="403C986A" w14:textId="77777777" w:rsidR="00D84719" w:rsidRPr="006A4FA2" w:rsidRDefault="00D84719" w:rsidP="00D84719">
            <w:pPr>
              <w:rPr>
                <w:b/>
                <w:bCs/>
                <w:color w:val="000000"/>
                <w:sz w:val="20"/>
                <w:szCs w:val="20"/>
              </w:rPr>
            </w:pPr>
            <w:r w:rsidRPr="006A4FA2">
              <w:rPr>
                <w:b/>
                <w:bCs/>
                <w:color w:val="000000"/>
                <w:sz w:val="20"/>
                <w:szCs w:val="20"/>
                <w:lang w:bidi="en-US"/>
              </w:rPr>
              <w:t>EPS/XPS</w:t>
            </w:r>
          </w:p>
        </w:tc>
        <w:tc>
          <w:tcPr>
            <w:tcW w:w="2322" w:type="pct"/>
            <w:vAlign w:val="center"/>
          </w:tcPr>
          <w:p w14:paraId="6FAFEC54" w14:textId="77777777" w:rsidR="00D84719" w:rsidRPr="00D84719" w:rsidRDefault="00D84719" w:rsidP="00D84719">
            <w:pPr>
              <w:rPr>
                <w:color w:val="000000"/>
                <w:sz w:val="20"/>
                <w:szCs w:val="20"/>
              </w:rPr>
            </w:pPr>
            <w:r w:rsidRPr="00D84719">
              <w:rPr>
                <w:color w:val="000000"/>
                <w:sz w:val="20"/>
                <w:szCs w:val="20"/>
              </w:rPr>
              <w:t>Ekspandirani polistiren/ ekstrudirani polistiren</w:t>
            </w:r>
          </w:p>
        </w:tc>
        <w:tc>
          <w:tcPr>
            <w:tcW w:w="1953" w:type="pct"/>
            <w:vAlign w:val="center"/>
          </w:tcPr>
          <w:p w14:paraId="4B0A39D7" w14:textId="77777777" w:rsidR="00D84719" w:rsidRPr="00D84719" w:rsidRDefault="00D84719" w:rsidP="00D84719">
            <w:pPr>
              <w:rPr>
                <w:color w:val="000000"/>
                <w:sz w:val="20"/>
                <w:szCs w:val="20"/>
              </w:rPr>
            </w:pPr>
          </w:p>
        </w:tc>
      </w:tr>
      <w:tr w:rsidR="00D84719" w:rsidRPr="00D84719" w14:paraId="7DBBBBC7" w14:textId="77777777" w:rsidTr="00F831D6">
        <w:tc>
          <w:tcPr>
            <w:tcW w:w="725" w:type="pct"/>
            <w:vAlign w:val="center"/>
          </w:tcPr>
          <w:p w14:paraId="2BFAE384" w14:textId="77777777" w:rsidR="00D84719" w:rsidRPr="006A4FA2" w:rsidRDefault="00D84719" w:rsidP="00D84719">
            <w:pPr>
              <w:rPr>
                <w:b/>
                <w:bCs/>
                <w:color w:val="000000"/>
                <w:sz w:val="20"/>
                <w:szCs w:val="20"/>
              </w:rPr>
            </w:pPr>
            <w:r w:rsidRPr="006A4FA2">
              <w:rPr>
                <w:b/>
                <w:bCs/>
                <w:color w:val="000000"/>
                <w:sz w:val="20"/>
                <w:szCs w:val="20"/>
              </w:rPr>
              <w:t>EU</w:t>
            </w:r>
          </w:p>
        </w:tc>
        <w:tc>
          <w:tcPr>
            <w:tcW w:w="2322" w:type="pct"/>
            <w:vAlign w:val="center"/>
          </w:tcPr>
          <w:p w14:paraId="52F6FFC4" w14:textId="77777777" w:rsidR="00D84719" w:rsidRPr="00D84719" w:rsidRDefault="00D84719" w:rsidP="00D84719">
            <w:pPr>
              <w:rPr>
                <w:color w:val="000000"/>
                <w:sz w:val="20"/>
                <w:szCs w:val="20"/>
              </w:rPr>
            </w:pPr>
            <w:r w:rsidRPr="00D84719">
              <w:rPr>
                <w:color w:val="000000"/>
                <w:sz w:val="20"/>
                <w:szCs w:val="20"/>
              </w:rPr>
              <w:t>Europska unija</w:t>
            </w:r>
          </w:p>
        </w:tc>
        <w:tc>
          <w:tcPr>
            <w:tcW w:w="1953" w:type="pct"/>
            <w:vAlign w:val="center"/>
          </w:tcPr>
          <w:p w14:paraId="68BEE09C" w14:textId="77777777" w:rsidR="00D84719" w:rsidRPr="00D84719" w:rsidRDefault="00D84719" w:rsidP="00D84719">
            <w:pPr>
              <w:rPr>
                <w:color w:val="000000"/>
                <w:sz w:val="20"/>
                <w:szCs w:val="20"/>
              </w:rPr>
            </w:pPr>
          </w:p>
        </w:tc>
      </w:tr>
      <w:tr w:rsidR="00D84719" w:rsidRPr="00D84719" w14:paraId="770A8442" w14:textId="77777777" w:rsidTr="00F831D6">
        <w:tc>
          <w:tcPr>
            <w:tcW w:w="725" w:type="pct"/>
            <w:vAlign w:val="center"/>
          </w:tcPr>
          <w:p w14:paraId="261FABD8" w14:textId="77777777" w:rsidR="00D84719" w:rsidRPr="006A4FA2" w:rsidRDefault="00D84719" w:rsidP="00D84719">
            <w:pPr>
              <w:rPr>
                <w:b/>
                <w:bCs/>
                <w:color w:val="000000"/>
                <w:sz w:val="20"/>
                <w:szCs w:val="20"/>
              </w:rPr>
            </w:pPr>
            <w:r w:rsidRPr="006A4FA2">
              <w:rPr>
                <w:b/>
                <w:bCs/>
                <w:color w:val="000000"/>
                <w:sz w:val="20"/>
                <w:szCs w:val="20"/>
                <w:lang w:bidi="en-US"/>
              </w:rPr>
              <w:t>EUMEPS</w:t>
            </w:r>
          </w:p>
        </w:tc>
        <w:tc>
          <w:tcPr>
            <w:tcW w:w="2322" w:type="pct"/>
            <w:vAlign w:val="center"/>
          </w:tcPr>
          <w:p w14:paraId="28103C56" w14:textId="77777777" w:rsidR="00D84719" w:rsidRPr="00D84719" w:rsidRDefault="00D84719" w:rsidP="00D84719">
            <w:pPr>
              <w:rPr>
                <w:color w:val="000000"/>
                <w:sz w:val="20"/>
                <w:szCs w:val="20"/>
              </w:rPr>
            </w:pPr>
            <w:r w:rsidRPr="00D84719">
              <w:rPr>
                <w:color w:val="000000"/>
                <w:sz w:val="20"/>
                <w:szCs w:val="20"/>
              </w:rPr>
              <w:t>Europsko udruženje proizvođača ekspandiranog polistirena</w:t>
            </w:r>
          </w:p>
        </w:tc>
        <w:tc>
          <w:tcPr>
            <w:tcW w:w="1953" w:type="pct"/>
            <w:vAlign w:val="center"/>
          </w:tcPr>
          <w:p w14:paraId="11E771EE" w14:textId="77777777" w:rsidR="00D84719" w:rsidRPr="00D84719" w:rsidRDefault="00D84719" w:rsidP="00D84719">
            <w:pPr>
              <w:rPr>
                <w:color w:val="000000"/>
                <w:sz w:val="20"/>
                <w:szCs w:val="20"/>
              </w:rPr>
            </w:pPr>
            <w:r w:rsidRPr="00D84719">
              <w:rPr>
                <w:color w:val="000000"/>
                <w:sz w:val="20"/>
                <w:szCs w:val="20"/>
              </w:rPr>
              <w:t xml:space="preserve">European </w:t>
            </w:r>
            <w:proofErr w:type="spellStart"/>
            <w:r w:rsidRPr="00D84719">
              <w:rPr>
                <w:color w:val="000000"/>
                <w:sz w:val="20"/>
                <w:szCs w:val="20"/>
              </w:rPr>
              <w:t>Manufacturers</w:t>
            </w:r>
            <w:proofErr w:type="spellEnd"/>
            <w:r w:rsidRPr="00D84719">
              <w:rPr>
                <w:color w:val="000000"/>
                <w:sz w:val="20"/>
                <w:szCs w:val="20"/>
              </w:rPr>
              <w:t xml:space="preserve"> </w:t>
            </w:r>
            <w:proofErr w:type="spellStart"/>
            <w:r w:rsidRPr="00D84719">
              <w:rPr>
                <w:color w:val="000000"/>
                <w:sz w:val="20"/>
                <w:szCs w:val="20"/>
              </w:rPr>
              <w:t>of</w:t>
            </w:r>
            <w:proofErr w:type="spellEnd"/>
            <w:r w:rsidRPr="00D84719">
              <w:rPr>
                <w:color w:val="000000"/>
                <w:sz w:val="20"/>
                <w:szCs w:val="20"/>
              </w:rPr>
              <w:t xml:space="preserve"> </w:t>
            </w:r>
            <w:proofErr w:type="spellStart"/>
            <w:r w:rsidRPr="00D84719">
              <w:rPr>
                <w:color w:val="000000"/>
                <w:sz w:val="20"/>
                <w:szCs w:val="20"/>
              </w:rPr>
              <w:t>Expanded</w:t>
            </w:r>
            <w:proofErr w:type="spellEnd"/>
            <w:r w:rsidRPr="00D84719">
              <w:rPr>
                <w:color w:val="000000"/>
                <w:sz w:val="20"/>
                <w:szCs w:val="20"/>
              </w:rPr>
              <w:t xml:space="preserve"> </w:t>
            </w:r>
            <w:proofErr w:type="spellStart"/>
            <w:r w:rsidRPr="00D84719">
              <w:rPr>
                <w:color w:val="000000"/>
                <w:sz w:val="20"/>
                <w:szCs w:val="20"/>
              </w:rPr>
              <w:t>Polystyrene</w:t>
            </w:r>
            <w:proofErr w:type="spellEnd"/>
          </w:p>
        </w:tc>
      </w:tr>
      <w:tr w:rsidR="00D84719" w:rsidRPr="00D84719" w14:paraId="1738875C" w14:textId="77777777" w:rsidTr="00F831D6">
        <w:tc>
          <w:tcPr>
            <w:tcW w:w="725" w:type="pct"/>
            <w:vAlign w:val="center"/>
          </w:tcPr>
          <w:p w14:paraId="6980DF25" w14:textId="77777777" w:rsidR="00D84719" w:rsidRPr="006A4FA2" w:rsidRDefault="00D84719" w:rsidP="00D84719">
            <w:pPr>
              <w:rPr>
                <w:b/>
                <w:bCs/>
                <w:color w:val="000000"/>
                <w:sz w:val="20"/>
                <w:szCs w:val="20"/>
              </w:rPr>
            </w:pPr>
            <w:r w:rsidRPr="006A4FA2">
              <w:rPr>
                <w:b/>
                <w:bCs/>
                <w:color w:val="000000"/>
                <w:sz w:val="20"/>
                <w:szCs w:val="20"/>
              </w:rPr>
              <w:t>EUROSTAT</w:t>
            </w:r>
          </w:p>
        </w:tc>
        <w:tc>
          <w:tcPr>
            <w:tcW w:w="2322" w:type="pct"/>
            <w:vAlign w:val="center"/>
          </w:tcPr>
          <w:p w14:paraId="0FFD825C" w14:textId="77777777" w:rsidR="00D84719" w:rsidRPr="00D84719" w:rsidRDefault="00D84719" w:rsidP="00D84719">
            <w:pPr>
              <w:rPr>
                <w:color w:val="000000"/>
                <w:sz w:val="20"/>
                <w:szCs w:val="20"/>
              </w:rPr>
            </w:pPr>
            <w:r w:rsidRPr="00D84719">
              <w:rPr>
                <w:color w:val="000000"/>
                <w:sz w:val="20"/>
                <w:szCs w:val="20"/>
              </w:rPr>
              <w:t>Statistički ured Europskih zajednica</w:t>
            </w:r>
          </w:p>
        </w:tc>
        <w:tc>
          <w:tcPr>
            <w:tcW w:w="1953" w:type="pct"/>
            <w:vAlign w:val="center"/>
          </w:tcPr>
          <w:p w14:paraId="0B7EB6D4" w14:textId="77777777" w:rsidR="00D84719" w:rsidRPr="00D84719" w:rsidRDefault="00D84719" w:rsidP="00D84719">
            <w:pPr>
              <w:rPr>
                <w:color w:val="000000"/>
                <w:sz w:val="20"/>
                <w:szCs w:val="20"/>
              </w:rPr>
            </w:pPr>
            <w:r w:rsidRPr="00D84719">
              <w:rPr>
                <w:color w:val="000000"/>
                <w:sz w:val="20"/>
                <w:szCs w:val="20"/>
              </w:rPr>
              <w:t xml:space="preserve">European </w:t>
            </w:r>
            <w:proofErr w:type="spellStart"/>
            <w:r w:rsidRPr="00D84719">
              <w:rPr>
                <w:color w:val="000000"/>
                <w:sz w:val="20"/>
                <w:szCs w:val="20"/>
              </w:rPr>
              <w:t>Statistical</w:t>
            </w:r>
            <w:proofErr w:type="spellEnd"/>
            <w:r w:rsidRPr="00D84719">
              <w:rPr>
                <w:color w:val="000000"/>
                <w:sz w:val="20"/>
                <w:szCs w:val="20"/>
              </w:rPr>
              <w:t xml:space="preserve"> Office</w:t>
            </w:r>
          </w:p>
        </w:tc>
      </w:tr>
      <w:tr w:rsidR="00D84719" w:rsidRPr="00D84719" w14:paraId="7DECCCE5" w14:textId="77777777" w:rsidTr="00F831D6">
        <w:tc>
          <w:tcPr>
            <w:tcW w:w="725" w:type="pct"/>
            <w:vAlign w:val="center"/>
          </w:tcPr>
          <w:p w14:paraId="6EAD8B91" w14:textId="77777777" w:rsidR="00D84719" w:rsidRPr="006A4FA2" w:rsidRDefault="00D84719" w:rsidP="00D84719">
            <w:pPr>
              <w:rPr>
                <w:b/>
                <w:bCs/>
                <w:color w:val="000000"/>
                <w:sz w:val="20"/>
                <w:szCs w:val="20"/>
              </w:rPr>
            </w:pPr>
            <w:r w:rsidRPr="006A4FA2">
              <w:rPr>
                <w:b/>
                <w:bCs/>
                <w:color w:val="000000"/>
                <w:sz w:val="20"/>
                <w:szCs w:val="20"/>
              </w:rPr>
              <w:t>FSC</w:t>
            </w:r>
          </w:p>
        </w:tc>
        <w:tc>
          <w:tcPr>
            <w:tcW w:w="2322" w:type="pct"/>
            <w:vAlign w:val="center"/>
          </w:tcPr>
          <w:p w14:paraId="12D02DE5" w14:textId="77777777" w:rsidR="00D84719" w:rsidRPr="00D84719" w:rsidRDefault="00D84719" w:rsidP="00D84719">
            <w:pPr>
              <w:rPr>
                <w:color w:val="000000"/>
                <w:sz w:val="20"/>
                <w:szCs w:val="20"/>
              </w:rPr>
            </w:pPr>
            <w:r w:rsidRPr="00D84719">
              <w:rPr>
                <w:color w:val="000000"/>
                <w:sz w:val="20"/>
                <w:szCs w:val="20"/>
              </w:rPr>
              <w:t>Vijeće za nadzor šuma</w:t>
            </w:r>
          </w:p>
        </w:tc>
        <w:tc>
          <w:tcPr>
            <w:tcW w:w="1953" w:type="pct"/>
            <w:vAlign w:val="center"/>
          </w:tcPr>
          <w:p w14:paraId="577D532D" w14:textId="77777777" w:rsidR="00D84719" w:rsidRPr="00D84719" w:rsidRDefault="00D84719" w:rsidP="00D84719">
            <w:pPr>
              <w:rPr>
                <w:color w:val="000000"/>
                <w:sz w:val="20"/>
                <w:szCs w:val="20"/>
              </w:rPr>
            </w:pPr>
            <w:proofErr w:type="spellStart"/>
            <w:r w:rsidRPr="00D84719">
              <w:rPr>
                <w:color w:val="000000"/>
                <w:sz w:val="20"/>
                <w:szCs w:val="20"/>
              </w:rPr>
              <w:t>Forest</w:t>
            </w:r>
            <w:proofErr w:type="spellEnd"/>
            <w:r w:rsidRPr="00D84719">
              <w:rPr>
                <w:color w:val="000000"/>
                <w:sz w:val="20"/>
                <w:szCs w:val="20"/>
              </w:rPr>
              <w:t xml:space="preserve"> </w:t>
            </w:r>
            <w:proofErr w:type="spellStart"/>
            <w:r w:rsidRPr="00D84719">
              <w:rPr>
                <w:color w:val="000000"/>
                <w:sz w:val="20"/>
                <w:szCs w:val="20"/>
              </w:rPr>
              <w:t>Stewardship</w:t>
            </w:r>
            <w:proofErr w:type="spellEnd"/>
            <w:r w:rsidRPr="00D84719">
              <w:rPr>
                <w:color w:val="000000"/>
                <w:sz w:val="20"/>
                <w:szCs w:val="20"/>
              </w:rPr>
              <w:t xml:space="preserve"> </w:t>
            </w:r>
            <w:proofErr w:type="spellStart"/>
            <w:r w:rsidRPr="00D84719">
              <w:rPr>
                <w:color w:val="000000"/>
                <w:sz w:val="20"/>
                <w:szCs w:val="20"/>
              </w:rPr>
              <w:t>Council</w:t>
            </w:r>
            <w:proofErr w:type="spellEnd"/>
          </w:p>
        </w:tc>
      </w:tr>
      <w:tr w:rsidR="00D84719" w:rsidRPr="00D84719" w14:paraId="58C91EC4" w14:textId="77777777" w:rsidTr="00F831D6">
        <w:tc>
          <w:tcPr>
            <w:tcW w:w="725" w:type="pct"/>
            <w:vAlign w:val="center"/>
          </w:tcPr>
          <w:p w14:paraId="007D6E72" w14:textId="77777777" w:rsidR="00D84719" w:rsidRPr="006A4FA2" w:rsidRDefault="00D84719" w:rsidP="00D84719">
            <w:pPr>
              <w:rPr>
                <w:b/>
                <w:bCs/>
                <w:color w:val="000000"/>
                <w:sz w:val="20"/>
                <w:szCs w:val="20"/>
              </w:rPr>
            </w:pPr>
            <w:r w:rsidRPr="006A4FA2">
              <w:rPr>
                <w:b/>
                <w:bCs/>
                <w:color w:val="000000"/>
                <w:sz w:val="20"/>
                <w:szCs w:val="20"/>
              </w:rPr>
              <w:t>GEF</w:t>
            </w:r>
          </w:p>
        </w:tc>
        <w:tc>
          <w:tcPr>
            <w:tcW w:w="2322" w:type="pct"/>
            <w:vAlign w:val="center"/>
          </w:tcPr>
          <w:p w14:paraId="6702CBA0" w14:textId="77777777" w:rsidR="00D84719" w:rsidRPr="00D84719" w:rsidRDefault="00D84719" w:rsidP="00D84719">
            <w:pPr>
              <w:rPr>
                <w:color w:val="000000"/>
                <w:sz w:val="20"/>
                <w:szCs w:val="20"/>
              </w:rPr>
            </w:pPr>
            <w:r w:rsidRPr="00D84719">
              <w:rPr>
                <w:color w:val="000000"/>
                <w:sz w:val="20"/>
                <w:szCs w:val="20"/>
              </w:rPr>
              <w:t>Fond za globalni okoliš</w:t>
            </w:r>
          </w:p>
        </w:tc>
        <w:tc>
          <w:tcPr>
            <w:tcW w:w="1953" w:type="pct"/>
            <w:vAlign w:val="center"/>
          </w:tcPr>
          <w:p w14:paraId="714AAC83" w14:textId="77777777" w:rsidR="00D84719" w:rsidRPr="00D84719" w:rsidRDefault="00D84719" w:rsidP="00D84719">
            <w:pPr>
              <w:rPr>
                <w:color w:val="000000"/>
                <w:sz w:val="20"/>
                <w:szCs w:val="20"/>
              </w:rPr>
            </w:pPr>
            <w:proofErr w:type="spellStart"/>
            <w:r w:rsidRPr="00D84719">
              <w:rPr>
                <w:color w:val="000000"/>
                <w:sz w:val="20"/>
                <w:szCs w:val="20"/>
              </w:rPr>
              <w:t>The</w:t>
            </w:r>
            <w:proofErr w:type="spellEnd"/>
            <w:r w:rsidRPr="00D84719">
              <w:rPr>
                <w:color w:val="000000"/>
                <w:sz w:val="20"/>
                <w:szCs w:val="20"/>
              </w:rPr>
              <w:t xml:space="preserve"> Global </w:t>
            </w:r>
            <w:proofErr w:type="spellStart"/>
            <w:r w:rsidRPr="00D84719">
              <w:rPr>
                <w:color w:val="000000"/>
                <w:sz w:val="20"/>
                <w:szCs w:val="20"/>
              </w:rPr>
              <w:t>Environment</w:t>
            </w:r>
            <w:proofErr w:type="spellEnd"/>
            <w:r w:rsidRPr="00D84719">
              <w:rPr>
                <w:color w:val="000000"/>
                <w:sz w:val="20"/>
                <w:szCs w:val="20"/>
              </w:rPr>
              <w:t xml:space="preserve"> </w:t>
            </w:r>
            <w:proofErr w:type="spellStart"/>
            <w:r w:rsidRPr="00D84719">
              <w:rPr>
                <w:color w:val="000000"/>
                <w:sz w:val="20"/>
                <w:szCs w:val="20"/>
              </w:rPr>
              <w:t>Facility</w:t>
            </w:r>
            <w:proofErr w:type="spellEnd"/>
          </w:p>
        </w:tc>
      </w:tr>
      <w:tr w:rsidR="00D84719" w:rsidRPr="00D84719" w14:paraId="048D3E3B" w14:textId="77777777" w:rsidTr="00F831D6">
        <w:tc>
          <w:tcPr>
            <w:tcW w:w="725" w:type="pct"/>
            <w:vAlign w:val="center"/>
          </w:tcPr>
          <w:p w14:paraId="36AE24BD" w14:textId="77777777" w:rsidR="00D84719" w:rsidRPr="006A4FA2" w:rsidRDefault="00D84719" w:rsidP="00D84719">
            <w:pPr>
              <w:rPr>
                <w:b/>
                <w:bCs/>
                <w:color w:val="000000"/>
                <w:sz w:val="20"/>
                <w:szCs w:val="20"/>
              </w:rPr>
            </w:pPr>
            <w:r w:rsidRPr="006A4FA2">
              <w:rPr>
                <w:b/>
                <w:bCs/>
                <w:color w:val="000000"/>
                <w:sz w:val="20"/>
                <w:szCs w:val="20"/>
              </w:rPr>
              <w:t>HAOP</w:t>
            </w:r>
          </w:p>
        </w:tc>
        <w:tc>
          <w:tcPr>
            <w:tcW w:w="2322" w:type="pct"/>
            <w:vAlign w:val="center"/>
          </w:tcPr>
          <w:p w14:paraId="51C430D7" w14:textId="77777777" w:rsidR="00D84719" w:rsidRPr="00D84719" w:rsidRDefault="00D84719" w:rsidP="00D84719">
            <w:pPr>
              <w:rPr>
                <w:color w:val="000000"/>
                <w:sz w:val="20"/>
                <w:szCs w:val="20"/>
              </w:rPr>
            </w:pPr>
            <w:r w:rsidRPr="00D84719">
              <w:rPr>
                <w:color w:val="000000"/>
                <w:sz w:val="20"/>
                <w:szCs w:val="20"/>
              </w:rPr>
              <w:t>Hrvatska agencija za okoliš i prirodu</w:t>
            </w:r>
          </w:p>
        </w:tc>
        <w:tc>
          <w:tcPr>
            <w:tcW w:w="1953" w:type="pct"/>
            <w:vAlign w:val="center"/>
          </w:tcPr>
          <w:p w14:paraId="6E927B33" w14:textId="77777777" w:rsidR="00D84719" w:rsidRPr="00D84719" w:rsidRDefault="00D84719" w:rsidP="00D84719">
            <w:pPr>
              <w:rPr>
                <w:color w:val="000000"/>
                <w:sz w:val="20"/>
                <w:szCs w:val="20"/>
              </w:rPr>
            </w:pPr>
          </w:p>
        </w:tc>
      </w:tr>
      <w:tr w:rsidR="00D84719" w:rsidRPr="00D84719" w14:paraId="22F47477" w14:textId="77777777" w:rsidTr="00F831D6">
        <w:tc>
          <w:tcPr>
            <w:tcW w:w="725" w:type="pct"/>
            <w:vAlign w:val="center"/>
          </w:tcPr>
          <w:p w14:paraId="399903B9" w14:textId="77777777" w:rsidR="00D84719" w:rsidRPr="006A4FA2" w:rsidRDefault="00D84719" w:rsidP="00D84719">
            <w:pPr>
              <w:rPr>
                <w:b/>
                <w:bCs/>
                <w:smallCaps/>
                <w:color w:val="000000"/>
                <w:sz w:val="20"/>
                <w:szCs w:val="20"/>
              </w:rPr>
            </w:pPr>
            <w:proofErr w:type="spellStart"/>
            <w:r w:rsidRPr="006A4FA2">
              <w:rPr>
                <w:b/>
                <w:bCs/>
                <w:smallCaps/>
                <w:color w:val="000000"/>
                <w:sz w:val="20"/>
                <w:szCs w:val="20"/>
              </w:rPr>
              <w:t>hcphs</w:t>
            </w:r>
            <w:proofErr w:type="spellEnd"/>
          </w:p>
        </w:tc>
        <w:tc>
          <w:tcPr>
            <w:tcW w:w="2322" w:type="pct"/>
            <w:vAlign w:val="center"/>
          </w:tcPr>
          <w:p w14:paraId="3E30A314" w14:textId="77777777" w:rsidR="00D84719" w:rsidRPr="00D84719" w:rsidRDefault="00D84719" w:rsidP="00D84719">
            <w:pPr>
              <w:rPr>
                <w:color w:val="000000"/>
                <w:sz w:val="20"/>
                <w:szCs w:val="20"/>
              </w:rPr>
            </w:pPr>
            <w:r w:rsidRPr="00D84719">
              <w:rPr>
                <w:color w:val="000000"/>
                <w:sz w:val="20"/>
                <w:szCs w:val="20"/>
              </w:rPr>
              <w:t>Hrvatski centar za poljoprivredu i hranu i selo</w:t>
            </w:r>
          </w:p>
        </w:tc>
        <w:tc>
          <w:tcPr>
            <w:tcW w:w="1953" w:type="pct"/>
            <w:vAlign w:val="center"/>
          </w:tcPr>
          <w:p w14:paraId="6AED0C0E" w14:textId="77777777" w:rsidR="00D84719" w:rsidRPr="00D84719" w:rsidRDefault="00D84719" w:rsidP="00D84719">
            <w:pPr>
              <w:rPr>
                <w:color w:val="000000"/>
                <w:sz w:val="20"/>
                <w:szCs w:val="20"/>
              </w:rPr>
            </w:pPr>
          </w:p>
        </w:tc>
      </w:tr>
      <w:tr w:rsidR="00D84719" w:rsidRPr="00D84719" w14:paraId="7A6F9520" w14:textId="77777777" w:rsidTr="00F831D6">
        <w:tc>
          <w:tcPr>
            <w:tcW w:w="725" w:type="pct"/>
            <w:vAlign w:val="center"/>
          </w:tcPr>
          <w:p w14:paraId="1724CAFB" w14:textId="77777777" w:rsidR="00D84719" w:rsidRPr="006A4FA2" w:rsidRDefault="00D84719" w:rsidP="00D84719">
            <w:pPr>
              <w:rPr>
                <w:b/>
                <w:bCs/>
                <w:color w:val="000000"/>
                <w:sz w:val="20"/>
                <w:szCs w:val="20"/>
              </w:rPr>
            </w:pPr>
            <w:r w:rsidRPr="006A4FA2">
              <w:rPr>
                <w:b/>
                <w:bCs/>
                <w:color w:val="000000"/>
                <w:sz w:val="20"/>
                <w:szCs w:val="20"/>
              </w:rPr>
              <w:t>HAPIH</w:t>
            </w:r>
          </w:p>
        </w:tc>
        <w:tc>
          <w:tcPr>
            <w:tcW w:w="2322" w:type="pct"/>
            <w:vAlign w:val="center"/>
          </w:tcPr>
          <w:p w14:paraId="798BB92D" w14:textId="77777777" w:rsidR="00D84719" w:rsidRPr="00D84719" w:rsidRDefault="00D84719" w:rsidP="00D84719">
            <w:pPr>
              <w:rPr>
                <w:color w:val="000000"/>
                <w:sz w:val="20"/>
                <w:szCs w:val="20"/>
              </w:rPr>
            </w:pPr>
            <w:r w:rsidRPr="00D84719">
              <w:rPr>
                <w:color w:val="000000"/>
                <w:sz w:val="20"/>
                <w:szCs w:val="20"/>
              </w:rPr>
              <w:t>Hrvatska agencija za poljoprivredu i hranu</w:t>
            </w:r>
          </w:p>
        </w:tc>
        <w:tc>
          <w:tcPr>
            <w:tcW w:w="1953" w:type="pct"/>
            <w:vAlign w:val="center"/>
          </w:tcPr>
          <w:p w14:paraId="004BE3D2" w14:textId="77777777" w:rsidR="00D84719" w:rsidRPr="00D84719" w:rsidRDefault="00D84719" w:rsidP="00D84719">
            <w:pPr>
              <w:rPr>
                <w:color w:val="000000"/>
                <w:sz w:val="20"/>
                <w:szCs w:val="20"/>
              </w:rPr>
            </w:pPr>
            <w:r w:rsidRPr="00D84719">
              <w:rPr>
                <w:color w:val="000000"/>
                <w:sz w:val="20"/>
                <w:szCs w:val="20"/>
              </w:rPr>
              <w:t xml:space="preserve">Croatian </w:t>
            </w:r>
            <w:proofErr w:type="spellStart"/>
            <w:r w:rsidRPr="00D84719">
              <w:rPr>
                <w:color w:val="000000"/>
                <w:sz w:val="20"/>
                <w:szCs w:val="20"/>
              </w:rPr>
              <w:t>Agency</w:t>
            </w:r>
            <w:proofErr w:type="spellEnd"/>
            <w:r w:rsidRPr="00D84719">
              <w:rPr>
                <w:color w:val="000000"/>
                <w:sz w:val="20"/>
                <w:szCs w:val="20"/>
              </w:rPr>
              <w:t xml:space="preserve"> for </w:t>
            </w:r>
            <w:proofErr w:type="spellStart"/>
            <w:r w:rsidRPr="00D84719">
              <w:rPr>
                <w:color w:val="000000"/>
                <w:sz w:val="20"/>
                <w:szCs w:val="20"/>
              </w:rPr>
              <w:t>Environment</w:t>
            </w:r>
            <w:proofErr w:type="spellEnd"/>
            <w:r w:rsidRPr="00D84719">
              <w:rPr>
                <w:color w:val="000000"/>
                <w:sz w:val="20"/>
                <w:szCs w:val="20"/>
              </w:rPr>
              <w:t xml:space="preserve"> </w:t>
            </w:r>
            <w:proofErr w:type="spellStart"/>
            <w:r w:rsidRPr="00D84719">
              <w:rPr>
                <w:color w:val="000000"/>
                <w:sz w:val="20"/>
                <w:szCs w:val="20"/>
              </w:rPr>
              <w:t>and</w:t>
            </w:r>
            <w:proofErr w:type="spellEnd"/>
            <w:r w:rsidRPr="00D84719">
              <w:rPr>
                <w:color w:val="000000"/>
                <w:sz w:val="20"/>
                <w:szCs w:val="20"/>
              </w:rPr>
              <w:t xml:space="preserve"> </w:t>
            </w:r>
            <w:proofErr w:type="spellStart"/>
            <w:r w:rsidRPr="00D84719">
              <w:rPr>
                <w:color w:val="000000"/>
                <w:sz w:val="20"/>
                <w:szCs w:val="20"/>
              </w:rPr>
              <w:t>Food</w:t>
            </w:r>
            <w:proofErr w:type="spellEnd"/>
          </w:p>
        </w:tc>
      </w:tr>
      <w:tr w:rsidR="0064472D" w:rsidRPr="00D84719" w14:paraId="18EB5A91" w14:textId="77777777" w:rsidTr="00F831D6">
        <w:tc>
          <w:tcPr>
            <w:tcW w:w="725" w:type="pct"/>
            <w:vAlign w:val="center"/>
          </w:tcPr>
          <w:p w14:paraId="25B8E26A" w14:textId="77777777" w:rsidR="0064472D" w:rsidRPr="006A4FA2" w:rsidRDefault="0064472D" w:rsidP="00D84719">
            <w:pPr>
              <w:rPr>
                <w:b/>
                <w:bCs/>
                <w:color w:val="000000"/>
                <w:sz w:val="20"/>
                <w:szCs w:val="20"/>
              </w:rPr>
            </w:pPr>
            <w:r>
              <w:rPr>
                <w:b/>
                <w:bCs/>
                <w:color w:val="000000"/>
                <w:sz w:val="20"/>
                <w:szCs w:val="20"/>
              </w:rPr>
              <w:t>HV</w:t>
            </w:r>
          </w:p>
        </w:tc>
        <w:tc>
          <w:tcPr>
            <w:tcW w:w="2322" w:type="pct"/>
            <w:vAlign w:val="center"/>
          </w:tcPr>
          <w:p w14:paraId="40D2D30D" w14:textId="77777777" w:rsidR="0064472D" w:rsidRPr="00D84719" w:rsidRDefault="0064472D" w:rsidP="00D84719">
            <w:pPr>
              <w:rPr>
                <w:color w:val="000000"/>
                <w:sz w:val="20"/>
                <w:szCs w:val="20"/>
              </w:rPr>
            </w:pPr>
            <w:r>
              <w:rPr>
                <w:color w:val="000000"/>
                <w:sz w:val="20"/>
                <w:szCs w:val="20"/>
              </w:rPr>
              <w:t>Hrvatske vode</w:t>
            </w:r>
          </w:p>
        </w:tc>
        <w:tc>
          <w:tcPr>
            <w:tcW w:w="1953" w:type="pct"/>
            <w:vAlign w:val="center"/>
          </w:tcPr>
          <w:p w14:paraId="72F76BB1" w14:textId="77777777" w:rsidR="0064472D" w:rsidRPr="00D84719" w:rsidRDefault="0064472D" w:rsidP="00D84719">
            <w:pPr>
              <w:rPr>
                <w:color w:val="000000"/>
                <w:sz w:val="20"/>
                <w:szCs w:val="20"/>
              </w:rPr>
            </w:pPr>
          </w:p>
        </w:tc>
      </w:tr>
      <w:tr w:rsidR="00D84719" w:rsidRPr="00D84719" w14:paraId="728A9057" w14:textId="77777777" w:rsidTr="00F831D6">
        <w:tc>
          <w:tcPr>
            <w:tcW w:w="725" w:type="pct"/>
            <w:vAlign w:val="center"/>
          </w:tcPr>
          <w:p w14:paraId="17FE2A7F" w14:textId="77777777" w:rsidR="00D84719" w:rsidRPr="006A4FA2" w:rsidRDefault="00D84719" w:rsidP="00D84719">
            <w:pPr>
              <w:rPr>
                <w:b/>
                <w:bCs/>
                <w:color w:val="000000"/>
                <w:sz w:val="20"/>
                <w:szCs w:val="20"/>
              </w:rPr>
            </w:pPr>
            <w:r w:rsidRPr="006A4FA2">
              <w:rPr>
                <w:b/>
                <w:bCs/>
                <w:color w:val="000000"/>
                <w:sz w:val="20"/>
                <w:szCs w:val="20"/>
              </w:rPr>
              <w:t>HZJZ</w:t>
            </w:r>
          </w:p>
        </w:tc>
        <w:tc>
          <w:tcPr>
            <w:tcW w:w="2322" w:type="pct"/>
            <w:vAlign w:val="center"/>
          </w:tcPr>
          <w:p w14:paraId="0CB0F7FF" w14:textId="77777777" w:rsidR="00D84719" w:rsidRPr="00D84719" w:rsidRDefault="00D84719" w:rsidP="00D84719">
            <w:pPr>
              <w:rPr>
                <w:color w:val="000000"/>
                <w:sz w:val="20"/>
                <w:szCs w:val="20"/>
              </w:rPr>
            </w:pPr>
            <w:r w:rsidRPr="00D84719">
              <w:rPr>
                <w:color w:val="000000"/>
                <w:sz w:val="20"/>
                <w:szCs w:val="20"/>
              </w:rPr>
              <w:t>Hrvatski zavod za javno zdravstvo</w:t>
            </w:r>
          </w:p>
        </w:tc>
        <w:tc>
          <w:tcPr>
            <w:tcW w:w="1953" w:type="pct"/>
            <w:vAlign w:val="center"/>
          </w:tcPr>
          <w:p w14:paraId="7C26AB67" w14:textId="77777777" w:rsidR="00D84719" w:rsidRPr="00D84719" w:rsidRDefault="00D84719" w:rsidP="00D84719">
            <w:pPr>
              <w:rPr>
                <w:color w:val="000000"/>
                <w:sz w:val="20"/>
                <w:szCs w:val="20"/>
              </w:rPr>
            </w:pPr>
          </w:p>
        </w:tc>
      </w:tr>
      <w:tr w:rsidR="00D84719" w:rsidRPr="00D84719" w14:paraId="7B871B70" w14:textId="77777777" w:rsidTr="00F831D6">
        <w:tc>
          <w:tcPr>
            <w:tcW w:w="725" w:type="pct"/>
            <w:vAlign w:val="center"/>
          </w:tcPr>
          <w:p w14:paraId="48D0589C" w14:textId="77777777" w:rsidR="00D84719" w:rsidRPr="006A4FA2" w:rsidRDefault="00D84719" w:rsidP="00D84719">
            <w:pPr>
              <w:rPr>
                <w:b/>
                <w:bCs/>
                <w:color w:val="000000"/>
                <w:sz w:val="20"/>
                <w:szCs w:val="20"/>
              </w:rPr>
            </w:pPr>
            <w:r w:rsidRPr="006A4FA2">
              <w:rPr>
                <w:b/>
                <w:bCs/>
                <w:color w:val="000000"/>
                <w:sz w:val="20"/>
                <w:szCs w:val="20"/>
              </w:rPr>
              <w:t>IED</w:t>
            </w:r>
          </w:p>
        </w:tc>
        <w:tc>
          <w:tcPr>
            <w:tcW w:w="2322" w:type="pct"/>
            <w:vAlign w:val="center"/>
          </w:tcPr>
          <w:p w14:paraId="7BE42E03" w14:textId="77777777" w:rsidR="00D84719" w:rsidRPr="00D84719" w:rsidRDefault="00D84719" w:rsidP="00D84719">
            <w:pPr>
              <w:rPr>
                <w:color w:val="000000"/>
                <w:sz w:val="20"/>
                <w:szCs w:val="20"/>
              </w:rPr>
            </w:pPr>
            <w:r w:rsidRPr="00D84719">
              <w:rPr>
                <w:color w:val="000000"/>
                <w:sz w:val="20"/>
                <w:szCs w:val="20"/>
              </w:rPr>
              <w:t>Direktiva 2010/75/EU Europskog parlamenta i Vijeća od 24. studenoga 2010. o industrijskim emisijama</w:t>
            </w:r>
          </w:p>
        </w:tc>
        <w:tc>
          <w:tcPr>
            <w:tcW w:w="1953" w:type="pct"/>
            <w:vAlign w:val="center"/>
          </w:tcPr>
          <w:p w14:paraId="7BC62505" w14:textId="77777777" w:rsidR="00D84719" w:rsidRPr="00D84719" w:rsidRDefault="00D84719" w:rsidP="00D84719">
            <w:pPr>
              <w:rPr>
                <w:color w:val="000000"/>
                <w:sz w:val="20"/>
                <w:szCs w:val="20"/>
              </w:rPr>
            </w:pPr>
            <w:proofErr w:type="spellStart"/>
            <w:r w:rsidRPr="00D84719">
              <w:rPr>
                <w:color w:val="000000"/>
                <w:sz w:val="20"/>
                <w:szCs w:val="20"/>
              </w:rPr>
              <w:t>Industrial</w:t>
            </w:r>
            <w:proofErr w:type="spellEnd"/>
            <w:r w:rsidRPr="00D84719">
              <w:rPr>
                <w:color w:val="000000"/>
                <w:sz w:val="20"/>
                <w:szCs w:val="20"/>
              </w:rPr>
              <w:t xml:space="preserve"> </w:t>
            </w:r>
            <w:proofErr w:type="spellStart"/>
            <w:r w:rsidRPr="00D84719">
              <w:rPr>
                <w:color w:val="000000"/>
                <w:sz w:val="20"/>
                <w:szCs w:val="20"/>
              </w:rPr>
              <w:t>Emissions</w:t>
            </w:r>
            <w:proofErr w:type="spellEnd"/>
            <w:r w:rsidRPr="00D84719">
              <w:rPr>
                <w:color w:val="000000"/>
                <w:sz w:val="20"/>
                <w:szCs w:val="20"/>
              </w:rPr>
              <w:t xml:space="preserve"> </w:t>
            </w:r>
            <w:proofErr w:type="spellStart"/>
            <w:r w:rsidRPr="00D84719">
              <w:rPr>
                <w:color w:val="000000"/>
                <w:sz w:val="20"/>
                <w:szCs w:val="20"/>
              </w:rPr>
              <w:t>Directive</w:t>
            </w:r>
            <w:proofErr w:type="spellEnd"/>
          </w:p>
        </w:tc>
      </w:tr>
      <w:tr w:rsidR="00D84719" w:rsidRPr="00D84719" w14:paraId="762CC699" w14:textId="77777777" w:rsidTr="00F831D6">
        <w:tc>
          <w:tcPr>
            <w:tcW w:w="725" w:type="pct"/>
            <w:vAlign w:val="center"/>
          </w:tcPr>
          <w:p w14:paraId="093483D0" w14:textId="77777777" w:rsidR="00D84719" w:rsidRPr="006A4FA2" w:rsidRDefault="00D84719" w:rsidP="00D84719">
            <w:pPr>
              <w:rPr>
                <w:b/>
                <w:bCs/>
                <w:color w:val="000000"/>
                <w:sz w:val="20"/>
                <w:szCs w:val="20"/>
              </w:rPr>
            </w:pPr>
            <w:r w:rsidRPr="006A4FA2">
              <w:rPr>
                <w:b/>
                <w:bCs/>
                <w:color w:val="000000"/>
                <w:sz w:val="20"/>
                <w:szCs w:val="20"/>
              </w:rPr>
              <w:t>IUCN</w:t>
            </w:r>
          </w:p>
        </w:tc>
        <w:tc>
          <w:tcPr>
            <w:tcW w:w="2322" w:type="pct"/>
            <w:vAlign w:val="center"/>
          </w:tcPr>
          <w:p w14:paraId="3EB17A3C" w14:textId="77777777" w:rsidR="00D84719" w:rsidRPr="00D84719" w:rsidRDefault="00D84719" w:rsidP="00D84719">
            <w:pPr>
              <w:rPr>
                <w:color w:val="000000"/>
                <w:sz w:val="20"/>
                <w:szCs w:val="20"/>
              </w:rPr>
            </w:pPr>
            <w:r w:rsidRPr="00D84719">
              <w:rPr>
                <w:color w:val="000000"/>
                <w:sz w:val="20"/>
                <w:szCs w:val="20"/>
              </w:rPr>
              <w:t>Međunarodna unija za očuvanje prirode</w:t>
            </w:r>
          </w:p>
        </w:tc>
        <w:tc>
          <w:tcPr>
            <w:tcW w:w="1953" w:type="pct"/>
            <w:vAlign w:val="center"/>
          </w:tcPr>
          <w:p w14:paraId="39AB2810" w14:textId="77777777" w:rsidR="00D84719" w:rsidRPr="00D84719" w:rsidRDefault="00D84719" w:rsidP="00D84719">
            <w:pPr>
              <w:rPr>
                <w:color w:val="000000"/>
                <w:sz w:val="20"/>
                <w:szCs w:val="20"/>
              </w:rPr>
            </w:pPr>
            <w:proofErr w:type="spellStart"/>
            <w:r w:rsidRPr="00D84719">
              <w:rPr>
                <w:color w:val="000000"/>
                <w:sz w:val="20"/>
                <w:szCs w:val="20"/>
              </w:rPr>
              <w:t>The</w:t>
            </w:r>
            <w:proofErr w:type="spellEnd"/>
            <w:r w:rsidRPr="00D84719">
              <w:rPr>
                <w:color w:val="000000"/>
                <w:sz w:val="20"/>
                <w:szCs w:val="20"/>
              </w:rPr>
              <w:t xml:space="preserve"> International Union for </w:t>
            </w:r>
            <w:proofErr w:type="spellStart"/>
            <w:r w:rsidRPr="00D84719">
              <w:rPr>
                <w:color w:val="000000"/>
                <w:sz w:val="20"/>
                <w:szCs w:val="20"/>
              </w:rPr>
              <w:t>Conservation</w:t>
            </w:r>
            <w:proofErr w:type="spellEnd"/>
            <w:r w:rsidRPr="00D84719">
              <w:rPr>
                <w:color w:val="000000"/>
                <w:sz w:val="20"/>
                <w:szCs w:val="20"/>
              </w:rPr>
              <w:t xml:space="preserve"> </w:t>
            </w:r>
            <w:proofErr w:type="spellStart"/>
            <w:r w:rsidRPr="00D84719">
              <w:rPr>
                <w:color w:val="000000"/>
                <w:sz w:val="20"/>
                <w:szCs w:val="20"/>
              </w:rPr>
              <w:t>of</w:t>
            </w:r>
            <w:proofErr w:type="spellEnd"/>
            <w:r w:rsidRPr="00D84719">
              <w:rPr>
                <w:color w:val="000000"/>
                <w:sz w:val="20"/>
                <w:szCs w:val="20"/>
              </w:rPr>
              <w:t xml:space="preserve"> Nature</w:t>
            </w:r>
          </w:p>
        </w:tc>
      </w:tr>
      <w:tr w:rsidR="00D84719" w:rsidRPr="00D84719" w14:paraId="32CBB7DF" w14:textId="77777777" w:rsidTr="00F831D6">
        <w:tc>
          <w:tcPr>
            <w:tcW w:w="725" w:type="pct"/>
            <w:vAlign w:val="center"/>
          </w:tcPr>
          <w:p w14:paraId="2ECBE527" w14:textId="77777777" w:rsidR="00D84719" w:rsidRPr="006A4FA2" w:rsidRDefault="00D84719" w:rsidP="00D84719">
            <w:pPr>
              <w:rPr>
                <w:b/>
                <w:bCs/>
                <w:color w:val="000000"/>
                <w:sz w:val="20"/>
                <w:szCs w:val="20"/>
              </w:rPr>
            </w:pPr>
            <w:r w:rsidRPr="006A4FA2">
              <w:rPr>
                <w:b/>
                <w:bCs/>
                <w:color w:val="000000"/>
                <w:sz w:val="20"/>
                <w:szCs w:val="20"/>
              </w:rPr>
              <w:t>JLP(R)S</w:t>
            </w:r>
          </w:p>
        </w:tc>
        <w:tc>
          <w:tcPr>
            <w:tcW w:w="2322" w:type="pct"/>
            <w:vAlign w:val="center"/>
          </w:tcPr>
          <w:p w14:paraId="5F22CF86" w14:textId="77777777" w:rsidR="00D84719" w:rsidRPr="00D84719" w:rsidRDefault="00D84719" w:rsidP="00D84719">
            <w:pPr>
              <w:rPr>
                <w:color w:val="000000"/>
                <w:sz w:val="20"/>
                <w:szCs w:val="20"/>
              </w:rPr>
            </w:pPr>
            <w:r w:rsidRPr="00D84719">
              <w:rPr>
                <w:color w:val="000000"/>
                <w:sz w:val="20"/>
                <w:szCs w:val="20"/>
              </w:rPr>
              <w:t>Jedinice lokalne područne (regionalne) samouprave</w:t>
            </w:r>
          </w:p>
        </w:tc>
        <w:tc>
          <w:tcPr>
            <w:tcW w:w="1953" w:type="pct"/>
            <w:vAlign w:val="center"/>
          </w:tcPr>
          <w:p w14:paraId="55803706" w14:textId="77777777" w:rsidR="00D84719" w:rsidRPr="00D84719" w:rsidRDefault="00D84719" w:rsidP="00D84719">
            <w:pPr>
              <w:rPr>
                <w:color w:val="000000"/>
                <w:sz w:val="20"/>
                <w:szCs w:val="20"/>
              </w:rPr>
            </w:pPr>
          </w:p>
        </w:tc>
      </w:tr>
      <w:tr w:rsidR="00D84719" w:rsidRPr="00D84719" w14:paraId="55A3AB48" w14:textId="77777777" w:rsidTr="00F831D6">
        <w:tc>
          <w:tcPr>
            <w:tcW w:w="725" w:type="pct"/>
            <w:vAlign w:val="center"/>
          </w:tcPr>
          <w:p w14:paraId="4C59C5EB" w14:textId="77777777" w:rsidR="00D84719" w:rsidRPr="006A4FA2" w:rsidRDefault="00D84719" w:rsidP="00D84719">
            <w:pPr>
              <w:rPr>
                <w:b/>
                <w:bCs/>
                <w:color w:val="000000"/>
                <w:sz w:val="20"/>
                <w:szCs w:val="20"/>
              </w:rPr>
            </w:pPr>
            <w:r w:rsidRPr="006A4FA2">
              <w:rPr>
                <w:b/>
                <w:bCs/>
                <w:color w:val="000000"/>
                <w:sz w:val="20"/>
                <w:szCs w:val="20"/>
              </w:rPr>
              <w:t>LRTAP</w:t>
            </w:r>
          </w:p>
        </w:tc>
        <w:tc>
          <w:tcPr>
            <w:tcW w:w="2322" w:type="pct"/>
            <w:vAlign w:val="center"/>
          </w:tcPr>
          <w:p w14:paraId="2B0AB565" w14:textId="77777777" w:rsidR="00D84719" w:rsidRPr="00D84719" w:rsidRDefault="00D84719" w:rsidP="00D84719">
            <w:pPr>
              <w:rPr>
                <w:color w:val="000000"/>
                <w:sz w:val="20"/>
                <w:szCs w:val="20"/>
              </w:rPr>
            </w:pPr>
            <w:r w:rsidRPr="00D84719">
              <w:rPr>
                <w:color w:val="000000"/>
                <w:sz w:val="20"/>
                <w:szCs w:val="20"/>
              </w:rPr>
              <w:t>Dalekosežno prekogranično onečišćenje zraka</w:t>
            </w:r>
          </w:p>
        </w:tc>
        <w:tc>
          <w:tcPr>
            <w:tcW w:w="1953" w:type="pct"/>
            <w:vAlign w:val="center"/>
          </w:tcPr>
          <w:p w14:paraId="54DDA22E" w14:textId="77777777" w:rsidR="00D84719" w:rsidRPr="00D84719" w:rsidRDefault="00D84719" w:rsidP="00D84719">
            <w:pPr>
              <w:rPr>
                <w:color w:val="000000"/>
                <w:sz w:val="20"/>
                <w:szCs w:val="20"/>
              </w:rPr>
            </w:pPr>
            <w:proofErr w:type="spellStart"/>
            <w:r w:rsidRPr="00D84719">
              <w:rPr>
                <w:color w:val="000000"/>
                <w:sz w:val="20"/>
                <w:szCs w:val="20"/>
              </w:rPr>
              <w:t>Long-Range</w:t>
            </w:r>
            <w:proofErr w:type="spellEnd"/>
            <w:r w:rsidRPr="00D84719">
              <w:rPr>
                <w:color w:val="000000"/>
                <w:sz w:val="20"/>
                <w:szCs w:val="20"/>
              </w:rPr>
              <w:t xml:space="preserve"> </w:t>
            </w:r>
            <w:proofErr w:type="spellStart"/>
            <w:r w:rsidRPr="00D84719">
              <w:rPr>
                <w:color w:val="000000"/>
                <w:sz w:val="20"/>
                <w:szCs w:val="20"/>
              </w:rPr>
              <w:t>Transboundary</w:t>
            </w:r>
            <w:proofErr w:type="spellEnd"/>
            <w:r w:rsidRPr="00D84719">
              <w:rPr>
                <w:color w:val="000000"/>
                <w:sz w:val="20"/>
                <w:szCs w:val="20"/>
              </w:rPr>
              <w:t xml:space="preserve"> Air </w:t>
            </w:r>
            <w:proofErr w:type="spellStart"/>
            <w:r w:rsidRPr="00D84719">
              <w:rPr>
                <w:color w:val="000000"/>
                <w:sz w:val="20"/>
                <w:szCs w:val="20"/>
              </w:rPr>
              <w:t>Pollution</w:t>
            </w:r>
            <w:proofErr w:type="spellEnd"/>
          </w:p>
        </w:tc>
      </w:tr>
      <w:tr w:rsidR="00D84719" w:rsidRPr="00D84719" w14:paraId="6676FE10" w14:textId="77777777" w:rsidTr="00F831D6">
        <w:tc>
          <w:tcPr>
            <w:tcW w:w="725" w:type="pct"/>
            <w:vAlign w:val="center"/>
          </w:tcPr>
          <w:p w14:paraId="02EECA91" w14:textId="77777777" w:rsidR="00D84719" w:rsidRPr="006A4FA2" w:rsidRDefault="00D84719" w:rsidP="00D84719">
            <w:pPr>
              <w:rPr>
                <w:b/>
                <w:bCs/>
                <w:color w:val="000000"/>
                <w:sz w:val="20"/>
                <w:szCs w:val="20"/>
              </w:rPr>
            </w:pPr>
            <w:r w:rsidRPr="006A4FA2">
              <w:rPr>
                <w:b/>
                <w:bCs/>
                <w:color w:val="000000"/>
                <w:sz w:val="20"/>
                <w:szCs w:val="20"/>
              </w:rPr>
              <w:t>MDK</w:t>
            </w:r>
          </w:p>
        </w:tc>
        <w:tc>
          <w:tcPr>
            <w:tcW w:w="2322" w:type="pct"/>
            <w:vAlign w:val="center"/>
          </w:tcPr>
          <w:p w14:paraId="1DDDD540" w14:textId="77777777" w:rsidR="00D84719" w:rsidRPr="00D84719" w:rsidRDefault="00D84719" w:rsidP="00D84719">
            <w:pPr>
              <w:rPr>
                <w:color w:val="000000"/>
                <w:sz w:val="20"/>
                <w:szCs w:val="20"/>
              </w:rPr>
            </w:pPr>
            <w:r w:rsidRPr="00D84719">
              <w:rPr>
                <w:color w:val="000000"/>
                <w:sz w:val="20"/>
                <w:szCs w:val="20"/>
              </w:rPr>
              <w:t>Maksimalna dozvoljena koncentracija</w:t>
            </w:r>
          </w:p>
        </w:tc>
        <w:tc>
          <w:tcPr>
            <w:tcW w:w="1953" w:type="pct"/>
            <w:vAlign w:val="center"/>
          </w:tcPr>
          <w:p w14:paraId="624AB10C" w14:textId="77777777" w:rsidR="00D84719" w:rsidRPr="00D84719" w:rsidRDefault="00D84719" w:rsidP="00D84719">
            <w:pPr>
              <w:rPr>
                <w:color w:val="000000"/>
                <w:sz w:val="20"/>
                <w:szCs w:val="20"/>
              </w:rPr>
            </w:pPr>
          </w:p>
        </w:tc>
      </w:tr>
      <w:tr w:rsidR="00D84719" w:rsidRPr="00D84719" w14:paraId="2C4A1C96" w14:textId="77777777" w:rsidTr="00F831D6">
        <w:tc>
          <w:tcPr>
            <w:tcW w:w="725" w:type="pct"/>
            <w:vAlign w:val="center"/>
          </w:tcPr>
          <w:p w14:paraId="7DFD8A72" w14:textId="77777777" w:rsidR="00D84719" w:rsidRPr="006A4FA2" w:rsidRDefault="00D84719" w:rsidP="00D84719">
            <w:pPr>
              <w:rPr>
                <w:b/>
                <w:bCs/>
                <w:color w:val="000000"/>
                <w:sz w:val="20"/>
                <w:szCs w:val="20"/>
              </w:rPr>
            </w:pPr>
            <w:r w:rsidRPr="006A4FA2">
              <w:rPr>
                <w:b/>
                <w:bCs/>
                <w:color w:val="000000"/>
                <w:sz w:val="20"/>
                <w:szCs w:val="20"/>
              </w:rPr>
              <w:t>MGK</w:t>
            </w:r>
          </w:p>
        </w:tc>
        <w:tc>
          <w:tcPr>
            <w:tcW w:w="2322" w:type="pct"/>
            <w:vAlign w:val="center"/>
          </w:tcPr>
          <w:p w14:paraId="02B52111" w14:textId="77777777" w:rsidR="00D84719" w:rsidRPr="00D84719" w:rsidRDefault="00D84719" w:rsidP="00D84719">
            <w:pPr>
              <w:rPr>
                <w:color w:val="000000"/>
                <w:sz w:val="20"/>
                <w:szCs w:val="20"/>
              </w:rPr>
            </w:pPr>
            <w:r w:rsidRPr="00D84719">
              <w:rPr>
                <w:color w:val="000000"/>
                <w:sz w:val="20"/>
                <w:szCs w:val="20"/>
              </w:rPr>
              <w:t>Maksimalne godišnje koncentracije</w:t>
            </w:r>
          </w:p>
        </w:tc>
        <w:tc>
          <w:tcPr>
            <w:tcW w:w="1953" w:type="pct"/>
            <w:vAlign w:val="center"/>
          </w:tcPr>
          <w:p w14:paraId="79C24125" w14:textId="77777777" w:rsidR="00D84719" w:rsidRPr="00D84719" w:rsidRDefault="00D84719" w:rsidP="00D84719">
            <w:pPr>
              <w:rPr>
                <w:color w:val="000000"/>
                <w:sz w:val="20"/>
                <w:szCs w:val="20"/>
              </w:rPr>
            </w:pPr>
          </w:p>
        </w:tc>
      </w:tr>
      <w:tr w:rsidR="00D84719" w:rsidRPr="00D84719" w14:paraId="4B02EC73" w14:textId="77777777" w:rsidTr="00F831D6">
        <w:tc>
          <w:tcPr>
            <w:tcW w:w="725" w:type="pct"/>
            <w:vAlign w:val="center"/>
          </w:tcPr>
          <w:p w14:paraId="32375F84" w14:textId="77777777" w:rsidR="00D84719" w:rsidRPr="006A4FA2" w:rsidRDefault="00D84719" w:rsidP="00D84719">
            <w:pPr>
              <w:rPr>
                <w:b/>
                <w:bCs/>
                <w:color w:val="000000"/>
                <w:sz w:val="20"/>
                <w:szCs w:val="20"/>
              </w:rPr>
            </w:pPr>
            <w:r w:rsidRPr="006A4FA2">
              <w:rPr>
                <w:b/>
                <w:bCs/>
                <w:color w:val="000000"/>
                <w:sz w:val="20"/>
                <w:szCs w:val="20"/>
              </w:rPr>
              <w:t>MINGOR</w:t>
            </w:r>
          </w:p>
        </w:tc>
        <w:tc>
          <w:tcPr>
            <w:tcW w:w="2322" w:type="pct"/>
            <w:vAlign w:val="center"/>
          </w:tcPr>
          <w:p w14:paraId="11580733" w14:textId="77777777" w:rsidR="00D84719" w:rsidRPr="00D84719" w:rsidRDefault="00D84719" w:rsidP="00D84719">
            <w:pPr>
              <w:rPr>
                <w:color w:val="000000"/>
                <w:sz w:val="20"/>
                <w:szCs w:val="20"/>
              </w:rPr>
            </w:pPr>
            <w:r w:rsidRPr="00D84719">
              <w:rPr>
                <w:color w:val="000000"/>
                <w:sz w:val="20"/>
                <w:szCs w:val="20"/>
              </w:rPr>
              <w:t>Ministarstvo gospodarstva i održivog razvoja</w:t>
            </w:r>
          </w:p>
        </w:tc>
        <w:tc>
          <w:tcPr>
            <w:tcW w:w="1953" w:type="pct"/>
            <w:vAlign w:val="center"/>
          </w:tcPr>
          <w:p w14:paraId="7918E480" w14:textId="77777777" w:rsidR="00D84719" w:rsidRPr="00D84719" w:rsidRDefault="00D84719" w:rsidP="00D84719">
            <w:pPr>
              <w:rPr>
                <w:color w:val="000000"/>
                <w:sz w:val="20"/>
                <w:szCs w:val="20"/>
              </w:rPr>
            </w:pPr>
          </w:p>
        </w:tc>
      </w:tr>
      <w:tr w:rsidR="00081159" w:rsidRPr="00D84719" w14:paraId="7A5EB376" w14:textId="77777777" w:rsidTr="00F831D6">
        <w:tc>
          <w:tcPr>
            <w:tcW w:w="725" w:type="pct"/>
            <w:vAlign w:val="center"/>
          </w:tcPr>
          <w:p w14:paraId="4A35CB9F" w14:textId="77777777" w:rsidR="00081159" w:rsidRPr="006A4FA2" w:rsidRDefault="00081159" w:rsidP="00D84719">
            <w:pPr>
              <w:rPr>
                <w:b/>
                <w:bCs/>
                <w:color w:val="000000"/>
                <w:sz w:val="20"/>
                <w:szCs w:val="20"/>
              </w:rPr>
            </w:pPr>
            <w:r>
              <w:rPr>
                <w:b/>
                <w:bCs/>
                <w:color w:val="000000"/>
                <w:sz w:val="20"/>
                <w:szCs w:val="20"/>
              </w:rPr>
              <w:t>MIZ</w:t>
            </w:r>
          </w:p>
        </w:tc>
        <w:tc>
          <w:tcPr>
            <w:tcW w:w="2322" w:type="pct"/>
            <w:vAlign w:val="center"/>
          </w:tcPr>
          <w:p w14:paraId="0CD1766B" w14:textId="77777777" w:rsidR="00081159" w:rsidRPr="00D84719" w:rsidRDefault="00081159" w:rsidP="00D84719">
            <w:pPr>
              <w:rPr>
                <w:color w:val="000000"/>
                <w:sz w:val="20"/>
                <w:szCs w:val="20"/>
              </w:rPr>
            </w:pPr>
            <w:r w:rsidRPr="00D84719">
              <w:rPr>
                <w:color w:val="000000"/>
                <w:sz w:val="20"/>
                <w:szCs w:val="20"/>
              </w:rPr>
              <w:t>Ministarstvo</w:t>
            </w:r>
            <w:r>
              <w:rPr>
                <w:color w:val="000000"/>
                <w:sz w:val="20"/>
                <w:szCs w:val="20"/>
              </w:rPr>
              <w:t xml:space="preserve"> zdravstva</w:t>
            </w:r>
          </w:p>
        </w:tc>
        <w:tc>
          <w:tcPr>
            <w:tcW w:w="1953" w:type="pct"/>
            <w:vAlign w:val="center"/>
          </w:tcPr>
          <w:p w14:paraId="5AB8B0AD" w14:textId="77777777" w:rsidR="00081159" w:rsidRPr="00D84719" w:rsidRDefault="00081159" w:rsidP="00D84719">
            <w:pPr>
              <w:rPr>
                <w:color w:val="000000"/>
                <w:sz w:val="20"/>
                <w:szCs w:val="20"/>
              </w:rPr>
            </w:pPr>
          </w:p>
        </w:tc>
      </w:tr>
      <w:tr w:rsidR="00081159" w:rsidRPr="00D84719" w14:paraId="226A8169" w14:textId="77777777" w:rsidTr="00F831D6">
        <w:tc>
          <w:tcPr>
            <w:tcW w:w="725" w:type="pct"/>
            <w:vAlign w:val="center"/>
          </w:tcPr>
          <w:p w14:paraId="1E17B52C" w14:textId="77777777" w:rsidR="00081159" w:rsidRPr="006A4FA2" w:rsidRDefault="00081159" w:rsidP="00D84719">
            <w:pPr>
              <w:rPr>
                <w:b/>
                <w:bCs/>
                <w:color w:val="000000"/>
                <w:sz w:val="20"/>
                <w:szCs w:val="20"/>
              </w:rPr>
            </w:pPr>
            <w:r>
              <w:rPr>
                <w:b/>
                <w:bCs/>
                <w:color w:val="000000"/>
                <w:sz w:val="20"/>
                <w:szCs w:val="20"/>
              </w:rPr>
              <w:t>MP</w:t>
            </w:r>
          </w:p>
        </w:tc>
        <w:tc>
          <w:tcPr>
            <w:tcW w:w="2322" w:type="pct"/>
            <w:vAlign w:val="center"/>
          </w:tcPr>
          <w:p w14:paraId="0E8E23D7" w14:textId="77777777" w:rsidR="00081159" w:rsidRPr="00D84719" w:rsidRDefault="00081159" w:rsidP="00D84719">
            <w:pPr>
              <w:rPr>
                <w:color w:val="000000"/>
                <w:sz w:val="20"/>
                <w:szCs w:val="20"/>
              </w:rPr>
            </w:pPr>
            <w:r w:rsidRPr="00D84719">
              <w:rPr>
                <w:color w:val="000000"/>
                <w:sz w:val="20"/>
                <w:szCs w:val="20"/>
              </w:rPr>
              <w:t>Ministarstvo</w:t>
            </w:r>
            <w:r>
              <w:rPr>
                <w:color w:val="000000"/>
                <w:sz w:val="20"/>
                <w:szCs w:val="20"/>
              </w:rPr>
              <w:t xml:space="preserve"> pravosuđa i uprave</w:t>
            </w:r>
          </w:p>
        </w:tc>
        <w:tc>
          <w:tcPr>
            <w:tcW w:w="1953" w:type="pct"/>
            <w:vAlign w:val="center"/>
          </w:tcPr>
          <w:p w14:paraId="7E01B430" w14:textId="77777777" w:rsidR="00081159" w:rsidRPr="00D84719" w:rsidRDefault="00081159" w:rsidP="00D84719">
            <w:pPr>
              <w:rPr>
                <w:color w:val="000000"/>
                <w:sz w:val="20"/>
              </w:rPr>
            </w:pPr>
          </w:p>
        </w:tc>
      </w:tr>
      <w:tr w:rsidR="00081159" w:rsidRPr="00D84719" w14:paraId="07B6A02B" w14:textId="77777777" w:rsidTr="00F831D6">
        <w:tc>
          <w:tcPr>
            <w:tcW w:w="725" w:type="pct"/>
            <w:vAlign w:val="center"/>
          </w:tcPr>
          <w:p w14:paraId="6AF3693E" w14:textId="77777777" w:rsidR="00081159" w:rsidRPr="006A4FA2" w:rsidRDefault="00081159" w:rsidP="00D84719">
            <w:pPr>
              <w:rPr>
                <w:b/>
                <w:bCs/>
                <w:color w:val="000000"/>
                <w:sz w:val="20"/>
                <w:szCs w:val="20"/>
              </w:rPr>
            </w:pPr>
            <w:r>
              <w:rPr>
                <w:b/>
                <w:bCs/>
                <w:color w:val="000000"/>
                <w:sz w:val="20"/>
                <w:szCs w:val="20"/>
              </w:rPr>
              <w:t>MUP</w:t>
            </w:r>
          </w:p>
        </w:tc>
        <w:tc>
          <w:tcPr>
            <w:tcW w:w="2322" w:type="pct"/>
            <w:vAlign w:val="center"/>
          </w:tcPr>
          <w:p w14:paraId="17195009" w14:textId="77777777" w:rsidR="00081159" w:rsidRPr="00D84719" w:rsidRDefault="00081159" w:rsidP="00D84719">
            <w:pPr>
              <w:rPr>
                <w:color w:val="000000"/>
                <w:sz w:val="20"/>
                <w:szCs w:val="20"/>
              </w:rPr>
            </w:pPr>
            <w:r w:rsidRPr="00D84719">
              <w:rPr>
                <w:color w:val="000000"/>
                <w:sz w:val="20"/>
                <w:szCs w:val="20"/>
              </w:rPr>
              <w:t>Ministarstvo</w:t>
            </w:r>
            <w:r>
              <w:rPr>
                <w:color w:val="000000"/>
                <w:sz w:val="20"/>
                <w:szCs w:val="20"/>
              </w:rPr>
              <w:t xml:space="preserve"> unutarnjih poslova</w:t>
            </w:r>
          </w:p>
        </w:tc>
        <w:tc>
          <w:tcPr>
            <w:tcW w:w="1953" w:type="pct"/>
            <w:vAlign w:val="center"/>
          </w:tcPr>
          <w:p w14:paraId="41201AF2" w14:textId="77777777" w:rsidR="00081159" w:rsidRPr="00D84719" w:rsidRDefault="00081159" w:rsidP="00D84719">
            <w:pPr>
              <w:rPr>
                <w:color w:val="000000"/>
                <w:sz w:val="20"/>
              </w:rPr>
            </w:pPr>
          </w:p>
        </w:tc>
      </w:tr>
      <w:tr w:rsidR="00081159" w:rsidRPr="00D84719" w14:paraId="7C6E9012" w14:textId="77777777" w:rsidTr="00F831D6">
        <w:tc>
          <w:tcPr>
            <w:tcW w:w="725" w:type="pct"/>
            <w:vAlign w:val="center"/>
          </w:tcPr>
          <w:p w14:paraId="042B3477" w14:textId="77777777" w:rsidR="00081159" w:rsidRPr="006A4FA2" w:rsidRDefault="00081159" w:rsidP="00D84719">
            <w:pPr>
              <w:rPr>
                <w:b/>
                <w:bCs/>
                <w:color w:val="000000"/>
                <w:sz w:val="20"/>
                <w:szCs w:val="20"/>
              </w:rPr>
            </w:pPr>
            <w:r>
              <w:rPr>
                <w:b/>
                <w:bCs/>
                <w:color w:val="000000"/>
                <w:sz w:val="20"/>
                <w:szCs w:val="20"/>
              </w:rPr>
              <w:t>MZO</w:t>
            </w:r>
          </w:p>
        </w:tc>
        <w:tc>
          <w:tcPr>
            <w:tcW w:w="2322" w:type="pct"/>
            <w:vAlign w:val="center"/>
          </w:tcPr>
          <w:p w14:paraId="08887E78" w14:textId="77777777" w:rsidR="00081159" w:rsidRPr="00D84719" w:rsidRDefault="00081159" w:rsidP="00D84719">
            <w:pPr>
              <w:rPr>
                <w:color w:val="000000"/>
                <w:sz w:val="20"/>
                <w:szCs w:val="20"/>
              </w:rPr>
            </w:pPr>
            <w:r w:rsidRPr="00D84719">
              <w:rPr>
                <w:color w:val="000000"/>
                <w:sz w:val="20"/>
                <w:szCs w:val="20"/>
              </w:rPr>
              <w:t>Ministarstvo</w:t>
            </w:r>
            <w:r>
              <w:rPr>
                <w:color w:val="000000"/>
                <w:sz w:val="20"/>
                <w:szCs w:val="20"/>
              </w:rPr>
              <w:t xml:space="preserve"> znanosti i obrazovanja</w:t>
            </w:r>
          </w:p>
        </w:tc>
        <w:tc>
          <w:tcPr>
            <w:tcW w:w="1953" w:type="pct"/>
            <w:vAlign w:val="center"/>
          </w:tcPr>
          <w:p w14:paraId="77686EC6" w14:textId="77777777" w:rsidR="00081159" w:rsidRPr="00D84719" w:rsidRDefault="00081159" w:rsidP="00D84719">
            <w:pPr>
              <w:rPr>
                <w:color w:val="000000"/>
                <w:sz w:val="20"/>
              </w:rPr>
            </w:pPr>
          </w:p>
        </w:tc>
      </w:tr>
      <w:tr w:rsidR="00D84719" w:rsidRPr="00D84719" w14:paraId="7696A4D2" w14:textId="77777777" w:rsidTr="00F831D6">
        <w:tc>
          <w:tcPr>
            <w:tcW w:w="725" w:type="pct"/>
            <w:vAlign w:val="center"/>
          </w:tcPr>
          <w:p w14:paraId="389A0357" w14:textId="77777777" w:rsidR="00D84719" w:rsidRPr="006A4FA2" w:rsidRDefault="00D84719" w:rsidP="00D84719">
            <w:pPr>
              <w:rPr>
                <w:b/>
                <w:bCs/>
                <w:color w:val="000000"/>
                <w:sz w:val="20"/>
                <w:szCs w:val="20"/>
              </w:rPr>
            </w:pPr>
            <w:r w:rsidRPr="006A4FA2">
              <w:rPr>
                <w:b/>
                <w:bCs/>
                <w:color w:val="000000"/>
                <w:sz w:val="20"/>
                <w:szCs w:val="20"/>
              </w:rPr>
              <w:t>NIP</w:t>
            </w:r>
          </w:p>
        </w:tc>
        <w:tc>
          <w:tcPr>
            <w:tcW w:w="2322" w:type="pct"/>
            <w:vAlign w:val="center"/>
          </w:tcPr>
          <w:p w14:paraId="077F03BD" w14:textId="77777777" w:rsidR="00D84719" w:rsidRPr="00D84719" w:rsidRDefault="00D84719" w:rsidP="00D84719">
            <w:pPr>
              <w:rPr>
                <w:color w:val="000000"/>
                <w:sz w:val="20"/>
                <w:szCs w:val="20"/>
              </w:rPr>
            </w:pPr>
            <w:r w:rsidRPr="00D84719">
              <w:rPr>
                <w:color w:val="000000"/>
                <w:sz w:val="20"/>
                <w:szCs w:val="20"/>
              </w:rPr>
              <w:t>Nacionalni plan za provedbu Stockholmske konvencije</w:t>
            </w:r>
          </w:p>
        </w:tc>
        <w:tc>
          <w:tcPr>
            <w:tcW w:w="1953" w:type="pct"/>
            <w:vAlign w:val="center"/>
          </w:tcPr>
          <w:p w14:paraId="2EBF290D" w14:textId="77777777" w:rsidR="00D84719" w:rsidRPr="00D84719" w:rsidRDefault="00D84719" w:rsidP="00D84719">
            <w:pPr>
              <w:rPr>
                <w:color w:val="000000"/>
                <w:sz w:val="20"/>
              </w:rPr>
            </w:pPr>
          </w:p>
        </w:tc>
      </w:tr>
      <w:tr w:rsidR="00D84719" w:rsidRPr="00D84719" w14:paraId="25FD3088" w14:textId="77777777" w:rsidTr="00F831D6">
        <w:tc>
          <w:tcPr>
            <w:tcW w:w="725" w:type="pct"/>
            <w:vAlign w:val="center"/>
          </w:tcPr>
          <w:p w14:paraId="0C3E08F9" w14:textId="77777777" w:rsidR="00D84719" w:rsidRPr="006A4FA2" w:rsidRDefault="00D84719" w:rsidP="00D84719">
            <w:pPr>
              <w:rPr>
                <w:b/>
                <w:bCs/>
                <w:color w:val="000000"/>
                <w:sz w:val="20"/>
                <w:szCs w:val="20"/>
              </w:rPr>
            </w:pPr>
            <w:r w:rsidRPr="006A4FA2">
              <w:rPr>
                <w:b/>
                <w:bCs/>
                <w:color w:val="000000"/>
                <w:sz w:val="20"/>
                <w:szCs w:val="20"/>
              </w:rPr>
              <w:t>NMHOS</w:t>
            </w:r>
          </w:p>
        </w:tc>
        <w:tc>
          <w:tcPr>
            <w:tcW w:w="2322" w:type="pct"/>
            <w:vAlign w:val="center"/>
          </w:tcPr>
          <w:p w14:paraId="42EAF586" w14:textId="77777777" w:rsidR="00D84719" w:rsidRPr="00D84719" w:rsidRDefault="00D84719" w:rsidP="00D84719">
            <w:pPr>
              <w:rPr>
                <w:color w:val="000000"/>
                <w:sz w:val="20"/>
                <w:szCs w:val="20"/>
              </w:rPr>
            </w:pPr>
            <w:r w:rsidRPr="00D84719">
              <w:rPr>
                <w:color w:val="000000"/>
                <w:sz w:val="20"/>
                <w:szCs w:val="20"/>
              </w:rPr>
              <w:t>Ne - metanski</w:t>
            </w:r>
            <w:r w:rsidR="00612979">
              <w:rPr>
                <w:color w:val="000000"/>
                <w:sz w:val="20"/>
                <w:szCs w:val="20"/>
              </w:rPr>
              <w:t xml:space="preserve"> </w:t>
            </w:r>
            <w:r w:rsidRPr="00D84719">
              <w:rPr>
                <w:color w:val="000000"/>
                <w:sz w:val="20"/>
                <w:szCs w:val="20"/>
              </w:rPr>
              <w:t>hlapljivi organski i spojevi</w:t>
            </w:r>
          </w:p>
        </w:tc>
        <w:tc>
          <w:tcPr>
            <w:tcW w:w="1953" w:type="pct"/>
            <w:vAlign w:val="center"/>
          </w:tcPr>
          <w:p w14:paraId="4AD9F0F1" w14:textId="77777777" w:rsidR="00D84719" w:rsidRPr="00D84719" w:rsidRDefault="00D84719" w:rsidP="00D84719">
            <w:pPr>
              <w:rPr>
                <w:color w:val="000000"/>
                <w:sz w:val="20"/>
                <w:szCs w:val="20"/>
              </w:rPr>
            </w:pPr>
          </w:p>
        </w:tc>
      </w:tr>
      <w:tr w:rsidR="00D84719" w:rsidRPr="00D84719" w14:paraId="2604364E" w14:textId="77777777" w:rsidTr="00F831D6">
        <w:tc>
          <w:tcPr>
            <w:tcW w:w="725" w:type="pct"/>
            <w:vAlign w:val="center"/>
          </w:tcPr>
          <w:p w14:paraId="7D3BA938" w14:textId="77777777" w:rsidR="00D84719" w:rsidRPr="006A4FA2" w:rsidRDefault="00D84719" w:rsidP="00D84719">
            <w:pPr>
              <w:rPr>
                <w:b/>
                <w:bCs/>
                <w:color w:val="000000"/>
                <w:sz w:val="20"/>
                <w:szCs w:val="20"/>
              </w:rPr>
            </w:pPr>
            <w:r w:rsidRPr="006A4FA2">
              <w:rPr>
                <w:b/>
                <w:bCs/>
                <w:color w:val="000000"/>
                <w:sz w:val="20"/>
                <w:szCs w:val="20"/>
                <w:lang w:bidi="en-US"/>
              </w:rPr>
              <w:t>NPK</w:t>
            </w:r>
          </w:p>
        </w:tc>
        <w:tc>
          <w:tcPr>
            <w:tcW w:w="2322" w:type="pct"/>
            <w:vAlign w:val="center"/>
          </w:tcPr>
          <w:p w14:paraId="74D7C50C" w14:textId="77777777" w:rsidR="00D84719" w:rsidRPr="00D84719" w:rsidRDefault="00D84719" w:rsidP="00D84719">
            <w:pPr>
              <w:rPr>
                <w:color w:val="000000"/>
                <w:sz w:val="20"/>
                <w:szCs w:val="20"/>
              </w:rPr>
            </w:pPr>
            <w:r w:rsidRPr="00D84719">
              <w:rPr>
                <w:color w:val="000000"/>
                <w:sz w:val="20"/>
                <w:szCs w:val="20"/>
              </w:rPr>
              <w:t>dušik - fosfor - kalij</w:t>
            </w:r>
          </w:p>
        </w:tc>
        <w:tc>
          <w:tcPr>
            <w:tcW w:w="1953" w:type="pct"/>
            <w:vAlign w:val="center"/>
          </w:tcPr>
          <w:p w14:paraId="14AF595E" w14:textId="77777777" w:rsidR="00D84719" w:rsidRPr="00D84719" w:rsidRDefault="00D84719" w:rsidP="00D84719">
            <w:pPr>
              <w:rPr>
                <w:color w:val="000000"/>
                <w:sz w:val="20"/>
                <w:szCs w:val="20"/>
              </w:rPr>
            </w:pPr>
          </w:p>
        </w:tc>
      </w:tr>
      <w:tr w:rsidR="00D84719" w:rsidRPr="00D84719" w14:paraId="248D87ED" w14:textId="77777777" w:rsidTr="00F831D6">
        <w:tc>
          <w:tcPr>
            <w:tcW w:w="725" w:type="pct"/>
            <w:vAlign w:val="center"/>
          </w:tcPr>
          <w:p w14:paraId="0AA408EF" w14:textId="77777777" w:rsidR="00D84719" w:rsidRPr="006A4FA2" w:rsidRDefault="00D84719" w:rsidP="00D84719">
            <w:pPr>
              <w:rPr>
                <w:b/>
                <w:bCs/>
                <w:color w:val="000000"/>
                <w:sz w:val="20"/>
                <w:szCs w:val="20"/>
              </w:rPr>
            </w:pPr>
            <w:r w:rsidRPr="006A4FA2">
              <w:rPr>
                <w:b/>
                <w:bCs/>
                <w:color w:val="000000"/>
                <w:sz w:val="20"/>
                <w:szCs w:val="20"/>
              </w:rPr>
              <w:t>NRT</w:t>
            </w:r>
          </w:p>
        </w:tc>
        <w:tc>
          <w:tcPr>
            <w:tcW w:w="2322" w:type="pct"/>
            <w:vAlign w:val="center"/>
          </w:tcPr>
          <w:p w14:paraId="51F76DF3" w14:textId="77777777" w:rsidR="00D84719" w:rsidRPr="00D84719" w:rsidRDefault="00D84719" w:rsidP="00D84719">
            <w:pPr>
              <w:rPr>
                <w:color w:val="000000"/>
                <w:sz w:val="20"/>
                <w:szCs w:val="20"/>
              </w:rPr>
            </w:pPr>
            <w:r w:rsidRPr="00D84719">
              <w:rPr>
                <w:color w:val="000000"/>
                <w:sz w:val="20"/>
                <w:szCs w:val="20"/>
              </w:rPr>
              <w:t>Najbolje raspoložive tehnike</w:t>
            </w:r>
          </w:p>
        </w:tc>
        <w:tc>
          <w:tcPr>
            <w:tcW w:w="1953" w:type="pct"/>
            <w:vAlign w:val="center"/>
          </w:tcPr>
          <w:p w14:paraId="1C41D4CD" w14:textId="77777777" w:rsidR="00D84719" w:rsidRPr="00D84719" w:rsidRDefault="00D84719" w:rsidP="00D84719">
            <w:pPr>
              <w:rPr>
                <w:color w:val="000000"/>
                <w:sz w:val="20"/>
                <w:szCs w:val="20"/>
              </w:rPr>
            </w:pPr>
          </w:p>
        </w:tc>
      </w:tr>
      <w:tr w:rsidR="00D84719" w:rsidRPr="00D84719" w14:paraId="68C4AF29" w14:textId="77777777" w:rsidTr="00F831D6">
        <w:tc>
          <w:tcPr>
            <w:tcW w:w="725" w:type="pct"/>
            <w:vAlign w:val="center"/>
          </w:tcPr>
          <w:p w14:paraId="64A46590" w14:textId="77777777" w:rsidR="00D84719" w:rsidRPr="006A4FA2" w:rsidRDefault="00D84719" w:rsidP="00D84719">
            <w:pPr>
              <w:rPr>
                <w:b/>
                <w:bCs/>
                <w:color w:val="000000"/>
                <w:sz w:val="20"/>
                <w:szCs w:val="20"/>
              </w:rPr>
            </w:pPr>
            <w:r w:rsidRPr="006A4FA2">
              <w:rPr>
                <w:b/>
                <w:bCs/>
                <w:color w:val="000000"/>
                <w:sz w:val="20"/>
                <w:szCs w:val="20"/>
                <w:lang w:bidi="en-US"/>
              </w:rPr>
              <w:t>PAU</w:t>
            </w:r>
          </w:p>
        </w:tc>
        <w:tc>
          <w:tcPr>
            <w:tcW w:w="2322" w:type="pct"/>
            <w:vAlign w:val="center"/>
          </w:tcPr>
          <w:p w14:paraId="11D936AF" w14:textId="77777777" w:rsidR="00D84719" w:rsidRPr="00D84719" w:rsidRDefault="00D84719" w:rsidP="00D84719">
            <w:pPr>
              <w:rPr>
                <w:color w:val="000000"/>
                <w:sz w:val="20"/>
                <w:szCs w:val="20"/>
              </w:rPr>
            </w:pPr>
            <w:r w:rsidRPr="00D84719">
              <w:rPr>
                <w:color w:val="000000"/>
                <w:sz w:val="20"/>
                <w:szCs w:val="20"/>
                <w:lang w:bidi="en-US"/>
              </w:rPr>
              <w:t>Policiklički aromatski ugljikovodici</w:t>
            </w:r>
          </w:p>
        </w:tc>
        <w:tc>
          <w:tcPr>
            <w:tcW w:w="1953" w:type="pct"/>
            <w:vAlign w:val="center"/>
          </w:tcPr>
          <w:p w14:paraId="5513843B" w14:textId="77777777" w:rsidR="00D84719" w:rsidRPr="00D84719" w:rsidRDefault="00D84719" w:rsidP="00D84719">
            <w:pPr>
              <w:rPr>
                <w:color w:val="000000"/>
                <w:sz w:val="20"/>
                <w:szCs w:val="20"/>
              </w:rPr>
            </w:pPr>
          </w:p>
        </w:tc>
      </w:tr>
      <w:tr w:rsidR="00D84719" w:rsidRPr="00D84719" w14:paraId="0E0D738F" w14:textId="77777777" w:rsidTr="00F831D6">
        <w:tc>
          <w:tcPr>
            <w:tcW w:w="725" w:type="pct"/>
            <w:vAlign w:val="center"/>
          </w:tcPr>
          <w:p w14:paraId="5C80AF07" w14:textId="77777777" w:rsidR="00D84719" w:rsidRPr="006A4FA2" w:rsidRDefault="00D84719" w:rsidP="00D84719">
            <w:pPr>
              <w:rPr>
                <w:b/>
                <w:bCs/>
                <w:color w:val="000000"/>
                <w:sz w:val="20"/>
                <w:szCs w:val="20"/>
              </w:rPr>
            </w:pPr>
            <w:r w:rsidRPr="006A4FA2">
              <w:rPr>
                <w:b/>
                <w:bCs/>
                <w:color w:val="000000"/>
                <w:sz w:val="20"/>
                <w:szCs w:val="20"/>
              </w:rPr>
              <w:t>PGK</w:t>
            </w:r>
          </w:p>
        </w:tc>
        <w:tc>
          <w:tcPr>
            <w:tcW w:w="2322" w:type="pct"/>
            <w:vAlign w:val="center"/>
          </w:tcPr>
          <w:p w14:paraId="4FC79867" w14:textId="77777777" w:rsidR="00D84719" w:rsidRPr="00D84719" w:rsidRDefault="00D84719" w:rsidP="00D84719">
            <w:pPr>
              <w:rPr>
                <w:color w:val="000000"/>
                <w:sz w:val="20"/>
                <w:szCs w:val="20"/>
              </w:rPr>
            </w:pPr>
            <w:r w:rsidRPr="00D84719">
              <w:rPr>
                <w:color w:val="000000"/>
                <w:sz w:val="20"/>
                <w:szCs w:val="20"/>
              </w:rPr>
              <w:t>Prosječna godišnja koncentracija</w:t>
            </w:r>
          </w:p>
        </w:tc>
        <w:tc>
          <w:tcPr>
            <w:tcW w:w="1953" w:type="pct"/>
            <w:vAlign w:val="center"/>
          </w:tcPr>
          <w:p w14:paraId="372E80BC" w14:textId="77777777" w:rsidR="00D84719" w:rsidRPr="00D84719" w:rsidRDefault="00D84719" w:rsidP="00D84719">
            <w:pPr>
              <w:rPr>
                <w:color w:val="000000"/>
                <w:sz w:val="20"/>
                <w:szCs w:val="20"/>
              </w:rPr>
            </w:pPr>
          </w:p>
        </w:tc>
      </w:tr>
      <w:tr w:rsidR="00D84719" w:rsidRPr="00D84719" w14:paraId="3C6642C3" w14:textId="77777777" w:rsidTr="00F831D6">
        <w:tc>
          <w:tcPr>
            <w:tcW w:w="725" w:type="pct"/>
            <w:vAlign w:val="center"/>
          </w:tcPr>
          <w:p w14:paraId="3516DE76" w14:textId="77777777" w:rsidR="00D84719" w:rsidRPr="006A4FA2" w:rsidRDefault="00D84719" w:rsidP="00D84719">
            <w:pPr>
              <w:rPr>
                <w:b/>
                <w:bCs/>
                <w:color w:val="000000"/>
                <w:sz w:val="20"/>
                <w:szCs w:val="20"/>
              </w:rPr>
            </w:pPr>
            <w:r w:rsidRPr="006A4FA2">
              <w:rPr>
                <w:b/>
                <w:bCs/>
                <w:color w:val="000000"/>
                <w:sz w:val="20"/>
                <w:szCs w:val="20"/>
              </w:rPr>
              <w:t>POPs</w:t>
            </w:r>
          </w:p>
        </w:tc>
        <w:tc>
          <w:tcPr>
            <w:tcW w:w="2322" w:type="pct"/>
            <w:vAlign w:val="center"/>
          </w:tcPr>
          <w:p w14:paraId="49612078" w14:textId="77777777" w:rsidR="00D84719" w:rsidRPr="00D84719" w:rsidRDefault="00D84719" w:rsidP="00D84719">
            <w:pPr>
              <w:rPr>
                <w:color w:val="000000"/>
                <w:sz w:val="20"/>
                <w:szCs w:val="20"/>
              </w:rPr>
            </w:pPr>
            <w:r w:rsidRPr="00D84719">
              <w:rPr>
                <w:color w:val="000000"/>
                <w:sz w:val="20"/>
                <w:szCs w:val="20"/>
              </w:rPr>
              <w:t>Postojane organske onečišćujuće tvari/</w:t>
            </w:r>
            <w:proofErr w:type="spellStart"/>
            <w:r w:rsidRPr="00D84719">
              <w:rPr>
                <w:color w:val="000000"/>
                <w:sz w:val="20"/>
                <w:szCs w:val="20"/>
              </w:rPr>
              <w:t>polutanti</w:t>
            </w:r>
            <w:proofErr w:type="spellEnd"/>
          </w:p>
        </w:tc>
        <w:tc>
          <w:tcPr>
            <w:tcW w:w="1953" w:type="pct"/>
            <w:vAlign w:val="center"/>
          </w:tcPr>
          <w:p w14:paraId="2E278000" w14:textId="77777777" w:rsidR="00D84719" w:rsidRPr="00D84719" w:rsidRDefault="00D84719" w:rsidP="00D84719">
            <w:pPr>
              <w:rPr>
                <w:color w:val="000000"/>
                <w:sz w:val="20"/>
                <w:szCs w:val="20"/>
              </w:rPr>
            </w:pPr>
            <w:proofErr w:type="spellStart"/>
            <w:r w:rsidRPr="00D84719">
              <w:rPr>
                <w:color w:val="000000"/>
                <w:sz w:val="20"/>
                <w:szCs w:val="20"/>
              </w:rPr>
              <w:t>Persistent</w:t>
            </w:r>
            <w:proofErr w:type="spellEnd"/>
            <w:r w:rsidRPr="00D84719">
              <w:rPr>
                <w:color w:val="000000"/>
                <w:sz w:val="20"/>
                <w:szCs w:val="20"/>
              </w:rPr>
              <w:t xml:space="preserve"> </w:t>
            </w:r>
            <w:proofErr w:type="spellStart"/>
            <w:r w:rsidRPr="00D84719">
              <w:rPr>
                <w:color w:val="000000"/>
                <w:sz w:val="20"/>
                <w:szCs w:val="20"/>
              </w:rPr>
              <w:t>Organic</w:t>
            </w:r>
            <w:proofErr w:type="spellEnd"/>
            <w:r w:rsidRPr="00D84719">
              <w:rPr>
                <w:color w:val="000000"/>
                <w:sz w:val="20"/>
                <w:szCs w:val="20"/>
              </w:rPr>
              <w:t xml:space="preserve"> </w:t>
            </w:r>
            <w:proofErr w:type="spellStart"/>
            <w:r w:rsidRPr="00D84719">
              <w:rPr>
                <w:color w:val="000000"/>
                <w:sz w:val="20"/>
                <w:szCs w:val="20"/>
              </w:rPr>
              <w:t>Pollutants</w:t>
            </w:r>
            <w:proofErr w:type="spellEnd"/>
          </w:p>
        </w:tc>
      </w:tr>
      <w:tr w:rsidR="00D84719" w:rsidRPr="00D84719" w14:paraId="72E60A92" w14:textId="77777777" w:rsidTr="00F831D6">
        <w:tc>
          <w:tcPr>
            <w:tcW w:w="725" w:type="pct"/>
            <w:vAlign w:val="center"/>
          </w:tcPr>
          <w:p w14:paraId="3A1C069C" w14:textId="77777777" w:rsidR="00D84719" w:rsidRPr="006A4FA2" w:rsidRDefault="00D84719" w:rsidP="00D84719">
            <w:pPr>
              <w:rPr>
                <w:b/>
                <w:bCs/>
                <w:color w:val="000000"/>
                <w:sz w:val="20"/>
                <w:szCs w:val="20"/>
              </w:rPr>
            </w:pPr>
            <w:r w:rsidRPr="006A4FA2">
              <w:rPr>
                <w:b/>
                <w:bCs/>
                <w:color w:val="000000"/>
                <w:sz w:val="20"/>
                <w:szCs w:val="20"/>
                <w:lang w:bidi="en-US"/>
              </w:rPr>
              <w:lastRenderedPageBreak/>
              <w:t>RDNRT</w:t>
            </w:r>
          </w:p>
        </w:tc>
        <w:tc>
          <w:tcPr>
            <w:tcW w:w="2322" w:type="pct"/>
            <w:vAlign w:val="center"/>
          </w:tcPr>
          <w:p w14:paraId="60366B5B" w14:textId="77777777" w:rsidR="00D84719" w:rsidRPr="00D84719" w:rsidRDefault="00D84719" w:rsidP="00D84719">
            <w:pPr>
              <w:rPr>
                <w:color w:val="000000"/>
                <w:sz w:val="20"/>
                <w:szCs w:val="20"/>
              </w:rPr>
            </w:pPr>
            <w:r w:rsidRPr="00D84719">
              <w:rPr>
                <w:color w:val="000000"/>
                <w:sz w:val="20"/>
                <w:szCs w:val="20"/>
              </w:rPr>
              <w:t>Referentni dokument o najboljim raspoloživim tehnikama</w:t>
            </w:r>
          </w:p>
        </w:tc>
        <w:tc>
          <w:tcPr>
            <w:tcW w:w="1953" w:type="pct"/>
            <w:vAlign w:val="center"/>
          </w:tcPr>
          <w:p w14:paraId="22C17659" w14:textId="77777777" w:rsidR="00D84719" w:rsidRPr="00D84719" w:rsidRDefault="00D84719" w:rsidP="00D84719">
            <w:pPr>
              <w:rPr>
                <w:color w:val="000000"/>
                <w:sz w:val="20"/>
              </w:rPr>
            </w:pPr>
          </w:p>
        </w:tc>
      </w:tr>
      <w:tr w:rsidR="00D84719" w:rsidRPr="00D84719" w14:paraId="17C0E690" w14:textId="77777777" w:rsidTr="00F831D6">
        <w:tc>
          <w:tcPr>
            <w:tcW w:w="725" w:type="pct"/>
            <w:vAlign w:val="center"/>
          </w:tcPr>
          <w:p w14:paraId="7E3085DC" w14:textId="77777777" w:rsidR="00D84719" w:rsidRPr="006A4FA2" w:rsidRDefault="00D84719" w:rsidP="00D84719">
            <w:pPr>
              <w:rPr>
                <w:b/>
                <w:bCs/>
                <w:color w:val="000000"/>
                <w:sz w:val="20"/>
                <w:szCs w:val="20"/>
              </w:rPr>
            </w:pPr>
            <w:r w:rsidRPr="006A4FA2">
              <w:rPr>
                <w:b/>
                <w:bCs/>
                <w:color w:val="000000"/>
                <w:sz w:val="20"/>
                <w:szCs w:val="20"/>
              </w:rPr>
              <w:t>REACH</w:t>
            </w:r>
          </w:p>
        </w:tc>
        <w:tc>
          <w:tcPr>
            <w:tcW w:w="2322" w:type="pct"/>
            <w:vAlign w:val="center"/>
          </w:tcPr>
          <w:p w14:paraId="268C4ED2" w14:textId="77777777" w:rsidR="00D84719" w:rsidRPr="00D84719" w:rsidRDefault="00D84719" w:rsidP="00D84719">
            <w:pPr>
              <w:rPr>
                <w:color w:val="000000"/>
                <w:sz w:val="20"/>
                <w:szCs w:val="20"/>
              </w:rPr>
            </w:pPr>
            <w:r w:rsidRPr="00D84719">
              <w:rPr>
                <w:color w:val="000000"/>
                <w:sz w:val="20"/>
                <w:szCs w:val="20"/>
              </w:rPr>
              <w:t>Registracija, evaluacija, autorizacija i ograničavanje kemikalija</w:t>
            </w:r>
          </w:p>
        </w:tc>
        <w:tc>
          <w:tcPr>
            <w:tcW w:w="1953" w:type="pct"/>
            <w:vAlign w:val="center"/>
          </w:tcPr>
          <w:p w14:paraId="6FB8988A" w14:textId="77777777" w:rsidR="00D84719" w:rsidRPr="00D84719" w:rsidRDefault="00D84719" w:rsidP="00621B0B">
            <w:pPr>
              <w:rPr>
                <w:color w:val="000000"/>
                <w:sz w:val="20"/>
                <w:szCs w:val="20"/>
              </w:rPr>
            </w:pPr>
            <w:proofErr w:type="spellStart"/>
            <w:r w:rsidRPr="00D84719">
              <w:rPr>
                <w:color w:val="000000"/>
                <w:sz w:val="20"/>
                <w:szCs w:val="20"/>
              </w:rPr>
              <w:t>Registration</w:t>
            </w:r>
            <w:proofErr w:type="spellEnd"/>
            <w:r w:rsidRPr="00D84719">
              <w:rPr>
                <w:color w:val="000000"/>
                <w:sz w:val="20"/>
                <w:szCs w:val="20"/>
              </w:rPr>
              <w:t xml:space="preserve">, </w:t>
            </w:r>
            <w:proofErr w:type="spellStart"/>
            <w:r w:rsidRPr="00D84719">
              <w:rPr>
                <w:color w:val="000000"/>
                <w:sz w:val="20"/>
                <w:szCs w:val="20"/>
              </w:rPr>
              <w:t>Evaluation</w:t>
            </w:r>
            <w:proofErr w:type="spellEnd"/>
            <w:r w:rsidRPr="00D84719">
              <w:rPr>
                <w:color w:val="000000"/>
                <w:sz w:val="20"/>
                <w:szCs w:val="20"/>
              </w:rPr>
              <w:t xml:space="preserve">, </w:t>
            </w:r>
            <w:proofErr w:type="spellStart"/>
            <w:r w:rsidRPr="00D84719">
              <w:rPr>
                <w:color w:val="000000"/>
                <w:sz w:val="20"/>
                <w:szCs w:val="20"/>
              </w:rPr>
              <w:t>Authorization</w:t>
            </w:r>
            <w:proofErr w:type="spellEnd"/>
            <w:r w:rsidRPr="00D84719">
              <w:rPr>
                <w:color w:val="000000"/>
                <w:sz w:val="20"/>
                <w:szCs w:val="20"/>
              </w:rPr>
              <w:t xml:space="preserve"> </w:t>
            </w:r>
            <w:proofErr w:type="spellStart"/>
            <w:r w:rsidRPr="00D84719">
              <w:rPr>
                <w:color w:val="000000"/>
                <w:sz w:val="20"/>
                <w:szCs w:val="20"/>
              </w:rPr>
              <w:t>and</w:t>
            </w:r>
            <w:proofErr w:type="spellEnd"/>
            <w:r w:rsidRPr="00D84719">
              <w:rPr>
                <w:color w:val="000000"/>
                <w:sz w:val="20"/>
                <w:szCs w:val="20"/>
              </w:rPr>
              <w:t xml:space="preserve"> </w:t>
            </w:r>
            <w:proofErr w:type="spellStart"/>
            <w:r w:rsidRPr="00D84719">
              <w:rPr>
                <w:color w:val="000000"/>
                <w:sz w:val="20"/>
                <w:szCs w:val="20"/>
              </w:rPr>
              <w:t>Restriction</w:t>
            </w:r>
            <w:proofErr w:type="spellEnd"/>
            <w:r w:rsidRPr="00D84719">
              <w:rPr>
                <w:color w:val="000000"/>
                <w:sz w:val="20"/>
                <w:szCs w:val="20"/>
              </w:rPr>
              <w:t xml:space="preserve"> </w:t>
            </w:r>
            <w:proofErr w:type="spellStart"/>
            <w:r w:rsidRPr="00D84719">
              <w:rPr>
                <w:color w:val="000000"/>
                <w:sz w:val="20"/>
                <w:szCs w:val="20"/>
              </w:rPr>
              <w:t>of</w:t>
            </w:r>
            <w:proofErr w:type="spellEnd"/>
            <w:r w:rsidRPr="00D84719">
              <w:rPr>
                <w:color w:val="000000"/>
                <w:sz w:val="20"/>
                <w:szCs w:val="20"/>
              </w:rPr>
              <w:t xml:space="preserve"> </w:t>
            </w:r>
            <w:proofErr w:type="spellStart"/>
            <w:r w:rsidRPr="00D84719">
              <w:rPr>
                <w:color w:val="000000"/>
                <w:sz w:val="20"/>
                <w:szCs w:val="20"/>
              </w:rPr>
              <w:t>C</w:t>
            </w:r>
            <w:r w:rsidR="00621B0B">
              <w:rPr>
                <w:color w:val="000000"/>
                <w:sz w:val="20"/>
                <w:szCs w:val="20"/>
              </w:rPr>
              <w:t>h</w:t>
            </w:r>
            <w:r w:rsidRPr="00D84719">
              <w:rPr>
                <w:color w:val="000000"/>
                <w:sz w:val="20"/>
                <w:szCs w:val="20"/>
              </w:rPr>
              <w:t>emicals</w:t>
            </w:r>
            <w:proofErr w:type="spellEnd"/>
          </w:p>
        </w:tc>
      </w:tr>
      <w:tr w:rsidR="00D84719" w:rsidRPr="00D84719" w14:paraId="41B81B6C" w14:textId="77777777" w:rsidTr="00F831D6">
        <w:trPr>
          <w:trHeight w:val="327"/>
        </w:trPr>
        <w:tc>
          <w:tcPr>
            <w:tcW w:w="725" w:type="pct"/>
            <w:vAlign w:val="center"/>
          </w:tcPr>
          <w:p w14:paraId="5E59E2AD" w14:textId="77777777" w:rsidR="00D84719" w:rsidRPr="00D84719" w:rsidRDefault="00D84719" w:rsidP="00D84719">
            <w:pPr>
              <w:rPr>
                <w:b/>
                <w:bCs/>
                <w:color w:val="000000"/>
                <w:sz w:val="20"/>
                <w:szCs w:val="20"/>
              </w:rPr>
            </w:pPr>
            <w:r w:rsidRPr="00D84719">
              <w:rPr>
                <w:b/>
                <w:bCs/>
                <w:color w:val="000000"/>
                <w:sz w:val="20"/>
                <w:szCs w:val="20"/>
              </w:rPr>
              <w:t>ROO</w:t>
            </w:r>
          </w:p>
        </w:tc>
        <w:tc>
          <w:tcPr>
            <w:tcW w:w="2322" w:type="pct"/>
            <w:vAlign w:val="center"/>
          </w:tcPr>
          <w:p w14:paraId="3959E1D0" w14:textId="77777777" w:rsidR="00D84719" w:rsidRPr="00D84719" w:rsidRDefault="00D84719" w:rsidP="00D84719">
            <w:pPr>
              <w:rPr>
                <w:color w:val="000000"/>
                <w:sz w:val="20"/>
                <w:szCs w:val="20"/>
              </w:rPr>
            </w:pPr>
            <w:r w:rsidRPr="00D84719">
              <w:rPr>
                <w:color w:val="000000"/>
                <w:sz w:val="20"/>
                <w:szCs w:val="20"/>
              </w:rPr>
              <w:t>Registar onečišćavanja okoliša</w:t>
            </w:r>
          </w:p>
        </w:tc>
        <w:tc>
          <w:tcPr>
            <w:tcW w:w="1953" w:type="pct"/>
            <w:vAlign w:val="center"/>
          </w:tcPr>
          <w:p w14:paraId="4838AFAB" w14:textId="77777777" w:rsidR="00D84719" w:rsidRPr="00D84719" w:rsidRDefault="00D84719" w:rsidP="00D84719">
            <w:pPr>
              <w:rPr>
                <w:color w:val="000000"/>
                <w:sz w:val="20"/>
                <w:szCs w:val="20"/>
              </w:rPr>
            </w:pPr>
            <w:proofErr w:type="spellStart"/>
            <w:r w:rsidRPr="00D84719">
              <w:rPr>
                <w:color w:val="000000"/>
                <w:sz w:val="20"/>
                <w:szCs w:val="20"/>
              </w:rPr>
              <w:t>Environmental</w:t>
            </w:r>
            <w:proofErr w:type="spellEnd"/>
            <w:r w:rsidRPr="00D84719">
              <w:rPr>
                <w:color w:val="000000"/>
                <w:sz w:val="20"/>
                <w:szCs w:val="20"/>
              </w:rPr>
              <w:t xml:space="preserve"> </w:t>
            </w:r>
            <w:proofErr w:type="spellStart"/>
            <w:r w:rsidRPr="00D84719">
              <w:rPr>
                <w:color w:val="000000"/>
                <w:sz w:val="20"/>
                <w:szCs w:val="20"/>
              </w:rPr>
              <w:t>Pollution</w:t>
            </w:r>
            <w:proofErr w:type="spellEnd"/>
            <w:r w:rsidRPr="00D84719">
              <w:rPr>
                <w:color w:val="000000"/>
                <w:sz w:val="20"/>
                <w:szCs w:val="20"/>
              </w:rPr>
              <w:t xml:space="preserve"> </w:t>
            </w:r>
            <w:proofErr w:type="spellStart"/>
            <w:r w:rsidRPr="00D84719">
              <w:rPr>
                <w:color w:val="000000"/>
                <w:sz w:val="20"/>
                <w:szCs w:val="20"/>
              </w:rPr>
              <w:t>Register</w:t>
            </w:r>
            <w:proofErr w:type="spellEnd"/>
            <w:r w:rsidRPr="00D84719">
              <w:rPr>
                <w:color w:val="000000"/>
                <w:sz w:val="20"/>
                <w:szCs w:val="20"/>
              </w:rPr>
              <w:t xml:space="preserve"> (Croatian E-PRTR)</w:t>
            </w:r>
          </w:p>
        </w:tc>
      </w:tr>
      <w:tr w:rsidR="00D84719" w:rsidRPr="00D84719" w14:paraId="7DD03BD2" w14:textId="77777777" w:rsidTr="00F831D6">
        <w:trPr>
          <w:trHeight w:val="327"/>
        </w:trPr>
        <w:tc>
          <w:tcPr>
            <w:tcW w:w="725" w:type="pct"/>
            <w:vAlign w:val="center"/>
          </w:tcPr>
          <w:p w14:paraId="4F00D214" w14:textId="77777777" w:rsidR="00D84719" w:rsidRPr="00D84719" w:rsidRDefault="00D84719" w:rsidP="00D84719">
            <w:pPr>
              <w:rPr>
                <w:b/>
                <w:bCs/>
                <w:color w:val="000000"/>
                <w:sz w:val="20"/>
                <w:szCs w:val="20"/>
              </w:rPr>
            </w:pPr>
            <w:r w:rsidRPr="00D84719">
              <w:rPr>
                <w:b/>
                <w:bCs/>
                <w:color w:val="000000"/>
                <w:sz w:val="20"/>
                <w:szCs w:val="20"/>
              </w:rPr>
              <w:t>RPOT/OPVN</w:t>
            </w:r>
          </w:p>
        </w:tc>
        <w:tc>
          <w:tcPr>
            <w:tcW w:w="2322" w:type="pct"/>
            <w:vAlign w:val="center"/>
          </w:tcPr>
          <w:p w14:paraId="6D882CEB" w14:textId="77777777" w:rsidR="00D84719" w:rsidRPr="00D84719" w:rsidRDefault="00D84719" w:rsidP="00D84719">
            <w:pPr>
              <w:rPr>
                <w:color w:val="000000"/>
                <w:sz w:val="20"/>
                <w:szCs w:val="20"/>
              </w:rPr>
            </w:pPr>
            <w:r w:rsidRPr="00D84719">
              <w:rPr>
                <w:color w:val="000000"/>
                <w:sz w:val="20"/>
                <w:szCs w:val="20"/>
              </w:rPr>
              <w:t>Registar postrojenja u kojima su prisutne opasne tvari/Očevidnik prijavljenih velikih nesreća (RPOT/OPVN)</w:t>
            </w:r>
          </w:p>
        </w:tc>
        <w:tc>
          <w:tcPr>
            <w:tcW w:w="1953" w:type="pct"/>
            <w:vAlign w:val="center"/>
          </w:tcPr>
          <w:p w14:paraId="1C30238B" w14:textId="77777777" w:rsidR="00D84719" w:rsidRPr="00D84719" w:rsidRDefault="00D84719" w:rsidP="00D84719">
            <w:pPr>
              <w:rPr>
                <w:color w:val="000000"/>
                <w:sz w:val="20"/>
                <w:szCs w:val="20"/>
              </w:rPr>
            </w:pPr>
            <w:proofErr w:type="spellStart"/>
            <w:r w:rsidRPr="00D84719">
              <w:rPr>
                <w:color w:val="000000"/>
                <w:sz w:val="20"/>
                <w:szCs w:val="20"/>
              </w:rPr>
              <w:t>Register</w:t>
            </w:r>
            <w:proofErr w:type="spellEnd"/>
            <w:r w:rsidRPr="00D84719">
              <w:rPr>
                <w:color w:val="000000"/>
                <w:sz w:val="20"/>
                <w:szCs w:val="20"/>
              </w:rPr>
              <w:t xml:space="preserve"> </w:t>
            </w:r>
            <w:proofErr w:type="spellStart"/>
            <w:r w:rsidRPr="00D84719">
              <w:rPr>
                <w:color w:val="000000"/>
                <w:sz w:val="20"/>
                <w:szCs w:val="20"/>
              </w:rPr>
              <w:t>of</w:t>
            </w:r>
            <w:proofErr w:type="spellEnd"/>
            <w:r w:rsidRPr="00D84719">
              <w:rPr>
                <w:color w:val="000000"/>
                <w:sz w:val="20"/>
                <w:szCs w:val="20"/>
              </w:rPr>
              <w:t xml:space="preserve"> </w:t>
            </w:r>
            <w:proofErr w:type="spellStart"/>
            <w:r w:rsidRPr="00D84719">
              <w:rPr>
                <w:color w:val="000000"/>
                <w:sz w:val="20"/>
                <w:szCs w:val="20"/>
              </w:rPr>
              <w:t>Establishments</w:t>
            </w:r>
            <w:proofErr w:type="spellEnd"/>
            <w:r w:rsidRPr="00D84719">
              <w:rPr>
                <w:color w:val="000000"/>
                <w:sz w:val="20"/>
                <w:szCs w:val="20"/>
              </w:rPr>
              <w:t xml:space="preserve"> </w:t>
            </w:r>
            <w:proofErr w:type="spellStart"/>
            <w:r w:rsidRPr="00D84719">
              <w:rPr>
                <w:color w:val="000000"/>
                <w:sz w:val="20"/>
                <w:szCs w:val="20"/>
              </w:rPr>
              <w:t>in</w:t>
            </w:r>
            <w:proofErr w:type="spellEnd"/>
            <w:r w:rsidRPr="00D84719">
              <w:rPr>
                <w:color w:val="000000"/>
                <w:sz w:val="20"/>
                <w:szCs w:val="20"/>
              </w:rPr>
              <w:t xml:space="preserve"> </w:t>
            </w:r>
            <w:proofErr w:type="spellStart"/>
            <w:r w:rsidRPr="00D84719">
              <w:rPr>
                <w:color w:val="000000"/>
                <w:sz w:val="20"/>
                <w:szCs w:val="20"/>
              </w:rPr>
              <w:t>which</w:t>
            </w:r>
            <w:proofErr w:type="spellEnd"/>
            <w:r w:rsidRPr="00D84719">
              <w:rPr>
                <w:color w:val="000000"/>
                <w:sz w:val="20"/>
                <w:szCs w:val="20"/>
              </w:rPr>
              <w:t xml:space="preserve"> </w:t>
            </w:r>
            <w:proofErr w:type="spellStart"/>
            <w:r w:rsidRPr="00D84719">
              <w:rPr>
                <w:color w:val="000000"/>
                <w:sz w:val="20"/>
                <w:szCs w:val="20"/>
              </w:rPr>
              <w:t>Dangerous</w:t>
            </w:r>
            <w:proofErr w:type="spellEnd"/>
            <w:r w:rsidRPr="00D84719">
              <w:rPr>
                <w:color w:val="000000"/>
                <w:sz w:val="20"/>
                <w:szCs w:val="20"/>
              </w:rPr>
              <w:t xml:space="preserve"> </w:t>
            </w:r>
            <w:proofErr w:type="spellStart"/>
            <w:r w:rsidRPr="00D84719">
              <w:rPr>
                <w:color w:val="000000"/>
                <w:sz w:val="20"/>
                <w:szCs w:val="20"/>
              </w:rPr>
              <w:t>Substances</w:t>
            </w:r>
            <w:proofErr w:type="spellEnd"/>
            <w:r w:rsidRPr="00D84719">
              <w:rPr>
                <w:color w:val="000000"/>
                <w:sz w:val="20"/>
                <w:szCs w:val="20"/>
              </w:rPr>
              <w:t xml:space="preserve"> are </w:t>
            </w:r>
            <w:proofErr w:type="spellStart"/>
            <w:r w:rsidRPr="00D84719">
              <w:rPr>
                <w:color w:val="000000"/>
                <w:sz w:val="20"/>
                <w:szCs w:val="20"/>
              </w:rPr>
              <w:t>Present</w:t>
            </w:r>
            <w:proofErr w:type="spellEnd"/>
            <w:r w:rsidRPr="00D84719">
              <w:rPr>
                <w:color w:val="000000"/>
                <w:sz w:val="20"/>
                <w:szCs w:val="20"/>
              </w:rPr>
              <w:t xml:space="preserve"> </w:t>
            </w:r>
            <w:proofErr w:type="spellStart"/>
            <w:r w:rsidRPr="00D84719">
              <w:rPr>
                <w:color w:val="000000"/>
                <w:sz w:val="20"/>
                <w:szCs w:val="20"/>
              </w:rPr>
              <w:t>and</w:t>
            </w:r>
            <w:proofErr w:type="spellEnd"/>
            <w:r w:rsidRPr="00D84719">
              <w:rPr>
                <w:color w:val="000000"/>
                <w:sz w:val="20"/>
                <w:szCs w:val="20"/>
              </w:rPr>
              <w:t xml:space="preserve"> </w:t>
            </w:r>
            <w:proofErr w:type="spellStart"/>
            <w:r w:rsidRPr="00D84719">
              <w:rPr>
                <w:color w:val="000000"/>
                <w:sz w:val="20"/>
                <w:szCs w:val="20"/>
              </w:rPr>
              <w:t>the</w:t>
            </w:r>
            <w:proofErr w:type="spellEnd"/>
            <w:r w:rsidRPr="00D84719">
              <w:rPr>
                <w:color w:val="000000"/>
                <w:sz w:val="20"/>
                <w:szCs w:val="20"/>
              </w:rPr>
              <w:t xml:space="preserve"> </w:t>
            </w:r>
            <w:proofErr w:type="spellStart"/>
            <w:r w:rsidRPr="00D84719">
              <w:rPr>
                <w:color w:val="000000"/>
                <w:sz w:val="20"/>
                <w:szCs w:val="20"/>
              </w:rPr>
              <w:t>Register</w:t>
            </w:r>
            <w:proofErr w:type="spellEnd"/>
            <w:r w:rsidRPr="00D84719">
              <w:rPr>
                <w:color w:val="000000"/>
                <w:sz w:val="20"/>
                <w:szCs w:val="20"/>
              </w:rPr>
              <w:t xml:space="preserve"> </w:t>
            </w:r>
            <w:proofErr w:type="spellStart"/>
            <w:r w:rsidRPr="00D84719">
              <w:rPr>
                <w:color w:val="000000"/>
                <w:sz w:val="20"/>
                <w:szCs w:val="20"/>
              </w:rPr>
              <w:t>of</w:t>
            </w:r>
            <w:proofErr w:type="spellEnd"/>
            <w:r w:rsidRPr="00D84719">
              <w:rPr>
                <w:color w:val="000000"/>
                <w:sz w:val="20"/>
                <w:szCs w:val="20"/>
              </w:rPr>
              <w:t xml:space="preserve"> </w:t>
            </w:r>
            <w:proofErr w:type="spellStart"/>
            <w:r w:rsidRPr="00D84719">
              <w:rPr>
                <w:color w:val="000000"/>
                <w:sz w:val="20"/>
                <w:szCs w:val="20"/>
              </w:rPr>
              <w:t>Reported</w:t>
            </w:r>
            <w:proofErr w:type="spellEnd"/>
            <w:r w:rsidRPr="00D84719">
              <w:rPr>
                <w:color w:val="000000"/>
                <w:sz w:val="20"/>
                <w:szCs w:val="20"/>
              </w:rPr>
              <w:t xml:space="preserve"> Major </w:t>
            </w:r>
            <w:proofErr w:type="spellStart"/>
            <w:r w:rsidRPr="00D84719">
              <w:rPr>
                <w:color w:val="000000"/>
                <w:sz w:val="20"/>
                <w:szCs w:val="20"/>
              </w:rPr>
              <w:t>Accidents</w:t>
            </w:r>
            <w:proofErr w:type="spellEnd"/>
            <w:r w:rsidRPr="00D84719">
              <w:rPr>
                <w:color w:val="000000"/>
                <w:sz w:val="20"/>
                <w:szCs w:val="20"/>
              </w:rPr>
              <w:t xml:space="preserve"> (REDS/RRMA)</w:t>
            </w:r>
          </w:p>
        </w:tc>
      </w:tr>
      <w:tr w:rsidR="00D84719" w:rsidRPr="00D84719" w14:paraId="3DEA917C" w14:textId="77777777" w:rsidTr="00F831D6">
        <w:tc>
          <w:tcPr>
            <w:tcW w:w="725" w:type="pct"/>
            <w:vAlign w:val="center"/>
          </w:tcPr>
          <w:p w14:paraId="3893ED90" w14:textId="77777777" w:rsidR="00D84719" w:rsidRPr="00D84719" w:rsidRDefault="00D84719" w:rsidP="00D84719">
            <w:pPr>
              <w:rPr>
                <w:b/>
                <w:bCs/>
                <w:color w:val="000000"/>
                <w:sz w:val="20"/>
                <w:szCs w:val="20"/>
              </w:rPr>
            </w:pPr>
            <w:r w:rsidRPr="00D84719">
              <w:rPr>
                <w:b/>
                <w:bCs/>
                <w:color w:val="000000"/>
                <w:sz w:val="20"/>
                <w:szCs w:val="20"/>
              </w:rPr>
              <w:t>SKVO</w:t>
            </w:r>
          </w:p>
        </w:tc>
        <w:tc>
          <w:tcPr>
            <w:tcW w:w="2322" w:type="pct"/>
            <w:vAlign w:val="center"/>
          </w:tcPr>
          <w:p w14:paraId="1E0D73F9" w14:textId="77777777" w:rsidR="00D84719" w:rsidRPr="00D84719" w:rsidRDefault="00D84719" w:rsidP="00D84719">
            <w:pPr>
              <w:rPr>
                <w:color w:val="000000"/>
                <w:sz w:val="20"/>
                <w:szCs w:val="20"/>
              </w:rPr>
            </w:pPr>
            <w:r w:rsidRPr="00D84719">
              <w:rPr>
                <w:color w:val="000000"/>
                <w:sz w:val="20"/>
                <w:szCs w:val="20"/>
                <w:shd w:val="clear" w:color="auto" w:fill="FFFFFF"/>
              </w:rPr>
              <w:t>Standard kakvoće vodnog okoliša</w:t>
            </w:r>
          </w:p>
        </w:tc>
        <w:tc>
          <w:tcPr>
            <w:tcW w:w="1953" w:type="pct"/>
            <w:vAlign w:val="center"/>
          </w:tcPr>
          <w:p w14:paraId="0526D5F3" w14:textId="77777777" w:rsidR="00D84719" w:rsidRPr="00D84719" w:rsidRDefault="00D84719" w:rsidP="00D84719">
            <w:pPr>
              <w:rPr>
                <w:color w:val="000000"/>
                <w:sz w:val="20"/>
                <w:szCs w:val="20"/>
              </w:rPr>
            </w:pPr>
          </w:p>
        </w:tc>
      </w:tr>
      <w:tr w:rsidR="00D84719" w:rsidRPr="00D84719" w14:paraId="4F7AA362" w14:textId="77777777" w:rsidTr="00F831D6">
        <w:tc>
          <w:tcPr>
            <w:tcW w:w="725" w:type="pct"/>
            <w:vAlign w:val="center"/>
          </w:tcPr>
          <w:p w14:paraId="6ADC2374" w14:textId="77777777" w:rsidR="00D84719" w:rsidRPr="00D84719" w:rsidRDefault="00D84719" w:rsidP="00D84719">
            <w:pPr>
              <w:rPr>
                <w:b/>
                <w:bCs/>
                <w:color w:val="000000"/>
                <w:sz w:val="20"/>
                <w:szCs w:val="20"/>
              </w:rPr>
            </w:pPr>
            <w:r w:rsidRPr="00D84719">
              <w:rPr>
                <w:b/>
                <w:bCs/>
                <w:color w:val="000000"/>
                <w:sz w:val="20"/>
                <w:szCs w:val="20"/>
              </w:rPr>
              <w:t>TEQ</w:t>
            </w:r>
          </w:p>
        </w:tc>
        <w:tc>
          <w:tcPr>
            <w:tcW w:w="2322" w:type="pct"/>
            <w:vAlign w:val="center"/>
          </w:tcPr>
          <w:p w14:paraId="1A48F814" w14:textId="77777777" w:rsidR="00D84719" w:rsidRPr="00D84719" w:rsidRDefault="00D84719" w:rsidP="00D84719">
            <w:pPr>
              <w:rPr>
                <w:color w:val="000000"/>
                <w:sz w:val="20"/>
                <w:szCs w:val="20"/>
              </w:rPr>
            </w:pPr>
            <w:r w:rsidRPr="00D84719">
              <w:rPr>
                <w:color w:val="000000"/>
                <w:sz w:val="20"/>
                <w:szCs w:val="20"/>
              </w:rPr>
              <w:t>Toksični ekvivalent</w:t>
            </w:r>
          </w:p>
        </w:tc>
        <w:tc>
          <w:tcPr>
            <w:tcW w:w="1953" w:type="pct"/>
            <w:vAlign w:val="center"/>
          </w:tcPr>
          <w:p w14:paraId="7C61D022" w14:textId="77777777" w:rsidR="00D84719" w:rsidRPr="00D84719" w:rsidRDefault="00D84719" w:rsidP="00D84719">
            <w:pPr>
              <w:rPr>
                <w:color w:val="000000"/>
                <w:sz w:val="20"/>
                <w:szCs w:val="20"/>
              </w:rPr>
            </w:pPr>
            <w:proofErr w:type="spellStart"/>
            <w:r w:rsidRPr="00D84719">
              <w:rPr>
                <w:color w:val="000000"/>
                <w:sz w:val="20"/>
                <w:szCs w:val="20"/>
                <w:shd w:val="clear" w:color="auto" w:fill="FFFFFF"/>
              </w:rPr>
              <w:t>Toxic</w:t>
            </w:r>
            <w:proofErr w:type="spellEnd"/>
            <w:r w:rsidRPr="00D84719">
              <w:rPr>
                <w:color w:val="000000"/>
                <w:sz w:val="20"/>
                <w:szCs w:val="20"/>
                <w:shd w:val="clear" w:color="auto" w:fill="FFFFFF"/>
              </w:rPr>
              <w:t> </w:t>
            </w:r>
            <w:proofErr w:type="spellStart"/>
            <w:r w:rsidRPr="00D84719">
              <w:rPr>
                <w:color w:val="000000"/>
                <w:sz w:val="20"/>
                <w:szCs w:val="20"/>
                <w:shd w:val="clear" w:color="auto" w:fill="FFFFFF"/>
              </w:rPr>
              <w:t>Equivalents</w:t>
            </w:r>
            <w:proofErr w:type="spellEnd"/>
          </w:p>
        </w:tc>
      </w:tr>
      <w:tr w:rsidR="00D84719" w:rsidRPr="00D84719" w14:paraId="4347A093" w14:textId="77777777" w:rsidTr="00F831D6">
        <w:tc>
          <w:tcPr>
            <w:tcW w:w="725" w:type="pct"/>
            <w:vAlign w:val="center"/>
          </w:tcPr>
          <w:p w14:paraId="2EDACA55" w14:textId="77777777" w:rsidR="00D84719" w:rsidRPr="00D84719" w:rsidRDefault="00D84719" w:rsidP="00D84719">
            <w:pPr>
              <w:rPr>
                <w:b/>
                <w:bCs/>
                <w:color w:val="000000"/>
                <w:sz w:val="20"/>
                <w:szCs w:val="20"/>
              </w:rPr>
            </w:pPr>
            <w:r w:rsidRPr="00D84719">
              <w:rPr>
                <w:b/>
                <w:bCs/>
                <w:color w:val="000000"/>
                <w:sz w:val="20"/>
                <w:szCs w:val="20"/>
              </w:rPr>
              <w:t>UNEP</w:t>
            </w:r>
          </w:p>
        </w:tc>
        <w:tc>
          <w:tcPr>
            <w:tcW w:w="2322" w:type="pct"/>
            <w:vAlign w:val="center"/>
          </w:tcPr>
          <w:p w14:paraId="1A90EFA7" w14:textId="77777777" w:rsidR="00D84719" w:rsidRPr="00D84719" w:rsidRDefault="00D84719" w:rsidP="00D84719">
            <w:pPr>
              <w:rPr>
                <w:color w:val="000000"/>
                <w:sz w:val="20"/>
                <w:szCs w:val="20"/>
              </w:rPr>
            </w:pPr>
            <w:r w:rsidRPr="00D84719">
              <w:rPr>
                <w:color w:val="000000"/>
                <w:sz w:val="20"/>
                <w:szCs w:val="20"/>
              </w:rPr>
              <w:t>Program Ujedinjenih naroda za okoliš</w:t>
            </w:r>
          </w:p>
        </w:tc>
        <w:tc>
          <w:tcPr>
            <w:tcW w:w="1953" w:type="pct"/>
            <w:vAlign w:val="center"/>
          </w:tcPr>
          <w:p w14:paraId="4546AC2A" w14:textId="77777777" w:rsidR="00D84719" w:rsidRPr="00D84719" w:rsidRDefault="00D84719" w:rsidP="00D84719">
            <w:pPr>
              <w:rPr>
                <w:color w:val="000000"/>
                <w:sz w:val="20"/>
                <w:szCs w:val="20"/>
              </w:rPr>
            </w:pPr>
            <w:r w:rsidRPr="00D84719">
              <w:rPr>
                <w:color w:val="000000"/>
                <w:sz w:val="20"/>
                <w:szCs w:val="20"/>
              </w:rPr>
              <w:t xml:space="preserve">United Nations </w:t>
            </w:r>
            <w:proofErr w:type="spellStart"/>
            <w:r w:rsidRPr="00D84719">
              <w:rPr>
                <w:color w:val="000000"/>
                <w:sz w:val="20"/>
                <w:szCs w:val="20"/>
              </w:rPr>
              <w:t>Environment</w:t>
            </w:r>
            <w:proofErr w:type="spellEnd"/>
            <w:r w:rsidRPr="00D84719">
              <w:rPr>
                <w:color w:val="000000"/>
                <w:sz w:val="20"/>
                <w:szCs w:val="20"/>
              </w:rPr>
              <w:t xml:space="preserve"> </w:t>
            </w:r>
            <w:proofErr w:type="spellStart"/>
            <w:r w:rsidRPr="00D84719">
              <w:rPr>
                <w:color w:val="000000"/>
                <w:sz w:val="20"/>
                <w:szCs w:val="20"/>
              </w:rPr>
              <w:t>Programme</w:t>
            </w:r>
            <w:proofErr w:type="spellEnd"/>
          </w:p>
        </w:tc>
      </w:tr>
      <w:tr w:rsidR="00D84719" w:rsidRPr="00D84719" w14:paraId="38D9FF87" w14:textId="77777777" w:rsidTr="00F831D6">
        <w:tc>
          <w:tcPr>
            <w:tcW w:w="725" w:type="pct"/>
            <w:vAlign w:val="center"/>
          </w:tcPr>
          <w:p w14:paraId="2DE7EEA9" w14:textId="77777777" w:rsidR="00D84719" w:rsidRPr="00D84719" w:rsidRDefault="00D84719" w:rsidP="00D84719">
            <w:pPr>
              <w:rPr>
                <w:b/>
                <w:bCs/>
                <w:color w:val="000000"/>
                <w:sz w:val="20"/>
                <w:szCs w:val="20"/>
              </w:rPr>
            </w:pPr>
            <w:proofErr w:type="spellStart"/>
            <w:r w:rsidRPr="00D84719">
              <w:rPr>
                <w:b/>
                <w:bCs/>
                <w:color w:val="000000"/>
                <w:sz w:val="20"/>
                <w:szCs w:val="20"/>
                <w:lang w:bidi="en-US"/>
              </w:rPr>
              <w:t>UPOPs</w:t>
            </w:r>
            <w:proofErr w:type="spellEnd"/>
          </w:p>
        </w:tc>
        <w:tc>
          <w:tcPr>
            <w:tcW w:w="2322" w:type="pct"/>
            <w:vAlign w:val="center"/>
          </w:tcPr>
          <w:p w14:paraId="35BB9945" w14:textId="77777777" w:rsidR="00D84719" w:rsidRPr="00D84719" w:rsidRDefault="00D84719" w:rsidP="00D84719">
            <w:pPr>
              <w:rPr>
                <w:color w:val="000000"/>
                <w:sz w:val="20"/>
                <w:szCs w:val="20"/>
              </w:rPr>
            </w:pPr>
            <w:r w:rsidRPr="00D84719">
              <w:rPr>
                <w:color w:val="000000"/>
                <w:sz w:val="20"/>
                <w:szCs w:val="20"/>
                <w:lang w:bidi="en-US"/>
              </w:rPr>
              <w:t>Nenamjerno proizvedeni POPs-ovi</w:t>
            </w:r>
          </w:p>
        </w:tc>
        <w:tc>
          <w:tcPr>
            <w:tcW w:w="1953" w:type="pct"/>
            <w:vAlign w:val="center"/>
          </w:tcPr>
          <w:p w14:paraId="78F3B7AA" w14:textId="77777777" w:rsidR="00D84719" w:rsidRPr="00D84719" w:rsidRDefault="00D84719" w:rsidP="00D84719">
            <w:pPr>
              <w:rPr>
                <w:color w:val="000000"/>
                <w:sz w:val="20"/>
                <w:szCs w:val="20"/>
              </w:rPr>
            </w:pPr>
            <w:proofErr w:type="spellStart"/>
            <w:r w:rsidRPr="00D84719">
              <w:rPr>
                <w:color w:val="000000"/>
                <w:sz w:val="20"/>
                <w:szCs w:val="20"/>
              </w:rPr>
              <w:t>Unintentionally</w:t>
            </w:r>
            <w:proofErr w:type="spellEnd"/>
            <w:r w:rsidRPr="00D84719">
              <w:rPr>
                <w:color w:val="000000"/>
                <w:sz w:val="20"/>
                <w:szCs w:val="20"/>
              </w:rPr>
              <w:t xml:space="preserve"> </w:t>
            </w:r>
            <w:proofErr w:type="spellStart"/>
            <w:r w:rsidRPr="00D84719">
              <w:rPr>
                <w:color w:val="000000"/>
                <w:sz w:val="20"/>
                <w:szCs w:val="20"/>
              </w:rPr>
              <w:t>produced</w:t>
            </w:r>
            <w:proofErr w:type="spellEnd"/>
            <w:r w:rsidRPr="00D84719">
              <w:rPr>
                <w:color w:val="000000"/>
                <w:sz w:val="20"/>
                <w:szCs w:val="20"/>
              </w:rPr>
              <w:t xml:space="preserve"> POPs</w:t>
            </w:r>
          </w:p>
        </w:tc>
      </w:tr>
      <w:tr w:rsidR="006A4FA2" w:rsidRPr="00D84719" w14:paraId="0C2AE491" w14:textId="77777777" w:rsidTr="00F831D6">
        <w:tc>
          <w:tcPr>
            <w:tcW w:w="725" w:type="pct"/>
            <w:vAlign w:val="center"/>
          </w:tcPr>
          <w:p w14:paraId="1E2CA0CE" w14:textId="77777777" w:rsidR="006A4FA2" w:rsidRPr="00D84719" w:rsidRDefault="006A4FA2" w:rsidP="00D84719">
            <w:pPr>
              <w:rPr>
                <w:b/>
                <w:bCs/>
                <w:color w:val="000000"/>
                <w:sz w:val="20"/>
                <w:szCs w:val="20"/>
                <w:lang w:bidi="en-US"/>
              </w:rPr>
            </w:pPr>
            <w:r>
              <w:rPr>
                <w:b/>
                <w:bCs/>
                <w:color w:val="000000"/>
                <w:sz w:val="20"/>
                <w:szCs w:val="20"/>
                <w:lang w:bidi="en-US"/>
              </w:rPr>
              <w:t>ZZOP</w:t>
            </w:r>
          </w:p>
        </w:tc>
        <w:tc>
          <w:tcPr>
            <w:tcW w:w="2322" w:type="pct"/>
            <w:vAlign w:val="center"/>
          </w:tcPr>
          <w:p w14:paraId="3121D29B" w14:textId="77777777" w:rsidR="006A4FA2" w:rsidRPr="00D84719" w:rsidRDefault="006A4FA2" w:rsidP="006A4FA2">
            <w:pPr>
              <w:rPr>
                <w:color w:val="000000"/>
                <w:sz w:val="20"/>
                <w:szCs w:val="20"/>
                <w:lang w:bidi="en-US"/>
              </w:rPr>
            </w:pPr>
            <w:r>
              <w:rPr>
                <w:color w:val="000000"/>
                <w:sz w:val="20"/>
                <w:szCs w:val="20"/>
                <w:lang w:bidi="en-US"/>
              </w:rPr>
              <w:t>Zavod za zaštitu okoliša i prirode</w:t>
            </w:r>
          </w:p>
        </w:tc>
        <w:tc>
          <w:tcPr>
            <w:tcW w:w="1953" w:type="pct"/>
            <w:vAlign w:val="center"/>
          </w:tcPr>
          <w:p w14:paraId="799960FE" w14:textId="77777777" w:rsidR="006A4FA2" w:rsidRPr="00D84719" w:rsidRDefault="006A4FA2" w:rsidP="00D84719">
            <w:pPr>
              <w:rPr>
                <w:color w:val="000000"/>
                <w:sz w:val="20"/>
                <w:szCs w:val="20"/>
              </w:rPr>
            </w:pPr>
          </w:p>
        </w:tc>
      </w:tr>
    </w:tbl>
    <w:p w14:paraId="648F3E8E" w14:textId="77777777" w:rsidR="001C384F" w:rsidRDefault="001C384F" w:rsidP="001C384F">
      <w:pPr>
        <w:sectPr w:rsidR="001C384F" w:rsidSect="00A44A1D">
          <w:headerReference w:type="first" r:id="rId9"/>
          <w:footerReference w:type="first" r:id="rId10"/>
          <w:pgSz w:w="11906" w:h="16838" w:code="9"/>
          <w:pgMar w:top="1417" w:right="1417" w:bottom="1417" w:left="1417" w:header="57" w:footer="0" w:gutter="0"/>
          <w:cols w:space="708"/>
          <w:docGrid w:linePitch="360"/>
        </w:sectPr>
      </w:pPr>
    </w:p>
    <w:p w14:paraId="665FAA0C" w14:textId="77777777" w:rsidR="00D84719" w:rsidRPr="00D84719" w:rsidRDefault="00D84719" w:rsidP="00636BDD">
      <w:pPr>
        <w:pStyle w:val="Naslov1"/>
      </w:pPr>
      <w:bookmarkStart w:id="0" w:name="_Toc64460657"/>
      <w:r w:rsidRPr="00D84719">
        <w:lastRenderedPageBreak/>
        <w:t>UVOD</w:t>
      </w:r>
      <w:bookmarkEnd w:id="0"/>
    </w:p>
    <w:p w14:paraId="7F0B6DBD"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 xml:space="preserve">Postojane organske onečišćujuće tvari, </w:t>
      </w:r>
      <w:proofErr w:type="spellStart"/>
      <w:r w:rsidRPr="00D84719">
        <w:rPr>
          <w:rFonts w:ascii="Times New Roman" w:eastAsia="Times New Roman" w:hAnsi="Times New Roman" w:cs="Times New Roman"/>
          <w:color w:val="000000"/>
          <w:sz w:val="24"/>
          <w:szCs w:val="24"/>
        </w:rPr>
        <w:t>eng</w:t>
      </w:r>
      <w:proofErr w:type="spellEnd"/>
      <w:r w:rsidRPr="00D84719">
        <w:rPr>
          <w:rFonts w:ascii="Times New Roman" w:eastAsia="Times New Roman" w:hAnsi="Times New Roman" w:cs="Times New Roman"/>
          <w:color w:val="000000"/>
          <w:sz w:val="24"/>
          <w:szCs w:val="24"/>
        </w:rPr>
        <w:t xml:space="preserve">. </w:t>
      </w:r>
      <w:proofErr w:type="spellStart"/>
      <w:r w:rsidRPr="00D84719">
        <w:rPr>
          <w:rFonts w:ascii="Times New Roman" w:eastAsia="Times New Roman" w:hAnsi="Times New Roman" w:cs="Times New Roman"/>
          <w:i/>
          <w:color w:val="000000"/>
          <w:sz w:val="24"/>
          <w:szCs w:val="24"/>
        </w:rPr>
        <w:t>Persistent</w:t>
      </w:r>
      <w:proofErr w:type="spellEnd"/>
      <w:r w:rsidRPr="00D84719">
        <w:rPr>
          <w:rFonts w:ascii="Times New Roman" w:eastAsia="Times New Roman" w:hAnsi="Times New Roman" w:cs="Times New Roman"/>
          <w:i/>
          <w:color w:val="000000"/>
          <w:sz w:val="24"/>
          <w:szCs w:val="24"/>
        </w:rPr>
        <w:t xml:space="preserve"> </w:t>
      </w:r>
      <w:proofErr w:type="spellStart"/>
      <w:r w:rsidRPr="00D84719">
        <w:rPr>
          <w:rFonts w:ascii="Times New Roman" w:eastAsia="Times New Roman" w:hAnsi="Times New Roman" w:cs="Times New Roman"/>
          <w:i/>
          <w:color w:val="000000"/>
          <w:sz w:val="24"/>
          <w:szCs w:val="24"/>
        </w:rPr>
        <w:t>Organic</w:t>
      </w:r>
      <w:proofErr w:type="spellEnd"/>
      <w:r w:rsidRPr="00D84719">
        <w:rPr>
          <w:rFonts w:ascii="Times New Roman" w:eastAsia="Times New Roman" w:hAnsi="Times New Roman" w:cs="Times New Roman"/>
          <w:i/>
          <w:color w:val="000000"/>
          <w:sz w:val="24"/>
          <w:szCs w:val="24"/>
        </w:rPr>
        <w:t xml:space="preserve"> </w:t>
      </w:r>
      <w:proofErr w:type="spellStart"/>
      <w:r w:rsidRPr="00D84719">
        <w:rPr>
          <w:rFonts w:ascii="Times New Roman" w:eastAsia="Times New Roman" w:hAnsi="Times New Roman" w:cs="Times New Roman"/>
          <w:i/>
          <w:color w:val="000000"/>
          <w:sz w:val="24"/>
          <w:szCs w:val="24"/>
        </w:rPr>
        <w:t>Pollutants</w:t>
      </w:r>
      <w:proofErr w:type="spellEnd"/>
      <w:r w:rsidRPr="00D84719">
        <w:rPr>
          <w:rFonts w:ascii="Times New Roman" w:eastAsia="Times New Roman" w:hAnsi="Times New Roman" w:cs="Times New Roman"/>
          <w:color w:val="000000"/>
          <w:sz w:val="24"/>
          <w:szCs w:val="24"/>
        </w:rPr>
        <w:t xml:space="preserve"> (u </w:t>
      </w:r>
      <w:r w:rsidRPr="00D84719">
        <w:rPr>
          <w:rFonts w:ascii="Times New Roman" w:eastAsia="Times New Roman" w:hAnsi="Times New Roman" w:cs="Times New Roman"/>
          <w:i/>
          <w:iCs/>
          <w:color w:val="000000"/>
          <w:sz w:val="24"/>
          <w:szCs w:val="24"/>
        </w:rPr>
        <w:t>daljnjem tekstu</w:t>
      </w:r>
      <w:r w:rsidRPr="00D84719">
        <w:rPr>
          <w:rFonts w:ascii="Times New Roman" w:eastAsia="Times New Roman" w:hAnsi="Times New Roman" w:cs="Times New Roman"/>
          <w:color w:val="000000"/>
          <w:sz w:val="24"/>
          <w:szCs w:val="24"/>
        </w:rPr>
        <w:t>: POPs) obuhvaćaju veliki broj toksičnih organskih spojeva koji se u različitom stupnju odupiru fotolitičkoj, biološkoj i kemijskoj degradaciji te posjeduju sljedeća svojstva: toksičnost, postojanost (otpornost na kemijsku, fotokemijsku i biološku razgradnju), nakupljanje u živim organizmima (bioakumuliranje, najčešće u masnom tkivu), sklonost prijenosu na velike udaljenosti (zbog svojstva djelomične hlapljivosti nalaze se u parnoj fazi ili se apsorbiraju na čestice u atmosferi) i štetno djelovanje na okoliš i ljudsko zdravlje.</w:t>
      </w:r>
    </w:p>
    <w:p w14:paraId="747DF4A0"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POPs-ovi ispušteni u atmosferu prenose se na velike udaljenosti, mogu se taložiti na bilo kojem mjestu na svijetu, ne mogu se ukloniti, intenzivno se nakupljaju u prehrambenom lancu i kao takvi imaju štetan utjecaj na sve sastavnice okoliša.</w:t>
      </w:r>
    </w:p>
    <w:p w14:paraId="1F1E9FD4"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Na temelju mnogobrojnih istraživanja, posljedica uporabe postojanih organskih onečišćujućih tvari u poljoprivredi, veterinarstvu, šumarstvu i industriji te ispuštanja ovih tvari u atmosferu, vode i tlo, došlo se do znanstvenih spoznaja kako je njihova uporaba štetna po zdravlje ljudi, naročito u zemljama u razvoju te posebice na žene i preko njih na buduće generacije.</w:t>
      </w:r>
    </w:p>
    <w:p w14:paraId="74E64BAC"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 xml:space="preserve">Stockholmska konvencija jedan je od međunarodnih ugovora čije su se odredbe prvobitno odnosile na skupinu od 12 postojanih organskih onečišćujućih tvari, ponekad popularno nazvanih „Dvanaest prljavih“ koji su na temelju njihovog štetnog utjecaja na okoliš svrstani u tri glavne skupine: pesticidi, industrijske kemikalije i nenamjerno proizvedeni POPs-ovi (međuprodukti). No prihvaćanjem Odluka o izmjenama i dopunama dodataka </w:t>
      </w:r>
      <w:r w:rsidR="00A64981">
        <w:rPr>
          <w:rFonts w:ascii="Times New Roman" w:eastAsia="Times New Roman" w:hAnsi="Times New Roman" w:cs="Times New Roman"/>
          <w:color w:val="000000"/>
          <w:sz w:val="24"/>
          <w:szCs w:val="24"/>
        </w:rPr>
        <w:t>A, B i C</w:t>
      </w:r>
      <w:r w:rsidRPr="00D84719">
        <w:rPr>
          <w:rFonts w:ascii="Times New Roman" w:eastAsia="Times New Roman" w:hAnsi="Times New Roman" w:cs="Times New Roman"/>
          <w:color w:val="000000"/>
          <w:sz w:val="24"/>
          <w:szCs w:val="24"/>
        </w:rPr>
        <w:t xml:space="preserve"> Stockholmske konvencije na četvrtoj, petoj i šestoj konferenciji stranaka Konvencija je nadopunjena s još 11 novih te sedmoj i osmoj konferenciji stranaka, nadopunjena je s još pet. </w:t>
      </w:r>
    </w:p>
    <w:p w14:paraId="41F20683"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Stockholmska konvencija je usmjerena na smanjenje i gdje je prikladno sprječavanje ispuštanja, postojanih organskih spojeva u okoliš, a danas popis broji 28 tvari ili skupina tvari s uvjetima koje svaka stranka Konvencije treba ispuniti kako bi se postiglo ukidanje proizvodnje, uporabe, uvoza i izvoza postojanih organskih onečišćujućih tvari</w:t>
      </w:r>
      <w:r w:rsidRPr="00D84719" w:rsidDel="006A4633">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na globalnoj razini. Kao posljedica toga postiglo bi se značajno smanjenje ili potpuno uklanjanje ispuštanja tih tvari u okolišu.</w:t>
      </w:r>
    </w:p>
    <w:p w14:paraId="7CF0A155" w14:textId="0E741838"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Republika Hrvatska potpisala je Konvenciju u svibnju 2001., dok je Hrvatski sabor na sjednici održanoj 30. studenoga 2006. donio odluku o proglašenju Zakona o potvrđivanju Stockholmske konvencije o postojanim organskim onečišćujućim tvarima („Narodne novine –Međunarodni ugovori“, broj 11/06). Konvencija je stupila na snagu u odnosu na Republiku Hrvatsku 30. travnja</w:t>
      </w:r>
      <w:r w:rsidR="001B5C46">
        <w:rPr>
          <w:rFonts w:ascii="Times New Roman" w:eastAsia="Times New Roman" w:hAnsi="Times New Roman" w:cs="Times New Roman"/>
          <w:color w:val="000000"/>
          <w:sz w:val="24"/>
          <w:szCs w:val="24"/>
        </w:rPr>
        <w:t xml:space="preserve"> 20</w:t>
      </w:r>
      <w:r w:rsidRPr="00D84719">
        <w:rPr>
          <w:rFonts w:ascii="Times New Roman" w:eastAsia="Times New Roman" w:hAnsi="Times New Roman" w:cs="Times New Roman"/>
          <w:color w:val="000000"/>
          <w:sz w:val="24"/>
          <w:szCs w:val="24"/>
        </w:rPr>
        <w:t>07</w:t>
      </w:r>
      <w:r w:rsidR="004C449C">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 xml:space="preserve"> („Narodne novine – Međunarodni ugovori“, broj 2/07).</w:t>
      </w:r>
    </w:p>
    <w:p w14:paraId="366A409A"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Sukladno obvezama iz članka 7. Stockholmske konvencije, Republika Hrvatska izradila je prvi Nacionalni plan za provedbu Stockholmske konvencije (u daljnjem tekstu: NIP) koji je prihvaćen od strane Vlade Republike Hrvatske Odlukom o prihvaćanju Nacionalnog plana za provedbu Stockholmske konvencije o postojanim organskim onečišćujućim tvarima („Narodne novine“, broj 145/08). Kao stranka Stockholmske konvencije, Republika Hrvatska dostavila je Prvi NIP Tajništvu Stockholmske konvencije u travnju 2009..</w:t>
      </w:r>
    </w:p>
    <w:p w14:paraId="253D1E34"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lastRenderedPageBreak/>
        <w:t xml:space="preserve">Prihvaćanjem Odluka o izmjenama i dopunama dodataka </w:t>
      </w:r>
      <w:r w:rsidR="00A64981">
        <w:rPr>
          <w:rFonts w:ascii="Times New Roman" w:eastAsia="Times New Roman" w:hAnsi="Times New Roman" w:cs="Times New Roman"/>
          <w:color w:val="000000"/>
          <w:sz w:val="24"/>
          <w:szCs w:val="24"/>
        </w:rPr>
        <w:t>A, B i C</w:t>
      </w:r>
      <w:r w:rsidRPr="00D84719">
        <w:rPr>
          <w:rFonts w:ascii="Times New Roman" w:eastAsia="Times New Roman" w:hAnsi="Times New Roman" w:cs="Times New Roman"/>
          <w:color w:val="000000"/>
          <w:sz w:val="24"/>
          <w:szCs w:val="24"/>
        </w:rPr>
        <w:t xml:space="preserve"> Stockholmske konvencije 2009., 2011. i 2013. na četvrtoj, petoj i šestoj konferenciji stranaka, Stockholmska konvencija je nadopunjena s još 11 novih POPs-ova. Izmjene i dopune Dodataka </w:t>
      </w:r>
      <w:r w:rsidR="00A64981">
        <w:rPr>
          <w:rFonts w:ascii="Times New Roman" w:eastAsia="Times New Roman" w:hAnsi="Times New Roman" w:cs="Times New Roman"/>
          <w:color w:val="000000"/>
          <w:sz w:val="24"/>
          <w:szCs w:val="24"/>
        </w:rPr>
        <w:t>A, B i C</w:t>
      </w:r>
      <w:r w:rsidRPr="00D84719">
        <w:rPr>
          <w:rFonts w:ascii="Times New Roman" w:eastAsia="Times New Roman" w:hAnsi="Times New Roman" w:cs="Times New Roman"/>
          <w:color w:val="000000"/>
          <w:sz w:val="24"/>
          <w:szCs w:val="24"/>
        </w:rPr>
        <w:t xml:space="preserve"> stupile su na snagu u kolovozu</w:t>
      </w:r>
      <w:r w:rsidR="001B5C46">
        <w:rPr>
          <w:rFonts w:ascii="Times New Roman" w:eastAsia="Times New Roman" w:hAnsi="Times New Roman" w:cs="Times New Roman"/>
          <w:color w:val="000000"/>
          <w:sz w:val="24"/>
          <w:szCs w:val="24"/>
        </w:rPr>
        <w:t xml:space="preserve"> 20</w:t>
      </w:r>
      <w:r w:rsidRPr="00D84719">
        <w:rPr>
          <w:rFonts w:ascii="Times New Roman" w:eastAsia="Times New Roman" w:hAnsi="Times New Roman" w:cs="Times New Roman"/>
          <w:color w:val="000000"/>
          <w:sz w:val="24"/>
          <w:szCs w:val="24"/>
        </w:rPr>
        <w:t xml:space="preserve">10. za devet POPs-ova (alfa i beta heksaklorcikloheksan (alfa- i beta-HCH), klordekon, heksabromobifenil, lindan, pentaklorobenzen, perfluorooktan sulfonska kiselina (PFOS) i njezine soli i perfluorooktan sulfonil fluorid (PFOS-F), tetrabromodifenileter i pentabromodifenil eter). Dodatne izmjene i dopune Dodatka </w:t>
      </w:r>
      <w:r w:rsidR="00A64981">
        <w:rPr>
          <w:rFonts w:ascii="Times New Roman" w:eastAsia="Times New Roman" w:hAnsi="Times New Roman" w:cs="Times New Roman"/>
          <w:color w:val="000000"/>
          <w:sz w:val="24"/>
          <w:szCs w:val="24"/>
        </w:rPr>
        <w:t>A,</w:t>
      </w:r>
      <w:r w:rsidR="00612979">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xml:space="preserve">uz uključivanje tehničkog endosulfana stupile su na snagu u listopadu 2012., sukladno članku 22. stavku 3(c) Stockholmske konvencije. Izmjene i dopune Dodatka </w:t>
      </w:r>
      <w:r w:rsidR="00A64981">
        <w:rPr>
          <w:rFonts w:ascii="Times New Roman" w:eastAsia="Times New Roman" w:hAnsi="Times New Roman" w:cs="Times New Roman"/>
          <w:color w:val="000000"/>
          <w:sz w:val="24"/>
          <w:szCs w:val="24"/>
        </w:rPr>
        <w:t>A</w:t>
      </w:r>
      <w:r w:rsidRPr="00D84719">
        <w:rPr>
          <w:rFonts w:ascii="Times New Roman" w:eastAsia="Times New Roman" w:hAnsi="Times New Roman" w:cs="Times New Roman"/>
          <w:color w:val="000000"/>
          <w:sz w:val="24"/>
          <w:szCs w:val="24"/>
        </w:rPr>
        <w:t xml:space="preserve"> iz 2013., uz uključivanje heksabromociklododekana, za većinu stranaka stupile su na snagu u studenome</w:t>
      </w:r>
      <w:r w:rsidR="001B5C46">
        <w:rPr>
          <w:rFonts w:ascii="Times New Roman" w:eastAsia="Times New Roman" w:hAnsi="Times New Roman" w:cs="Times New Roman"/>
          <w:color w:val="000000"/>
          <w:sz w:val="24"/>
          <w:szCs w:val="24"/>
        </w:rPr>
        <w:t xml:space="preserve"> 20</w:t>
      </w:r>
      <w:r w:rsidRPr="00D84719">
        <w:rPr>
          <w:rFonts w:ascii="Times New Roman" w:eastAsia="Times New Roman" w:hAnsi="Times New Roman" w:cs="Times New Roman"/>
          <w:color w:val="000000"/>
          <w:sz w:val="24"/>
          <w:szCs w:val="24"/>
        </w:rPr>
        <w:t>14.. Temeljem navedenih usvojenih Odluka stranke Stockholmske konvencije obvezne su izraditi novi revidirani NIP koji uključuje iste.</w:t>
      </w:r>
    </w:p>
    <w:p w14:paraId="34BC6498"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U lipnju</w:t>
      </w:r>
      <w:r w:rsidR="001B5C46">
        <w:rPr>
          <w:rFonts w:ascii="Times New Roman" w:eastAsia="Times New Roman" w:hAnsi="Times New Roman" w:cs="Times New Roman"/>
          <w:color w:val="000000"/>
          <w:sz w:val="24"/>
          <w:szCs w:val="24"/>
        </w:rPr>
        <w:t xml:space="preserve"> 20</w:t>
      </w:r>
      <w:r w:rsidRPr="00D84719">
        <w:rPr>
          <w:rFonts w:ascii="Times New Roman" w:eastAsia="Times New Roman" w:hAnsi="Times New Roman" w:cs="Times New Roman"/>
          <w:color w:val="000000"/>
          <w:sz w:val="24"/>
          <w:szCs w:val="24"/>
        </w:rPr>
        <w:t xml:space="preserve">13. od strane Fonda za globalni okoliš (GEF) odobren je projekt za financiranje aktivnosti koje su potrebne za izradu revidiranog NIP-a. U srpnju 2014. osnovano je Povjerenstvo za praćenje provedbe projekta </w:t>
      </w:r>
      <w:r w:rsidRPr="00D84719">
        <w:rPr>
          <w:rFonts w:ascii="Times New Roman" w:eastAsia="Times New Roman" w:hAnsi="Times New Roman" w:cs="Times New Roman"/>
          <w:i/>
          <w:color w:val="000000"/>
          <w:sz w:val="24"/>
          <w:szCs w:val="24"/>
        </w:rPr>
        <w:t>„Revizija Nacionalnog provedbenog plana za provedbu Stockholmske konvencije o postojanim organskim onečišćujućim tvarima“</w:t>
      </w:r>
      <w:r w:rsidR="00A74A9F">
        <w:rPr>
          <w:rFonts w:ascii="Times New Roman" w:eastAsia="Times New Roman" w:hAnsi="Times New Roman" w:cs="Times New Roman"/>
          <w:color w:val="000000"/>
          <w:sz w:val="24"/>
          <w:szCs w:val="24"/>
        </w:rPr>
        <w:t xml:space="preserve"> te je</w:t>
      </w:r>
      <w:r w:rsidRPr="00D84719">
        <w:rPr>
          <w:rFonts w:ascii="Times New Roman" w:eastAsia="Times New Roman" w:hAnsi="Times New Roman" w:cs="Times New Roman"/>
          <w:color w:val="000000"/>
          <w:sz w:val="24"/>
          <w:szCs w:val="24"/>
        </w:rPr>
        <w:t xml:space="preserve"> tadašnje Ministarstvo zaštite okoliša i prirode,</w:t>
      </w:r>
      <w:r w:rsidR="00A74A9F">
        <w:rPr>
          <w:rFonts w:ascii="Times New Roman" w:eastAsia="Times New Roman" w:hAnsi="Times New Roman" w:cs="Times New Roman"/>
          <w:color w:val="000000"/>
          <w:sz w:val="24"/>
          <w:szCs w:val="24"/>
        </w:rPr>
        <w:t xml:space="preserve"> a</w:t>
      </w:r>
      <w:r w:rsidRPr="00D84719">
        <w:rPr>
          <w:rFonts w:ascii="Times New Roman" w:eastAsia="Times New Roman" w:hAnsi="Times New Roman" w:cs="Times New Roman"/>
          <w:color w:val="000000"/>
          <w:sz w:val="24"/>
          <w:szCs w:val="24"/>
        </w:rPr>
        <w:t xml:space="preserve"> dana</w:t>
      </w:r>
      <w:r w:rsidR="00A74A9F">
        <w:rPr>
          <w:rFonts w:ascii="Times New Roman" w:eastAsia="Times New Roman" w:hAnsi="Times New Roman" w:cs="Times New Roman"/>
          <w:color w:val="000000"/>
          <w:sz w:val="24"/>
          <w:szCs w:val="24"/>
        </w:rPr>
        <w:t>šnje</w:t>
      </w:r>
      <w:r w:rsidRPr="00D84719">
        <w:rPr>
          <w:rFonts w:ascii="Times New Roman" w:eastAsia="Times New Roman" w:hAnsi="Times New Roman" w:cs="Times New Roman"/>
          <w:color w:val="000000"/>
          <w:sz w:val="24"/>
          <w:szCs w:val="24"/>
        </w:rPr>
        <w:t xml:space="preserve"> Ministarstvo gospodarstva i održivog razvoja</w:t>
      </w:r>
      <w:r w:rsidRPr="00D84719">
        <w:rPr>
          <w:rFonts w:ascii="Times New Roman" w:eastAsia="Times New Roman" w:hAnsi="Times New Roman" w:cs="Times New Roman"/>
          <w:color w:val="000000"/>
          <w:sz w:val="24"/>
          <w:szCs w:val="24"/>
          <w:vertAlign w:val="superscript"/>
        </w:rPr>
        <w:footnoteReference w:id="1"/>
      </w:r>
      <w:r w:rsidRPr="00D84719">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i/>
          <w:iCs/>
          <w:color w:val="000000"/>
          <w:sz w:val="24"/>
          <w:szCs w:val="24"/>
        </w:rPr>
        <w:t>u daljnjem tekstu:</w:t>
      </w:r>
      <w:r w:rsidRPr="00D84719">
        <w:rPr>
          <w:rFonts w:ascii="Times New Roman" w:eastAsia="Times New Roman" w:hAnsi="Times New Roman" w:cs="Times New Roman"/>
          <w:color w:val="000000"/>
          <w:sz w:val="24"/>
          <w:szCs w:val="24"/>
        </w:rPr>
        <w:t xml:space="preserve"> </w:t>
      </w:r>
      <w:bookmarkStart w:id="1" w:name="_Hlk50692800"/>
      <w:r w:rsidRPr="00D84719">
        <w:rPr>
          <w:rFonts w:ascii="Times New Roman" w:eastAsia="Times New Roman" w:hAnsi="Times New Roman" w:cs="Times New Roman"/>
          <w:color w:val="000000"/>
          <w:sz w:val="24"/>
          <w:szCs w:val="24"/>
        </w:rPr>
        <w:t>MINGO</w:t>
      </w:r>
      <w:bookmarkEnd w:id="1"/>
      <w:r w:rsidRPr="00D84719">
        <w:rPr>
          <w:rFonts w:ascii="Times New Roman" w:eastAsia="Times New Roman" w:hAnsi="Times New Roman" w:cs="Times New Roman"/>
          <w:color w:val="000000"/>
          <w:sz w:val="24"/>
          <w:szCs w:val="24"/>
        </w:rPr>
        <w:t>R) kao korisnik i glavni nositelj projekta u suradnji s Programom Ujedinjenih naroda za okoliš (UNEP) kao provedbenom agencijom i ostalim nadležnim tijelima državne uprave izradilo Drugi NIP. U lipnju</w:t>
      </w:r>
      <w:r w:rsidR="001B5C46">
        <w:rPr>
          <w:rFonts w:ascii="Times New Roman" w:eastAsia="Times New Roman" w:hAnsi="Times New Roman" w:cs="Times New Roman"/>
          <w:color w:val="000000"/>
          <w:sz w:val="24"/>
          <w:szCs w:val="24"/>
        </w:rPr>
        <w:t xml:space="preserve"> 20</w:t>
      </w:r>
      <w:r w:rsidRPr="00D84719">
        <w:rPr>
          <w:rFonts w:ascii="Times New Roman" w:eastAsia="Times New Roman" w:hAnsi="Times New Roman" w:cs="Times New Roman"/>
          <w:color w:val="000000"/>
          <w:sz w:val="24"/>
          <w:szCs w:val="24"/>
        </w:rPr>
        <w:t>16. Vlada Republike Hrvatske donijela je Odluku o prihvaćanju Drugog nacionalnog plana za provedbu Stockholmske konvencije o postojanim organskim onečišćujućim tvarima („Narodne novine“, broj 62/16) kojim su između ostaloga predložene i definirane mjere unaprijeđena vezano uz izvještavanje prema obvezama Konvencije. Drugi NIP dostavljen je Tajništvu Konvencije 28. studenog 2016.. Drugim NIP-om obuhvaćene su Odluke donesene na četvrtoj, petoj i šestoj konferenciji stranaka.</w:t>
      </w:r>
    </w:p>
    <w:p w14:paraId="3A6BDB6F" w14:textId="0C57BF56"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 xml:space="preserve">Izmjene i dopune Dodataka </w:t>
      </w:r>
      <w:r w:rsidR="00A64981">
        <w:rPr>
          <w:rFonts w:ascii="Times New Roman" w:eastAsia="Times New Roman" w:hAnsi="Times New Roman" w:cs="Times New Roman"/>
          <w:color w:val="000000"/>
          <w:sz w:val="24"/>
          <w:szCs w:val="24"/>
        </w:rPr>
        <w:t>A</w:t>
      </w:r>
      <w:r w:rsidRPr="00D84719">
        <w:rPr>
          <w:rFonts w:ascii="Times New Roman" w:eastAsia="Times New Roman" w:hAnsi="Times New Roman" w:cs="Times New Roman"/>
          <w:color w:val="000000"/>
          <w:sz w:val="24"/>
          <w:szCs w:val="24"/>
        </w:rPr>
        <w:t xml:space="preserve"> i </w:t>
      </w:r>
      <w:r w:rsidR="00A64981">
        <w:rPr>
          <w:rFonts w:ascii="Times New Roman" w:eastAsia="Times New Roman" w:hAnsi="Times New Roman" w:cs="Times New Roman"/>
          <w:color w:val="000000"/>
          <w:sz w:val="24"/>
          <w:szCs w:val="24"/>
        </w:rPr>
        <w:t>C</w:t>
      </w:r>
      <w:r w:rsidRPr="00D84719">
        <w:rPr>
          <w:rFonts w:ascii="Times New Roman" w:eastAsia="Times New Roman" w:hAnsi="Times New Roman" w:cs="Times New Roman"/>
          <w:color w:val="000000"/>
          <w:sz w:val="24"/>
          <w:szCs w:val="24"/>
        </w:rPr>
        <w:t xml:space="preserve"> Konvencije iz 2015</w:t>
      </w:r>
      <w:r w:rsidR="004C449C">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 xml:space="preserve">, vezane uz uključivanje heksaklorobutadiena (HCBD-a) u Dodatak </w:t>
      </w:r>
      <w:r w:rsidR="00A64981">
        <w:rPr>
          <w:rFonts w:ascii="Times New Roman" w:eastAsia="Times New Roman" w:hAnsi="Times New Roman" w:cs="Times New Roman"/>
          <w:color w:val="000000"/>
          <w:sz w:val="24"/>
          <w:szCs w:val="24"/>
        </w:rPr>
        <w:t>A,</w:t>
      </w:r>
      <w:r w:rsidR="00612979">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xml:space="preserve">pentaklorofenola i njegovih soli i estera (PCP-a) u Dodatak </w:t>
      </w:r>
      <w:r w:rsidR="00A64981">
        <w:rPr>
          <w:rFonts w:ascii="Times New Roman" w:eastAsia="Times New Roman" w:hAnsi="Times New Roman" w:cs="Times New Roman"/>
          <w:color w:val="000000"/>
          <w:sz w:val="24"/>
          <w:szCs w:val="24"/>
        </w:rPr>
        <w:t>A</w:t>
      </w:r>
      <w:r w:rsidRPr="00D84719">
        <w:rPr>
          <w:rFonts w:ascii="Times New Roman" w:eastAsia="Times New Roman" w:hAnsi="Times New Roman" w:cs="Times New Roman"/>
          <w:color w:val="000000"/>
          <w:sz w:val="24"/>
          <w:szCs w:val="24"/>
        </w:rPr>
        <w:t xml:space="preserve"> te polikloriranih naftalena (PCN-a) u Dodatke A i </w:t>
      </w:r>
      <w:r w:rsidR="00A64981">
        <w:rPr>
          <w:rFonts w:ascii="Times New Roman" w:eastAsia="Times New Roman" w:hAnsi="Times New Roman" w:cs="Times New Roman"/>
          <w:color w:val="000000"/>
          <w:sz w:val="24"/>
          <w:szCs w:val="24"/>
        </w:rPr>
        <w:t>C,</w:t>
      </w:r>
      <w:r w:rsidR="00612979">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xml:space="preserve">za većinu stranaka pa tako i za Republiku Hrvatsku, stupile su na snagu u prosincu 2016.. Navedene odluke sadržane su u: </w:t>
      </w:r>
    </w:p>
    <w:p w14:paraId="56CDFE59" w14:textId="10FE93FB" w:rsidR="00D84719" w:rsidRPr="00D84719" w:rsidRDefault="00D84719" w:rsidP="00F61CE7">
      <w:pPr>
        <w:numPr>
          <w:ilvl w:val="0"/>
          <w:numId w:val="9"/>
        </w:numPr>
        <w:tabs>
          <w:tab w:val="left" w:pos="1755"/>
        </w:tabs>
        <w:autoSpaceDE w:val="0"/>
        <w:autoSpaceDN w:val="0"/>
        <w:adjustRightInd w:val="0"/>
        <w:spacing w:before="80" w:after="0" w:line="240" w:lineRule="auto"/>
        <w:jc w:val="both"/>
        <w:rPr>
          <w:rFonts w:ascii="Times New Roman" w:eastAsia="Calibri" w:hAnsi="Times New Roman" w:cs="Times New Roman"/>
          <w:sz w:val="24"/>
          <w:szCs w:val="24"/>
        </w:rPr>
      </w:pPr>
      <w:r w:rsidRPr="00D84719">
        <w:rPr>
          <w:rFonts w:ascii="Times New Roman" w:eastAsia="Calibri" w:hAnsi="Times New Roman" w:cs="Times New Roman"/>
          <w:sz w:val="24"/>
          <w:szCs w:val="24"/>
        </w:rPr>
        <w:t>Uredbi o objavi Dodatka G od 6. svibnja 2005</w:t>
      </w:r>
      <w:r w:rsidR="004C449C">
        <w:rPr>
          <w:rFonts w:ascii="Times New Roman" w:eastAsia="Calibri" w:hAnsi="Times New Roman" w:cs="Times New Roman"/>
          <w:sz w:val="24"/>
          <w:szCs w:val="24"/>
        </w:rPr>
        <w:t>.</w:t>
      </w:r>
      <w:r w:rsidRPr="00D84719">
        <w:rPr>
          <w:rFonts w:ascii="Times New Roman" w:eastAsia="Calibri" w:hAnsi="Times New Roman" w:cs="Times New Roman"/>
          <w:sz w:val="24"/>
          <w:szCs w:val="24"/>
        </w:rPr>
        <w:t xml:space="preserve">, Izmjena i dopuna Dodataka </w:t>
      </w:r>
      <w:r w:rsidR="00A64981">
        <w:rPr>
          <w:rFonts w:ascii="Times New Roman" w:eastAsia="Calibri" w:hAnsi="Times New Roman" w:cs="Times New Roman"/>
          <w:sz w:val="24"/>
          <w:szCs w:val="24"/>
        </w:rPr>
        <w:t>A, B i C</w:t>
      </w:r>
      <w:r w:rsidRPr="00D84719">
        <w:rPr>
          <w:rFonts w:ascii="Times New Roman" w:eastAsia="Calibri" w:hAnsi="Times New Roman" w:cs="Times New Roman"/>
          <w:sz w:val="24"/>
          <w:szCs w:val="24"/>
        </w:rPr>
        <w:t xml:space="preserve"> iz svibnja</w:t>
      </w:r>
      <w:r w:rsidR="001B5C46">
        <w:rPr>
          <w:rFonts w:ascii="Times New Roman" w:eastAsia="Calibri" w:hAnsi="Times New Roman" w:cs="Times New Roman"/>
          <w:sz w:val="24"/>
          <w:szCs w:val="24"/>
        </w:rPr>
        <w:t xml:space="preserve"> 20</w:t>
      </w:r>
      <w:r w:rsidRPr="00D84719">
        <w:rPr>
          <w:rFonts w:ascii="Times New Roman" w:eastAsia="Calibri" w:hAnsi="Times New Roman" w:cs="Times New Roman"/>
          <w:sz w:val="24"/>
          <w:szCs w:val="24"/>
        </w:rPr>
        <w:t>09</w:t>
      </w:r>
      <w:r w:rsidR="004C449C">
        <w:rPr>
          <w:rFonts w:ascii="Times New Roman" w:eastAsia="Calibri" w:hAnsi="Times New Roman" w:cs="Times New Roman"/>
          <w:sz w:val="24"/>
          <w:szCs w:val="24"/>
        </w:rPr>
        <w:t>.</w:t>
      </w:r>
      <w:r w:rsidRPr="00D84719">
        <w:rPr>
          <w:rFonts w:ascii="Times New Roman" w:eastAsia="Calibri" w:hAnsi="Times New Roman" w:cs="Times New Roman"/>
          <w:sz w:val="24"/>
          <w:szCs w:val="24"/>
        </w:rPr>
        <w:t xml:space="preserve">, Izmjene i dopune Dodatka </w:t>
      </w:r>
      <w:r w:rsidR="00A64981">
        <w:rPr>
          <w:rFonts w:ascii="Times New Roman" w:eastAsia="Calibri" w:hAnsi="Times New Roman" w:cs="Times New Roman"/>
          <w:sz w:val="24"/>
          <w:szCs w:val="24"/>
        </w:rPr>
        <w:t>A</w:t>
      </w:r>
      <w:r w:rsidRPr="00D84719">
        <w:rPr>
          <w:rFonts w:ascii="Times New Roman" w:eastAsia="Calibri" w:hAnsi="Times New Roman" w:cs="Times New Roman"/>
          <w:sz w:val="24"/>
          <w:szCs w:val="24"/>
        </w:rPr>
        <w:t xml:space="preserve"> iz travnja</w:t>
      </w:r>
      <w:r w:rsidR="001B5C46">
        <w:rPr>
          <w:rFonts w:ascii="Times New Roman" w:eastAsia="Calibri" w:hAnsi="Times New Roman" w:cs="Times New Roman"/>
          <w:sz w:val="24"/>
          <w:szCs w:val="24"/>
        </w:rPr>
        <w:t xml:space="preserve"> 20</w:t>
      </w:r>
      <w:r w:rsidRPr="00D84719">
        <w:rPr>
          <w:rFonts w:ascii="Times New Roman" w:eastAsia="Calibri" w:hAnsi="Times New Roman" w:cs="Times New Roman"/>
          <w:sz w:val="24"/>
          <w:szCs w:val="24"/>
        </w:rPr>
        <w:t>11</w:t>
      </w:r>
      <w:r w:rsidR="004C449C">
        <w:rPr>
          <w:rFonts w:ascii="Times New Roman" w:eastAsia="Calibri" w:hAnsi="Times New Roman" w:cs="Times New Roman"/>
          <w:sz w:val="24"/>
          <w:szCs w:val="24"/>
        </w:rPr>
        <w:t>.</w:t>
      </w:r>
      <w:r w:rsidRPr="00D84719">
        <w:rPr>
          <w:rFonts w:ascii="Times New Roman" w:eastAsia="Calibri" w:hAnsi="Times New Roman" w:cs="Times New Roman"/>
          <w:sz w:val="24"/>
          <w:szCs w:val="24"/>
        </w:rPr>
        <w:t xml:space="preserve"> i izmjene i dopune Dodatka </w:t>
      </w:r>
      <w:r w:rsidR="00A64981">
        <w:rPr>
          <w:rFonts w:ascii="Times New Roman" w:eastAsia="Calibri" w:hAnsi="Times New Roman" w:cs="Times New Roman"/>
          <w:sz w:val="24"/>
          <w:szCs w:val="24"/>
        </w:rPr>
        <w:t>A</w:t>
      </w:r>
      <w:r w:rsidRPr="00D84719">
        <w:rPr>
          <w:rFonts w:ascii="Times New Roman" w:eastAsia="Calibri" w:hAnsi="Times New Roman" w:cs="Times New Roman"/>
          <w:sz w:val="24"/>
          <w:szCs w:val="24"/>
        </w:rPr>
        <w:t xml:space="preserve"> iz svibnja</w:t>
      </w:r>
      <w:r w:rsidR="001B5C46">
        <w:rPr>
          <w:rFonts w:ascii="Times New Roman" w:eastAsia="Calibri" w:hAnsi="Times New Roman" w:cs="Times New Roman"/>
          <w:sz w:val="24"/>
          <w:szCs w:val="24"/>
        </w:rPr>
        <w:t xml:space="preserve"> 20</w:t>
      </w:r>
      <w:r w:rsidRPr="00D84719">
        <w:rPr>
          <w:rFonts w:ascii="Times New Roman" w:eastAsia="Calibri" w:hAnsi="Times New Roman" w:cs="Times New Roman"/>
          <w:sz w:val="24"/>
          <w:szCs w:val="24"/>
        </w:rPr>
        <w:t>13</w:t>
      </w:r>
      <w:r w:rsidR="004C449C">
        <w:rPr>
          <w:rFonts w:ascii="Times New Roman" w:eastAsia="Calibri" w:hAnsi="Times New Roman" w:cs="Times New Roman"/>
          <w:sz w:val="24"/>
          <w:szCs w:val="24"/>
        </w:rPr>
        <w:t>.</w:t>
      </w:r>
      <w:r w:rsidRPr="00D84719">
        <w:rPr>
          <w:rFonts w:ascii="Times New Roman" w:eastAsia="Calibri" w:hAnsi="Times New Roman" w:cs="Times New Roman"/>
          <w:sz w:val="24"/>
          <w:szCs w:val="24"/>
        </w:rPr>
        <w:t xml:space="preserve"> Stockholmske konvencije o postojanim organskim onečišćujućim tvarima („Narodne novine – Međunarodni ugovori“, broj 8/15) i </w:t>
      </w:r>
    </w:p>
    <w:p w14:paraId="37A3920C" w14:textId="10E2134A" w:rsidR="00D84719" w:rsidRPr="00D84719" w:rsidRDefault="00D84719" w:rsidP="00F61CE7">
      <w:pPr>
        <w:numPr>
          <w:ilvl w:val="0"/>
          <w:numId w:val="9"/>
        </w:numPr>
        <w:tabs>
          <w:tab w:val="left" w:pos="1755"/>
        </w:tabs>
        <w:autoSpaceDE w:val="0"/>
        <w:autoSpaceDN w:val="0"/>
        <w:adjustRightInd w:val="0"/>
        <w:spacing w:before="80" w:after="0" w:line="240" w:lineRule="auto"/>
        <w:jc w:val="both"/>
        <w:rPr>
          <w:rFonts w:ascii="Times New Roman" w:eastAsia="Calibri" w:hAnsi="Times New Roman" w:cs="Times New Roman"/>
          <w:sz w:val="24"/>
          <w:szCs w:val="24"/>
        </w:rPr>
      </w:pPr>
      <w:r w:rsidRPr="00D84719">
        <w:rPr>
          <w:rFonts w:ascii="Times New Roman" w:eastAsia="Calibri" w:hAnsi="Times New Roman" w:cs="Times New Roman"/>
          <w:sz w:val="24"/>
          <w:szCs w:val="24"/>
        </w:rPr>
        <w:lastRenderedPageBreak/>
        <w:t xml:space="preserve">Uredbi o objavi Izmjena i dopuna Dodataka </w:t>
      </w:r>
      <w:r w:rsidR="00A64981">
        <w:rPr>
          <w:rFonts w:ascii="Times New Roman" w:eastAsia="Calibri" w:hAnsi="Times New Roman" w:cs="Times New Roman"/>
          <w:sz w:val="24"/>
          <w:szCs w:val="24"/>
        </w:rPr>
        <w:t>A</w:t>
      </w:r>
      <w:r w:rsidRPr="00D84719">
        <w:rPr>
          <w:rFonts w:ascii="Times New Roman" w:eastAsia="Calibri" w:hAnsi="Times New Roman" w:cs="Times New Roman"/>
          <w:sz w:val="24"/>
          <w:szCs w:val="24"/>
        </w:rPr>
        <w:t xml:space="preserve"> i </w:t>
      </w:r>
      <w:r w:rsidR="00A64981">
        <w:rPr>
          <w:rFonts w:ascii="Times New Roman" w:eastAsia="Calibri" w:hAnsi="Times New Roman" w:cs="Times New Roman"/>
          <w:sz w:val="24"/>
          <w:szCs w:val="24"/>
        </w:rPr>
        <w:t>C</w:t>
      </w:r>
      <w:r w:rsidRPr="00D84719">
        <w:rPr>
          <w:rFonts w:ascii="Times New Roman" w:eastAsia="Calibri" w:hAnsi="Times New Roman" w:cs="Times New Roman"/>
          <w:sz w:val="24"/>
          <w:szCs w:val="24"/>
        </w:rPr>
        <w:t xml:space="preserve"> iz svibnja</w:t>
      </w:r>
      <w:r w:rsidR="001B5C46">
        <w:rPr>
          <w:rFonts w:ascii="Times New Roman" w:eastAsia="Calibri" w:hAnsi="Times New Roman" w:cs="Times New Roman"/>
          <w:sz w:val="24"/>
          <w:szCs w:val="24"/>
        </w:rPr>
        <w:t xml:space="preserve"> 20</w:t>
      </w:r>
      <w:r w:rsidRPr="00D84719">
        <w:rPr>
          <w:rFonts w:ascii="Times New Roman" w:eastAsia="Calibri" w:hAnsi="Times New Roman" w:cs="Times New Roman"/>
          <w:sz w:val="24"/>
          <w:szCs w:val="24"/>
        </w:rPr>
        <w:t>15</w:t>
      </w:r>
      <w:r w:rsidR="004C449C">
        <w:rPr>
          <w:rFonts w:ascii="Times New Roman" w:eastAsia="Calibri" w:hAnsi="Times New Roman" w:cs="Times New Roman"/>
          <w:sz w:val="24"/>
          <w:szCs w:val="24"/>
        </w:rPr>
        <w:t>.</w:t>
      </w:r>
      <w:r w:rsidRPr="00D84719">
        <w:rPr>
          <w:rFonts w:ascii="Times New Roman" w:eastAsia="Calibri" w:hAnsi="Times New Roman" w:cs="Times New Roman"/>
          <w:sz w:val="24"/>
          <w:szCs w:val="24"/>
        </w:rPr>
        <w:t xml:space="preserve"> Stockholmske konvencije o postojanim organskim onečišćujućim tvarima („Narodne novine – Međunarodni ugovori“, broj 5/16). </w:t>
      </w:r>
    </w:p>
    <w:p w14:paraId="1926978D"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 xml:space="preserve">Izmjene i dopune Dodataka </w:t>
      </w:r>
      <w:r w:rsidR="00A64981">
        <w:rPr>
          <w:rFonts w:ascii="Times New Roman" w:eastAsia="Times New Roman" w:hAnsi="Times New Roman" w:cs="Times New Roman"/>
          <w:color w:val="000000"/>
          <w:sz w:val="24"/>
          <w:szCs w:val="24"/>
        </w:rPr>
        <w:t>A</w:t>
      </w:r>
      <w:r w:rsidRPr="00D84719">
        <w:rPr>
          <w:rFonts w:ascii="Times New Roman" w:eastAsia="Times New Roman" w:hAnsi="Times New Roman" w:cs="Times New Roman"/>
          <w:color w:val="000000"/>
          <w:sz w:val="24"/>
          <w:szCs w:val="24"/>
        </w:rPr>
        <w:t xml:space="preserve"> i </w:t>
      </w:r>
      <w:r w:rsidR="00A64981">
        <w:rPr>
          <w:rFonts w:ascii="Times New Roman" w:eastAsia="Times New Roman" w:hAnsi="Times New Roman" w:cs="Times New Roman"/>
          <w:color w:val="000000"/>
          <w:sz w:val="24"/>
          <w:szCs w:val="24"/>
        </w:rPr>
        <w:t>C</w:t>
      </w:r>
      <w:r w:rsidRPr="00D84719">
        <w:rPr>
          <w:rFonts w:ascii="Times New Roman" w:eastAsia="Times New Roman" w:hAnsi="Times New Roman" w:cs="Times New Roman"/>
          <w:color w:val="000000"/>
          <w:sz w:val="24"/>
          <w:szCs w:val="24"/>
        </w:rPr>
        <w:t xml:space="preserve"> Konvencije iz 2017. za većinu stranaka pa tako i za Republiku Hrvatsku stupile su na snagu u prosincu 2018., a sadržane su u: </w:t>
      </w:r>
    </w:p>
    <w:p w14:paraId="7890B0BF" w14:textId="36CEC6ED" w:rsidR="00D84719" w:rsidRPr="00D84719" w:rsidRDefault="00D84719" w:rsidP="00F61CE7">
      <w:pPr>
        <w:numPr>
          <w:ilvl w:val="0"/>
          <w:numId w:val="10"/>
        </w:numPr>
        <w:tabs>
          <w:tab w:val="left" w:pos="1755"/>
        </w:tabs>
        <w:autoSpaceDE w:val="0"/>
        <w:autoSpaceDN w:val="0"/>
        <w:adjustRightInd w:val="0"/>
        <w:spacing w:before="80" w:after="0" w:line="240" w:lineRule="auto"/>
        <w:jc w:val="both"/>
        <w:rPr>
          <w:rFonts w:ascii="Times New Roman" w:eastAsia="Calibri" w:hAnsi="Times New Roman" w:cs="Times New Roman"/>
          <w:sz w:val="24"/>
          <w:szCs w:val="24"/>
        </w:rPr>
      </w:pPr>
      <w:r w:rsidRPr="00D84719">
        <w:rPr>
          <w:rFonts w:ascii="Times New Roman" w:eastAsia="Calibri" w:hAnsi="Times New Roman" w:cs="Times New Roman"/>
          <w:sz w:val="24"/>
          <w:szCs w:val="24"/>
        </w:rPr>
        <w:t xml:space="preserve">Uredbi o objavi Izmjena i dopuna Dodataka </w:t>
      </w:r>
      <w:r w:rsidR="00A64981">
        <w:rPr>
          <w:rFonts w:ascii="Times New Roman" w:eastAsia="Calibri" w:hAnsi="Times New Roman" w:cs="Times New Roman"/>
          <w:sz w:val="24"/>
          <w:szCs w:val="24"/>
        </w:rPr>
        <w:t>A</w:t>
      </w:r>
      <w:r w:rsidRPr="00D84719">
        <w:rPr>
          <w:rFonts w:ascii="Times New Roman" w:eastAsia="Calibri" w:hAnsi="Times New Roman" w:cs="Times New Roman"/>
          <w:sz w:val="24"/>
          <w:szCs w:val="24"/>
        </w:rPr>
        <w:t xml:space="preserve"> i </w:t>
      </w:r>
      <w:r w:rsidR="00A64981">
        <w:rPr>
          <w:rFonts w:ascii="Times New Roman" w:eastAsia="Calibri" w:hAnsi="Times New Roman" w:cs="Times New Roman"/>
          <w:sz w:val="24"/>
          <w:szCs w:val="24"/>
        </w:rPr>
        <w:t>C</w:t>
      </w:r>
      <w:r w:rsidRPr="00D84719">
        <w:rPr>
          <w:rFonts w:ascii="Times New Roman" w:eastAsia="Calibri" w:hAnsi="Times New Roman" w:cs="Times New Roman"/>
          <w:sz w:val="24"/>
          <w:szCs w:val="24"/>
        </w:rPr>
        <w:t xml:space="preserve"> iz svibnja 2017</w:t>
      </w:r>
      <w:r w:rsidR="004C449C">
        <w:rPr>
          <w:rFonts w:ascii="Times New Roman" w:eastAsia="Calibri" w:hAnsi="Times New Roman" w:cs="Times New Roman"/>
          <w:sz w:val="24"/>
          <w:szCs w:val="24"/>
        </w:rPr>
        <w:t>.</w:t>
      </w:r>
      <w:r w:rsidRPr="00D84719">
        <w:rPr>
          <w:rFonts w:ascii="Times New Roman" w:eastAsia="Calibri" w:hAnsi="Times New Roman" w:cs="Times New Roman"/>
          <w:sz w:val="24"/>
          <w:szCs w:val="24"/>
        </w:rPr>
        <w:t xml:space="preserve"> Stockholmske konvencije o postojanim organskim onečišćujućim tvarima („Narodne novine – Međunarodni ugovori“, broj 1/19).</w:t>
      </w:r>
    </w:p>
    <w:p w14:paraId="61D975E3"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 xml:space="preserve">Temeljem navedenih usvojenih Odluka stranke Stockholmske konvencije obvezne su izraditi novi revidirani NIP koji uključuje iste. </w:t>
      </w:r>
    </w:p>
    <w:p w14:paraId="6E8C71E2"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 xml:space="preserve">Izmjene i dopune Dodataka </w:t>
      </w:r>
      <w:r w:rsidR="00A64981">
        <w:rPr>
          <w:rFonts w:ascii="Times New Roman" w:eastAsia="Times New Roman" w:hAnsi="Times New Roman" w:cs="Times New Roman"/>
          <w:color w:val="000000"/>
          <w:sz w:val="24"/>
          <w:szCs w:val="24"/>
        </w:rPr>
        <w:t>A</w:t>
      </w:r>
      <w:r w:rsidRPr="00D84719">
        <w:rPr>
          <w:rFonts w:ascii="Times New Roman" w:eastAsia="Times New Roman" w:hAnsi="Times New Roman" w:cs="Times New Roman"/>
          <w:color w:val="000000"/>
          <w:sz w:val="24"/>
          <w:szCs w:val="24"/>
        </w:rPr>
        <w:t xml:space="preserve"> i </w:t>
      </w:r>
      <w:r w:rsidR="00A64981">
        <w:rPr>
          <w:rFonts w:ascii="Times New Roman" w:eastAsia="Times New Roman" w:hAnsi="Times New Roman" w:cs="Times New Roman"/>
          <w:color w:val="000000"/>
          <w:sz w:val="24"/>
          <w:szCs w:val="24"/>
        </w:rPr>
        <w:t>B</w:t>
      </w:r>
      <w:r w:rsidRPr="00D84719">
        <w:rPr>
          <w:rFonts w:ascii="Times New Roman" w:eastAsia="Times New Roman" w:hAnsi="Times New Roman" w:cs="Times New Roman"/>
          <w:color w:val="000000"/>
          <w:sz w:val="24"/>
          <w:szCs w:val="24"/>
        </w:rPr>
        <w:t xml:space="preserve"> Konvencije iz 2019. za većinu stranaka pa tako i za Republiku Hrvatsku stupaju na snagu u prosincu 2020., a sadržane su u: </w:t>
      </w:r>
    </w:p>
    <w:p w14:paraId="1CF9E4F0" w14:textId="676BA7DF" w:rsidR="00D84719" w:rsidRPr="00D84719" w:rsidRDefault="00D84719" w:rsidP="00F61CE7">
      <w:pPr>
        <w:numPr>
          <w:ilvl w:val="0"/>
          <w:numId w:val="10"/>
        </w:numPr>
        <w:tabs>
          <w:tab w:val="left" w:pos="1755"/>
        </w:tabs>
        <w:autoSpaceDE w:val="0"/>
        <w:autoSpaceDN w:val="0"/>
        <w:adjustRightInd w:val="0"/>
        <w:spacing w:before="80" w:after="0" w:line="240" w:lineRule="auto"/>
        <w:jc w:val="both"/>
        <w:rPr>
          <w:rFonts w:ascii="Times New Roman" w:eastAsia="Calibri" w:hAnsi="Times New Roman" w:cs="Times New Roman"/>
          <w:sz w:val="24"/>
          <w:szCs w:val="24"/>
        </w:rPr>
      </w:pPr>
      <w:r w:rsidRPr="00D84719">
        <w:rPr>
          <w:rFonts w:ascii="Times New Roman" w:eastAsia="Calibri" w:hAnsi="Times New Roman" w:cs="Times New Roman"/>
          <w:sz w:val="24"/>
          <w:szCs w:val="24"/>
        </w:rPr>
        <w:t>Uredb</w:t>
      </w:r>
      <w:r w:rsidR="001901CE">
        <w:rPr>
          <w:rFonts w:ascii="Times New Roman" w:eastAsia="Calibri" w:hAnsi="Times New Roman" w:cs="Times New Roman"/>
          <w:sz w:val="24"/>
          <w:szCs w:val="24"/>
        </w:rPr>
        <w:t>i</w:t>
      </w:r>
      <w:r w:rsidRPr="00D84719">
        <w:rPr>
          <w:rFonts w:ascii="Times New Roman" w:eastAsia="Calibri" w:hAnsi="Times New Roman" w:cs="Times New Roman"/>
          <w:sz w:val="24"/>
          <w:szCs w:val="24"/>
        </w:rPr>
        <w:t xml:space="preserve"> o objavi Izmjena i dopuna Dodataka A i B iz svibnja 2019</w:t>
      </w:r>
      <w:r w:rsidR="004C449C">
        <w:rPr>
          <w:rFonts w:ascii="Times New Roman" w:eastAsia="Calibri" w:hAnsi="Times New Roman" w:cs="Times New Roman"/>
          <w:sz w:val="24"/>
          <w:szCs w:val="24"/>
        </w:rPr>
        <w:t>.</w:t>
      </w:r>
      <w:r w:rsidRPr="00D84719">
        <w:rPr>
          <w:rFonts w:ascii="Times New Roman" w:eastAsia="Calibri" w:hAnsi="Times New Roman" w:cs="Times New Roman"/>
          <w:sz w:val="24"/>
          <w:szCs w:val="24"/>
        </w:rPr>
        <w:t xml:space="preserve"> Stockholmske konvencije o postojanim organskim onečišćujućim tvarima („Narodne novine – Međunarodni ugovori“, broj 5/20)</w:t>
      </w:r>
      <w:r w:rsidR="00727C34">
        <w:rPr>
          <w:rFonts w:ascii="Times New Roman" w:eastAsia="Calibri" w:hAnsi="Times New Roman" w:cs="Times New Roman"/>
          <w:sz w:val="24"/>
          <w:szCs w:val="24"/>
        </w:rPr>
        <w:t xml:space="preserve"> i bit će uzete u obzir prilikom izrade Četvrtog NIP-a.</w:t>
      </w:r>
    </w:p>
    <w:p w14:paraId="39D08C27" w14:textId="77777777" w:rsidR="00D84719" w:rsidRPr="00D84719" w:rsidRDefault="00D84719" w:rsidP="00D84719">
      <w:pPr>
        <w:spacing w:after="200" w:line="276" w:lineRule="auto"/>
        <w:rPr>
          <w:rFonts w:ascii="Times New Roman" w:eastAsia="Times New Roman" w:hAnsi="Times New Roman" w:cs="Times New Roman"/>
          <w:color w:val="000000"/>
          <w:szCs w:val="24"/>
        </w:rPr>
      </w:pPr>
      <w:r w:rsidRPr="00D84719">
        <w:rPr>
          <w:rFonts w:ascii="Times New Roman" w:eastAsia="Times New Roman" w:hAnsi="Times New Roman" w:cs="Times New Roman"/>
          <w:color w:val="000000"/>
          <w:szCs w:val="24"/>
        </w:rPr>
        <w:br w:type="page"/>
      </w:r>
    </w:p>
    <w:p w14:paraId="109D7A27" w14:textId="77777777" w:rsidR="00D84719" w:rsidRPr="00D84719" w:rsidRDefault="00D84719" w:rsidP="00D84719">
      <w:pPr>
        <w:keepNext/>
        <w:spacing w:before="80" w:after="0" w:line="276" w:lineRule="auto"/>
        <w:jc w:val="both"/>
        <w:rPr>
          <w:rFonts w:ascii="Times New Roman" w:eastAsia="Times New Roman" w:hAnsi="Times New Roman" w:cs="Times New Roman"/>
          <w:b/>
          <w:bCs/>
          <w:i/>
          <w:sz w:val="20"/>
          <w:szCs w:val="20"/>
        </w:rPr>
      </w:pPr>
      <w:r w:rsidRPr="00D84719">
        <w:rPr>
          <w:rFonts w:ascii="Times New Roman" w:eastAsia="Times New Roman" w:hAnsi="Times New Roman" w:cs="Times New Roman"/>
          <w:b/>
          <w:bCs/>
          <w:i/>
          <w:sz w:val="20"/>
          <w:szCs w:val="20"/>
        </w:rPr>
        <w:lastRenderedPageBreak/>
        <w:t xml:space="preserve">Tablica </w:t>
      </w:r>
      <w:r w:rsidRPr="00D84719">
        <w:rPr>
          <w:rFonts w:ascii="Times New Roman" w:eastAsia="Times New Roman" w:hAnsi="Times New Roman" w:cs="Times New Roman"/>
          <w:b/>
          <w:bCs/>
          <w:i/>
          <w:sz w:val="20"/>
          <w:szCs w:val="20"/>
        </w:rPr>
        <w:fldChar w:fldCharType="begin"/>
      </w:r>
      <w:r w:rsidRPr="00D84719">
        <w:rPr>
          <w:rFonts w:ascii="Times New Roman" w:eastAsia="Times New Roman" w:hAnsi="Times New Roman" w:cs="Times New Roman"/>
          <w:b/>
          <w:bCs/>
          <w:i/>
          <w:sz w:val="20"/>
          <w:szCs w:val="20"/>
        </w:rPr>
        <w:instrText xml:space="preserve"> STYLEREF 2 \s </w:instrText>
      </w:r>
      <w:r w:rsidRPr="00D84719">
        <w:rPr>
          <w:rFonts w:ascii="Times New Roman" w:eastAsia="Times New Roman" w:hAnsi="Times New Roman" w:cs="Times New Roman"/>
          <w:b/>
          <w:bCs/>
          <w:i/>
          <w:sz w:val="20"/>
          <w:szCs w:val="20"/>
        </w:rPr>
        <w:fldChar w:fldCharType="separate"/>
      </w:r>
      <w:r w:rsidRPr="00D84719">
        <w:rPr>
          <w:rFonts w:ascii="Times New Roman" w:eastAsia="Times New Roman" w:hAnsi="Times New Roman" w:cs="Times New Roman"/>
          <w:b/>
          <w:bCs/>
          <w:i/>
          <w:sz w:val="20"/>
          <w:szCs w:val="20"/>
        </w:rPr>
        <w:t>2.1</w:t>
      </w:r>
      <w:r w:rsidRPr="00D84719">
        <w:rPr>
          <w:rFonts w:ascii="Times New Roman" w:eastAsia="Times New Roman" w:hAnsi="Times New Roman" w:cs="Times New Roman"/>
          <w:b/>
          <w:bCs/>
          <w:i/>
          <w:sz w:val="20"/>
          <w:szCs w:val="20"/>
        </w:rPr>
        <w:fldChar w:fldCharType="end"/>
      </w:r>
      <w:r w:rsidRPr="00D84719">
        <w:rPr>
          <w:rFonts w:ascii="Times New Roman" w:eastAsia="Times New Roman" w:hAnsi="Times New Roman" w:cs="Times New Roman"/>
          <w:b/>
          <w:bCs/>
          <w:i/>
          <w:sz w:val="20"/>
          <w:szCs w:val="20"/>
        </w:rPr>
        <w:noBreakHyphen/>
      </w:r>
      <w:r w:rsidRPr="00D84719">
        <w:rPr>
          <w:rFonts w:ascii="Times New Roman" w:eastAsia="Times New Roman" w:hAnsi="Times New Roman" w:cs="Times New Roman"/>
          <w:b/>
          <w:bCs/>
          <w:i/>
          <w:sz w:val="20"/>
          <w:szCs w:val="20"/>
        </w:rPr>
        <w:fldChar w:fldCharType="begin"/>
      </w:r>
      <w:r w:rsidRPr="00D84719">
        <w:rPr>
          <w:rFonts w:ascii="Times New Roman" w:eastAsia="Times New Roman" w:hAnsi="Times New Roman" w:cs="Times New Roman"/>
          <w:b/>
          <w:bCs/>
          <w:i/>
          <w:sz w:val="20"/>
          <w:szCs w:val="20"/>
        </w:rPr>
        <w:instrText xml:space="preserve"> SEQ Tablica \* ARABIC \s 2 </w:instrText>
      </w:r>
      <w:r w:rsidRPr="00D84719">
        <w:rPr>
          <w:rFonts w:ascii="Times New Roman" w:eastAsia="Times New Roman" w:hAnsi="Times New Roman" w:cs="Times New Roman"/>
          <w:b/>
          <w:bCs/>
          <w:i/>
          <w:sz w:val="20"/>
          <w:szCs w:val="20"/>
        </w:rPr>
        <w:fldChar w:fldCharType="separate"/>
      </w:r>
      <w:r w:rsidRPr="00D84719">
        <w:rPr>
          <w:rFonts w:ascii="Times New Roman" w:eastAsia="Times New Roman" w:hAnsi="Times New Roman" w:cs="Times New Roman"/>
          <w:b/>
          <w:bCs/>
          <w:i/>
          <w:sz w:val="20"/>
          <w:szCs w:val="20"/>
        </w:rPr>
        <w:t>1</w:t>
      </w:r>
      <w:r w:rsidRPr="00D84719">
        <w:rPr>
          <w:rFonts w:ascii="Times New Roman" w:eastAsia="Times New Roman" w:hAnsi="Times New Roman" w:cs="Times New Roman"/>
          <w:b/>
          <w:bCs/>
          <w:i/>
          <w:sz w:val="20"/>
          <w:szCs w:val="20"/>
        </w:rPr>
        <w:fldChar w:fldCharType="end"/>
      </w:r>
      <w:r w:rsidRPr="00D84719">
        <w:rPr>
          <w:rFonts w:ascii="Times New Roman" w:eastAsia="Times New Roman" w:hAnsi="Times New Roman" w:cs="Times New Roman"/>
          <w:b/>
          <w:bCs/>
          <w:i/>
          <w:sz w:val="20"/>
          <w:szCs w:val="20"/>
        </w:rPr>
        <w:t>. Popis POPs-ova uvrštenih u dodatke Konvencije</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3686"/>
        <w:gridCol w:w="425"/>
        <w:gridCol w:w="221"/>
        <w:gridCol w:w="204"/>
        <w:gridCol w:w="426"/>
        <w:gridCol w:w="72"/>
        <w:gridCol w:w="236"/>
        <w:gridCol w:w="3944"/>
      </w:tblGrid>
      <w:tr w:rsidR="00D84719" w:rsidRPr="00D84719" w14:paraId="520244BA" w14:textId="77777777" w:rsidTr="003026C1">
        <w:trPr>
          <w:cantSplit/>
          <w:trHeight w:val="1134"/>
          <w:tblHeader/>
          <w:jc w:val="center"/>
        </w:trPr>
        <w:tc>
          <w:tcPr>
            <w:tcW w:w="1129" w:type="dxa"/>
            <w:shd w:val="pct10" w:color="auto" w:fill="auto"/>
            <w:vAlign w:val="center"/>
          </w:tcPr>
          <w:p w14:paraId="0463F6AC" w14:textId="77777777" w:rsidR="00D84719" w:rsidRPr="003026C1" w:rsidRDefault="00D84719" w:rsidP="00D84719">
            <w:pPr>
              <w:spacing w:after="0" w:line="240" w:lineRule="auto"/>
              <w:jc w:val="center"/>
              <w:rPr>
                <w:rFonts w:ascii="Times New Roman" w:eastAsia="Times New Roman" w:hAnsi="Times New Roman" w:cs="Times New Roman"/>
                <w:b/>
                <w:smallCaps/>
                <w:color w:val="000000"/>
                <w:sz w:val="18"/>
                <w:szCs w:val="20"/>
              </w:rPr>
            </w:pPr>
            <w:bookmarkStart w:id="2" w:name="_Hlk41632982"/>
            <w:r w:rsidRPr="003026C1">
              <w:rPr>
                <w:rFonts w:ascii="Times New Roman" w:eastAsia="Times New Roman" w:hAnsi="Times New Roman" w:cs="Times New Roman"/>
                <w:b/>
                <w:smallCaps/>
                <w:color w:val="000000"/>
                <w:sz w:val="18"/>
                <w:szCs w:val="20"/>
              </w:rPr>
              <w:t>Dodatak</w:t>
            </w:r>
          </w:p>
        </w:tc>
        <w:tc>
          <w:tcPr>
            <w:tcW w:w="3686" w:type="dxa"/>
            <w:shd w:val="pct10" w:color="auto" w:fill="auto"/>
            <w:vAlign w:val="center"/>
          </w:tcPr>
          <w:p w14:paraId="09FAE96C" w14:textId="77777777" w:rsidR="00D84719" w:rsidRPr="003026C1" w:rsidRDefault="00D84719" w:rsidP="00D84719">
            <w:pPr>
              <w:spacing w:after="0" w:line="240" w:lineRule="auto"/>
              <w:jc w:val="center"/>
              <w:rPr>
                <w:rFonts w:ascii="Times New Roman" w:eastAsia="Times New Roman" w:hAnsi="Times New Roman" w:cs="Times New Roman"/>
                <w:b/>
                <w:smallCaps/>
                <w:color w:val="000000"/>
                <w:sz w:val="18"/>
                <w:szCs w:val="20"/>
              </w:rPr>
            </w:pPr>
            <w:r w:rsidRPr="003026C1">
              <w:rPr>
                <w:rFonts w:ascii="Times New Roman" w:eastAsia="Times New Roman" w:hAnsi="Times New Roman" w:cs="Times New Roman"/>
                <w:b/>
                <w:smallCaps/>
                <w:color w:val="000000"/>
                <w:sz w:val="18"/>
                <w:szCs w:val="20"/>
              </w:rPr>
              <w:t>Tvar</w:t>
            </w:r>
          </w:p>
        </w:tc>
        <w:tc>
          <w:tcPr>
            <w:tcW w:w="425" w:type="dxa"/>
            <w:shd w:val="pct10" w:color="auto" w:fill="auto"/>
            <w:textDirection w:val="btLr"/>
          </w:tcPr>
          <w:p w14:paraId="79D98BE7" w14:textId="77777777" w:rsidR="00D84719" w:rsidRPr="003026C1" w:rsidRDefault="00D84719" w:rsidP="003026C1">
            <w:pPr>
              <w:spacing w:after="0" w:line="240" w:lineRule="auto"/>
              <w:ind w:left="113" w:right="113"/>
              <w:jc w:val="center"/>
              <w:rPr>
                <w:rFonts w:ascii="Times New Roman" w:eastAsia="Times New Roman" w:hAnsi="Times New Roman" w:cs="Times New Roman"/>
                <w:b/>
                <w:smallCaps/>
                <w:color w:val="000000"/>
                <w:sz w:val="14"/>
                <w:szCs w:val="14"/>
              </w:rPr>
            </w:pPr>
            <w:r w:rsidRPr="003026C1">
              <w:rPr>
                <w:rFonts w:ascii="Times New Roman" w:eastAsia="Times New Roman" w:hAnsi="Times New Roman" w:cs="Times New Roman"/>
                <w:b/>
                <w:smallCaps/>
                <w:color w:val="000000"/>
                <w:sz w:val="14"/>
                <w:szCs w:val="14"/>
              </w:rPr>
              <w:t>Pesticid</w:t>
            </w:r>
          </w:p>
        </w:tc>
        <w:tc>
          <w:tcPr>
            <w:tcW w:w="425" w:type="dxa"/>
            <w:gridSpan w:val="2"/>
            <w:shd w:val="pct10" w:color="auto" w:fill="auto"/>
            <w:textDirection w:val="btLr"/>
          </w:tcPr>
          <w:p w14:paraId="29D91B8C" w14:textId="77777777" w:rsidR="00D84719" w:rsidRPr="003026C1" w:rsidRDefault="00D84719" w:rsidP="003026C1">
            <w:pPr>
              <w:spacing w:after="0" w:line="240" w:lineRule="auto"/>
              <w:ind w:left="113" w:right="113"/>
              <w:jc w:val="center"/>
              <w:rPr>
                <w:rFonts w:ascii="Times New Roman" w:eastAsia="Times New Roman" w:hAnsi="Times New Roman" w:cs="Times New Roman"/>
                <w:b/>
                <w:smallCaps/>
                <w:color w:val="000000"/>
                <w:sz w:val="12"/>
                <w:szCs w:val="14"/>
              </w:rPr>
            </w:pPr>
            <w:r w:rsidRPr="003026C1">
              <w:rPr>
                <w:rFonts w:ascii="Times New Roman" w:eastAsia="Times New Roman" w:hAnsi="Times New Roman" w:cs="Times New Roman"/>
                <w:b/>
                <w:smallCaps/>
                <w:color w:val="000000"/>
                <w:sz w:val="12"/>
                <w:szCs w:val="14"/>
              </w:rPr>
              <w:t>Industrijska kemikalija</w:t>
            </w:r>
          </w:p>
        </w:tc>
        <w:tc>
          <w:tcPr>
            <w:tcW w:w="426" w:type="dxa"/>
            <w:shd w:val="pct10" w:color="auto" w:fill="auto"/>
            <w:textDirection w:val="btLr"/>
          </w:tcPr>
          <w:p w14:paraId="0902A2CE" w14:textId="77777777" w:rsidR="00D84719" w:rsidRPr="003026C1" w:rsidRDefault="00D84719" w:rsidP="003026C1">
            <w:pPr>
              <w:spacing w:after="0" w:line="240" w:lineRule="auto"/>
              <w:ind w:left="113" w:right="113"/>
              <w:jc w:val="center"/>
              <w:rPr>
                <w:rFonts w:ascii="Times New Roman" w:eastAsia="Times New Roman" w:hAnsi="Times New Roman" w:cs="Times New Roman"/>
                <w:b/>
                <w:smallCaps/>
                <w:color w:val="000000"/>
                <w:sz w:val="12"/>
                <w:szCs w:val="14"/>
              </w:rPr>
            </w:pPr>
            <w:r w:rsidRPr="003026C1">
              <w:rPr>
                <w:rFonts w:ascii="Times New Roman" w:eastAsia="Times New Roman" w:hAnsi="Times New Roman" w:cs="Times New Roman"/>
                <w:b/>
                <w:smallCaps/>
                <w:color w:val="000000"/>
                <w:sz w:val="12"/>
                <w:szCs w:val="14"/>
              </w:rPr>
              <w:t>Nenamjerna proizvodnja</w:t>
            </w:r>
          </w:p>
        </w:tc>
        <w:tc>
          <w:tcPr>
            <w:tcW w:w="4252" w:type="dxa"/>
            <w:gridSpan w:val="3"/>
            <w:shd w:val="pct10" w:color="auto" w:fill="auto"/>
            <w:vAlign w:val="center"/>
          </w:tcPr>
          <w:p w14:paraId="452C5D40" w14:textId="77777777" w:rsidR="00D84719" w:rsidRPr="003026C1" w:rsidRDefault="00D84719" w:rsidP="00D84719">
            <w:pPr>
              <w:spacing w:after="0" w:line="240" w:lineRule="auto"/>
              <w:jc w:val="center"/>
              <w:rPr>
                <w:rFonts w:ascii="Times New Roman" w:eastAsia="Times New Roman" w:hAnsi="Times New Roman" w:cs="Times New Roman"/>
                <w:b/>
                <w:smallCaps/>
                <w:color w:val="000000"/>
                <w:sz w:val="18"/>
                <w:szCs w:val="14"/>
              </w:rPr>
            </w:pPr>
            <w:r w:rsidRPr="003026C1">
              <w:rPr>
                <w:rFonts w:ascii="Times New Roman" w:eastAsia="Times New Roman" w:hAnsi="Times New Roman" w:cs="Times New Roman"/>
                <w:b/>
                <w:smallCaps/>
                <w:color w:val="000000"/>
                <w:sz w:val="18"/>
                <w:szCs w:val="14"/>
              </w:rPr>
              <w:t>NAPOMENA</w:t>
            </w:r>
          </w:p>
        </w:tc>
      </w:tr>
      <w:tr w:rsidR="00D84719" w:rsidRPr="00D84719" w14:paraId="0F845F44" w14:textId="77777777" w:rsidTr="003026C1">
        <w:trPr>
          <w:jc w:val="center"/>
        </w:trPr>
        <w:tc>
          <w:tcPr>
            <w:tcW w:w="1129" w:type="dxa"/>
            <w:vMerge w:val="restart"/>
            <w:vAlign w:val="center"/>
          </w:tcPr>
          <w:p w14:paraId="3C1383AA" w14:textId="77777777" w:rsidR="00D84719" w:rsidRPr="003026C1" w:rsidRDefault="00D84719" w:rsidP="00D84719">
            <w:pPr>
              <w:spacing w:after="0" w:line="240" w:lineRule="auto"/>
              <w:jc w:val="center"/>
              <w:rPr>
                <w:rFonts w:ascii="Times New Roman" w:eastAsia="Times New Roman" w:hAnsi="Times New Roman" w:cs="Times New Roman"/>
                <w:b/>
                <w:color w:val="000000"/>
                <w:sz w:val="16"/>
                <w:szCs w:val="20"/>
              </w:rPr>
            </w:pPr>
            <w:r w:rsidRPr="003026C1">
              <w:rPr>
                <w:rFonts w:ascii="Times New Roman" w:eastAsia="Times New Roman" w:hAnsi="Times New Roman" w:cs="Times New Roman"/>
                <w:b/>
                <w:color w:val="000000"/>
                <w:sz w:val="16"/>
                <w:szCs w:val="20"/>
              </w:rPr>
              <w:t>Dodatak A: Uklanjanje</w:t>
            </w:r>
          </w:p>
        </w:tc>
        <w:tc>
          <w:tcPr>
            <w:tcW w:w="3686" w:type="dxa"/>
          </w:tcPr>
          <w:p w14:paraId="53AEE068" w14:textId="77777777" w:rsidR="00D84719" w:rsidRPr="003026C1" w:rsidRDefault="00D84719" w:rsidP="00D84719">
            <w:pPr>
              <w:spacing w:after="0" w:line="240" w:lineRule="auto"/>
              <w:jc w:val="both"/>
              <w:rPr>
                <w:rFonts w:ascii="Times New Roman" w:eastAsia="Times New Roman" w:hAnsi="Times New Roman" w:cs="Times New Roman"/>
                <w:color w:val="000000"/>
                <w:sz w:val="18"/>
                <w:szCs w:val="20"/>
              </w:rPr>
            </w:pPr>
            <w:r w:rsidRPr="003026C1">
              <w:rPr>
                <w:rFonts w:ascii="Times New Roman" w:eastAsia="Times New Roman" w:hAnsi="Times New Roman" w:cs="Times New Roman"/>
                <w:color w:val="000000"/>
                <w:sz w:val="18"/>
                <w:szCs w:val="20"/>
              </w:rPr>
              <w:t>aldrin</w:t>
            </w:r>
          </w:p>
        </w:tc>
        <w:tc>
          <w:tcPr>
            <w:tcW w:w="425" w:type="dxa"/>
          </w:tcPr>
          <w:p w14:paraId="76E3D2D7"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r w:rsidRPr="003026C1">
              <w:rPr>
                <w:rFonts w:ascii="Times New Roman" w:eastAsia="Times New Roman" w:hAnsi="Times New Roman" w:cs="Times New Roman"/>
                <w:color w:val="000000"/>
                <w:sz w:val="18"/>
                <w:szCs w:val="20"/>
              </w:rPr>
              <w:t>x</w:t>
            </w:r>
          </w:p>
        </w:tc>
        <w:tc>
          <w:tcPr>
            <w:tcW w:w="425" w:type="dxa"/>
            <w:gridSpan w:val="2"/>
          </w:tcPr>
          <w:p w14:paraId="1D1C72E0"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p>
        </w:tc>
        <w:tc>
          <w:tcPr>
            <w:tcW w:w="426" w:type="dxa"/>
          </w:tcPr>
          <w:p w14:paraId="676FBD16"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p>
        </w:tc>
        <w:tc>
          <w:tcPr>
            <w:tcW w:w="4252" w:type="dxa"/>
            <w:gridSpan w:val="3"/>
          </w:tcPr>
          <w:p w14:paraId="44B5DA4C"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p>
        </w:tc>
      </w:tr>
      <w:tr w:rsidR="00D84719" w:rsidRPr="00D84719" w14:paraId="4D7DA731" w14:textId="77777777" w:rsidTr="003026C1">
        <w:trPr>
          <w:jc w:val="center"/>
        </w:trPr>
        <w:tc>
          <w:tcPr>
            <w:tcW w:w="1129" w:type="dxa"/>
            <w:vMerge/>
            <w:vAlign w:val="center"/>
          </w:tcPr>
          <w:p w14:paraId="64477C62" w14:textId="77777777" w:rsidR="00D84719" w:rsidRPr="003026C1" w:rsidRDefault="00D84719" w:rsidP="00D84719">
            <w:pPr>
              <w:spacing w:after="0" w:line="240" w:lineRule="auto"/>
              <w:jc w:val="center"/>
              <w:rPr>
                <w:rFonts w:ascii="Times New Roman" w:eastAsia="Times New Roman" w:hAnsi="Times New Roman" w:cs="Times New Roman"/>
                <w:b/>
                <w:color w:val="000000"/>
                <w:sz w:val="16"/>
                <w:szCs w:val="20"/>
              </w:rPr>
            </w:pPr>
          </w:p>
        </w:tc>
        <w:tc>
          <w:tcPr>
            <w:tcW w:w="3686" w:type="dxa"/>
          </w:tcPr>
          <w:p w14:paraId="257B9CC9" w14:textId="77777777" w:rsidR="00D84719" w:rsidRPr="003026C1" w:rsidRDefault="00D84719" w:rsidP="00D84719">
            <w:pPr>
              <w:spacing w:after="0" w:line="240" w:lineRule="auto"/>
              <w:jc w:val="both"/>
              <w:rPr>
                <w:rFonts w:ascii="Times New Roman" w:eastAsia="Times New Roman" w:hAnsi="Times New Roman" w:cs="Times New Roman"/>
                <w:color w:val="000000"/>
                <w:sz w:val="18"/>
                <w:szCs w:val="20"/>
              </w:rPr>
            </w:pPr>
            <w:r w:rsidRPr="003026C1">
              <w:rPr>
                <w:rFonts w:ascii="Times New Roman" w:eastAsia="Times New Roman" w:hAnsi="Times New Roman" w:cs="Times New Roman"/>
                <w:color w:val="000000"/>
                <w:sz w:val="18"/>
                <w:szCs w:val="20"/>
              </w:rPr>
              <w:t>klordan</w:t>
            </w:r>
          </w:p>
        </w:tc>
        <w:tc>
          <w:tcPr>
            <w:tcW w:w="425" w:type="dxa"/>
          </w:tcPr>
          <w:p w14:paraId="123A950D"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r w:rsidRPr="003026C1">
              <w:rPr>
                <w:rFonts w:ascii="Times New Roman" w:eastAsia="Times New Roman" w:hAnsi="Times New Roman" w:cs="Times New Roman"/>
                <w:color w:val="000000"/>
                <w:sz w:val="18"/>
                <w:szCs w:val="20"/>
              </w:rPr>
              <w:t>x</w:t>
            </w:r>
          </w:p>
        </w:tc>
        <w:tc>
          <w:tcPr>
            <w:tcW w:w="425" w:type="dxa"/>
            <w:gridSpan w:val="2"/>
          </w:tcPr>
          <w:p w14:paraId="6C74D8E1"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p>
        </w:tc>
        <w:tc>
          <w:tcPr>
            <w:tcW w:w="426" w:type="dxa"/>
          </w:tcPr>
          <w:p w14:paraId="59B122AD"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p>
        </w:tc>
        <w:tc>
          <w:tcPr>
            <w:tcW w:w="4252" w:type="dxa"/>
            <w:gridSpan w:val="3"/>
          </w:tcPr>
          <w:p w14:paraId="7B8C3943"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p>
        </w:tc>
      </w:tr>
      <w:tr w:rsidR="00D84719" w:rsidRPr="00D84719" w14:paraId="371FC11C" w14:textId="77777777" w:rsidTr="003026C1">
        <w:trPr>
          <w:jc w:val="center"/>
        </w:trPr>
        <w:tc>
          <w:tcPr>
            <w:tcW w:w="1129" w:type="dxa"/>
            <w:vMerge/>
            <w:vAlign w:val="center"/>
          </w:tcPr>
          <w:p w14:paraId="6883D359" w14:textId="77777777" w:rsidR="00D84719" w:rsidRPr="003026C1" w:rsidRDefault="00D84719" w:rsidP="00D84719">
            <w:pPr>
              <w:spacing w:after="0" w:line="240" w:lineRule="auto"/>
              <w:jc w:val="center"/>
              <w:rPr>
                <w:rFonts w:ascii="Times New Roman" w:eastAsia="Times New Roman" w:hAnsi="Times New Roman" w:cs="Times New Roman"/>
                <w:b/>
                <w:color w:val="000000"/>
                <w:sz w:val="16"/>
                <w:szCs w:val="20"/>
              </w:rPr>
            </w:pPr>
          </w:p>
        </w:tc>
        <w:tc>
          <w:tcPr>
            <w:tcW w:w="3686" w:type="dxa"/>
          </w:tcPr>
          <w:p w14:paraId="244FE14A" w14:textId="77777777" w:rsidR="00D84719" w:rsidRPr="003026C1" w:rsidRDefault="00D84719" w:rsidP="00D84719">
            <w:pPr>
              <w:spacing w:after="0" w:line="240" w:lineRule="auto"/>
              <w:jc w:val="both"/>
              <w:rPr>
                <w:rFonts w:ascii="Times New Roman" w:eastAsia="Times New Roman" w:hAnsi="Times New Roman" w:cs="Times New Roman"/>
                <w:color w:val="000000"/>
                <w:sz w:val="18"/>
                <w:szCs w:val="20"/>
              </w:rPr>
            </w:pPr>
            <w:r w:rsidRPr="003026C1">
              <w:rPr>
                <w:rFonts w:ascii="Times New Roman" w:eastAsia="Times New Roman" w:hAnsi="Times New Roman" w:cs="Times New Roman"/>
                <w:color w:val="000000"/>
                <w:sz w:val="18"/>
                <w:szCs w:val="20"/>
                <w:lang w:eastAsia="de-DE"/>
              </w:rPr>
              <w:t>dieldrin</w:t>
            </w:r>
          </w:p>
        </w:tc>
        <w:tc>
          <w:tcPr>
            <w:tcW w:w="425" w:type="dxa"/>
          </w:tcPr>
          <w:p w14:paraId="27829333"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r w:rsidRPr="003026C1">
              <w:rPr>
                <w:rFonts w:ascii="Times New Roman" w:eastAsia="Times New Roman" w:hAnsi="Times New Roman" w:cs="Times New Roman"/>
                <w:color w:val="000000"/>
                <w:sz w:val="18"/>
                <w:szCs w:val="20"/>
              </w:rPr>
              <w:t>x</w:t>
            </w:r>
          </w:p>
        </w:tc>
        <w:tc>
          <w:tcPr>
            <w:tcW w:w="425" w:type="dxa"/>
            <w:gridSpan w:val="2"/>
          </w:tcPr>
          <w:p w14:paraId="5755D1A9"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p>
        </w:tc>
        <w:tc>
          <w:tcPr>
            <w:tcW w:w="426" w:type="dxa"/>
          </w:tcPr>
          <w:p w14:paraId="12591AD6"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p>
        </w:tc>
        <w:tc>
          <w:tcPr>
            <w:tcW w:w="4252" w:type="dxa"/>
            <w:gridSpan w:val="3"/>
          </w:tcPr>
          <w:p w14:paraId="7F67406E"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p>
        </w:tc>
      </w:tr>
      <w:tr w:rsidR="00D84719" w:rsidRPr="00D84719" w14:paraId="4EBAE7EE" w14:textId="77777777" w:rsidTr="003026C1">
        <w:trPr>
          <w:jc w:val="center"/>
        </w:trPr>
        <w:tc>
          <w:tcPr>
            <w:tcW w:w="1129" w:type="dxa"/>
            <w:vMerge/>
            <w:vAlign w:val="center"/>
          </w:tcPr>
          <w:p w14:paraId="58402078" w14:textId="77777777" w:rsidR="00D84719" w:rsidRPr="003026C1" w:rsidRDefault="00D84719" w:rsidP="00D84719">
            <w:pPr>
              <w:spacing w:after="0" w:line="240" w:lineRule="auto"/>
              <w:jc w:val="center"/>
              <w:rPr>
                <w:rFonts w:ascii="Times New Roman" w:eastAsia="Times New Roman" w:hAnsi="Times New Roman" w:cs="Times New Roman"/>
                <w:b/>
                <w:color w:val="000000"/>
                <w:sz w:val="16"/>
                <w:szCs w:val="20"/>
              </w:rPr>
            </w:pPr>
          </w:p>
        </w:tc>
        <w:tc>
          <w:tcPr>
            <w:tcW w:w="3686" w:type="dxa"/>
          </w:tcPr>
          <w:p w14:paraId="2F2A7882" w14:textId="77777777" w:rsidR="00D84719" w:rsidRPr="003026C1" w:rsidRDefault="00D84719" w:rsidP="00D84719">
            <w:pPr>
              <w:spacing w:after="0" w:line="240" w:lineRule="auto"/>
              <w:jc w:val="both"/>
              <w:rPr>
                <w:rFonts w:ascii="Times New Roman" w:eastAsia="Times New Roman" w:hAnsi="Times New Roman" w:cs="Times New Roman"/>
                <w:color w:val="000000"/>
                <w:sz w:val="18"/>
                <w:szCs w:val="20"/>
              </w:rPr>
            </w:pPr>
            <w:r w:rsidRPr="003026C1">
              <w:rPr>
                <w:rFonts w:ascii="Times New Roman" w:eastAsia="Times New Roman" w:hAnsi="Times New Roman" w:cs="Times New Roman"/>
                <w:color w:val="000000"/>
                <w:sz w:val="18"/>
                <w:szCs w:val="20"/>
              </w:rPr>
              <w:t>endrin</w:t>
            </w:r>
          </w:p>
        </w:tc>
        <w:tc>
          <w:tcPr>
            <w:tcW w:w="425" w:type="dxa"/>
          </w:tcPr>
          <w:p w14:paraId="0B5DCFB2"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r w:rsidRPr="003026C1">
              <w:rPr>
                <w:rFonts w:ascii="Times New Roman" w:eastAsia="Times New Roman" w:hAnsi="Times New Roman" w:cs="Times New Roman"/>
                <w:color w:val="000000"/>
                <w:sz w:val="18"/>
                <w:szCs w:val="20"/>
              </w:rPr>
              <w:t>x</w:t>
            </w:r>
          </w:p>
        </w:tc>
        <w:tc>
          <w:tcPr>
            <w:tcW w:w="425" w:type="dxa"/>
            <w:gridSpan w:val="2"/>
          </w:tcPr>
          <w:p w14:paraId="28F5A98C"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p>
        </w:tc>
        <w:tc>
          <w:tcPr>
            <w:tcW w:w="426" w:type="dxa"/>
          </w:tcPr>
          <w:p w14:paraId="73761714"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p>
        </w:tc>
        <w:tc>
          <w:tcPr>
            <w:tcW w:w="4252" w:type="dxa"/>
            <w:gridSpan w:val="3"/>
          </w:tcPr>
          <w:p w14:paraId="14605573"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p>
        </w:tc>
      </w:tr>
      <w:tr w:rsidR="00D84719" w:rsidRPr="00D84719" w14:paraId="2D047CAE" w14:textId="77777777" w:rsidTr="003026C1">
        <w:trPr>
          <w:jc w:val="center"/>
        </w:trPr>
        <w:tc>
          <w:tcPr>
            <w:tcW w:w="1129" w:type="dxa"/>
            <w:vMerge/>
            <w:vAlign w:val="center"/>
          </w:tcPr>
          <w:p w14:paraId="7360766A" w14:textId="77777777" w:rsidR="00D84719" w:rsidRPr="003026C1" w:rsidRDefault="00D84719" w:rsidP="00D84719">
            <w:pPr>
              <w:spacing w:after="0" w:line="240" w:lineRule="auto"/>
              <w:jc w:val="center"/>
              <w:rPr>
                <w:rFonts w:ascii="Times New Roman" w:eastAsia="Times New Roman" w:hAnsi="Times New Roman" w:cs="Times New Roman"/>
                <w:b/>
                <w:color w:val="000000"/>
                <w:sz w:val="16"/>
                <w:szCs w:val="20"/>
              </w:rPr>
            </w:pPr>
          </w:p>
        </w:tc>
        <w:tc>
          <w:tcPr>
            <w:tcW w:w="3686" w:type="dxa"/>
          </w:tcPr>
          <w:p w14:paraId="56ABC25C" w14:textId="77777777" w:rsidR="00D84719" w:rsidRPr="003026C1" w:rsidRDefault="00D84719" w:rsidP="00D84719">
            <w:pPr>
              <w:spacing w:after="0" w:line="240" w:lineRule="auto"/>
              <w:jc w:val="both"/>
              <w:rPr>
                <w:rFonts w:ascii="Times New Roman" w:eastAsia="Times New Roman" w:hAnsi="Times New Roman" w:cs="Times New Roman"/>
                <w:color w:val="000000"/>
                <w:sz w:val="18"/>
                <w:szCs w:val="20"/>
              </w:rPr>
            </w:pPr>
            <w:r w:rsidRPr="003026C1">
              <w:rPr>
                <w:rFonts w:ascii="Times New Roman" w:eastAsia="Times New Roman" w:hAnsi="Times New Roman" w:cs="Times New Roman"/>
                <w:color w:val="000000"/>
                <w:sz w:val="18"/>
                <w:szCs w:val="20"/>
              </w:rPr>
              <w:t>heptaklor</w:t>
            </w:r>
          </w:p>
        </w:tc>
        <w:tc>
          <w:tcPr>
            <w:tcW w:w="425" w:type="dxa"/>
          </w:tcPr>
          <w:p w14:paraId="164C1506"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r w:rsidRPr="003026C1">
              <w:rPr>
                <w:rFonts w:ascii="Times New Roman" w:eastAsia="Times New Roman" w:hAnsi="Times New Roman" w:cs="Times New Roman"/>
                <w:color w:val="000000"/>
                <w:sz w:val="18"/>
                <w:szCs w:val="20"/>
              </w:rPr>
              <w:t>x</w:t>
            </w:r>
          </w:p>
        </w:tc>
        <w:tc>
          <w:tcPr>
            <w:tcW w:w="425" w:type="dxa"/>
            <w:gridSpan w:val="2"/>
          </w:tcPr>
          <w:p w14:paraId="7FCF333C"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p>
        </w:tc>
        <w:tc>
          <w:tcPr>
            <w:tcW w:w="426" w:type="dxa"/>
          </w:tcPr>
          <w:p w14:paraId="4AED7D82"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p>
        </w:tc>
        <w:tc>
          <w:tcPr>
            <w:tcW w:w="4252" w:type="dxa"/>
            <w:gridSpan w:val="3"/>
          </w:tcPr>
          <w:p w14:paraId="13F4AFAF"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p>
        </w:tc>
      </w:tr>
      <w:tr w:rsidR="00D84719" w:rsidRPr="00D84719" w14:paraId="58914BEE" w14:textId="77777777" w:rsidTr="003026C1">
        <w:trPr>
          <w:jc w:val="center"/>
        </w:trPr>
        <w:tc>
          <w:tcPr>
            <w:tcW w:w="1129" w:type="dxa"/>
            <w:vMerge/>
            <w:vAlign w:val="center"/>
          </w:tcPr>
          <w:p w14:paraId="202FEA37" w14:textId="77777777" w:rsidR="00D84719" w:rsidRPr="003026C1" w:rsidRDefault="00D84719" w:rsidP="00D84719">
            <w:pPr>
              <w:spacing w:after="0" w:line="240" w:lineRule="auto"/>
              <w:jc w:val="center"/>
              <w:rPr>
                <w:rFonts w:ascii="Times New Roman" w:eastAsia="Times New Roman" w:hAnsi="Times New Roman" w:cs="Times New Roman"/>
                <w:b/>
                <w:color w:val="000000"/>
                <w:sz w:val="16"/>
                <w:szCs w:val="20"/>
              </w:rPr>
            </w:pPr>
          </w:p>
        </w:tc>
        <w:tc>
          <w:tcPr>
            <w:tcW w:w="3686" w:type="dxa"/>
          </w:tcPr>
          <w:p w14:paraId="69391300" w14:textId="77777777" w:rsidR="00D84719" w:rsidRPr="003026C1" w:rsidRDefault="00D84719" w:rsidP="00D84719">
            <w:pPr>
              <w:spacing w:after="0" w:line="240" w:lineRule="auto"/>
              <w:jc w:val="both"/>
              <w:rPr>
                <w:rFonts w:ascii="Times New Roman" w:eastAsia="Times New Roman" w:hAnsi="Times New Roman" w:cs="Times New Roman"/>
                <w:color w:val="000000"/>
                <w:sz w:val="18"/>
                <w:szCs w:val="20"/>
              </w:rPr>
            </w:pPr>
            <w:r w:rsidRPr="003026C1">
              <w:rPr>
                <w:rFonts w:ascii="Times New Roman" w:eastAsia="Times New Roman" w:hAnsi="Times New Roman" w:cs="Times New Roman"/>
                <w:color w:val="000000"/>
                <w:sz w:val="18"/>
                <w:szCs w:val="20"/>
              </w:rPr>
              <w:t>heksaklorobenzen (HCB)</w:t>
            </w:r>
          </w:p>
        </w:tc>
        <w:tc>
          <w:tcPr>
            <w:tcW w:w="425" w:type="dxa"/>
          </w:tcPr>
          <w:p w14:paraId="4D9ACABB"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r w:rsidRPr="003026C1">
              <w:rPr>
                <w:rFonts w:ascii="Times New Roman" w:eastAsia="Times New Roman" w:hAnsi="Times New Roman" w:cs="Times New Roman"/>
                <w:color w:val="000000"/>
                <w:sz w:val="18"/>
                <w:szCs w:val="20"/>
              </w:rPr>
              <w:t>x</w:t>
            </w:r>
          </w:p>
        </w:tc>
        <w:tc>
          <w:tcPr>
            <w:tcW w:w="425" w:type="dxa"/>
            <w:gridSpan w:val="2"/>
          </w:tcPr>
          <w:p w14:paraId="466038B5"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r w:rsidRPr="003026C1">
              <w:rPr>
                <w:rFonts w:ascii="Times New Roman" w:eastAsia="Times New Roman" w:hAnsi="Times New Roman" w:cs="Times New Roman"/>
                <w:color w:val="000000"/>
                <w:sz w:val="18"/>
                <w:szCs w:val="20"/>
              </w:rPr>
              <w:t>x</w:t>
            </w:r>
          </w:p>
        </w:tc>
        <w:tc>
          <w:tcPr>
            <w:tcW w:w="426" w:type="dxa"/>
          </w:tcPr>
          <w:p w14:paraId="746C4A3F"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p>
        </w:tc>
        <w:tc>
          <w:tcPr>
            <w:tcW w:w="4252" w:type="dxa"/>
            <w:gridSpan w:val="3"/>
          </w:tcPr>
          <w:p w14:paraId="79695290"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p>
        </w:tc>
      </w:tr>
      <w:tr w:rsidR="00D84719" w:rsidRPr="00D84719" w14:paraId="15827F6D" w14:textId="77777777" w:rsidTr="003026C1">
        <w:trPr>
          <w:jc w:val="center"/>
        </w:trPr>
        <w:tc>
          <w:tcPr>
            <w:tcW w:w="1129" w:type="dxa"/>
            <w:vMerge/>
            <w:vAlign w:val="center"/>
          </w:tcPr>
          <w:p w14:paraId="591ADFC6" w14:textId="77777777" w:rsidR="00D84719" w:rsidRPr="003026C1" w:rsidRDefault="00D84719" w:rsidP="00D84719">
            <w:pPr>
              <w:spacing w:after="0" w:line="240" w:lineRule="auto"/>
              <w:jc w:val="center"/>
              <w:rPr>
                <w:rFonts w:ascii="Times New Roman" w:eastAsia="Times New Roman" w:hAnsi="Times New Roman" w:cs="Times New Roman"/>
                <w:b/>
                <w:color w:val="000000"/>
                <w:sz w:val="16"/>
                <w:szCs w:val="20"/>
              </w:rPr>
            </w:pPr>
          </w:p>
        </w:tc>
        <w:tc>
          <w:tcPr>
            <w:tcW w:w="3686" w:type="dxa"/>
          </w:tcPr>
          <w:p w14:paraId="7707817F" w14:textId="77777777" w:rsidR="00D84719" w:rsidRPr="003026C1" w:rsidRDefault="00D84719" w:rsidP="00D84719">
            <w:pPr>
              <w:spacing w:after="0" w:line="240" w:lineRule="auto"/>
              <w:jc w:val="both"/>
              <w:rPr>
                <w:rFonts w:ascii="Times New Roman" w:eastAsia="Times New Roman" w:hAnsi="Times New Roman" w:cs="Times New Roman"/>
                <w:color w:val="000000"/>
                <w:sz w:val="18"/>
                <w:szCs w:val="20"/>
              </w:rPr>
            </w:pPr>
            <w:r w:rsidRPr="003026C1">
              <w:rPr>
                <w:rFonts w:ascii="Times New Roman" w:eastAsia="Times New Roman" w:hAnsi="Times New Roman" w:cs="Times New Roman"/>
                <w:color w:val="000000"/>
                <w:sz w:val="18"/>
                <w:szCs w:val="20"/>
                <w:lang w:eastAsia="de-DE"/>
              </w:rPr>
              <w:t>mireks</w:t>
            </w:r>
          </w:p>
        </w:tc>
        <w:tc>
          <w:tcPr>
            <w:tcW w:w="425" w:type="dxa"/>
          </w:tcPr>
          <w:p w14:paraId="75FFEBC8"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r w:rsidRPr="003026C1">
              <w:rPr>
                <w:rFonts w:ascii="Times New Roman" w:eastAsia="Times New Roman" w:hAnsi="Times New Roman" w:cs="Times New Roman"/>
                <w:color w:val="000000"/>
                <w:sz w:val="18"/>
                <w:szCs w:val="20"/>
              </w:rPr>
              <w:t>x</w:t>
            </w:r>
          </w:p>
        </w:tc>
        <w:tc>
          <w:tcPr>
            <w:tcW w:w="425" w:type="dxa"/>
            <w:gridSpan w:val="2"/>
          </w:tcPr>
          <w:p w14:paraId="7605413A"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p>
        </w:tc>
        <w:tc>
          <w:tcPr>
            <w:tcW w:w="426" w:type="dxa"/>
          </w:tcPr>
          <w:p w14:paraId="42A44BBA"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p>
        </w:tc>
        <w:tc>
          <w:tcPr>
            <w:tcW w:w="4252" w:type="dxa"/>
            <w:gridSpan w:val="3"/>
          </w:tcPr>
          <w:p w14:paraId="33F9E993"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p>
        </w:tc>
      </w:tr>
      <w:tr w:rsidR="00D84719" w:rsidRPr="00D84719" w14:paraId="437FDA7D" w14:textId="77777777" w:rsidTr="003026C1">
        <w:trPr>
          <w:jc w:val="center"/>
        </w:trPr>
        <w:tc>
          <w:tcPr>
            <w:tcW w:w="1129" w:type="dxa"/>
            <w:vMerge/>
            <w:vAlign w:val="center"/>
          </w:tcPr>
          <w:p w14:paraId="4A5F35F7" w14:textId="77777777" w:rsidR="00D84719" w:rsidRPr="003026C1" w:rsidRDefault="00D84719" w:rsidP="00D84719">
            <w:pPr>
              <w:spacing w:after="0" w:line="240" w:lineRule="auto"/>
              <w:jc w:val="center"/>
              <w:rPr>
                <w:rFonts w:ascii="Times New Roman" w:eastAsia="Times New Roman" w:hAnsi="Times New Roman" w:cs="Times New Roman"/>
                <w:b/>
                <w:color w:val="000000"/>
                <w:sz w:val="16"/>
                <w:szCs w:val="20"/>
              </w:rPr>
            </w:pPr>
          </w:p>
        </w:tc>
        <w:tc>
          <w:tcPr>
            <w:tcW w:w="3686" w:type="dxa"/>
          </w:tcPr>
          <w:p w14:paraId="41A61581" w14:textId="77777777" w:rsidR="00D84719" w:rsidRPr="003026C1" w:rsidRDefault="00D84719" w:rsidP="00D84719">
            <w:pPr>
              <w:spacing w:after="0" w:line="240" w:lineRule="auto"/>
              <w:jc w:val="both"/>
              <w:rPr>
                <w:rFonts w:ascii="Times New Roman" w:eastAsia="Times New Roman" w:hAnsi="Times New Roman" w:cs="Times New Roman"/>
                <w:color w:val="000000"/>
                <w:sz w:val="18"/>
                <w:szCs w:val="20"/>
              </w:rPr>
            </w:pPr>
            <w:r w:rsidRPr="003026C1">
              <w:rPr>
                <w:rFonts w:ascii="Times New Roman" w:eastAsia="Times New Roman" w:hAnsi="Times New Roman" w:cs="Times New Roman"/>
                <w:color w:val="000000"/>
                <w:sz w:val="18"/>
                <w:szCs w:val="20"/>
                <w:lang w:eastAsia="de-DE"/>
              </w:rPr>
              <w:t>poliklorirani bifenili (PCB)</w:t>
            </w:r>
          </w:p>
        </w:tc>
        <w:tc>
          <w:tcPr>
            <w:tcW w:w="425" w:type="dxa"/>
          </w:tcPr>
          <w:p w14:paraId="1B93C85D"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p>
        </w:tc>
        <w:tc>
          <w:tcPr>
            <w:tcW w:w="425" w:type="dxa"/>
            <w:gridSpan w:val="2"/>
          </w:tcPr>
          <w:p w14:paraId="0F7A4ABD"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r w:rsidRPr="003026C1">
              <w:rPr>
                <w:rFonts w:ascii="Times New Roman" w:eastAsia="Times New Roman" w:hAnsi="Times New Roman" w:cs="Times New Roman"/>
                <w:color w:val="000000"/>
                <w:sz w:val="18"/>
                <w:szCs w:val="20"/>
              </w:rPr>
              <w:t>x</w:t>
            </w:r>
          </w:p>
        </w:tc>
        <w:tc>
          <w:tcPr>
            <w:tcW w:w="426" w:type="dxa"/>
          </w:tcPr>
          <w:p w14:paraId="6191FBEA"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p>
        </w:tc>
        <w:tc>
          <w:tcPr>
            <w:tcW w:w="4252" w:type="dxa"/>
            <w:gridSpan w:val="3"/>
          </w:tcPr>
          <w:p w14:paraId="387A363F"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p>
        </w:tc>
      </w:tr>
      <w:tr w:rsidR="00D84719" w:rsidRPr="00D84719" w14:paraId="4D9D5359" w14:textId="77777777" w:rsidTr="003026C1">
        <w:trPr>
          <w:jc w:val="center"/>
        </w:trPr>
        <w:tc>
          <w:tcPr>
            <w:tcW w:w="1129" w:type="dxa"/>
            <w:vMerge/>
            <w:vAlign w:val="center"/>
          </w:tcPr>
          <w:p w14:paraId="1AEDD1D1" w14:textId="77777777" w:rsidR="00D84719" w:rsidRPr="003026C1" w:rsidRDefault="00D84719" w:rsidP="00D84719">
            <w:pPr>
              <w:spacing w:after="0" w:line="240" w:lineRule="auto"/>
              <w:jc w:val="center"/>
              <w:rPr>
                <w:rFonts w:ascii="Times New Roman" w:eastAsia="Times New Roman" w:hAnsi="Times New Roman" w:cs="Times New Roman"/>
                <w:b/>
                <w:color w:val="000000"/>
                <w:sz w:val="16"/>
                <w:szCs w:val="20"/>
              </w:rPr>
            </w:pPr>
          </w:p>
        </w:tc>
        <w:tc>
          <w:tcPr>
            <w:tcW w:w="3686" w:type="dxa"/>
          </w:tcPr>
          <w:p w14:paraId="309701B0" w14:textId="77777777" w:rsidR="00D84719" w:rsidRPr="003026C1" w:rsidRDefault="00D84719" w:rsidP="00D84719">
            <w:pPr>
              <w:spacing w:after="0" w:line="240" w:lineRule="auto"/>
              <w:jc w:val="both"/>
              <w:rPr>
                <w:rFonts w:ascii="Times New Roman" w:eastAsia="Times New Roman" w:hAnsi="Times New Roman" w:cs="Times New Roman"/>
                <w:color w:val="000000"/>
                <w:sz w:val="18"/>
                <w:szCs w:val="20"/>
              </w:rPr>
            </w:pPr>
            <w:r w:rsidRPr="003026C1">
              <w:rPr>
                <w:rFonts w:ascii="Times New Roman" w:eastAsia="Times New Roman" w:hAnsi="Times New Roman" w:cs="Times New Roman"/>
                <w:color w:val="000000"/>
                <w:sz w:val="18"/>
                <w:szCs w:val="20"/>
              </w:rPr>
              <w:t>toksafen</w:t>
            </w:r>
          </w:p>
        </w:tc>
        <w:tc>
          <w:tcPr>
            <w:tcW w:w="425" w:type="dxa"/>
          </w:tcPr>
          <w:p w14:paraId="2C2890B5"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r w:rsidRPr="003026C1">
              <w:rPr>
                <w:rFonts w:ascii="Times New Roman" w:eastAsia="Times New Roman" w:hAnsi="Times New Roman" w:cs="Times New Roman"/>
                <w:color w:val="000000"/>
                <w:sz w:val="18"/>
                <w:szCs w:val="20"/>
              </w:rPr>
              <w:t>x</w:t>
            </w:r>
          </w:p>
        </w:tc>
        <w:tc>
          <w:tcPr>
            <w:tcW w:w="425" w:type="dxa"/>
            <w:gridSpan w:val="2"/>
          </w:tcPr>
          <w:p w14:paraId="2B444C71"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p>
        </w:tc>
        <w:tc>
          <w:tcPr>
            <w:tcW w:w="426" w:type="dxa"/>
          </w:tcPr>
          <w:p w14:paraId="763558F9"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p>
        </w:tc>
        <w:tc>
          <w:tcPr>
            <w:tcW w:w="4252" w:type="dxa"/>
            <w:gridSpan w:val="3"/>
          </w:tcPr>
          <w:p w14:paraId="77A3450F"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p>
        </w:tc>
      </w:tr>
      <w:tr w:rsidR="00D84719" w:rsidRPr="00D84719" w14:paraId="5F84657D" w14:textId="77777777" w:rsidTr="003026C1">
        <w:trPr>
          <w:jc w:val="center"/>
        </w:trPr>
        <w:tc>
          <w:tcPr>
            <w:tcW w:w="1129" w:type="dxa"/>
            <w:vMerge/>
            <w:vAlign w:val="center"/>
          </w:tcPr>
          <w:p w14:paraId="279363C3" w14:textId="77777777" w:rsidR="00D84719" w:rsidRPr="003026C1" w:rsidRDefault="00D84719" w:rsidP="00D84719">
            <w:pPr>
              <w:spacing w:after="0" w:line="240" w:lineRule="auto"/>
              <w:jc w:val="center"/>
              <w:rPr>
                <w:rFonts w:ascii="Times New Roman" w:eastAsia="Times New Roman" w:hAnsi="Times New Roman" w:cs="Times New Roman"/>
                <w:b/>
                <w:color w:val="000000"/>
                <w:sz w:val="16"/>
                <w:szCs w:val="20"/>
              </w:rPr>
            </w:pPr>
          </w:p>
        </w:tc>
        <w:tc>
          <w:tcPr>
            <w:tcW w:w="3686" w:type="dxa"/>
            <w:shd w:val="clear" w:color="auto" w:fill="D6E3BC"/>
          </w:tcPr>
          <w:p w14:paraId="5C66EEEE" w14:textId="77777777" w:rsidR="00D84719" w:rsidRPr="003026C1" w:rsidRDefault="00D84719" w:rsidP="00D84719">
            <w:pPr>
              <w:spacing w:after="0" w:line="240" w:lineRule="auto"/>
              <w:jc w:val="both"/>
              <w:rPr>
                <w:rFonts w:ascii="Times New Roman" w:eastAsia="Times New Roman" w:hAnsi="Times New Roman" w:cs="Times New Roman"/>
                <w:color w:val="000000"/>
                <w:sz w:val="18"/>
                <w:szCs w:val="20"/>
              </w:rPr>
            </w:pPr>
            <w:r w:rsidRPr="003026C1">
              <w:rPr>
                <w:rFonts w:ascii="Times New Roman" w:eastAsia="Times New Roman" w:hAnsi="Times New Roman" w:cs="Times New Roman"/>
                <w:color w:val="000000"/>
                <w:sz w:val="18"/>
                <w:szCs w:val="20"/>
                <w:lang w:eastAsia="de-DE"/>
              </w:rPr>
              <w:t>klordekon</w:t>
            </w:r>
          </w:p>
        </w:tc>
        <w:tc>
          <w:tcPr>
            <w:tcW w:w="425" w:type="dxa"/>
            <w:shd w:val="clear" w:color="auto" w:fill="D6E3BC"/>
          </w:tcPr>
          <w:p w14:paraId="73E8F80D"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r w:rsidRPr="003026C1">
              <w:rPr>
                <w:rFonts w:ascii="Times New Roman" w:eastAsia="Times New Roman" w:hAnsi="Times New Roman" w:cs="Times New Roman"/>
                <w:color w:val="000000"/>
                <w:sz w:val="18"/>
                <w:szCs w:val="20"/>
              </w:rPr>
              <w:t>x</w:t>
            </w:r>
          </w:p>
        </w:tc>
        <w:tc>
          <w:tcPr>
            <w:tcW w:w="425" w:type="dxa"/>
            <w:gridSpan w:val="2"/>
            <w:shd w:val="clear" w:color="auto" w:fill="D6E3BC"/>
          </w:tcPr>
          <w:p w14:paraId="4B80F186"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p>
        </w:tc>
        <w:tc>
          <w:tcPr>
            <w:tcW w:w="426" w:type="dxa"/>
            <w:shd w:val="clear" w:color="auto" w:fill="D6E3BC"/>
          </w:tcPr>
          <w:p w14:paraId="2CBE839D"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p>
        </w:tc>
        <w:tc>
          <w:tcPr>
            <w:tcW w:w="4252" w:type="dxa"/>
            <w:gridSpan w:val="3"/>
            <w:shd w:val="clear" w:color="auto" w:fill="D6E3BC"/>
          </w:tcPr>
          <w:p w14:paraId="23CBE106"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p>
        </w:tc>
      </w:tr>
      <w:tr w:rsidR="00D84719" w:rsidRPr="00D84719" w14:paraId="33D68B43" w14:textId="77777777" w:rsidTr="003026C1">
        <w:trPr>
          <w:jc w:val="center"/>
        </w:trPr>
        <w:tc>
          <w:tcPr>
            <w:tcW w:w="1129" w:type="dxa"/>
            <w:vMerge/>
            <w:vAlign w:val="center"/>
          </w:tcPr>
          <w:p w14:paraId="75366318" w14:textId="77777777" w:rsidR="00D84719" w:rsidRPr="003026C1" w:rsidRDefault="00D84719" w:rsidP="00D84719">
            <w:pPr>
              <w:spacing w:after="0" w:line="240" w:lineRule="auto"/>
              <w:jc w:val="center"/>
              <w:rPr>
                <w:rFonts w:ascii="Times New Roman" w:eastAsia="Times New Roman" w:hAnsi="Times New Roman" w:cs="Times New Roman"/>
                <w:b/>
                <w:color w:val="000000"/>
                <w:sz w:val="16"/>
                <w:szCs w:val="20"/>
              </w:rPr>
            </w:pPr>
          </w:p>
        </w:tc>
        <w:tc>
          <w:tcPr>
            <w:tcW w:w="3686" w:type="dxa"/>
            <w:shd w:val="clear" w:color="auto" w:fill="D6E3BC"/>
          </w:tcPr>
          <w:p w14:paraId="42848522" w14:textId="77777777" w:rsidR="00D84719" w:rsidRPr="003026C1" w:rsidRDefault="00D84719" w:rsidP="00D84719">
            <w:pPr>
              <w:spacing w:after="0" w:line="240" w:lineRule="auto"/>
              <w:jc w:val="both"/>
              <w:rPr>
                <w:rFonts w:ascii="Times New Roman" w:eastAsia="Times New Roman" w:hAnsi="Times New Roman" w:cs="Times New Roman"/>
                <w:color w:val="000000"/>
                <w:sz w:val="18"/>
                <w:szCs w:val="20"/>
              </w:rPr>
            </w:pPr>
            <w:r w:rsidRPr="003026C1">
              <w:rPr>
                <w:rFonts w:ascii="Times New Roman" w:eastAsia="Times New Roman" w:hAnsi="Times New Roman" w:cs="Times New Roman"/>
                <w:color w:val="000000"/>
                <w:sz w:val="18"/>
                <w:szCs w:val="20"/>
                <w:lang w:eastAsia="de-DE"/>
              </w:rPr>
              <w:t>heksabromobifenil (HBB)</w:t>
            </w:r>
          </w:p>
        </w:tc>
        <w:tc>
          <w:tcPr>
            <w:tcW w:w="425" w:type="dxa"/>
            <w:shd w:val="clear" w:color="auto" w:fill="D6E3BC"/>
          </w:tcPr>
          <w:p w14:paraId="70F4351A"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p>
        </w:tc>
        <w:tc>
          <w:tcPr>
            <w:tcW w:w="425" w:type="dxa"/>
            <w:gridSpan w:val="2"/>
            <w:shd w:val="clear" w:color="auto" w:fill="D6E3BC"/>
          </w:tcPr>
          <w:p w14:paraId="63A618C9"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r w:rsidRPr="003026C1">
              <w:rPr>
                <w:rFonts w:ascii="Times New Roman" w:eastAsia="Times New Roman" w:hAnsi="Times New Roman" w:cs="Times New Roman"/>
                <w:color w:val="000000"/>
                <w:sz w:val="18"/>
                <w:szCs w:val="20"/>
              </w:rPr>
              <w:t>x</w:t>
            </w:r>
          </w:p>
        </w:tc>
        <w:tc>
          <w:tcPr>
            <w:tcW w:w="426" w:type="dxa"/>
            <w:shd w:val="clear" w:color="auto" w:fill="D6E3BC"/>
          </w:tcPr>
          <w:p w14:paraId="7611B80C"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p>
        </w:tc>
        <w:tc>
          <w:tcPr>
            <w:tcW w:w="4252" w:type="dxa"/>
            <w:gridSpan w:val="3"/>
            <w:shd w:val="clear" w:color="auto" w:fill="D6E3BC"/>
          </w:tcPr>
          <w:p w14:paraId="20CEAD2E"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p>
        </w:tc>
      </w:tr>
      <w:tr w:rsidR="00D84719" w:rsidRPr="00D84719" w14:paraId="18CA1754" w14:textId="77777777" w:rsidTr="003026C1">
        <w:trPr>
          <w:jc w:val="center"/>
        </w:trPr>
        <w:tc>
          <w:tcPr>
            <w:tcW w:w="1129" w:type="dxa"/>
            <w:vMerge/>
            <w:vAlign w:val="center"/>
          </w:tcPr>
          <w:p w14:paraId="48A9631B" w14:textId="77777777" w:rsidR="00D84719" w:rsidRPr="003026C1" w:rsidRDefault="00D84719" w:rsidP="00D84719">
            <w:pPr>
              <w:spacing w:after="0" w:line="240" w:lineRule="auto"/>
              <w:jc w:val="center"/>
              <w:rPr>
                <w:rFonts w:ascii="Times New Roman" w:eastAsia="Times New Roman" w:hAnsi="Times New Roman" w:cs="Times New Roman"/>
                <w:b/>
                <w:color w:val="000000"/>
                <w:sz w:val="16"/>
                <w:szCs w:val="20"/>
              </w:rPr>
            </w:pPr>
          </w:p>
        </w:tc>
        <w:tc>
          <w:tcPr>
            <w:tcW w:w="3686" w:type="dxa"/>
            <w:shd w:val="clear" w:color="auto" w:fill="D6E3BC"/>
          </w:tcPr>
          <w:p w14:paraId="254BCD84" w14:textId="77777777" w:rsidR="00D84719" w:rsidRPr="003026C1" w:rsidRDefault="00D84719" w:rsidP="00D84719">
            <w:pPr>
              <w:spacing w:after="0" w:line="240" w:lineRule="auto"/>
              <w:jc w:val="both"/>
              <w:rPr>
                <w:rFonts w:ascii="Times New Roman" w:eastAsia="Times New Roman" w:hAnsi="Times New Roman" w:cs="Times New Roman"/>
                <w:color w:val="000000"/>
                <w:sz w:val="18"/>
                <w:szCs w:val="20"/>
                <w:lang w:eastAsia="de-DE"/>
              </w:rPr>
            </w:pPr>
            <w:r w:rsidRPr="003026C1">
              <w:rPr>
                <w:rFonts w:ascii="Times New Roman" w:eastAsia="Times New Roman" w:hAnsi="Times New Roman" w:cs="Times New Roman"/>
                <w:color w:val="000000"/>
                <w:sz w:val="18"/>
                <w:szCs w:val="20"/>
                <w:lang w:eastAsia="de-DE"/>
              </w:rPr>
              <w:t>heksabromodifenil eter i heptabromodifenil eter</w:t>
            </w:r>
          </w:p>
        </w:tc>
        <w:tc>
          <w:tcPr>
            <w:tcW w:w="425" w:type="dxa"/>
            <w:shd w:val="clear" w:color="auto" w:fill="D6E3BC"/>
          </w:tcPr>
          <w:p w14:paraId="6817F819"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lang w:eastAsia="de-DE"/>
              </w:rPr>
            </w:pPr>
          </w:p>
        </w:tc>
        <w:tc>
          <w:tcPr>
            <w:tcW w:w="425" w:type="dxa"/>
            <w:gridSpan w:val="2"/>
            <w:shd w:val="clear" w:color="auto" w:fill="D6E3BC"/>
          </w:tcPr>
          <w:p w14:paraId="7A95CB4B"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r w:rsidRPr="003026C1">
              <w:rPr>
                <w:rFonts w:ascii="Times New Roman" w:eastAsia="Times New Roman" w:hAnsi="Times New Roman" w:cs="Times New Roman"/>
                <w:color w:val="000000"/>
                <w:sz w:val="18"/>
                <w:szCs w:val="20"/>
              </w:rPr>
              <w:t>x</w:t>
            </w:r>
          </w:p>
        </w:tc>
        <w:tc>
          <w:tcPr>
            <w:tcW w:w="426" w:type="dxa"/>
            <w:shd w:val="clear" w:color="auto" w:fill="D6E3BC"/>
          </w:tcPr>
          <w:p w14:paraId="5FA4F1E2"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p>
        </w:tc>
        <w:tc>
          <w:tcPr>
            <w:tcW w:w="4252" w:type="dxa"/>
            <w:gridSpan w:val="3"/>
            <w:shd w:val="clear" w:color="auto" w:fill="D6E3BC"/>
          </w:tcPr>
          <w:p w14:paraId="55E04BD5"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p>
        </w:tc>
      </w:tr>
      <w:tr w:rsidR="00D84719" w:rsidRPr="00D84719" w14:paraId="126D0D65" w14:textId="77777777" w:rsidTr="003026C1">
        <w:trPr>
          <w:jc w:val="center"/>
        </w:trPr>
        <w:tc>
          <w:tcPr>
            <w:tcW w:w="1129" w:type="dxa"/>
            <w:vMerge/>
            <w:vAlign w:val="center"/>
          </w:tcPr>
          <w:p w14:paraId="1BEDA90A" w14:textId="77777777" w:rsidR="00D84719" w:rsidRPr="003026C1" w:rsidRDefault="00D84719" w:rsidP="00D84719">
            <w:pPr>
              <w:spacing w:after="0" w:line="240" w:lineRule="auto"/>
              <w:jc w:val="center"/>
              <w:rPr>
                <w:rFonts w:ascii="Times New Roman" w:eastAsia="Times New Roman" w:hAnsi="Times New Roman" w:cs="Times New Roman"/>
                <w:b/>
                <w:color w:val="000000"/>
                <w:sz w:val="16"/>
                <w:szCs w:val="20"/>
              </w:rPr>
            </w:pPr>
          </w:p>
        </w:tc>
        <w:tc>
          <w:tcPr>
            <w:tcW w:w="3686" w:type="dxa"/>
            <w:shd w:val="clear" w:color="auto" w:fill="D6E3BC"/>
          </w:tcPr>
          <w:p w14:paraId="077AAEF7" w14:textId="77777777" w:rsidR="00D84719" w:rsidRPr="003026C1" w:rsidRDefault="00D84719" w:rsidP="00D84719">
            <w:pPr>
              <w:spacing w:after="0" w:line="240" w:lineRule="auto"/>
              <w:jc w:val="both"/>
              <w:rPr>
                <w:rFonts w:ascii="Times New Roman" w:eastAsia="Times New Roman" w:hAnsi="Times New Roman" w:cs="Times New Roman"/>
                <w:color w:val="000000"/>
                <w:sz w:val="18"/>
                <w:szCs w:val="20"/>
              </w:rPr>
            </w:pPr>
            <w:r w:rsidRPr="003026C1">
              <w:rPr>
                <w:rFonts w:ascii="Times New Roman" w:eastAsia="Times New Roman" w:hAnsi="Times New Roman" w:cs="Times New Roman"/>
                <w:color w:val="000000"/>
                <w:sz w:val="18"/>
                <w:szCs w:val="20"/>
              </w:rPr>
              <w:t>alfa heksaklorocikloheksan</w:t>
            </w:r>
          </w:p>
        </w:tc>
        <w:tc>
          <w:tcPr>
            <w:tcW w:w="425" w:type="dxa"/>
            <w:shd w:val="clear" w:color="auto" w:fill="D6E3BC"/>
          </w:tcPr>
          <w:p w14:paraId="0896F467"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r w:rsidRPr="003026C1">
              <w:rPr>
                <w:rFonts w:ascii="Times New Roman" w:eastAsia="Times New Roman" w:hAnsi="Times New Roman" w:cs="Times New Roman"/>
                <w:color w:val="000000"/>
                <w:sz w:val="18"/>
                <w:szCs w:val="20"/>
              </w:rPr>
              <w:t>x</w:t>
            </w:r>
          </w:p>
        </w:tc>
        <w:tc>
          <w:tcPr>
            <w:tcW w:w="425" w:type="dxa"/>
            <w:gridSpan w:val="2"/>
            <w:shd w:val="clear" w:color="auto" w:fill="D6E3BC"/>
          </w:tcPr>
          <w:p w14:paraId="222ACF83"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p>
        </w:tc>
        <w:tc>
          <w:tcPr>
            <w:tcW w:w="426" w:type="dxa"/>
            <w:shd w:val="clear" w:color="auto" w:fill="D6E3BC"/>
          </w:tcPr>
          <w:p w14:paraId="5F67A1FD"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p>
        </w:tc>
        <w:tc>
          <w:tcPr>
            <w:tcW w:w="4252" w:type="dxa"/>
            <w:gridSpan w:val="3"/>
            <w:shd w:val="clear" w:color="auto" w:fill="D6E3BC"/>
          </w:tcPr>
          <w:p w14:paraId="25BE591A"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p>
        </w:tc>
      </w:tr>
      <w:tr w:rsidR="00D84719" w:rsidRPr="00D84719" w14:paraId="68A410D6" w14:textId="77777777" w:rsidTr="003026C1">
        <w:trPr>
          <w:jc w:val="center"/>
        </w:trPr>
        <w:tc>
          <w:tcPr>
            <w:tcW w:w="1129" w:type="dxa"/>
            <w:vMerge/>
            <w:vAlign w:val="center"/>
          </w:tcPr>
          <w:p w14:paraId="7CA79216" w14:textId="77777777" w:rsidR="00D84719" w:rsidRPr="003026C1" w:rsidRDefault="00D84719" w:rsidP="00D84719">
            <w:pPr>
              <w:spacing w:after="0" w:line="240" w:lineRule="auto"/>
              <w:jc w:val="center"/>
              <w:rPr>
                <w:rFonts w:ascii="Times New Roman" w:eastAsia="Times New Roman" w:hAnsi="Times New Roman" w:cs="Times New Roman"/>
                <w:b/>
                <w:color w:val="000000"/>
                <w:sz w:val="16"/>
                <w:szCs w:val="20"/>
              </w:rPr>
            </w:pPr>
          </w:p>
        </w:tc>
        <w:tc>
          <w:tcPr>
            <w:tcW w:w="3686" w:type="dxa"/>
            <w:shd w:val="clear" w:color="auto" w:fill="D6E3BC"/>
          </w:tcPr>
          <w:p w14:paraId="439C5140" w14:textId="77777777" w:rsidR="00D84719" w:rsidRPr="003026C1" w:rsidRDefault="00D84719" w:rsidP="00D84719">
            <w:pPr>
              <w:spacing w:after="0" w:line="240" w:lineRule="auto"/>
              <w:jc w:val="both"/>
              <w:rPr>
                <w:rFonts w:ascii="Times New Roman" w:eastAsia="Times New Roman" w:hAnsi="Times New Roman" w:cs="Times New Roman"/>
                <w:color w:val="000000"/>
                <w:sz w:val="18"/>
                <w:szCs w:val="20"/>
              </w:rPr>
            </w:pPr>
            <w:r w:rsidRPr="003026C1">
              <w:rPr>
                <w:rFonts w:ascii="Times New Roman" w:eastAsia="Times New Roman" w:hAnsi="Times New Roman" w:cs="Times New Roman"/>
                <w:color w:val="000000"/>
                <w:sz w:val="18"/>
                <w:szCs w:val="20"/>
              </w:rPr>
              <w:t>beta heksaklorocikloheksan</w:t>
            </w:r>
          </w:p>
        </w:tc>
        <w:tc>
          <w:tcPr>
            <w:tcW w:w="425" w:type="dxa"/>
            <w:shd w:val="clear" w:color="auto" w:fill="D6E3BC"/>
          </w:tcPr>
          <w:p w14:paraId="5EE5D672"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r w:rsidRPr="003026C1">
              <w:rPr>
                <w:rFonts w:ascii="Times New Roman" w:eastAsia="Times New Roman" w:hAnsi="Times New Roman" w:cs="Times New Roman"/>
                <w:color w:val="000000"/>
                <w:sz w:val="18"/>
                <w:szCs w:val="20"/>
              </w:rPr>
              <w:t>x</w:t>
            </w:r>
          </w:p>
        </w:tc>
        <w:tc>
          <w:tcPr>
            <w:tcW w:w="425" w:type="dxa"/>
            <w:gridSpan w:val="2"/>
            <w:shd w:val="clear" w:color="auto" w:fill="D6E3BC"/>
          </w:tcPr>
          <w:p w14:paraId="3260B738"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p>
        </w:tc>
        <w:tc>
          <w:tcPr>
            <w:tcW w:w="426" w:type="dxa"/>
            <w:shd w:val="clear" w:color="auto" w:fill="D6E3BC"/>
          </w:tcPr>
          <w:p w14:paraId="4361B716"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p>
        </w:tc>
        <w:tc>
          <w:tcPr>
            <w:tcW w:w="4252" w:type="dxa"/>
            <w:gridSpan w:val="3"/>
            <w:shd w:val="clear" w:color="auto" w:fill="D6E3BC"/>
          </w:tcPr>
          <w:p w14:paraId="16B9955F"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p>
        </w:tc>
      </w:tr>
      <w:tr w:rsidR="00D84719" w:rsidRPr="00D84719" w14:paraId="04A522B0" w14:textId="77777777" w:rsidTr="003026C1">
        <w:trPr>
          <w:jc w:val="center"/>
        </w:trPr>
        <w:tc>
          <w:tcPr>
            <w:tcW w:w="1129" w:type="dxa"/>
            <w:vMerge/>
            <w:vAlign w:val="center"/>
          </w:tcPr>
          <w:p w14:paraId="7926CBD6" w14:textId="77777777" w:rsidR="00D84719" w:rsidRPr="003026C1" w:rsidRDefault="00D84719" w:rsidP="00D84719">
            <w:pPr>
              <w:spacing w:after="0" w:line="240" w:lineRule="auto"/>
              <w:jc w:val="center"/>
              <w:rPr>
                <w:rFonts w:ascii="Times New Roman" w:eastAsia="Times New Roman" w:hAnsi="Times New Roman" w:cs="Times New Roman"/>
                <w:b/>
                <w:color w:val="000000"/>
                <w:sz w:val="16"/>
                <w:szCs w:val="20"/>
              </w:rPr>
            </w:pPr>
          </w:p>
        </w:tc>
        <w:tc>
          <w:tcPr>
            <w:tcW w:w="3686" w:type="dxa"/>
            <w:shd w:val="clear" w:color="auto" w:fill="D6E3BC"/>
          </w:tcPr>
          <w:p w14:paraId="6066D8BC" w14:textId="77777777" w:rsidR="00D84719" w:rsidRPr="003026C1" w:rsidRDefault="00D84719" w:rsidP="00D84719">
            <w:pPr>
              <w:spacing w:after="0" w:line="240" w:lineRule="auto"/>
              <w:jc w:val="both"/>
              <w:rPr>
                <w:rFonts w:ascii="Times New Roman" w:eastAsia="Times New Roman" w:hAnsi="Times New Roman" w:cs="Times New Roman"/>
                <w:color w:val="000000"/>
                <w:sz w:val="18"/>
                <w:szCs w:val="20"/>
              </w:rPr>
            </w:pPr>
            <w:r w:rsidRPr="003026C1">
              <w:rPr>
                <w:rFonts w:ascii="Times New Roman" w:eastAsia="Times New Roman" w:hAnsi="Times New Roman" w:cs="Times New Roman"/>
                <w:color w:val="000000"/>
                <w:sz w:val="18"/>
                <w:szCs w:val="20"/>
              </w:rPr>
              <w:t>lindan</w:t>
            </w:r>
          </w:p>
        </w:tc>
        <w:tc>
          <w:tcPr>
            <w:tcW w:w="425" w:type="dxa"/>
            <w:shd w:val="clear" w:color="auto" w:fill="D6E3BC"/>
          </w:tcPr>
          <w:p w14:paraId="64959836"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r w:rsidRPr="003026C1">
              <w:rPr>
                <w:rFonts w:ascii="Times New Roman" w:eastAsia="Times New Roman" w:hAnsi="Times New Roman" w:cs="Times New Roman"/>
                <w:color w:val="000000"/>
                <w:sz w:val="18"/>
                <w:szCs w:val="20"/>
              </w:rPr>
              <w:t>x</w:t>
            </w:r>
          </w:p>
        </w:tc>
        <w:tc>
          <w:tcPr>
            <w:tcW w:w="425" w:type="dxa"/>
            <w:gridSpan w:val="2"/>
            <w:shd w:val="clear" w:color="auto" w:fill="D6E3BC"/>
          </w:tcPr>
          <w:p w14:paraId="59FD2961"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p>
        </w:tc>
        <w:tc>
          <w:tcPr>
            <w:tcW w:w="426" w:type="dxa"/>
            <w:shd w:val="clear" w:color="auto" w:fill="D6E3BC"/>
          </w:tcPr>
          <w:p w14:paraId="60295F4E"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p>
        </w:tc>
        <w:tc>
          <w:tcPr>
            <w:tcW w:w="4252" w:type="dxa"/>
            <w:gridSpan w:val="3"/>
            <w:shd w:val="clear" w:color="auto" w:fill="D6E3BC"/>
          </w:tcPr>
          <w:p w14:paraId="2E3A10D9"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p>
        </w:tc>
      </w:tr>
      <w:tr w:rsidR="00D84719" w:rsidRPr="00D84719" w14:paraId="1B5E6BB6" w14:textId="77777777" w:rsidTr="003026C1">
        <w:trPr>
          <w:trHeight w:val="70"/>
          <w:jc w:val="center"/>
        </w:trPr>
        <w:tc>
          <w:tcPr>
            <w:tcW w:w="1129" w:type="dxa"/>
            <w:vMerge/>
            <w:vAlign w:val="center"/>
          </w:tcPr>
          <w:p w14:paraId="4E3062D9" w14:textId="77777777" w:rsidR="00D84719" w:rsidRPr="003026C1" w:rsidRDefault="00D84719" w:rsidP="00D84719">
            <w:pPr>
              <w:spacing w:after="0" w:line="240" w:lineRule="auto"/>
              <w:jc w:val="center"/>
              <w:rPr>
                <w:rFonts w:ascii="Times New Roman" w:eastAsia="Times New Roman" w:hAnsi="Times New Roman" w:cs="Times New Roman"/>
                <w:b/>
                <w:color w:val="000000"/>
                <w:sz w:val="16"/>
                <w:szCs w:val="20"/>
              </w:rPr>
            </w:pPr>
          </w:p>
        </w:tc>
        <w:tc>
          <w:tcPr>
            <w:tcW w:w="3686" w:type="dxa"/>
            <w:shd w:val="clear" w:color="auto" w:fill="D6E3BC"/>
          </w:tcPr>
          <w:p w14:paraId="314CFF6A" w14:textId="77777777" w:rsidR="00D84719" w:rsidRPr="003026C1" w:rsidRDefault="00D84719" w:rsidP="00D84719">
            <w:pPr>
              <w:spacing w:after="0" w:line="240" w:lineRule="auto"/>
              <w:jc w:val="both"/>
              <w:rPr>
                <w:rFonts w:ascii="Times New Roman" w:eastAsia="Times New Roman" w:hAnsi="Times New Roman" w:cs="Times New Roman"/>
                <w:color w:val="000000"/>
                <w:sz w:val="18"/>
                <w:szCs w:val="20"/>
              </w:rPr>
            </w:pPr>
            <w:r w:rsidRPr="003026C1">
              <w:rPr>
                <w:rFonts w:ascii="Times New Roman" w:eastAsia="Times New Roman" w:hAnsi="Times New Roman" w:cs="Times New Roman"/>
                <w:color w:val="000000"/>
                <w:sz w:val="18"/>
                <w:szCs w:val="20"/>
              </w:rPr>
              <w:t>pentaklorobenzen</w:t>
            </w:r>
          </w:p>
        </w:tc>
        <w:tc>
          <w:tcPr>
            <w:tcW w:w="425" w:type="dxa"/>
            <w:shd w:val="clear" w:color="auto" w:fill="D6E3BC"/>
          </w:tcPr>
          <w:p w14:paraId="71EF6484"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r w:rsidRPr="003026C1">
              <w:rPr>
                <w:rFonts w:ascii="Times New Roman" w:eastAsia="Times New Roman" w:hAnsi="Times New Roman" w:cs="Times New Roman"/>
                <w:color w:val="000000"/>
                <w:sz w:val="18"/>
                <w:szCs w:val="20"/>
              </w:rPr>
              <w:t>x</w:t>
            </w:r>
          </w:p>
        </w:tc>
        <w:tc>
          <w:tcPr>
            <w:tcW w:w="425" w:type="dxa"/>
            <w:gridSpan w:val="2"/>
            <w:shd w:val="clear" w:color="auto" w:fill="D6E3BC"/>
          </w:tcPr>
          <w:p w14:paraId="07F00216"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r w:rsidRPr="003026C1">
              <w:rPr>
                <w:rFonts w:ascii="Times New Roman" w:eastAsia="Times New Roman" w:hAnsi="Times New Roman" w:cs="Times New Roman"/>
                <w:color w:val="000000"/>
                <w:sz w:val="18"/>
                <w:szCs w:val="20"/>
              </w:rPr>
              <w:t>x</w:t>
            </w:r>
          </w:p>
        </w:tc>
        <w:tc>
          <w:tcPr>
            <w:tcW w:w="426" w:type="dxa"/>
            <w:shd w:val="clear" w:color="auto" w:fill="D6E3BC"/>
          </w:tcPr>
          <w:p w14:paraId="1D8CA949"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p>
        </w:tc>
        <w:tc>
          <w:tcPr>
            <w:tcW w:w="4252" w:type="dxa"/>
            <w:gridSpan w:val="3"/>
            <w:shd w:val="clear" w:color="auto" w:fill="D6E3BC"/>
          </w:tcPr>
          <w:p w14:paraId="38471E33"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p>
        </w:tc>
      </w:tr>
      <w:tr w:rsidR="00D84719" w:rsidRPr="00D84719" w14:paraId="3CB25A46" w14:textId="77777777" w:rsidTr="003026C1">
        <w:trPr>
          <w:trHeight w:val="456"/>
          <w:jc w:val="center"/>
        </w:trPr>
        <w:tc>
          <w:tcPr>
            <w:tcW w:w="1129" w:type="dxa"/>
            <w:vMerge/>
            <w:vAlign w:val="center"/>
          </w:tcPr>
          <w:p w14:paraId="1056EF26" w14:textId="77777777" w:rsidR="00D84719" w:rsidRPr="003026C1" w:rsidRDefault="00D84719" w:rsidP="00D84719">
            <w:pPr>
              <w:spacing w:after="0" w:line="240" w:lineRule="auto"/>
              <w:jc w:val="center"/>
              <w:rPr>
                <w:rFonts w:ascii="Times New Roman" w:eastAsia="Times New Roman" w:hAnsi="Times New Roman" w:cs="Times New Roman"/>
                <w:b/>
                <w:color w:val="000000"/>
                <w:sz w:val="16"/>
                <w:szCs w:val="20"/>
              </w:rPr>
            </w:pPr>
          </w:p>
        </w:tc>
        <w:tc>
          <w:tcPr>
            <w:tcW w:w="3686" w:type="dxa"/>
            <w:shd w:val="clear" w:color="auto" w:fill="D6E3BC"/>
          </w:tcPr>
          <w:p w14:paraId="722149F6" w14:textId="77777777" w:rsidR="00D84719" w:rsidRPr="003026C1" w:rsidRDefault="00D84719" w:rsidP="00D84719">
            <w:pPr>
              <w:spacing w:after="0" w:line="240" w:lineRule="auto"/>
              <w:jc w:val="both"/>
              <w:rPr>
                <w:rFonts w:ascii="Times New Roman" w:eastAsia="Times New Roman" w:hAnsi="Times New Roman" w:cs="Times New Roman"/>
                <w:color w:val="000000"/>
                <w:sz w:val="18"/>
                <w:szCs w:val="20"/>
                <w:lang w:eastAsia="de-DE"/>
              </w:rPr>
            </w:pPr>
            <w:r w:rsidRPr="003026C1">
              <w:rPr>
                <w:rFonts w:ascii="Times New Roman" w:eastAsia="Times New Roman" w:hAnsi="Times New Roman" w:cs="Times New Roman"/>
                <w:color w:val="000000"/>
                <w:sz w:val="18"/>
                <w:szCs w:val="20"/>
                <w:lang w:eastAsia="de-DE"/>
              </w:rPr>
              <w:t>tetrabromodifenil eter i pentabromodifenil eter</w:t>
            </w:r>
          </w:p>
        </w:tc>
        <w:tc>
          <w:tcPr>
            <w:tcW w:w="425" w:type="dxa"/>
            <w:shd w:val="clear" w:color="auto" w:fill="D6E3BC"/>
          </w:tcPr>
          <w:p w14:paraId="021F5550"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p>
        </w:tc>
        <w:tc>
          <w:tcPr>
            <w:tcW w:w="425" w:type="dxa"/>
            <w:gridSpan w:val="2"/>
            <w:shd w:val="clear" w:color="auto" w:fill="D6E3BC"/>
          </w:tcPr>
          <w:p w14:paraId="071883C1"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r w:rsidRPr="003026C1">
              <w:rPr>
                <w:rFonts w:ascii="Times New Roman" w:eastAsia="Times New Roman" w:hAnsi="Times New Roman" w:cs="Times New Roman"/>
                <w:color w:val="000000"/>
                <w:sz w:val="18"/>
                <w:szCs w:val="20"/>
              </w:rPr>
              <w:t>x</w:t>
            </w:r>
          </w:p>
        </w:tc>
        <w:tc>
          <w:tcPr>
            <w:tcW w:w="426" w:type="dxa"/>
            <w:shd w:val="clear" w:color="auto" w:fill="D6E3BC"/>
          </w:tcPr>
          <w:p w14:paraId="5283449A"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p>
        </w:tc>
        <w:tc>
          <w:tcPr>
            <w:tcW w:w="4252" w:type="dxa"/>
            <w:gridSpan w:val="3"/>
            <w:shd w:val="clear" w:color="auto" w:fill="D6E3BC"/>
          </w:tcPr>
          <w:p w14:paraId="10EBAF57"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p>
        </w:tc>
      </w:tr>
      <w:tr w:rsidR="00D84719" w:rsidRPr="00D84719" w14:paraId="2320D76A" w14:textId="77777777" w:rsidTr="003026C1">
        <w:trPr>
          <w:jc w:val="center"/>
        </w:trPr>
        <w:tc>
          <w:tcPr>
            <w:tcW w:w="1129" w:type="dxa"/>
            <w:vMerge/>
            <w:vAlign w:val="center"/>
          </w:tcPr>
          <w:p w14:paraId="213DF5B7" w14:textId="77777777" w:rsidR="00D84719" w:rsidRPr="003026C1" w:rsidRDefault="00D84719" w:rsidP="00D84719">
            <w:pPr>
              <w:spacing w:after="0" w:line="240" w:lineRule="auto"/>
              <w:jc w:val="center"/>
              <w:rPr>
                <w:rFonts w:ascii="Times New Roman" w:eastAsia="Times New Roman" w:hAnsi="Times New Roman" w:cs="Times New Roman"/>
                <w:b/>
                <w:color w:val="000000"/>
                <w:sz w:val="16"/>
                <w:szCs w:val="20"/>
              </w:rPr>
            </w:pPr>
          </w:p>
        </w:tc>
        <w:tc>
          <w:tcPr>
            <w:tcW w:w="3686" w:type="dxa"/>
            <w:shd w:val="clear" w:color="auto" w:fill="CCC0D9"/>
          </w:tcPr>
          <w:p w14:paraId="61082F7E" w14:textId="77777777" w:rsidR="00D84719" w:rsidRPr="003026C1" w:rsidRDefault="00D84719" w:rsidP="00D84719">
            <w:pPr>
              <w:spacing w:after="0" w:line="240" w:lineRule="auto"/>
              <w:jc w:val="both"/>
              <w:rPr>
                <w:rFonts w:ascii="Times New Roman" w:eastAsia="Times New Roman" w:hAnsi="Times New Roman" w:cs="Times New Roman"/>
                <w:color w:val="000000"/>
                <w:sz w:val="18"/>
                <w:szCs w:val="20"/>
              </w:rPr>
            </w:pPr>
            <w:r w:rsidRPr="003026C1">
              <w:rPr>
                <w:rFonts w:ascii="Times New Roman" w:eastAsia="Times New Roman" w:hAnsi="Times New Roman" w:cs="Times New Roman"/>
                <w:bCs/>
                <w:color w:val="000000"/>
                <w:sz w:val="18"/>
                <w:szCs w:val="20"/>
                <w:lang w:eastAsia="de-DE"/>
              </w:rPr>
              <w:t>tehnički endosulfan i njegovi izomeri</w:t>
            </w:r>
          </w:p>
        </w:tc>
        <w:tc>
          <w:tcPr>
            <w:tcW w:w="425" w:type="dxa"/>
            <w:shd w:val="clear" w:color="auto" w:fill="CCC0D9"/>
          </w:tcPr>
          <w:p w14:paraId="1212CF97"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r w:rsidRPr="003026C1">
              <w:rPr>
                <w:rFonts w:ascii="Times New Roman" w:eastAsia="Times New Roman" w:hAnsi="Times New Roman" w:cs="Times New Roman"/>
                <w:color w:val="000000"/>
                <w:sz w:val="18"/>
                <w:szCs w:val="20"/>
              </w:rPr>
              <w:t>x</w:t>
            </w:r>
          </w:p>
        </w:tc>
        <w:tc>
          <w:tcPr>
            <w:tcW w:w="425" w:type="dxa"/>
            <w:gridSpan w:val="2"/>
            <w:shd w:val="clear" w:color="auto" w:fill="CCC0D9"/>
          </w:tcPr>
          <w:p w14:paraId="76B28D06"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p>
        </w:tc>
        <w:tc>
          <w:tcPr>
            <w:tcW w:w="426" w:type="dxa"/>
            <w:shd w:val="clear" w:color="auto" w:fill="CCC0D9"/>
          </w:tcPr>
          <w:p w14:paraId="3AD90FB9"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p>
        </w:tc>
        <w:tc>
          <w:tcPr>
            <w:tcW w:w="4252" w:type="dxa"/>
            <w:gridSpan w:val="3"/>
            <w:shd w:val="clear" w:color="auto" w:fill="CCC0D9"/>
          </w:tcPr>
          <w:p w14:paraId="343CFF74"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p>
        </w:tc>
      </w:tr>
      <w:tr w:rsidR="00D84719" w:rsidRPr="00D84719" w14:paraId="65556DDB" w14:textId="77777777" w:rsidTr="003026C1">
        <w:trPr>
          <w:jc w:val="center"/>
        </w:trPr>
        <w:tc>
          <w:tcPr>
            <w:tcW w:w="1129" w:type="dxa"/>
            <w:vMerge/>
            <w:vAlign w:val="center"/>
          </w:tcPr>
          <w:p w14:paraId="3DF4C1EB" w14:textId="77777777" w:rsidR="00D84719" w:rsidRPr="003026C1" w:rsidRDefault="00D84719" w:rsidP="00D84719">
            <w:pPr>
              <w:spacing w:after="0" w:line="240" w:lineRule="auto"/>
              <w:jc w:val="center"/>
              <w:rPr>
                <w:rFonts w:ascii="Times New Roman" w:eastAsia="Times New Roman" w:hAnsi="Times New Roman" w:cs="Times New Roman"/>
                <w:b/>
                <w:color w:val="000000"/>
                <w:sz w:val="16"/>
                <w:szCs w:val="20"/>
              </w:rPr>
            </w:pPr>
          </w:p>
        </w:tc>
        <w:tc>
          <w:tcPr>
            <w:tcW w:w="3686" w:type="dxa"/>
            <w:shd w:val="clear" w:color="auto" w:fill="FBD4B4"/>
          </w:tcPr>
          <w:p w14:paraId="71C027FD" w14:textId="77777777" w:rsidR="00D84719" w:rsidRPr="003026C1" w:rsidRDefault="00D84719" w:rsidP="00D84719">
            <w:pPr>
              <w:spacing w:after="0" w:line="240" w:lineRule="auto"/>
              <w:jc w:val="both"/>
              <w:rPr>
                <w:rFonts w:ascii="Times New Roman" w:eastAsia="Times New Roman" w:hAnsi="Times New Roman" w:cs="Times New Roman"/>
                <w:color w:val="000000"/>
                <w:sz w:val="18"/>
                <w:szCs w:val="20"/>
              </w:rPr>
            </w:pPr>
            <w:r w:rsidRPr="003026C1">
              <w:rPr>
                <w:rFonts w:ascii="Times New Roman" w:eastAsia="Times New Roman" w:hAnsi="Times New Roman" w:cs="Times New Roman"/>
                <w:color w:val="000000"/>
                <w:sz w:val="18"/>
                <w:szCs w:val="20"/>
                <w:lang w:eastAsia="de-DE"/>
              </w:rPr>
              <w:t>heksabromociklododekan (HBCD)</w:t>
            </w:r>
          </w:p>
        </w:tc>
        <w:tc>
          <w:tcPr>
            <w:tcW w:w="425" w:type="dxa"/>
            <w:shd w:val="clear" w:color="auto" w:fill="FBD4B4"/>
          </w:tcPr>
          <w:p w14:paraId="73CB0A05"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p>
        </w:tc>
        <w:tc>
          <w:tcPr>
            <w:tcW w:w="425" w:type="dxa"/>
            <w:gridSpan w:val="2"/>
            <w:shd w:val="clear" w:color="auto" w:fill="FBD4B4"/>
          </w:tcPr>
          <w:p w14:paraId="4F4C5E6C"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r w:rsidRPr="003026C1">
              <w:rPr>
                <w:rFonts w:ascii="Times New Roman" w:eastAsia="Times New Roman" w:hAnsi="Times New Roman" w:cs="Times New Roman"/>
                <w:color w:val="000000"/>
                <w:sz w:val="18"/>
                <w:szCs w:val="20"/>
              </w:rPr>
              <w:t>x</w:t>
            </w:r>
          </w:p>
        </w:tc>
        <w:tc>
          <w:tcPr>
            <w:tcW w:w="426" w:type="dxa"/>
            <w:shd w:val="clear" w:color="auto" w:fill="FBD4B4"/>
          </w:tcPr>
          <w:p w14:paraId="3FCF31C5"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p>
        </w:tc>
        <w:tc>
          <w:tcPr>
            <w:tcW w:w="4252" w:type="dxa"/>
            <w:gridSpan w:val="3"/>
            <w:shd w:val="clear" w:color="auto" w:fill="FBD4B4"/>
          </w:tcPr>
          <w:p w14:paraId="0AB538EC"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p>
        </w:tc>
      </w:tr>
      <w:tr w:rsidR="00D84719" w:rsidRPr="00D84719" w14:paraId="74355A11" w14:textId="77777777" w:rsidTr="003026C1">
        <w:trPr>
          <w:jc w:val="center"/>
        </w:trPr>
        <w:tc>
          <w:tcPr>
            <w:tcW w:w="1129" w:type="dxa"/>
            <w:vMerge/>
            <w:shd w:val="clear" w:color="auto" w:fill="DAEEF3"/>
            <w:vAlign w:val="center"/>
          </w:tcPr>
          <w:p w14:paraId="19644646" w14:textId="77777777" w:rsidR="00D84719" w:rsidRPr="003026C1" w:rsidRDefault="00D84719" w:rsidP="00D84719">
            <w:pPr>
              <w:spacing w:after="0" w:line="240" w:lineRule="auto"/>
              <w:jc w:val="center"/>
              <w:rPr>
                <w:rFonts w:ascii="Times New Roman" w:eastAsia="Times New Roman" w:hAnsi="Times New Roman" w:cs="Times New Roman"/>
                <w:b/>
                <w:color w:val="000000"/>
                <w:sz w:val="16"/>
                <w:szCs w:val="20"/>
              </w:rPr>
            </w:pPr>
          </w:p>
        </w:tc>
        <w:tc>
          <w:tcPr>
            <w:tcW w:w="3686" w:type="dxa"/>
            <w:shd w:val="clear" w:color="auto" w:fill="B6DDE8"/>
          </w:tcPr>
          <w:p w14:paraId="36E8AB7F" w14:textId="77777777" w:rsidR="00D84719" w:rsidRPr="003026C1" w:rsidRDefault="00D84719" w:rsidP="00D84719">
            <w:pPr>
              <w:spacing w:after="0" w:line="240" w:lineRule="auto"/>
              <w:jc w:val="both"/>
              <w:rPr>
                <w:rFonts w:ascii="Times New Roman" w:eastAsia="Times New Roman" w:hAnsi="Times New Roman" w:cs="Times New Roman"/>
                <w:color w:val="000000"/>
                <w:sz w:val="18"/>
                <w:szCs w:val="20"/>
                <w:lang w:eastAsia="de-DE"/>
              </w:rPr>
            </w:pPr>
            <w:r w:rsidRPr="003026C1">
              <w:rPr>
                <w:rFonts w:ascii="Times New Roman" w:eastAsia="Times New Roman" w:hAnsi="Times New Roman" w:cs="Times New Roman"/>
                <w:color w:val="000000"/>
                <w:sz w:val="18"/>
                <w:szCs w:val="20"/>
                <w:lang w:eastAsia="de-DE"/>
              </w:rPr>
              <w:t>heksaklorobutadien (HCBD)</w:t>
            </w:r>
          </w:p>
        </w:tc>
        <w:tc>
          <w:tcPr>
            <w:tcW w:w="425" w:type="dxa"/>
            <w:shd w:val="clear" w:color="auto" w:fill="B6DDE8"/>
          </w:tcPr>
          <w:p w14:paraId="1707E63B"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p>
        </w:tc>
        <w:tc>
          <w:tcPr>
            <w:tcW w:w="425" w:type="dxa"/>
            <w:gridSpan w:val="2"/>
            <w:shd w:val="clear" w:color="auto" w:fill="B6DDE8"/>
          </w:tcPr>
          <w:p w14:paraId="251816AA"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r w:rsidRPr="003026C1">
              <w:rPr>
                <w:rFonts w:ascii="Times New Roman" w:eastAsia="Times New Roman" w:hAnsi="Times New Roman" w:cs="Times New Roman"/>
                <w:color w:val="000000"/>
                <w:sz w:val="18"/>
                <w:szCs w:val="20"/>
              </w:rPr>
              <w:t>x</w:t>
            </w:r>
          </w:p>
        </w:tc>
        <w:tc>
          <w:tcPr>
            <w:tcW w:w="426" w:type="dxa"/>
            <w:shd w:val="clear" w:color="auto" w:fill="B6DDE8"/>
          </w:tcPr>
          <w:p w14:paraId="282A3833"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p>
        </w:tc>
        <w:tc>
          <w:tcPr>
            <w:tcW w:w="4252" w:type="dxa"/>
            <w:gridSpan w:val="3"/>
            <w:shd w:val="clear" w:color="auto" w:fill="B6DDE8"/>
          </w:tcPr>
          <w:p w14:paraId="76BAB818"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r w:rsidRPr="003026C1">
              <w:rPr>
                <w:rFonts w:ascii="Times New Roman" w:eastAsia="Times New Roman" w:hAnsi="Times New Roman" w:cs="Times New Roman"/>
                <w:b/>
                <w:bCs/>
                <w:color w:val="000000"/>
                <w:sz w:val="18"/>
                <w:szCs w:val="18"/>
              </w:rPr>
              <w:t xml:space="preserve">COP-7 </w:t>
            </w:r>
            <w:r w:rsidRPr="003026C1">
              <w:rPr>
                <w:rFonts w:ascii="Times New Roman" w:eastAsia="Times New Roman" w:hAnsi="Times New Roman" w:cs="Times New Roman"/>
                <w:color w:val="000000"/>
                <w:sz w:val="18"/>
                <w:szCs w:val="18"/>
              </w:rPr>
              <w:t>Uvrštenje heksaklorobutadiena (HCBD) u Dodatak A Konvenciji bez posebnih izuzeća</w:t>
            </w:r>
          </w:p>
        </w:tc>
      </w:tr>
      <w:tr w:rsidR="00D84719" w:rsidRPr="00D84719" w14:paraId="317EFEDE" w14:textId="77777777" w:rsidTr="003026C1">
        <w:trPr>
          <w:jc w:val="center"/>
        </w:trPr>
        <w:tc>
          <w:tcPr>
            <w:tcW w:w="1129" w:type="dxa"/>
            <w:vMerge/>
            <w:shd w:val="clear" w:color="auto" w:fill="DAEEF3"/>
            <w:vAlign w:val="center"/>
          </w:tcPr>
          <w:p w14:paraId="3DCD2700" w14:textId="77777777" w:rsidR="00D84719" w:rsidRPr="003026C1" w:rsidRDefault="00D84719" w:rsidP="00D84719">
            <w:pPr>
              <w:spacing w:after="0" w:line="240" w:lineRule="auto"/>
              <w:jc w:val="center"/>
              <w:rPr>
                <w:rFonts w:ascii="Times New Roman" w:eastAsia="Times New Roman" w:hAnsi="Times New Roman" w:cs="Times New Roman"/>
                <w:b/>
                <w:color w:val="000000"/>
                <w:sz w:val="16"/>
                <w:szCs w:val="20"/>
              </w:rPr>
            </w:pPr>
          </w:p>
        </w:tc>
        <w:tc>
          <w:tcPr>
            <w:tcW w:w="3686" w:type="dxa"/>
            <w:shd w:val="clear" w:color="auto" w:fill="B6DDE8"/>
          </w:tcPr>
          <w:p w14:paraId="025E0957" w14:textId="77777777" w:rsidR="00D84719" w:rsidRPr="003026C1" w:rsidRDefault="00D84719" w:rsidP="00D84719">
            <w:pPr>
              <w:spacing w:after="0" w:line="240" w:lineRule="auto"/>
              <w:jc w:val="both"/>
              <w:rPr>
                <w:rFonts w:ascii="Times New Roman" w:eastAsia="Times New Roman" w:hAnsi="Times New Roman" w:cs="Times New Roman"/>
                <w:color w:val="000000"/>
                <w:sz w:val="18"/>
                <w:szCs w:val="20"/>
                <w:lang w:eastAsia="de-DE"/>
              </w:rPr>
            </w:pPr>
            <w:r w:rsidRPr="003026C1">
              <w:rPr>
                <w:rFonts w:ascii="Times New Roman" w:eastAsia="Times New Roman" w:hAnsi="Times New Roman" w:cs="Times New Roman"/>
                <w:color w:val="000000"/>
                <w:sz w:val="18"/>
                <w:szCs w:val="20"/>
                <w:lang w:eastAsia="de-DE"/>
              </w:rPr>
              <w:t>poliklorirani naftaleni (PCN)</w:t>
            </w:r>
          </w:p>
        </w:tc>
        <w:tc>
          <w:tcPr>
            <w:tcW w:w="425" w:type="dxa"/>
            <w:shd w:val="clear" w:color="auto" w:fill="B6DDE8"/>
          </w:tcPr>
          <w:p w14:paraId="6C98F604"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p>
        </w:tc>
        <w:tc>
          <w:tcPr>
            <w:tcW w:w="425" w:type="dxa"/>
            <w:gridSpan w:val="2"/>
            <w:shd w:val="clear" w:color="auto" w:fill="B6DDE8"/>
          </w:tcPr>
          <w:p w14:paraId="4322E620"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r w:rsidRPr="003026C1">
              <w:rPr>
                <w:rFonts w:ascii="Times New Roman" w:eastAsia="Times New Roman" w:hAnsi="Times New Roman" w:cs="Times New Roman"/>
                <w:color w:val="000000"/>
                <w:sz w:val="18"/>
                <w:szCs w:val="20"/>
              </w:rPr>
              <w:t>x</w:t>
            </w:r>
          </w:p>
        </w:tc>
        <w:tc>
          <w:tcPr>
            <w:tcW w:w="426" w:type="dxa"/>
            <w:shd w:val="clear" w:color="auto" w:fill="B6DDE8"/>
          </w:tcPr>
          <w:p w14:paraId="2CE32EF8"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p>
        </w:tc>
        <w:tc>
          <w:tcPr>
            <w:tcW w:w="4252" w:type="dxa"/>
            <w:gridSpan w:val="3"/>
            <w:shd w:val="clear" w:color="auto" w:fill="B6DDE8"/>
          </w:tcPr>
          <w:p w14:paraId="228DB5AA"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r w:rsidRPr="003026C1">
              <w:rPr>
                <w:rFonts w:ascii="Times New Roman" w:eastAsia="Times New Roman" w:hAnsi="Times New Roman" w:cs="Times New Roman"/>
                <w:b/>
                <w:bCs/>
                <w:color w:val="000000"/>
                <w:sz w:val="18"/>
                <w:szCs w:val="18"/>
              </w:rPr>
              <w:t xml:space="preserve">COP-7 </w:t>
            </w:r>
            <w:r w:rsidRPr="003026C1">
              <w:rPr>
                <w:rFonts w:ascii="Times New Roman" w:eastAsia="Times New Roman" w:hAnsi="Times New Roman" w:cs="Times New Roman"/>
                <w:color w:val="000000"/>
                <w:sz w:val="18"/>
                <w:szCs w:val="18"/>
              </w:rPr>
              <w:t>Uvrštenje polikloriranih naftalena (PCN) u Dodatke A i C Konvenciji s posebnim izuzećima</w:t>
            </w:r>
          </w:p>
        </w:tc>
      </w:tr>
      <w:tr w:rsidR="00D84719" w:rsidRPr="00D84719" w14:paraId="5EA9C2B8" w14:textId="77777777" w:rsidTr="003026C1">
        <w:trPr>
          <w:jc w:val="center"/>
        </w:trPr>
        <w:tc>
          <w:tcPr>
            <w:tcW w:w="1129" w:type="dxa"/>
            <w:vMerge/>
            <w:shd w:val="clear" w:color="auto" w:fill="B6DDE8"/>
            <w:vAlign w:val="center"/>
          </w:tcPr>
          <w:p w14:paraId="700468C1" w14:textId="77777777" w:rsidR="00D84719" w:rsidRPr="003026C1" w:rsidRDefault="00D84719" w:rsidP="00D84719">
            <w:pPr>
              <w:spacing w:after="0" w:line="240" w:lineRule="auto"/>
              <w:jc w:val="center"/>
              <w:rPr>
                <w:rFonts w:ascii="Times New Roman" w:eastAsia="Times New Roman" w:hAnsi="Times New Roman" w:cs="Times New Roman"/>
                <w:b/>
                <w:color w:val="000000"/>
                <w:sz w:val="16"/>
                <w:szCs w:val="20"/>
              </w:rPr>
            </w:pPr>
          </w:p>
        </w:tc>
        <w:tc>
          <w:tcPr>
            <w:tcW w:w="3686" w:type="dxa"/>
            <w:shd w:val="clear" w:color="auto" w:fill="B6DDE8"/>
          </w:tcPr>
          <w:p w14:paraId="7433B9B5" w14:textId="77777777" w:rsidR="00D84719" w:rsidRPr="003026C1" w:rsidRDefault="00D84719" w:rsidP="00D84719">
            <w:pPr>
              <w:spacing w:after="0" w:line="240" w:lineRule="auto"/>
              <w:jc w:val="both"/>
              <w:rPr>
                <w:rFonts w:ascii="Times New Roman" w:eastAsia="Times New Roman" w:hAnsi="Times New Roman" w:cs="Times New Roman"/>
                <w:color w:val="000000"/>
                <w:sz w:val="18"/>
                <w:szCs w:val="20"/>
                <w:lang w:eastAsia="de-DE"/>
              </w:rPr>
            </w:pPr>
            <w:r w:rsidRPr="003026C1">
              <w:rPr>
                <w:rFonts w:ascii="Times New Roman" w:eastAsia="Times New Roman" w:hAnsi="Times New Roman" w:cs="Times New Roman"/>
                <w:color w:val="000000"/>
                <w:sz w:val="18"/>
                <w:szCs w:val="20"/>
                <w:lang w:eastAsia="de-DE"/>
              </w:rPr>
              <w:t>pentaklorofenol i njegove soli i esteri (PCP)</w:t>
            </w:r>
          </w:p>
        </w:tc>
        <w:tc>
          <w:tcPr>
            <w:tcW w:w="425" w:type="dxa"/>
            <w:shd w:val="clear" w:color="auto" w:fill="B6DDE8"/>
          </w:tcPr>
          <w:p w14:paraId="7F684FDC"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r w:rsidRPr="003026C1">
              <w:rPr>
                <w:rFonts w:ascii="Times New Roman" w:eastAsia="Times New Roman" w:hAnsi="Times New Roman" w:cs="Times New Roman"/>
                <w:color w:val="000000"/>
                <w:sz w:val="18"/>
                <w:szCs w:val="20"/>
              </w:rPr>
              <w:t>x</w:t>
            </w:r>
          </w:p>
        </w:tc>
        <w:tc>
          <w:tcPr>
            <w:tcW w:w="425" w:type="dxa"/>
            <w:gridSpan w:val="2"/>
            <w:shd w:val="clear" w:color="auto" w:fill="B6DDE8"/>
          </w:tcPr>
          <w:p w14:paraId="5FCC958B"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p>
        </w:tc>
        <w:tc>
          <w:tcPr>
            <w:tcW w:w="426" w:type="dxa"/>
            <w:shd w:val="clear" w:color="auto" w:fill="B6DDE8"/>
          </w:tcPr>
          <w:p w14:paraId="4691E19E"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p>
        </w:tc>
        <w:tc>
          <w:tcPr>
            <w:tcW w:w="4252" w:type="dxa"/>
            <w:gridSpan w:val="3"/>
            <w:shd w:val="clear" w:color="auto" w:fill="B6DDE8"/>
            <w:vAlign w:val="center"/>
          </w:tcPr>
          <w:p w14:paraId="6589485B"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r w:rsidRPr="003026C1">
              <w:rPr>
                <w:rFonts w:ascii="Times New Roman" w:eastAsia="Times New Roman" w:hAnsi="Times New Roman" w:cs="Times New Roman"/>
                <w:b/>
                <w:bCs/>
                <w:color w:val="000000"/>
                <w:sz w:val="18"/>
                <w:szCs w:val="18"/>
              </w:rPr>
              <w:t xml:space="preserve">COP-7 </w:t>
            </w:r>
            <w:r w:rsidRPr="003026C1">
              <w:rPr>
                <w:rFonts w:ascii="Times New Roman" w:eastAsia="Times New Roman" w:hAnsi="Times New Roman" w:cs="Times New Roman"/>
                <w:color w:val="000000"/>
                <w:sz w:val="18"/>
                <w:szCs w:val="18"/>
              </w:rPr>
              <w:t>Uvrštenje pentaklorofenola (PCP) u Dodatak A Konvenciji s posebnim izuzećima</w:t>
            </w:r>
          </w:p>
        </w:tc>
      </w:tr>
      <w:tr w:rsidR="00D84719" w:rsidRPr="00D84719" w14:paraId="731C85AA" w14:textId="77777777" w:rsidTr="003026C1">
        <w:trPr>
          <w:jc w:val="center"/>
        </w:trPr>
        <w:tc>
          <w:tcPr>
            <w:tcW w:w="1129" w:type="dxa"/>
            <w:vMerge/>
            <w:shd w:val="clear" w:color="auto" w:fill="B6DDE8"/>
            <w:vAlign w:val="center"/>
          </w:tcPr>
          <w:p w14:paraId="319FE9C2" w14:textId="77777777" w:rsidR="00D84719" w:rsidRPr="003026C1" w:rsidRDefault="00D84719" w:rsidP="00D84719">
            <w:pPr>
              <w:spacing w:after="0" w:line="240" w:lineRule="auto"/>
              <w:jc w:val="center"/>
              <w:rPr>
                <w:rFonts w:ascii="Times New Roman" w:eastAsia="Times New Roman" w:hAnsi="Times New Roman" w:cs="Times New Roman"/>
                <w:b/>
                <w:color w:val="000000"/>
                <w:sz w:val="16"/>
                <w:szCs w:val="20"/>
              </w:rPr>
            </w:pPr>
          </w:p>
        </w:tc>
        <w:tc>
          <w:tcPr>
            <w:tcW w:w="3686" w:type="dxa"/>
            <w:shd w:val="clear" w:color="auto" w:fill="D99594"/>
          </w:tcPr>
          <w:p w14:paraId="5ED773F1" w14:textId="77777777" w:rsidR="00D84719" w:rsidRPr="003026C1" w:rsidRDefault="00D84719" w:rsidP="00D84719">
            <w:pPr>
              <w:spacing w:after="0" w:line="240" w:lineRule="auto"/>
              <w:jc w:val="both"/>
              <w:rPr>
                <w:rFonts w:ascii="Times New Roman" w:eastAsia="Times New Roman" w:hAnsi="Times New Roman" w:cs="Times New Roman"/>
                <w:color w:val="000000"/>
                <w:sz w:val="18"/>
                <w:szCs w:val="20"/>
                <w:lang w:eastAsia="de-DE"/>
              </w:rPr>
            </w:pPr>
            <w:r w:rsidRPr="003026C1">
              <w:rPr>
                <w:rFonts w:ascii="Times New Roman" w:eastAsia="Times New Roman" w:hAnsi="Times New Roman" w:cs="Times New Roman"/>
                <w:color w:val="000000"/>
                <w:sz w:val="18"/>
                <w:szCs w:val="20"/>
              </w:rPr>
              <w:t xml:space="preserve">dekabromodifenileter (komercijalna smjesa, c-dekaBDE) </w:t>
            </w:r>
          </w:p>
        </w:tc>
        <w:tc>
          <w:tcPr>
            <w:tcW w:w="425" w:type="dxa"/>
            <w:shd w:val="clear" w:color="auto" w:fill="D99594"/>
          </w:tcPr>
          <w:p w14:paraId="0A87D4CC"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p>
        </w:tc>
        <w:tc>
          <w:tcPr>
            <w:tcW w:w="425" w:type="dxa"/>
            <w:gridSpan w:val="2"/>
            <w:shd w:val="clear" w:color="auto" w:fill="D99594"/>
          </w:tcPr>
          <w:p w14:paraId="17FB4D56"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r w:rsidRPr="003026C1">
              <w:rPr>
                <w:rFonts w:ascii="Times New Roman" w:eastAsia="Times New Roman" w:hAnsi="Times New Roman" w:cs="Times New Roman"/>
                <w:color w:val="000000"/>
                <w:sz w:val="18"/>
                <w:szCs w:val="20"/>
              </w:rPr>
              <w:t>x</w:t>
            </w:r>
          </w:p>
        </w:tc>
        <w:tc>
          <w:tcPr>
            <w:tcW w:w="426" w:type="dxa"/>
            <w:shd w:val="clear" w:color="auto" w:fill="D99594"/>
          </w:tcPr>
          <w:p w14:paraId="1ED28AB3"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p>
        </w:tc>
        <w:tc>
          <w:tcPr>
            <w:tcW w:w="4252" w:type="dxa"/>
            <w:gridSpan w:val="3"/>
            <w:shd w:val="clear" w:color="auto" w:fill="D99594"/>
          </w:tcPr>
          <w:p w14:paraId="0E1FC02F"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r w:rsidRPr="003026C1">
              <w:rPr>
                <w:rFonts w:ascii="Times New Roman" w:eastAsia="Times New Roman" w:hAnsi="Times New Roman" w:cs="Times New Roman"/>
                <w:b/>
                <w:bCs/>
                <w:color w:val="000000"/>
                <w:sz w:val="18"/>
                <w:szCs w:val="18"/>
              </w:rPr>
              <w:t>COP-8</w:t>
            </w:r>
            <w:r w:rsidRPr="003026C1">
              <w:rPr>
                <w:rFonts w:ascii="Times New Roman" w:eastAsia="Times New Roman" w:hAnsi="Times New Roman" w:cs="Times New Roman"/>
                <w:color w:val="000000"/>
                <w:sz w:val="18"/>
                <w:szCs w:val="18"/>
              </w:rPr>
              <w:t xml:space="preserve"> Uvrštenje dekabromodifeniletera (BDE-209) prisutnog u komercijalnom dekabromodifenileteru (c-dekaBDE) u Dodatak </w:t>
            </w:r>
            <w:r w:rsidR="00A64981">
              <w:rPr>
                <w:rFonts w:ascii="Times New Roman" w:eastAsia="Times New Roman" w:hAnsi="Times New Roman" w:cs="Times New Roman"/>
                <w:color w:val="000000"/>
                <w:sz w:val="18"/>
                <w:szCs w:val="18"/>
              </w:rPr>
              <w:t>A</w:t>
            </w:r>
            <w:r w:rsidRPr="003026C1">
              <w:rPr>
                <w:rFonts w:ascii="Times New Roman" w:eastAsia="Times New Roman" w:hAnsi="Times New Roman" w:cs="Times New Roman"/>
                <w:color w:val="000000"/>
                <w:sz w:val="18"/>
                <w:szCs w:val="18"/>
              </w:rPr>
              <w:t xml:space="preserve"> Konvenciji uz posebna izuzeća </w:t>
            </w:r>
          </w:p>
        </w:tc>
      </w:tr>
      <w:tr w:rsidR="00D84719" w:rsidRPr="00D84719" w14:paraId="0351EA78" w14:textId="77777777" w:rsidTr="003026C1">
        <w:trPr>
          <w:jc w:val="center"/>
        </w:trPr>
        <w:tc>
          <w:tcPr>
            <w:tcW w:w="1129" w:type="dxa"/>
            <w:vMerge/>
            <w:shd w:val="clear" w:color="auto" w:fill="B6DDE8"/>
            <w:vAlign w:val="center"/>
          </w:tcPr>
          <w:p w14:paraId="2840CC9C" w14:textId="77777777" w:rsidR="00D84719" w:rsidRPr="003026C1" w:rsidRDefault="00D84719" w:rsidP="00D84719">
            <w:pPr>
              <w:spacing w:after="0" w:line="240" w:lineRule="auto"/>
              <w:jc w:val="center"/>
              <w:rPr>
                <w:rFonts w:ascii="Times New Roman" w:eastAsia="Times New Roman" w:hAnsi="Times New Roman" w:cs="Times New Roman"/>
                <w:b/>
                <w:color w:val="000000"/>
                <w:sz w:val="16"/>
                <w:szCs w:val="20"/>
              </w:rPr>
            </w:pPr>
          </w:p>
        </w:tc>
        <w:tc>
          <w:tcPr>
            <w:tcW w:w="3686" w:type="dxa"/>
            <w:shd w:val="clear" w:color="auto" w:fill="D99594"/>
          </w:tcPr>
          <w:p w14:paraId="58F64E45" w14:textId="77777777" w:rsidR="00D84719" w:rsidRPr="003026C1" w:rsidRDefault="00D84719" w:rsidP="00D84719">
            <w:pPr>
              <w:spacing w:after="0" w:line="240" w:lineRule="auto"/>
              <w:jc w:val="both"/>
              <w:rPr>
                <w:rFonts w:ascii="Times New Roman" w:eastAsia="Times New Roman" w:hAnsi="Times New Roman" w:cs="Times New Roman"/>
                <w:color w:val="000000"/>
                <w:sz w:val="18"/>
                <w:szCs w:val="20"/>
                <w:lang w:eastAsia="de-DE"/>
              </w:rPr>
            </w:pPr>
            <w:r w:rsidRPr="003026C1">
              <w:rPr>
                <w:rFonts w:ascii="Times New Roman" w:eastAsia="Times New Roman" w:hAnsi="Times New Roman" w:cs="Times New Roman"/>
                <w:color w:val="000000"/>
                <w:sz w:val="18"/>
                <w:szCs w:val="20"/>
              </w:rPr>
              <w:t>kratkolančani klorirani parafini (SCCP)</w:t>
            </w:r>
          </w:p>
        </w:tc>
        <w:tc>
          <w:tcPr>
            <w:tcW w:w="425" w:type="dxa"/>
            <w:shd w:val="clear" w:color="auto" w:fill="D99594"/>
          </w:tcPr>
          <w:p w14:paraId="7C257F7C"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p>
        </w:tc>
        <w:tc>
          <w:tcPr>
            <w:tcW w:w="425" w:type="dxa"/>
            <w:gridSpan w:val="2"/>
            <w:shd w:val="clear" w:color="auto" w:fill="D99594"/>
          </w:tcPr>
          <w:p w14:paraId="4598B0C2"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r w:rsidRPr="003026C1">
              <w:rPr>
                <w:rFonts w:ascii="Times New Roman" w:eastAsia="Times New Roman" w:hAnsi="Times New Roman" w:cs="Times New Roman"/>
                <w:color w:val="000000"/>
                <w:sz w:val="18"/>
                <w:szCs w:val="20"/>
              </w:rPr>
              <w:t>x</w:t>
            </w:r>
          </w:p>
        </w:tc>
        <w:tc>
          <w:tcPr>
            <w:tcW w:w="426" w:type="dxa"/>
            <w:shd w:val="clear" w:color="auto" w:fill="D99594"/>
          </w:tcPr>
          <w:p w14:paraId="0DC1CDEF"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p>
        </w:tc>
        <w:tc>
          <w:tcPr>
            <w:tcW w:w="4252" w:type="dxa"/>
            <w:gridSpan w:val="3"/>
            <w:shd w:val="clear" w:color="auto" w:fill="D99594"/>
          </w:tcPr>
          <w:p w14:paraId="5F05F9ED"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r w:rsidRPr="003026C1">
              <w:rPr>
                <w:rFonts w:ascii="Times New Roman" w:eastAsia="Times New Roman" w:hAnsi="Times New Roman" w:cs="Times New Roman"/>
                <w:b/>
                <w:bCs/>
                <w:color w:val="000000"/>
                <w:sz w:val="18"/>
                <w:szCs w:val="18"/>
              </w:rPr>
              <w:t>COP-8</w:t>
            </w:r>
            <w:r w:rsidRPr="003026C1">
              <w:rPr>
                <w:rFonts w:ascii="Times New Roman" w:eastAsia="Times New Roman" w:hAnsi="Times New Roman" w:cs="Times New Roman"/>
                <w:color w:val="000000"/>
                <w:sz w:val="18"/>
                <w:szCs w:val="18"/>
              </w:rPr>
              <w:t xml:space="preserve"> Uvrštenje kratkolančanih kloriranih parafina (SCCP-i) u Dodatak A Konvenciji</w:t>
            </w:r>
          </w:p>
        </w:tc>
      </w:tr>
      <w:tr w:rsidR="00D84719" w:rsidRPr="00D84719" w14:paraId="4BDAEB3B" w14:textId="77777777" w:rsidTr="003026C1">
        <w:trPr>
          <w:jc w:val="center"/>
        </w:trPr>
        <w:tc>
          <w:tcPr>
            <w:tcW w:w="1129" w:type="dxa"/>
            <w:vMerge/>
            <w:shd w:val="clear" w:color="auto" w:fill="B6DDE8"/>
            <w:vAlign w:val="center"/>
          </w:tcPr>
          <w:p w14:paraId="789CAA3F" w14:textId="77777777" w:rsidR="00D84719" w:rsidRPr="003026C1" w:rsidRDefault="00D84719" w:rsidP="00D84719">
            <w:pPr>
              <w:spacing w:after="0" w:line="240" w:lineRule="auto"/>
              <w:jc w:val="center"/>
              <w:rPr>
                <w:rFonts w:ascii="Times New Roman" w:eastAsia="Times New Roman" w:hAnsi="Times New Roman" w:cs="Times New Roman"/>
                <w:b/>
                <w:color w:val="000000"/>
                <w:sz w:val="16"/>
                <w:szCs w:val="20"/>
              </w:rPr>
            </w:pPr>
          </w:p>
        </w:tc>
        <w:tc>
          <w:tcPr>
            <w:tcW w:w="3686" w:type="dxa"/>
            <w:tcBorders>
              <w:bottom w:val="single" w:sz="4" w:space="0" w:color="auto"/>
            </w:tcBorders>
            <w:shd w:val="clear" w:color="auto" w:fill="548DD4"/>
          </w:tcPr>
          <w:p w14:paraId="2D3C3CFC" w14:textId="77777777" w:rsidR="00D84719" w:rsidRPr="003026C1" w:rsidRDefault="00D84719" w:rsidP="00D84719">
            <w:pPr>
              <w:spacing w:after="0" w:line="240" w:lineRule="auto"/>
              <w:jc w:val="both"/>
              <w:rPr>
                <w:rFonts w:ascii="Times New Roman" w:eastAsia="Times New Roman" w:hAnsi="Times New Roman" w:cs="Times New Roman"/>
                <w:color w:val="000000"/>
                <w:sz w:val="18"/>
                <w:szCs w:val="20"/>
              </w:rPr>
            </w:pPr>
            <w:r w:rsidRPr="003026C1">
              <w:rPr>
                <w:rFonts w:ascii="Times New Roman" w:eastAsia="Times New Roman" w:hAnsi="Times New Roman" w:cs="Times New Roman"/>
                <w:color w:val="000000"/>
                <w:sz w:val="18"/>
                <w:szCs w:val="20"/>
              </w:rPr>
              <w:t>dikofol</w:t>
            </w:r>
          </w:p>
        </w:tc>
        <w:tc>
          <w:tcPr>
            <w:tcW w:w="425" w:type="dxa"/>
            <w:shd w:val="clear" w:color="auto" w:fill="548DD4"/>
          </w:tcPr>
          <w:p w14:paraId="7AFC50F5"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r w:rsidRPr="003026C1">
              <w:rPr>
                <w:rFonts w:ascii="Times New Roman" w:eastAsia="Times New Roman" w:hAnsi="Times New Roman" w:cs="Times New Roman"/>
                <w:color w:val="000000"/>
                <w:sz w:val="18"/>
                <w:szCs w:val="20"/>
              </w:rPr>
              <w:t>x</w:t>
            </w:r>
          </w:p>
        </w:tc>
        <w:tc>
          <w:tcPr>
            <w:tcW w:w="425" w:type="dxa"/>
            <w:gridSpan w:val="2"/>
            <w:shd w:val="clear" w:color="auto" w:fill="548DD4"/>
          </w:tcPr>
          <w:p w14:paraId="3CBAB6CC"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p>
        </w:tc>
        <w:tc>
          <w:tcPr>
            <w:tcW w:w="426" w:type="dxa"/>
            <w:shd w:val="clear" w:color="auto" w:fill="548DD4"/>
          </w:tcPr>
          <w:p w14:paraId="62038A3F"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p>
        </w:tc>
        <w:tc>
          <w:tcPr>
            <w:tcW w:w="4252" w:type="dxa"/>
            <w:gridSpan w:val="3"/>
            <w:shd w:val="clear" w:color="auto" w:fill="548DD4"/>
          </w:tcPr>
          <w:p w14:paraId="3CDB806F"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18"/>
              </w:rPr>
            </w:pPr>
            <w:r w:rsidRPr="003026C1">
              <w:rPr>
                <w:rFonts w:ascii="Times New Roman" w:eastAsia="Times New Roman" w:hAnsi="Times New Roman" w:cs="Times New Roman"/>
                <w:b/>
                <w:color w:val="000000"/>
                <w:sz w:val="18"/>
                <w:szCs w:val="18"/>
              </w:rPr>
              <w:t>COP-9</w:t>
            </w:r>
            <w:r w:rsidRPr="003026C1">
              <w:rPr>
                <w:rFonts w:ascii="Times New Roman" w:eastAsia="Times New Roman" w:hAnsi="Times New Roman" w:cs="Times New Roman"/>
                <w:color w:val="000000"/>
                <w:sz w:val="18"/>
                <w:szCs w:val="18"/>
              </w:rPr>
              <w:t xml:space="preserve"> Uvrštenje dikofola u Dodatak A Konvenciji bez posebnih izuzeća</w:t>
            </w:r>
          </w:p>
        </w:tc>
      </w:tr>
      <w:tr w:rsidR="00D84719" w:rsidRPr="00D84719" w14:paraId="31E12A3B" w14:textId="77777777" w:rsidTr="003026C1">
        <w:trPr>
          <w:jc w:val="center"/>
        </w:trPr>
        <w:tc>
          <w:tcPr>
            <w:tcW w:w="1129" w:type="dxa"/>
            <w:vMerge/>
            <w:shd w:val="clear" w:color="auto" w:fill="B6DDE8"/>
            <w:vAlign w:val="center"/>
          </w:tcPr>
          <w:p w14:paraId="287F0629" w14:textId="77777777" w:rsidR="00D84719" w:rsidRPr="003026C1" w:rsidRDefault="00D84719" w:rsidP="00D84719">
            <w:pPr>
              <w:spacing w:after="0" w:line="240" w:lineRule="auto"/>
              <w:jc w:val="center"/>
              <w:rPr>
                <w:rFonts w:ascii="Times New Roman" w:eastAsia="Times New Roman" w:hAnsi="Times New Roman" w:cs="Times New Roman"/>
                <w:b/>
                <w:color w:val="000000"/>
                <w:sz w:val="16"/>
                <w:szCs w:val="20"/>
              </w:rPr>
            </w:pPr>
          </w:p>
        </w:tc>
        <w:tc>
          <w:tcPr>
            <w:tcW w:w="3686" w:type="dxa"/>
            <w:shd w:val="clear" w:color="auto" w:fill="548DD4"/>
          </w:tcPr>
          <w:p w14:paraId="2C1C1090" w14:textId="77777777" w:rsidR="00D84719" w:rsidRPr="003026C1" w:rsidRDefault="00D84719" w:rsidP="00D84719">
            <w:pPr>
              <w:spacing w:after="0" w:line="240" w:lineRule="auto"/>
              <w:jc w:val="both"/>
              <w:rPr>
                <w:rFonts w:ascii="Times New Roman" w:eastAsia="Times New Roman" w:hAnsi="Times New Roman" w:cs="Times New Roman"/>
                <w:color w:val="000000"/>
                <w:sz w:val="18"/>
                <w:szCs w:val="20"/>
              </w:rPr>
            </w:pPr>
            <w:r w:rsidRPr="003026C1">
              <w:rPr>
                <w:rFonts w:ascii="Times New Roman" w:eastAsia="Times New Roman" w:hAnsi="Times New Roman" w:cs="Times New Roman"/>
                <w:color w:val="000000"/>
                <w:sz w:val="18"/>
                <w:szCs w:val="20"/>
              </w:rPr>
              <w:t>perfluorooktanska kiselina (PFOA), njezine soli i spojevi srodni PFOA-u</w:t>
            </w:r>
          </w:p>
        </w:tc>
        <w:tc>
          <w:tcPr>
            <w:tcW w:w="425" w:type="dxa"/>
            <w:shd w:val="clear" w:color="auto" w:fill="548DD4"/>
          </w:tcPr>
          <w:p w14:paraId="4BB42A98"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p>
        </w:tc>
        <w:tc>
          <w:tcPr>
            <w:tcW w:w="425" w:type="dxa"/>
            <w:gridSpan w:val="2"/>
            <w:shd w:val="clear" w:color="auto" w:fill="548DD4"/>
          </w:tcPr>
          <w:p w14:paraId="59D2F198"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r w:rsidRPr="003026C1">
              <w:rPr>
                <w:rFonts w:ascii="Times New Roman" w:eastAsia="Times New Roman" w:hAnsi="Times New Roman" w:cs="Times New Roman"/>
                <w:color w:val="000000"/>
                <w:sz w:val="18"/>
                <w:szCs w:val="20"/>
              </w:rPr>
              <w:t>x</w:t>
            </w:r>
          </w:p>
        </w:tc>
        <w:tc>
          <w:tcPr>
            <w:tcW w:w="426" w:type="dxa"/>
            <w:shd w:val="clear" w:color="auto" w:fill="548DD4"/>
          </w:tcPr>
          <w:p w14:paraId="0C8B2F09"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p>
        </w:tc>
        <w:tc>
          <w:tcPr>
            <w:tcW w:w="4252" w:type="dxa"/>
            <w:gridSpan w:val="3"/>
            <w:shd w:val="clear" w:color="auto" w:fill="548DD4"/>
          </w:tcPr>
          <w:p w14:paraId="52982570"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r w:rsidRPr="003026C1">
              <w:rPr>
                <w:rFonts w:ascii="Times New Roman" w:eastAsia="Times New Roman" w:hAnsi="Times New Roman" w:cs="Times New Roman"/>
                <w:b/>
                <w:color w:val="000000"/>
                <w:sz w:val="18"/>
                <w:szCs w:val="18"/>
              </w:rPr>
              <w:t>COP-9</w:t>
            </w:r>
            <w:r w:rsidRPr="003026C1">
              <w:rPr>
                <w:rFonts w:ascii="Times New Roman" w:eastAsia="Times New Roman" w:hAnsi="Times New Roman" w:cs="Times New Roman"/>
                <w:color w:val="000000"/>
                <w:sz w:val="18"/>
                <w:szCs w:val="18"/>
              </w:rPr>
              <w:t xml:space="preserve"> Uvrštenje perfluorooktanske kiseline (PFOA), njezinih soli i spojeva srodnih PFOA-u u Dodatak A Konvenciji uz posebna izuzeća</w:t>
            </w:r>
          </w:p>
        </w:tc>
      </w:tr>
      <w:tr w:rsidR="00D84719" w:rsidRPr="00D84719" w14:paraId="7D07EFF5" w14:textId="77777777" w:rsidTr="003026C1">
        <w:trPr>
          <w:jc w:val="center"/>
        </w:trPr>
        <w:tc>
          <w:tcPr>
            <w:tcW w:w="1129" w:type="dxa"/>
            <w:vMerge w:val="restart"/>
            <w:vAlign w:val="center"/>
          </w:tcPr>
          <w:p w14:paraId="261DEC88" w14:textId="77777777" w:rsidR="00D84719" w:rsidRPr="003026C1" w:rsidRDefault="00D84719" w:rsidP="00D84719">
            <w:pPr>
              <w:spacing w:after="0" w:line="240" w:lineRule="auto"/>
              <w:jc w:val="center"/>
              <w:rPr>
                <w:rFonts w:ascii="Times New Roman" w:eastAsia="Times New Roman" w:hAnsi="Times New Roman" w:cs="Times New Roman"/>
                <w:b/>
                <w:color w:val="000000"/>
                <w:sz w:val="16"/>
                <w:szCs w:val="20"/>
              </w:rPr>
            </w:pPr>
            <w:r w:rsidRPr="003026C1">
              <w:rPr>
                <w:rFonts w:ascii="Times New Roman" w:eastAsia="Times New Roman" w:hAnsi="Times New Roman" w:cs="Times New Roman"/>
                <w:b/>
                <w:color w:val="000000"/>
                <w:sz w:val="16"/>
                <w:szCs w:val="20"/>
              </w:rPr>
              <w:t>Dodatak B: Ograničenja</w:t>
            </w:r>
          </w:p>
        </w:tc>
        <w:tc>
          <w:tcPr>
            <w:tcW w:w="3686" w:type="dxa"/>
            <w:vAlign w:val="center"/>
          </w:tcPr>
          <w:p w14:paraId="6507E1BD" w14:textId="77777777" w:rsidR="00D84719" w:rsidRPr="003026C1" w:rsidRDefault="00D84719" w:rsidP="00D84719">
            <w:pPr>
              <w:spacing w:after="0" w:line="240" w:lineRule="auto"/>
              <w:jc w:val="both"/>
              <w:rPr>
                <w:rFonts w:ascii="Times New Roman" w:eastAsia="Times New Roman" w:hAnsi="Times New Roman" w:cs="Times New Roman"/>
                <w:color w:val="000000"/>
                <w:sz w:val="18"/>
                <w:szCs w:val="20"/>
                <w:lang w:eastAsia="de-DE"/>
              </w:rPr>
            </w:pPr>
            <w:r w:rsidRPr="003026C1">
              <w:rPr>
                <w:rFonts w:ascii="Times New Roman" w:eastAsia="Times New Roman" w:hAnsi="Times New Roman" w:cs="Times New Roman"/>
                <w:color w:val="000000"/>
                <w:sz w:val="18"/>
                <w:szCs w:val="20"/>
                <w:lang w:eastAsia="de-DE"/>
              </w:rPr>
              <w:t xml:space="preserve">dikloro-difenil-trikloroetan (DDT) </w:t>
            </w:r>
          </w:p>
        </w:tc>
        <w:tc>
          <w:tcPr>
            <w:tcW w:w="425" w:type="dxa"/>
          </w:tcPr>
          <w:p w14:paraId="7A6C02AC"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r w:rsidRPr="003026C1">
              <w:rPr>
                <w:rFonts w:ascii="Times New Roman" w:eastAsia="Times New Roman" w:hAnsi="Times New Roman" w:cs="Times New Roman"/>
                <w:color w:val="000000"/>
                <w:sz w:val="18"/>
                <w:szCs w:val="20"/>
              </w:rPr>
              <w:t>x</w:t>
            </w:r>
          </w:p>
        </w:tc>
        <w:tc>
          <w:tcPr>
            <w:tcW w:w="425" w:type="dxa"/>
            <w:gridSpan w:val="2"/>
          </w:tcPr>
          <w:p w14:paraId="1CAF79B9"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p>
        </w:tc>
        <w:tc>
          <w:tcPr>
            <w:tcW w:w="426" w:type="dxa"/>
          </w:tcPr>
          <w:p w14:paraId="12DD5DCA"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p>
        </w:tc>
        <w:tc>
          <w:tcPr>
            <w:tcW w:w="4252" w:type="dxa"/>
            <w:gridSpan w:val="3"/>
          </w:tcPr>
          <w:p w14:paraId="5163CEF8"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p>
        </w:tc>
      </w:tr>
      <w:tr w:rsidR="00D84719" w:rsidRPr="00D84719" w14:paraId="7A566667" w14:textId="77777777" w:rsidTr="003026C1">
        <w:trPr>
          <w:jc w:val="center"/>
        </w:trPr>
        <w:tc>
          <w:tcPr>
            <w:tcW w:w="1129" w:type="dxa"/>
            <w:vMerge/>
            <w:vAlign w:val="center"/>
          </w:tcPr>
          <w:p w14:paraId="348D917A" w14:textId="77777777" w:rsidR="00D84719" w:rsidRPr="003026C1" w:rsidRDefault="00D84719" w:rsidP="00D84719">
            <w:pPr>
              <w:spacing w:after="0" w:line="240" w:lineRule="auto"/>
              <w:jc w:val="center"/>
              <w:rPr>
                <w:rFonts w:ascii="Times New Roman" w:eastAsia="Times New Roman" w:hAnsi="Times New Roman" w:cs="Times New Roman"/>
                <w:b/>
                <w:color w:val="000000"/>
                <w:sz w:val="16"/>
                <w:szCs w:val="20"/>
              </w:rPr>
            </w:pPr>
          </w:p>
        </w:tc>
        <w:tc>
          <w:tcPr>
            <w:tcW w:w="3686" w:type="dxa"/>
            <w:shd w:val="clear" w:color="auto" w:fill="D6E3BC"/>
            <w:vAlign w:val="center"/>
          </w:tcPr>
          <w:p w14:paraId="3612B862" w14:textId="77777777" w:rsidR="00D84719" w:rsidRPr="003026C1" w:rsidRDefault="00D84719" w:rsidP="00D84719">
            <w:pPr>
              <w:spacing w:after="0" w:line="240" w:lineRule="auto"/>
              <w:jc w:val="both"/>
              <w:rPr>
                <w:rFonts w:ascii="Times New Roman" w:eastAsia="Times New Roman" w:hAnsi="Times New Roman" w:cs="Times New Roman"/>
                <w:bCs/>
                <w:color w:val="000000"/>
                <w:sz w:val="18"/>
                <w:szCs w:val="20"/>
                <w:lang w:eastAsia="de-DE"/>
              </w:rPr>
            </w:pPr>
            <w:r w:rsidRPr="003026C1">
              <w:rPr>
                <w:rFonts w:ascii="Times New Roman" w:eastAsia="Times New Roman" w:hAnsi="Times New Roman" w:cs="Times New Roman"/>
                <w:bCs/>
                <w:color w:val="000000"/>
                <w:sz w:val="18"/>
                <w:szCs w:val="20"/>
                <w:lang w:eastAsia="de-DE"/>
              </w:rPr>
              <w:t>perfluorooktan sulfonska kiselina (PFOS), njezine soli i perfluorooktan sulfonil fluorid (PFOSF)</w:t>
            </w:r>
          </w:p>
        </w:tc>
        <w:tc>
          <w:tcPr>
            <w:tcW w:w="425" w:type="dxa"/>
            <w:shd w:val="clear" w:color="auto" w:fill="D6E3BC"/>
          </w:tcPr>
          <w:p w14:paraId="073850E3"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p>
        </w:tc>
        <w:tc>
          <w:tcPr>
            <w:tcW w:w="425" w:type="dxa"/>
            <w:gridSpan w:val="2"/>
            <w:shd w:val="clear" w:color="auto" w:fill="D6E3BC"/>
          </w:tcPr>
          <w:p w14:paraId="1683BA4E"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r w:rsidRPr="003026C1">
              <w:rPr>
                <w:rFonts w:ascii="Times New Roman" w:eastAsia="Times New Roman" w:hAnsi="Times New Roman" w:cs="Times New Roman"/>
                <w:color w:val="000000"/>
                <w:sz w:val="18"/>
                <w:szCs w:val="20"/>
              </w:rPr>
              <w:t>x</w:t>
            </w:r>
          </w:p>
        </w:tc>
        <w:tc>
          <w:tcPr>
            <w:tcW w:w="426" w:type="dxa"/>
            <w:shd w:val="clear" w:color="auto" w:fill="D6E3BC"/>
          </w:tcPr>
          <w:p w14:paraId="568F11C2"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p>
        </w:tc>
        <w:tc>
          <w:tcPr>
            <w:tcW w:w="4252" w:type="dxa"/>
            <w:gridSpan w:val="3"/>
            <w:shd w:val="clear" w:color="auto" w:fill="D6E3BC"/>
          </w:tcPr>
          <w:p w14:paraId="49A92DFF"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p>
        </w:tc>
      </w:tr>
      <w:tr w:rsidR="00D84719" w:rsidRPr="00D84719" w14:paraId="1777191D" w14:textId="77777777" w:rsidTr="003026C1">
        <w:trPr>
          <w:jc w:val="center"/>
        </w:trPr>
        <w:tc>
          <w:tcPr>
            <w:tcW w:w="1129" w:type="dxa"/>
            <w:vMerge w:val="restart"/>
            <w:vAlign w:val="center"/>
          </w:tcPr>
          <w:p w14:paraId="5FA3644B" w14:textId="77777777" w:rsidR="00D84719" w:rsidRPr="003026C1" w:rsidRDefault="00D84719" w:rsidP="00D84719">
            <w:pPr>
              <w:spacing w:after="0" w:line="240" w:lineRule="auto"/>
              <w:jc w:val="center"/>
              <w:rPr>
                <w:rFonts w:ascii="Times New Roman" w:eastAsia="Times New Roman" w:hAnsi="Times New Roman" w:cs="Times New Roman"/>
                <w:b/>
                <w:color w:val="000000"/>
                <w:sz w:val="16"/>
                <w:szCs w:val="20"/>
                <w:lang w:eastAsia="de-DE"/>
              </w:rPr>
            </w:pPr>
            <w:r w:rsidRPr="003026C1">
              <w:rPr>
                <w:rFonts w:ascii="Times New Roman" w:eastAsia="Times New Roman" w:hAnsi="Times New Roman" w:cs="Times New Roman"/>
                <w:b/>
                <w:color w:val="000000"/>
                <w:sz w:val="16"/>
                <w:szCs w:val="20"/>
              </w:rPr>
              <w:t>Dodatak C: Nenamjerna proizvodnja</w:t>
            </w:r>
          </w:p>
        </w:tc>
        <w:tc>
          <w:tcPr>
            <w:tcW w:w="3686" w:type="dxa"/>
            <w:vAlign w:val="center"/>
          </w:tcPr>
          <w:p w14:paraId="1A4B7A39" w14:textId="77777777" w:rsidR="00D84719" w:rsidRPr="003026C1" w:rsidRDefault="00D84719" w:rsidP="00D84719">
            <w:pPr>
              <w:spacing w:after="0" w:line="240" w:lineRule="auto"/>
              <w:jc w:val="both"/>
              <w:rPr>
                <w:rFonts w:ascii="Times New Roman" w:eastAsia="Times New Roman" w:hAnsi="Times New Roman" w:cs="Times New Roman"/>
                <w:color w:val="000000"/>
                <w:sz w:val="18"/>
                <w:szCs w:val="20"/>
                <w:lang w:eastAsia="de-DE"/>
              </w:rPr>
            </w:pPr>
            <w:r w:rsidRPr="003026C1">
              <w:rPr>
                <w:rFonts w:ascii="Times New Roman" w:eastAsia="Times New Roman" w:hAnsi="Times New Roman" w:cs="Times New Roman"/>
                <w:color w:val="000000"/>
                <w:sz w:val="18"/>
                <w:szCs w:val="20"/>
                <w:lang w:eastAsia="de-DE"/>
              </w:rPr>
              <w:t>poliklorirani dibenzo-p-dioksini (PCDD) / poliklorirani dibenzofurani (PCDF)</w:t>
            </w:r>
          </w:p>
        </w:tc>
        <w:tc>
          <w:tcPr>
            <w:tcW w:w="425" w:type="dxa"/>
          </w:tcPr>
          <w:p w14:paraId="5C9CA28A"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p>
        </w:tc>
        <w:tc>
          <w:tcPr>
            <w:tcW w:w="425" w:type="dxa"/>
            <w:gridSpan w:val="2"/>
          </w:tcPr>
          <w:p w14:paraId="00146D11"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p>
        </w:tc>
        <w:tc>
          <w:tcPr>
            <w:tcW w:w="426" w:type="dxa"/>
          </w:tcPr>
          <w:p w14:paraId="2AA8CBFE"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r w:rsidRPr="003026C1">
              <w:rPr>
                <w:rFonts w:ascii="Times New Roman" w:eastAsia="Times New Roman" w:hAnsi="Times New Roman" w:cs="Times New Roman"/>
                <w:color w:val="000000"/>
                <w:sz w:val="18"/>
                <w:szCs w:val="20"/>
              </w:rPr>
              <w:t>x</w:t>
            </w:r>
          </w:p>
        </w:tc>
        <w:tc>
          <w:tcPr>
            <w:tcW w:w="4252" w:type="dxa"/>
            <w:gridSpan w:val="3"/>
          </w:tcPr>
          <w:p w14:paraId="28A68633"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p>
        </w:tc>
      </w:tr>
      <w:tr w:rsidR="00D84719" w:rsidRPr="00D84719" w14:paraId="72F78A27" w14:textId="77777777" w:rsidTr="003026C1">
        <w:trPr>
          <w:jc w:val="center"/>
        </w:trPr>
        <w:tc>
          <w:tcPr>
            <w:tcW w:w="1129" w:type="dxa"/>
            <w:vMerge/>
            <w:vAlign w:val="center"/>
          </w:tcPr>
          <w:p w14:paraId="4F0B250E" w14:textId="77777777" w:rsidR="00D84719" w:rsidRPr="003026C1" w:rsidRDefault="00D84719" w:rsidP="00D84719">
            <w:pPr>
              <w:spacing w:after="0" w:line="240" w:lineRule="auto"/>
              <w:jc w:val="both"/>
              <w:rPr>
                <w:rFonts w:ascii="Times New Roman" w:eastAsia="Times New Roman" w:hAnsi="Times New Roman" w:cs="Times New Roman"/>
                <w:color w:val="000000"/>
                <w:sz w:val="18"/>
                <w:szCs w:val="20"/>
                <w:lang w:eastAsia="de-DE"/>
              </w:rPr>
            </w:pPr>
          </w:p>
        </w:tc>
        <w:tc>
          <w:tcPr>
            <w:tcW w:w="3686" w:type="dxa"/>
            <w:vAlign w:val="center"/>
          </w:tcPr>
          <w:p w14:paraId="79997AC6" w14:textId="77777777" w:rsidR="00D84719" w:rsidRPr="003026C1" w:rsidRDefault="00D84719" w:rsidP="00D84719">
            <w:pPr>
              <w:spacing w:after="0" w:line="240" w:lineRule="auto"/>
              <w:jc w:val="both"/>
              <w:rPr>
                <w:rFonts w:ascii="Times New Roman" w:eastAsia="Times New Roman" w:hAnsi="Times New Roman" w:cs="Times New Roman"/>
                <w:color w:val="000000"/>
                <w:sz w:val="18"/>
                <w:szCs w:val="20"/>
                <w:lang w:eastAsia="de-DE"/>
              </w:rPr>
            </w:pPr>
            <w:r w:rsidRPr="003026C1">
              <w:rPr>
                <w:rFonts w:ascii="Times New Roman" w:eastAsia="Times New Roman" w:hAnsi="Times New Roman" w:cs="Times New Roman"/>
                <w:color w:val="000000"/>
                <w:sz w:val="18"/>
                <w:szCs w:val="20"/>
                <w:lang w:eastAsia="de-DE"/>
              </w:rPr>
              <w:t>heksaklorobenzen (HCB)</w:t>
            </w:r>
          </w:p>
        </w:tc>
        <w:tc>
          <w:tcPr>
            <w:tcW w:w="425" w:type="dxa"/>
          </w:tcPr>
          <w:p w14:paraId="10080554"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p>
        </w:tc>
        <w:tc>
          <w:tcPr>
            <w:tcW w:w="425" w:type="dxa"/>
            <w:gridSpan w:val="2"/>
          </w:tcPr>
          <w:p w14:paraId="1EC123AF"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p>
        </w:tc>
        <w:tc>
          <w:tcPr>
            <w:tcW w:w="426" w:type="dxa"/>
          </w:tcPr>
          <w:p w14:paraId="7282C4F1"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r w:rsidRPr="003026C1">
              <w:rPr>
                <w:rFonts w:ascii="Times New Roman" w:eastAsia="Times New Roman" w:hAnsi="Times New Roman" w:cs="Times New Roman"/>
                <w:color w:val="000000"/>
                <w:sz w:val="18"/>
                <w:szCs w:val="20"/>
              </w:rPr>
              <w:t>x</w:t>
            </w:r>
          </w:p>
        </w:tc>
        <w:tc>
          <w:tcPr>
            <w:tcW w:w="4252" w:type="dxa"/>
            <w:gridSpan w:val="3"/>
          </w:tcPr>
          <w:p w14:paraId="1DCA3F9F"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p>
        </w:tc>
      </w:tr>
      <w:tr w:rsidR="00D84719" w:rsidRPr="00D84719" w14:paraId="6D9A78A6" w14:textId="77777777" w:rsidTr="003026C1">
        <w:trPr>
          <w:jc w:val="center"/>
        </w:trPr>
        <w:tc>
          <w:tcPr>
            <w:tcW w:w="1129" w:type="dxa"/>
            <w:vMerge/>
            <w:vAlign w:val="center"/>
          </w:tcPr>
          <w:p w14:paraId="1D7C00BE" w14:textId="77777777" w:rsidR="00D84719" w:rsidRPr="003026C1" w:rsidRDefault="00D84719" w:rsidP="00D84719">
            <w:pPr>
              <w:spacing w:after="0" w:line="240" w:lineRule="auto"/>
              <w:jc w:val="both"/>
              <w:rPr>
                <w:rFonts w:ascii="Times New Roman" w:eastAsia="Times New Roman" w:hAnsi="Times New Roman" w:cs="Times New Roman"/>
                <w:color w:val="000000"/>
                <w:sz w:val="18"/>
                <w:szCs w:val="20"/>
                <w:lang w:eastAsia="de-DE"/>
              </w:rPr>
            </w:pPr>
          </w:p>
        </w:tc>
        <w:tc>
          <w:tcPr>
            <w:tcW w:w="3686" w:type="dxa"/>
            <w:vAlign w:val="center"/>
          </w:tcPr>
          <w:p w14:paraId="39353531" w14:textId="77777777" w:rsidR="00D84719" w:rsidRPr="003026C1" w:rsidRDefault="00D84719" w:rsidP="00D84719">
            <w:pPr>
              <w:spacing w:after="0" w:line="240" w:lineRule="auto"/>
              <w:jc w:val="both"/>
              <w:rPr>
                <w:rFonts w:ascii="Times New Roman" w:eastAsia="Times New Roman" w:hAnsi="Times New Roman" w:cs="Times New Roman"/>
                <w:color w:val="000000"/>
                <w:sz w:val="18"/>
                <w:szCs w:val="20"/>
                <w:lang w:eastAsia="de-DE"/>
              </w:rPr>
            </w:pPr>
            <w:r w:rsidRPr="003026C1">
              <w:rPr>
                <w:rFonts w:ascii="Times New Roman" w:eastAsia="Times New Roman" w:hAnsi="Times New Roman" w:cs="Times New Roman"/>
                <w:color w:val="000000"/>
                <w:sz w:val="18"/>
                <w:szCs w:val="20"/>
                <w:lang w:eastAsia="de-DE"/>
              </w:rPr>
              <w:t>poliklorirani bifenili (PCB)</w:t>
            </w:r>
          </w:p>
        </w:tc>
        <w:tc>
          <w:tcPr>
            <w:tcW w:w="425" w:type="dxa"/>
          </w:tcPr>
          <w:p w14:paraId="49466D2B"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p>
        </w:tc>
        <w:tc>
          <w:tcPr>
            <w:tcW w:w="425" w:type="dxa"/>
            <w:gridSpan w:val="2"/>
          </w:tcPr>
          <w:p w14:paraId="2DD6F8B1"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p>
        </w:tc>
        <w:tc>
          <w:tcPr>
            <w:tcW w:w="426" w:type="dxa"/>
          </w:tcPr>
          <w:p w14:paraId="2B0F719F"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r w:rsidRPr="003026C1">
              <w:rPr>
                <w:rFonts w:ascii="Times New Roman" w:eastAsia="Times New Roman" w:hAnsi="Times New Roman" w:cs="Times New Roman"/>
                <w:color w:val="000000"/>
                <w:sz w:val="18"/>
                <w:szCs w:val="20"/>
              </w:rPr>
              <w:t>x</w:t>
            </w:r>
          </w:p>
        </w:tc>
        <w:tc>
          <w:tcPr>
            <w:tcW w:w="4252" w:type="dxa"/>
            <w:gridSpan w:val="3"/>
          </w:tcPr>
          <w:p w14:paraId="0A86BA01"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p>
        </w:tc>
      </w:tr>
      <w:tr w:rsidR="00D84719" w:rsidRPr="00D84719" w14:paraId="454123E0" w14:textId="77777777" w:rsidTr="003026C1">
        <w:trPr>
          <w:jc w:val="center"/>
        </w:trPr>
        <w:tc>
          <w:tcPr>
            <w:tcW w:w="1129" w:type="dxa"/>
            <w:vMerge/>
            <w:vAlign w:val="center"/>
          </w:tcPr>
          <w:p w14:paraId="5A1372A9" w14:textId="77777777" w:rsidR="00D84719" w:rsidRPr="003026C1" w:rsidRDefault="00D84719" w:rsidP="00D84719">
            <w:pPr>
              <w:spacing w:after="0" w:line="240" w:lineRule="auto"/>
              <w:jc w:val="both"/>
              <w:rPr>
                <w:rFonts w:ascii="Times New Roman" w:eastAsia="Times New Roman" w:hAnsi="Times New Roman" w:cs="Times New Roman"/>
                <w:color w:val="000000"/>
                <w:sz w:val="18"/>
                <w:szCs w:val="20"/>
                <w:lang w:eastAsia="de-DE"/>
              </w:rPr>
            </w:pPr>
          </w:p>
        </w:tc>
        <w:tc>
          <w:tcPr>
            <w:tcW w:w="3686" w:type="dxa"/>
            <w:tcBorders>
              <w:bottom w:val="single" w:sz="4" w:space="0" w:color="auto"/>
            </w:tcBorders>
            <w:shd w:val="clear" w:color="auto" w:fill="D6E3BC"/>
            <w:vAlign w:val="center"/>
          </w:tcPr>
          <w:p w14:paraId="3722AF10" w14:textId="77777777" w:rsidR="00D84719" w:rsidRPr="003026C1" w:rsidRDefault="00D84719" w:rsidP="00D84719">
            <w:pPr>
              <w:spacing w:after="0" w:line="240" w:lineRule="auto"/>
              <w:jc w:val="both"/>
              <w:rPr>
                <w:rFonts w:ascii="Times New Roman" w:eastAsia="Times New Roman" w:hAnsi="Times New Roman" w:cs="Times New Roman"/>
                <w:color w:val="000000"/>
                <w:sz w:val="18"/>
                <w:szCs w:val="20"/>
                <w:lang w:eastAsia="de-DE"/>
              </w:rPr>
            </w:pPr>
            <w:r w:rsidRPr="003026C1">
              <w:rPr>
                <w:rFonts w:ascii="Times New Roman" w:eastAsia="Times New Roman" w:hAnsi="Times New Roman" w:cs="Times New Roman"/>
                <w:color w:val="000000"/>
                <w:sz w:val="18"/>
                <w:szCs w:val="20"/>
                <w:lang w:eastAsia="de-DE"/>
              </w:rPr>
              <w:t>pentaklorobenzen (PeCB)</w:t>
            </w:r>
          </w:p>
        </w:tc>
        <w:tc>
          <w:tcPr>
            <w:tcW w:w="425" w:type="dxa"/>
            <w:tcBorders>
              <w:bottom w:val="single" w:sz="4" w:space="0" w:color="auto"/>
            </w:tcBorders>
            <w:shd w:val="clear" w:color="auto" w:fill="D6E3BC"/>
          </w:tcPr>
          <w:p w14:paraId="48A2C158"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p>
        </w:tc>
        <w:tc>
          <w:tcPr>
            <w:tcW w:w="425" w:type="dxa"/>
            <w:gridSpan w:val="2"/>
            <w:tcBorders>
              <w:bottom w:val="single" w:sz="4" w:space="0" w:color="auto"/>
            </w:tcBorders>
            <w:shd w:val="clear" w:color="auto" w:fill="D6E3BC"/>
          </w:tcPr>
          <w:p w14:paraId="26E02037"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p>
        </w:tc>
        <w:tc>
          <w:tcPr>
            <w:tcW w:w="426" w:type="dxa"/>
            <w:tcBorders>
              <w:bottom w:val="single" w:sz="4" w:space="0" w:color="auto"/>
            </w:tcBorders>
            <w:shd w:val="clear" w:color="auto" w:fill="D6E3BC"/>
          </w:tcPr>
          <w:p w14:paraId="7F40B040"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r w:rsidRPr="003026C1">
              <w:rPr>
                <w:rFonts w:ascii="Times New Roman" w:eastAsia="Times New Roman" w:hAnsi="Times New Roman" w:cs="Times New Roman"/>
                <w:color w:val="000000"/>
                <w:sz w:val="18"/>
                <w:szCs w:val="20"/>
              </w:rPr>
              <w:t>x</w:t>
            </w:r>
          </w:p>
        </w:tc>
        <w:tc>
          <w:tcPr>
            <w:tcW w:w="4252" w:type="dxa"/>
            <w:gridSpan w:val="3"/>
            <w:tcBorders>
              <w:bottom w:val="single" w:sz="4" w:space="0" w:color="auto"/>
            </w:tcBorders>
            <w:shd w:val="clear" w:color="auto" w:fill="D6E3BC"/>
          </w:tcPr>
          <w:p w14:paraId="6FB67205"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p>
        </w:tc>
      </w:tr>
      <w:tr w:rsidR="00D84719" w:rsidRPr="00D84719" w14:paraId="671BE317" w14:textId="77777777" w:rsidTr="003026C1">
        <w:trPr>
          <w:jc w:val="center"/>
        </w:trPr>
        <w:tc>
          <w:tcPr>
            <w:tcW w:w="1129" w:type="dxa"/>
            <w:vMerge/>
            <w:shd w:val="clear" w:color="auto" w:fill="B6DDE8"/>
            <w:vAlign w:val="center"/>
          </w:tcPr>
          <w:p w14:paraId="6F0A1E2A" w14:textId="77777777" w:rsidR="00D84719" w:rsidRPr="003026C1" w:rsidRDefault="00D84719" w:rsidP="00D84719">
            <w:pPr>
              <w:spacing w:after="0" w:line="240" w:lineRule="auto"/>
              <w:jc w:val="both"/>
              <w:rPr>
                <w:rFonts w:ascii="Times New Roman" w:eastAsia="Times New Roman" w:hAnsi="Times New Roman" w:cs="Times New Roman"/>
                <w:color w:val="000000"/>
                <w:sz w:val="18"/>
                <w:szCs w:val="20"/>
                <w:lang w:eastAsia="de-DE"/>
              </w:rPr>
            </w:pPr>
          </w:p>
        </w:tc>
        <w:tc>
          <w:tcPr>
            <w:tcW w:w="3686" w:type="dxa"/>
            <w:tcBorders>
              <w:bottom w:val="single" w:sz="4" w:space="0" w:color="auto"/>
            </w:tcBorders>
            <w:shd w:val="clear" w:color="auto" w:fill="B6DDE8"/>
            <w:vAlign w:val="center"/>
          </w:tcPr>
          <w:p w14:paraId="723430A2" w14:textId="77777777" w:rsidR="00D84719" w:rsidRPr="003026C1" w:rsidRDefault="00D84719" w:rsidP="00D84719">
            <w:pPr>
              <w:spacing w:after="0" w:line="240" w:lineRule="auto"/>
              <w:jc w:val="both"/>
              <w:rPr>
                <w:rFonts w:ascii="Times New Roman" w:eastAsia="Times New Roman" w:hAnsi="Times New Roman" w:cs="Times New Roman"/>
                <w:color w:val="000000"/>
                <w:sz w:val="18"/>
                <w:szCs w:val="20"/>
                <w:lang w:eastAsia="de-DE"/>
              </w:rPr>
            </w:pPr>
            <w:r w:rsidRPr="003026C1">
              <w:rPr>
                <w:rFonts w:ascii="Times New Roman" w:eastAsia="Times New Roman" w:hAnsi="Times New Roman" w:cs="Times New Roman"/>
                <w:color w:val="000000"/>
                <w:sz w:val="18"/>
                <w:szCs w:val="20"/>
                <w:lang w:eastAsia="de-DE"/>
              </w:rPr>
              <w:t>poliklorirani naftaleni (PCN)</w:t>
            </w:r>
          </w:p>
        </w:tc>
        <w:tc>
          <w:tcPr>
            <w:tcW w:w="425" w:type="dxa"/>
            <w:tcBorders>
              <w:bottom w:val="single" w:sz="4" w:space="0" w:color="auto"/>
            </w:tcBorders>
            <w:shd w:val="clear" w:color="auto" w:fill="B6DDE8"/>
          </w:tcPr>
          <w:p w14:paraId="573AAEF6"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p>
        </w:tc>
        <w:tc>
          <w:tcPr>
            <w:tcW w:w="425" w:type="dxa"/>
            <w:gridSpan w:val="2"/>
            <w:tcBorders>
              <w:bottom w:val="single" w:sz="4" w:space="0" w:color="auto"/>
            </w:tcBorders>
            <w:shd w:val="clear" w:color="auto" w:fill="B6DDE8"/>
          </w:tcPr>
          <w:p w14:paraId="0156F3CE"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p>
        </w:tc>
        <w:tc>
          <w:tcPr>
            <w:tcW w:w="426" w:type="dxa"/>
            <w:tcBorders>
              <w:bottom w:val="single" w:sz="4" w:space="0" w:color="auto"/>
            </w:tcBorders>
            <w:shd w:val="clear" w:color="auto" w:fill="B6DDE8"/>
          </w:tcPr>
          <w:p w14:paraId="7FD3D08B"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r w:rsidRPr="003026C1">
              <w:rPr>
                <w:rFonts w:ascii="Times New Roman" w:eastAsia="Times New Roman" w:hAnsi="Times New Roman" w:cs="Times New Roman"/>
                <w:color w:val="000000"/>
                <w:sz w:val="18"/>
                <w:szCs w:val="20"/>
              </w:rPr>
              <w:t>x</w:t>
            </w:r>
          </w:p>
        </w:tc>
        <w:tc>
          <w:tcPr>
            <w:tcW w:w="4252" w:type="dxa"/>
            <w:gridSpan w:val="3"/>
            <w:tcBorders>
              <w:bottom w:val="single" w:sz="4" w:space="0" w:color="auto"/>
            </w:tcBorders>
            <w:shd w:val="clear" w:color="auto" w:fill="B6DDE8"/>
          </w:tcPr>
          <w:p w14:paraId="7BF452DD"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r w:rsidRPr="003026C1">
              <w:rPr>
                <w:rFonts w:ascii="Times New Roman" w:eastAsia="Times New Roman" w:hAnsi="Times New Roman" w:cs="Times New Roman"/>
                <w:b/>
                <w:bCs/>
                <w:color w:val="000000"/>
                <w:sz w:val="18"/>
                <w:szCs w:val="18"/>
              </w:rPr>
              <w:t xml:space="preserve">COP-7 </w:t>
            </w:r>
            <w:r w:rsidRPr="003026C1">
              <w:rPr>
                <w:rFonts w:ascii="Times New Roman" w:eastAsia="Times New Roman" w:hAnsi="Times New Roman" w:cs="Times New Roman"/>
                <w:color w:val="000000"/>
                <w:sz w:val="18"/>
                <w:szCs w:val="18"/>
              </w:rPr>
              <w:t>Uvrštenje polikloriranih naftalena (PCN) u Dodatke A i C Konvenciji s posebnim izuzećima</w:t>
            </w:r>
          </w:p>
        </w:tc>
      </w:tr>
      <w:tr w:rsidR="00D84719" w:rsidRPr="00D84719" w14:paraId="0E24F05B" w14:textId="77777777" w:rsidTr="003026C1">
        <w:trPr>
          <w:jc w:val="center"/>
        </w:trPr>
        <w:tc>
          <w:tcPr>
            <w:tcW w:w="1129" w:type="dxa"/>
            <w:vMerge/>
            <w:tcBorders>
              <w:bottom w:val="single" w:sz="4" w:space="0" w:color="auto"/>
            </w:tcBorders>
            <w:shd w:val="clear" w:color="auto" w:fill="B6DDE8"/>
            <w:vAlign w:val="center"/>
          </w:tcPr>
          <w:p w14:paraId="33E3DE78" w14:textId="77777777" w:rsidR="00D84719" w:rsidRPr="003026C1" w:rsidRDefault="00D84719" w:rsidP="00D84719">
            <w:pPr>
              <w:spacing w:after="0" w:line="240" w:lineRule="auto"/>
              <w:jc w:val="both"/>
              <w:rPr>
                <w:rFonts w:ascii="Times New Roman" w:eastAsia="Times New Roman" w:hAnsi="Times New Roman" w:cs="Times New Roman"/>
                <w:color w:val="000000"/>
                <w:sz w:val="18"/>
                <w:szCs w:val="20"/>
                <w:lang w:eastAsia="de-DE"/>
              </w:rPr>
            </w:pPr>
          </w:p>
        </w:tc>
        <w:tc>
          <w:tcPr>
            <w:tcW w:w="3686" w:type="dxa"/>
            <w:tcBorders>
              <w:bottom w:val="single" w:sz="4" w:space="0" w:color="auto"/>
            </w:tcBorders>
            <w:shd w:val="clear" w:color="auto" w:fill="D99594"/>
            <w:vAlign w:val="center"/>
          </w:tcPr>
          <w:p w14:paraId="47DA77C3" w14:textId="77777777" w:rsidR="00D84719" w:rsidRPr="003026C1" w:rsidRDefault="00D84719" w:rsidP="00D84719">
            <w:pPr>
              <w:spacing w:after="0" w:line="240" w:lineRule="auto"/>
              <w:jc w:val="both"/>
              <w:rPr>
                <w:rFonts w:ascii="Times New Roman" w:eastAsia="Times New Roman" w:hAnsi="Times New Roman" w:cs="Times New Roman"/>
                <w:color w:val="000000"/>
                <w:sz w:val="18"/>
                <w:szCs w:val="20"/>
                <w:lang w:eastAsia="de-DE"/>
              </w:rPr>
            </w:pPr>
            <w:r w:rsidRPr="003026C1">
              <w:rPr>
                <w:rFonts w:ascii="Times New Roman" w:eastAsia="Times New Roman" w:hAnsi="Times New Roman" w:cs="Times New Roman"/>
                <w:color w:val="000000"/>
                <w:sz w:val="18"/>
                <w:szCs w:val="20"/>
              </w:rPr>
              <w:t>heksaklorobutadien (HCBD)</w:t>
            </w:r>
          </w:p>
        </w:tc>
        <w:tc>
          <w:tcPr>
            <w:tcW w:w="425" w:type="dxa"/>
            <w:tcBorders>
              <w:bottom w:val="single" w:sz="4" w:space="0" w:color="auto"/>
            </w:tcBorders>
            <w:shd w:val="clear" w:color="auto" w:fill="D99594"/>
          </w:tcPr>
          <w:p w14:paraId="23314956"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p>
        </w:tc>
        <w:tc>
          <w:tcPr>
            <w:tcW w:w="425" w:type="dxa"/>
            <w:gridSpan w:val="2"/>
            <w:tcBorders>
              <w:bottom w:val="single" w:sz="4" w:space="0" w:color="auto"/>
            </w:tcBorders>
            <w:shd w:val="clear" w:color="auto" w:fill="D99594"/>
          </w:tcPr>
          <w:p w14:paraId="34D72562"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p>
        </w:tc>
        <w:tc>
          <w:tcPr>
            <w:tcW w:w="426" w:type="dxa"/>
            <w:tcBorders>
              <w:bottom w:val="single" w:sz="4" w:space="0" w:color="auto"/>
            </w:tcBorders>
            <w:shd w:val="clear" w:color="auto" w:fill="D99594"/>
          </w:tcPr>
          <w:p w14:paraId="3CC202D5"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r w:rsidRPr="003026C1">
              <w:rPr>
                <w:rFonts w:ascii="Times New Roman" w:eastAsia="Times New Roman" w:hAnsi="Times New Roman" w:cs="Times New Roman"/>
                <w:color w:val="000000"/>
                <w:sz w:val="18"/>
                <w:szCs w:val="20"/>
              </w:rPr>
              <w:t>x</w:t>
            </w:r>
          </w:p>
        </w:tc>
        <w:tc>
          <w:tcPr>
            <w:tcW w:w="4252" w:type="dxa"/>
            <w:gridSpan w:val="3"/>
            <w:tcBorders>
              <w:bottom w:val="single" w:sz="4" w:space="0" w:color="auto"/>
            </w:tcBorders>
            <w:shd w:val="clear" w:color="auto" w:fill="D99594"/>
            <w:vAlign w:val="center"/>
          </w:tcPr>
          <w:p w14:paraId="79F3843C" w14:textId="77777777" w:rsidR="00D84719" w:rsidRPr="003026C1" w:rsidRDefault="00D84719" w:rsidP="00D84719">
            <w:pPr>
              <w:spacing w:after="0" w:line="240" w:lineRule="auto"/>
              <w:jc w:val="center"/>
              <w:rPr>
                <w:rFonts w:ascii="Times New Roman" w:eastAsia="Times New Roman" w:hAnsi="Times New Roman" w:cs="Times New Roman"/>
                <w:color w:val="000000"/>
                <w:sz w:val="18"/>
                <w:szCs w:val="20"/>
              </w:rPr>
            </w:pPr>
            <w:r w:rsidRPr="003026C1">
              <w:rPr>
                <w:rFonts w:ascii="Times New Roman" w:eastAsia="Times New Roman" w:hAnsi="Times New Roman" w:cs="Times New Roman"/>
                <w:b/>
                <w:bCs/>
                <w:color w:val="000000"/>
                <w:sz w:val="18"/>
                <w:szCs w:val="18"/>
              </w:rPr>
              <w:t xml:space="preserve">COP-8 </w:t>
            </w:r>
            <w:r w:rsidRPr="003026C1">
              <w:rPr>
                <w:rFonts w:ascii="Times New Roman" w:eastAsia="Times New Roman" w:hAnsi="Times New Roman" w:cs="Times New Roman"/>
                <w:color w:val="000000"/>
                <w:sz w:val="18"/>
                <w:szCs w:val="18"/>
              </w:rPr>
              <w:t>Uvrštenje heksaklorbutadiena (HCBD) u Dodatak C Konvenciji</w:t>
            </w:r>
          </w:p>
        </w:tc>
      </w:tr>
      <w:tr w:rsidR="00D84719" w:rsidRPr="00D84719" w14:paraId="548AE3CC" w14:textId="77777777" w:rsidTr="003026C1">
        <w:trPr>
          <w:jc w:val="center"/>
        </w:trPr>
        <w:tc>
          <w:tcPr>
            <w:tcW w:w="1129" w:type="dxa"/>
            <w:tcBorders>
              <w:left w:val="nil"/>
              <w:bottom w:val="nil"/>
              <w:right w:val="nil"/>
            </w:tcBorders>
            <w:shd w:val="clear" w:color="auto" w:fill="auto"/>
          </w:tcPr>
          <w:p w14:paraId="3A257E98"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lang w:eastAsia="de-DE"/>
              </w:rPr>
            </w:pPr>
          </w:p>
          <w:p w14:paraId="4B765526"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lang w:eastAsia="de-DE"/>
              </w:rPr>
            </w:pPr>
            <w:r w:rsidRPr="00D84719">
              <w:rPr>
                <w:rFonts w:ascii="Times New Roman" w:eastAsia="Times New Roman" w:hAnsi="Times New Roman" w:cs="Times New Roman"/>
                <w:color w:val="000000"/>
                <w:sz w:val="20"/>
                <w:szCs w:val="20"/>
                <w:lang w:eastAsia="de-DE"/>
              </w:rPr>
              <w:t>Legenda:</w:t>
            </w:r>
          </w:p>
        </w:tc>
        <w:tc>
          <w:tcPr>
            <w:tcW w:w="3686" w:type="dxa"/>
            <w:tcBorders>
              <w:top w:val="single" w:sz="4" w:space="0" w:color="auto"/>
              <w:left w:val="nil"/>
              <w:bottom w:val="nil"/>
              <w:right w:val="nil"/>
            </w:tcBorders>
            <w:shd w:val="clear" w:color="auto" w:fill="auto"/>
          </w:tcPr>
          <w:p w14:paraId="15AD7B08"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p>
        </w:tc>
        <w:tc>
          <w:tcPr>
            <w:tcW w:w="646" w:type="dxa"/>
            <w:gridSpan w:val="2"/>
            <w:tcBorders>
              <w:top w:val="single" w:sz="4" w:space="0" w:color="auto"/>
              <w:left w:val="nil"/>
              <w:bottom w:val="nil"/>
              <w:right w:val="nil"/>
            </w:tcBorders>
            <w:shd w:val="clear" w:color="auto" w:fill="auto"/>
          </w:tcPr>
          <w:p w14:paraId="3B55AEC9"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p>
        </w:tc>
        <w:tc>
          <w:tcPr>
            <w:tcW w:w="702" w:type="dxa"/>
            <w:gridSpan w:val="3"/>
            <w:tcBorders>
              <w:top w:val="single" w:sz="4" w:space="0" w:color="auto"/>
              <w:left w:val="nil"/>
              <w:bottom w:val="nil"/>
              <w:right w:val="nil"/>
            </w:tcBorders>
            <w:shd w:val="clear" w:color="auto" w:fill="auto"/>
          </w:tcPr>
          <w:p w14:paraId="611F166E"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p>
        </w:tc>
        <w:tc>
          <w:tcPr>
            <w:tcW w:w="236" w:type="dxa"/>
            <w:tcBorders>
              <w:top w:val="single" w:sz="4" w:space="0" w:color="auto"/>
              <w:left w:val="nil"/>
              <w:bottom w:val="nil"/>
              <w:right w:val="nil"/>
            </w:tcBorders>
            <w:shd w:val="clear" w:color="auto" w:fill="auto"/>
          </w:tcPr>
          <w:p w14:paraId="00AC69C2"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p>
        </w:tc>
        <w:tc>
          <w:tcPr>
            <w:tcW w:w="3944" w:type="dxa"/>
            <w:tcBorders>
              <w:top w:val="single" w:sz="4" w:space="0" w:color="auto"/>
              <w:left w:val="nil"/>
              <w:bottom w:val="nil"/>
              <w:right w:val="nil"/>
            </w:tcBorders>
          </w:tcPr>
          <w:p w14:paraId="7161EB40"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p>
        </w:tc>
      </w:tr>
      <w:tr w:rsidR="00D84719" w:rsidRPr="00D84719" w14:paraId="0EE25119" w14:textId="77777777" w:rsidTr="003026C1">
        <w:trPr>
          <w:jc w:val="center"/>
        </w:trPr>
        <w:tc>
          <w:tcPr>
            <w:tcW w:w="1129" w:type="dxa"/>
            <w:tcBorders>
              <w:top w:val="nil"/>
              <w:left w:val="nil"/>
              <w:bottom w:val="nil"/>
              <w:right w:val="nil"/>
            </w:tcBorders>
            <w:shd w:val="clear" w:color="auto" w:fill="C2D69B"/>
          </w:tcPr>
          <w:p w14:paraId="6F51DD8D"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p>
        </w:tc>
        <w:tc>
          <w:tcPr>
            <w:tcW w:w="3686" w:type="dxa"/>
            <w:tcBorders>
              <w:top w:val="nil"/>
              <w:left w:val="nil"/>
              <w:bottom w:val="nil"/>
              <w:right w:val="nil"/>
            </w:tcBorders>
            <w:shd w:val="clear" w:color="auto" w:fill="auto"/>
          </w:tcPr>
          <w:p w14:paraId="32AD5F43" w14:textId="5CBB4B31"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COP-4 (2009</w:t>
            </w:r>
            <w:r w:rsidR="004C449C">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w:t>
            </w:r>
          </w:p>
        </w:tc>
        <w:tc>
          <w:tcPr>
            <w:tcW w:w="646" w:type="dxa"/>
            <w:gridSpan w:val="2"/>
            <w:tcBorders>
              <w:top w:val="nil"/>
              <w:left w:val="nil"/>
              <w:bottom w:val="nil"/>
              <w:right w:val="nil"/>
            </w:tcBorders>
            <w:shd w:val="clear" w:color="auto" w:fill="auto"/>
          </w:tcPr>
          <w:p w14:paraId="402C5CB0"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p>
        </w:tc>
        <w:tc>
          <w:tcPr>
            <w:tcW w:w="702" w:type="dxa"/>
            <w:gridSpan w:val="3"/>
            <w:tcBorders>
              <w:top w:val="nil"/>
              <w:left w:val="nil"/>
              <w:bottom w:val="nil"/>
              <w:right w:val="nil"/>
            </w:tcBorders>
            <w:shd w:val="clear" w:color="auto" w:fill="auto"/>
          </w:tcPr>
          <w:p w14:paraId="00ECB37E"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p>
        </w:tc>
        <w:tc>
          <w:tcPr>
            <w:tcW w:w="236" w:type="dxa"/>
            <w:tcBorders>
              <w:top w:val="nil"/>
              <w:left w:val="nil"/>
              <w:bottom w:val="nil"/>
              <w:right w:val="nil"/>
            </w:tcBorders>
            <w:shd w:val="clear" w:color="auto" w:fill="auto"/>
          </w:tcPr>
          <w:p w14:paraId="13AE9D4D"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p>
        </w:tc>
        <w:tc>
          <w:tcPr>
            <w:tcW w:w="3944" w:type="dxa"/>
            <w:tcBorders>
              <w:top w:val="nil"/>
              <w:left w:val="nil"/>
              <w:bottom w:val="nil"/>
              <w:right w:val="nil"/>
            </w:tcBorders>
          </w:tcPr>
          <w:p w14:paraId="2CD5531D"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p>
        </w:tc>
      </w:tr>
      <w:tr w:rsidR="00D84719" w:rsidRPr="00D84719" w14:paraId="7B3B9D1C" w14:textId="77777777" w:rsidTr="003026C1">
        <w:trPr>
          <w:jc w:val="center"/>
        </w:trPr>
        <w:tc>
          <w:tcPr>
            <w:tcW w:w="1129" w:type="dxa"/>
            <w:tcBorders>
              <w:top w:val="nil"/>
              <w:left w:val="nil"/>
              <w:bottom w:val="nil"/>
              <w:right w:val="nil"/>
            </w:tcBorders>
            <w:shd w:val="clear" w:color="auto" w:fill="B2A1C7"/>
          </w:tcPr>
          <w:p w14:paraId="1B4DE7D7"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p>
        </w:tc>
        <w:tc>
          <w:tcPr>
            <w:tcW w:w="3686" w:type="dxa"/>
            <w:tcBorders>
              <w:top w:val="nil"/>
              <w:left w:val="nil"/>
              <w:bottom w:val="nil"/>
              <w:right w:val="nil"/>
            </w:tcBorders>
            <w:shd w:val="clear" w:color="auto" w:fill="auto"/>
          </w:tcPr>
          <w:p w14:paraId="16C3E455" w14:textId="1DC956D6"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COP-5 (2011</w:t>
            </w:r>
            <w:r w:rsidR="004C449C">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w:t>
            </w:r>
          </w:p>
        </w:tc>
        <w:tc>
          <w:tcPr>
            <w:tcW w:w="646" w:type="dxa"/>
            <w:gridSpan w:val="2"/>
            <w:tcBorders>
              <w:top w:val="nil"/>
              <w:left w:val="nil"/>
              <w:bottom w:val="nil"/>
              <w:right w:val="nil"/>
            </w:tcBorders>
            <w:shd w:val="clear" w:color="auto" w:fill="auto"/>
          </w:tcPr>
          <w:p w14:paraId="741B5C11"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p>
        </w:tc>
        <w:tc>
          <w:tcPr>
            <w:tcW w:w="702" w:type="dxa"/>
            <w:gridSpan w:val="3"/>
            <w:tcBorders>
              <w:top w:val="nil"/>
              <w:left w:val="nil"/>
              <w:bottom w:val="nil"/>
              <w:right w:val="nil"/>
            </w:tcBorders>
            <w:shd w:val="clear" w:color="auto" w:fill="auto"/>
          </w:tcPr>
          <w:p w14:paraId="58A7EFCC"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p>
        </w:tc>
        <w:tc>
          <w:tcPr>
            <w:tcW w:w="236" w:type="dxa"/>
            <w:tcBorders>
              <w:top w:val="nil"/>
              <w:left w:val="nil"/>
              <w:bottom w:val="nil"/>
              <w:right w:val="nil"/>
            </w:tcBorders>
            <w:shd w:val="clear" w:color="auto" w:fill="auto"/>
          </w:tcPr>
          <w:p w14:paraId="3DA751D5"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p>
        </w:tc>
        <w:tc>
          <w:tcPr>
            <w:tcW w:w="3944" w:type="dxa"/>
            <w:tcBorders>
              <w:top w:val="nil"/>
              <w:left w:val="nil"/>
              <w:bottom w:val="nil"/>
              <w:right w:val="nil"/>
            </w:tcBorders>
          </w:tcPr>
          <w:p w14:paraId="56FB215C"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p>
        </w:tc>
      </w:tr>
      <w:tr w:rsidR="00D84719" w:rsidRPr="00D84719" w14:paraId="6836A121" w14:textId="77777777" w:rsidTr="003026C1">
        <w:trPr>
          <w:jc w:val="center"/>
        </w:trPr>
        <w:tc>
          <w:tcPr>
            <w:tcW w:w="1129" w:type="dxa"/>
            <w:tcBorders>
              <w:top w:val="nil"/>
              <w:left w:val="nil"/>
              <w:bottom w:val="nil"/>
              <w:right w:val="nil"/>
            </w:tcBorders>
            <w:shd w:val="clear" w:color="auto" w:fill="FABF8F"/>
          </w:tcPr>
          <w:p w14:paraId="39074172"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p>
        </w:tc>
        <w:tc>
          <w:tcPr>
            <w:tcW w:w="3686" w:type="dxa"/>
            <w:tcBorders>
              <w:top w:val="nil"/>
              <w:left w:val="nil"/>
              <w:bottom w:val="nil"/>
              <w:right w:val="nil"/>
            </w:tcBorders>
            <w:shd w:val="clear" w:color="auto" w:fill="auto"/>
          </w:tcPr>
          <w:p w14:paraId="66667912" w14:textId="3B3FD6E9"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COP-6 (2013</w:t>
            </w:r>
            <w:r w:rsidR="004C449C">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w:t>
            </w:r>
          </w:p>
        </w:tc>
        <w:tc>
          <w:tcPr>
            <w:tcW w:w="646" w:type="dxa"/>
            <w:gridSpan w:val="2"/>
            <w:tcBorders>
              <w:top w:val="nil"/>
              <w:left w:val="nil"/>
              <w:bottom w:val="nil"/>
              <w:right w:val="nil"/>
            </w:tcBorders>
            <w:shd w:val="clear" w:color="auto" w:fill="auto"/>
          </w:tcPr>
          <w:p w14:paraId="043F8C66"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p>
        </w:tc>
        <w:tc>
          <w:tcPr>
            <w:tcW w:w="702" w:type="dxa"/>
            <w:gridSpan w:val="3"/>
            <w:tcBorders>
              <w:top w:val="nil"/>
              <w:left w:val="nil"/>
              <w:bottom w:val="nil"/>
              <w:right w:val="nil"/>
            </w:tcBorders>
            <w:shd w:val="clear" w:color="auto" w:fill="auto"/>
          </w:tcPr>
          <w:p w14:paraId="14F9C4E7"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p>
        </w:tc>
        <w:tc>
          <w:tcPr>
            <w:tcW w:w="236" w:type="dxa"/>
            <w:tcBorders>
              <w:top w:val="nil"/>
              <w:left w:val="nil"/>
              <w:bottom w:val="nil"/>
              <w:right w:val="nil"/>
            </w:tcBorders>
            <w:shd w:val="clear" w:color="auto" w:fill="auto"/>
          </w:tcPr>
          <w:p w14:paraId="4D038CF6"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p>
        </w:tc>
        <w:tc>
          <w:tcPr>
            <w:tcW w:w="3944" w:type="dxa"/>
            <w:tcBorders>
              <w:top w:val="nil"/>
              <w:left w:val="nil"/>
              <w:bottom w:val="nil"/>
              <w:right w:val="nil"/>
            </w:tcBorders>
          </w:tcPr>
          <w:p w14:paraId="1C43984E"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p>
        </w:tc>
      </w:tr>
      <w:tr w:rsidR="00D84719" w:rsidRPr="00D84719" w14:paraId="49D91B02" w14:textId="77777777" w:rsidTr="003026C1">
        <w:trPr>
          <w:jc w:val="center"/>
        </w:trPr>
        <w:tc>
          <w:tcPr>
            <w:tcW w:w="1129" w:type="dxa"/>
            <w:tcBorders>
              <w:top w:val="nil"/>
              <w:left w:val="nil"/>
              <w:bottom w:val="nil"/>
              <w:right w:val="nil"/>
            </w:tcBorders>
            <w:shd w:val="clear" w:color="auto" w:fill="92CDDC"/>
          </w:tcPr>
          <w:p w14:paraId="12D0630E"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p>
        </w:tc>
        <w:tc>
          <w:tcPr>
            <w:tcW w:w="3686" w:type="dxa"/>
            <w:tcBorders>
              <w:top w:val="nil"/>
              <w:left w:val="nil"/>
              <w:bottom w:val="nil"/>
              <w:right w:val="nil"/>
            </w:tcBorders>
            <w:shd w:val="clear" w:color="auto" w:fill="auto"/>
          </w:tcPr>
          <w:p w14:paraId="5F74D16C" w14:textId="4AF95A13"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COP-7 (2015</w:t>
            </w:r>
            <w:r w:rsidR="004C449C">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w:t>
            </w:r>
          </w:p>
        </w:tc>
        <w:tc>
          <w:tcPr>
            <w:tcW w:w="646" w:type="dxa"/>
            <w:gridSpan w:val="2"/>
            <w:tcBorders>
              <w:top w:val="nil"/>
              <w:left w:val="nil"/>
              <w:bottom w:val="nil"/>
              <w:right w:val="nil"/>
            </w:tcBorders>
            <w:shd w:val="clear" w:color="auto" w:fill="auto"/>
          </w:tcPr>
          <w:p w14:paraId="1F930510"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p>
        </w:tc>
        <w:tc>
          <w:tcPr>
            <w:tcW w:w="702" w:type="dxa"/>
            <w:gridSpan w:val="3"/>
            <w:tcBorders>
              <w:top w:val="nil"/>
              <w:left w:val="nil"/>
              <w:bottom w:val="nil"/>
              <w:right w:val="nil"/>
            </w:tcBorders>
            <w:shd w:val="clear" w:color="auto" w:fill="auto"/>
          </w:tcPr>
          <w:p w14:paraId="6635EEB5"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p>
        </w:tc>
        <w:tc>
          <w:tcPr>
            <w:tcW w:w="236" w:type="dxa"/>
            <w:tcBorders>
              <w:top w:val="nil"/>
              <w:left w:val="nil"/>
              <w:bottom w:val="nil"/>
              <w:right w:val="nil"/>
            </w:tcBorders>
            <w:shd w:val="clear" w:color="auto" w:fill="auto"/>
          </w:tcPr>
          <w:p w14:paraId="3E1382ED"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p>
        </w:tc>
        <w:tc>
          <w:tcPr>
            <w:tcW w:w="3944" w:type="dxa"/>
            <w:tcBorders>
              <w:top w:val="nil"/>
              <w:left w:val="nil"/>
              <w:bottom w:val="nil"/>
              <w:right w:val="nil"/>
            </w:tcBorders>
          </w:tcPr>
          <w:p w14:paraId="0D928A87"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p>
        </w:tc>
      </w:tr>
      <w:tr w:rsidR="00D84719" w:rsidRPr="00D84719" w14:paraId="00EA248E" w14:textId="77777777" w:rsidTr="003026C1">
        <w:trPr>
          <w:jc w:val="center"/>
        </w:trPr>
        <w:tc>
          <w:tcPr>
            <w:tcW w:w="1129" w:type="dxa"/>
            <w:tcBorders>
              <w:top w:val="nil"/>
              <w:left w:val="nil"/>
              <w:bottom w:val="nil"/>
              <w:right w:val="nil"/>
            </w:tcBorders>
            <w:shd w:val="clear" w:color="auto" w:fill="D99594"/>
          </w:tcPr>
          <w:p w14:paraId="28EDFDE2"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p>
        </w:tc>
        <w:tc>
          <w:tcPr>
            <w:tcW w:w="3686" w:type="dxa"/>
            <w:tcBorders>
              <w:top w:val="nil"/>
              <w:left w:val="nil"/>
              <w:bottom w:val="nil"/>
              <w:right w:val="nil"/>
            </w:tcBorders>
            <w:shd w:val="clear" w:color="auto" w:fill="auto"/>
          </w:tcPr>
          <w:p w14:paraId="4D319EFE" w14:textId="457CDA06"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COP-8 (2017</w:t>
            </w:r>
            <w:r w:rsidR="004C449C">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w:t>
            </w:r>
          </w:p>
        </w:tc>
        <w:tc>
          <w:tcPr>
            <w:tcW w:w="646" w:type="dxa"/>
            <w:gridSpan w:val="2"/>
            <w:tcBorders>
              <w:top w:val="nil"/>
              <w:left w:val="nil"/>
              <w:bottom w:val="nil"/>
              <w:right w:val="nil"/>
            </w:tcBorders>
            <w:shd w:val="clear" w:color="auto" w:fill="auto"/>
          </w:tcPr>
          <w:p w14:paraId="03AD5297"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p>
        </w:tc>
        <w:tc>
          <w:tcPr>
            <w:tcW w:w="702" w:type="dxa"/>
            <w:gridSpan w:val="3"/>
            <w:tcBorders>
              <w:top w:val="nil"/>
              <w:left w:val="nil"/>
              <w:bottom w:val="nil"/>
              <w:right w:val="nil"/>
            </w:tcBorders>
            <w:shd w:val="clear" w:color="auto" w:fill="auto"/>
          </w:tcPr>
          <w:p w14:paraId="2B4615F1"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p>
        </w:tc>
        <w:tc>
          <w:tcPr>
            <w:tcW w:w="236" w:type="dxa"/>
            <w:tcBorders>
              <w:top w:val="nil"/>
              <w:left w:val="nil"/>
              <w:bottom w:val="nil"/>
              <w:right w:val="nil"/>
            </w:tcBorders>
            <w:shd w:val="clear" w:color="auto" w:fill="auto"/>
          </w:tcPr>
          <w:p w14:paraId="3AC48309"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p>
        </w:tc>
        <w:tc>
          <w:tcPr>
            <w:tcW w:w="3944" w:type="dxa"/>
            <w:tcBorders>
              <w:top w:val="nil"/>
              <w:left w:val="nil"/>
              <w:bottom w:val="nil"/>
              <w:right w:val="nil"/>
            </w:tcBorders>
          </w:tcPr>
          <w:p w14:paraId="1FE3CADC"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p>
        </w:tc>
      </w:tr>
      <w:tr w:rsidR="00D84719" w:rsidRPr="00D84719" w14:paraId="08951576" w14:textId="77777777" w:rsidTr="003026C1">
        <w:trPr>
          <w:jc w:val="center"/>
        </w:trPr>
        <w:tc>
          <w:tcPr>
            <w:tcW w:w="1129" w:type="dxa"/>
            <w:tcBorders>
              <w:top w:val="nil"/>
              <w:left w:val="nil"/>
              <w:bottom w:val="nil"/>
              <w:right w:val="nil"/>
            </w:tcBorders>
            <w:shd w:val="clear" w:color="auto" w:fill="548DD4"/>
          </w:tcPr>
          <w:p w14:paraId="31890BC4"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p>
        </w:tc>
        <w:tc>
          <w:tcPr>
            <w:tcW w:w="3686" w:type="dxa"/>
            <w:tcBorders>
              <w:top w:val="nil"/>
              <w:left w:val="nil"/>
              <w:bottom w:val="nil"/>
              <w:right w:val="nil"/>
            </w:tcBorders>
            <w:shd w:val="clear" w:color="auto" w:fill="auto"/>
          </w:tcPr>
          <w:p w14:paraId="7195302C" w14:textId="0EA421E6"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COP-9 (2019</w:t>
            </w:r>
            <w:r w:rsidR="004C449C">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w:t>
            </w:r>
          </w:p>
        </w:tc>
        <w:tc>
          <w:tcPr>
            <w:tcW w:w="646" w:type="dxa"/>
            <w:gridSpan w:val="2"/>
            <w:tcBorders>
              <w:top w:val="nil"/>
              <w:left w:val="nil"/>
              <w:bottom w:val="nil"/>
              <w:right w:val="nil"/>
            </w:tcBorders>
            <w:shd w:val="clear" w:color="auto" w:fill="auto"/>
          </w:tcPr>
          <w:p w14:paraId="036608C1"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p>
        </w:tc>
        <w:tc>
          <w:tcPr>
            <w:tcW w:w="702" w:type="dxa"/>
            <w:gridSpan w:val="3"/>
            <w:tcBorders>
              <w:top w:val="nil"/>
              <w:left w:val="nil"/>
              <w:bottom w:val="nil"/>
              <w:right w:val="nil"/>
            </w:tcBorders>
            <w:shd w:val="clear" w:color="auto" w:fill="auto"/>
          </w:tcPr>
          <w:p w14:paraId="7C6A7A40"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p>
        </w:tc>
        <w:tc>
          <w:tcPr>
            <w:tcW w:w="236" w:type="dxa"/>
            <w:tcBorders>
              <w:top w:val="nil"/>
              <w:left w:val="nil"/>
              <w:bottom w:val="nil"/>
              <w:right w:val="nil"/>
            </w:tcBorders>
            <w:shd w:val="clear" w:color="auto" w:fill="auto"/>
          </w:tcPr>
          <w:p w14:paraId="1BE0D48D"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p>
        </w:tc>
        <w:tc>
          <w:tcPr>
            <w:tcW w:w="3944" w:type="dxa"/>
            <w:tcBorders>
              <w:top w:val="nil"/>
              <w:left w:val="nil"/>
              <w:bottom w:val="nil"/>
              <w:right w:val="nil"/>
            </w:tcBorders>
          </w:tcPr>
          <w:p w14:paraId="1B46DCE6"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p>
        </w:tc>
      </w:tr>
    </w:tbl>
    <w:p w14:paraId="5A65024B" w14:textId="77777777" w:rsidR="002559AD" w:rsidRDefault="00D84719" w:rsidP="00475AE9">
      <w:pPr>
        <w:pStyle w:val="Naslov1"/>
      </w:pPr>
      <w:bookmarkStart w:id="3" w:name="_Toc41638212"/>
      <w:bookmarkStart w:id="4" w:name="_Toc64460658"/>
      <w:bookmarkEnd w:id="2"/>
      <w:r w:rsidRPr="002559AD">
        <w:lastRenderedPageBreak/>
        <w:t>OSNOVNE INFORMACIJE O DRŽAVI</w:t>
      </w:r>
      <w:bookmarkStart w:id="5" w:name="_Toc41638213"/>
      <w:bookmarkEnd w:id="3"/>
      <w:bookmarkEnd w:id="4"/>
    </w:p>
    <w:p w14:paraId="7015DA73" w14:textId="77777777" w:rsidR="00D84719" w:rsidRPr="002559AD" w:rsidRDefault="00D84719" w:rsidP="002559AD">
      <w:pPr>
        <w:pStyle w:val="Naslov2"/>
      </w:pPr>
      <w:bookmarkStart w:id="6" w:name="_Toc64460659"/>
      <w:r w:rsidRPr="002559AD">
        <w:t>Profil države</w:t>
      </w:r>
      <w:bookmarkEnd w:id="5"/>
      <w:bookmarkEnd w:id="6"/>
      <w:r w:rsidR="00612979">
        <w:t xml:space="preserve"> </w:t>
      </w:r>
    </w:p>
    <w:p w14:paraId="116A5A80" w14:textId="77777777" w:rsidR="00D84719" w:rsidRPr="00D84719" w:rsidRDefault="00D84719" w:rsidP="002559AD">
      <w:pPr>
        <w:pStyle w:val="Naslov3"/>
      </w:pPr>
      <w:bookmarkStart w:id="7" w:name="_Toc41638214"/>
      <w:bookmarkStart w:id="8" w:name="_Toc64460660"/>
      <w:r w:rsidRPr="00D84719">
        <w:t>ZEMLJOPISNI POLOŽAJ I STANOVNIŠTVO</w:t>
      </w:r>
      <w:bookmarkEnd w:id="7"/>
      <w:bookmarkEnd w:id="8"/>
    </w:p>
    <w:p w14:paraId="381EA98E"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Republika Hrvatska je jadranska i srednjoeuropska zemlja. Površina kopna iznosi 56.594 km</w:t>
      </w:r>
      <w:r w:rsidRPr="00D84719">
        <w:rPr>
          <w:rFonts w:ascii="Times New Roman" w:eastAsia="Times New Roman" w:hAnsi="Times New Roman" w:cs="Times New Roman"/>
          <w:color w:val="000000"/>
          <w:sz w:val="24"/>
          <w:szCs w:val="24"/>
          <w:vertAlign w:val="superscript"/>
          <w:lang w:bidi="en-US"/>
        </w:rPr>
        <w:t>2</w:t>
      </w:r>
      <w:r w:rsidRPr="00D84719">
        <w:rPr>
          <w:rFonts w:ascii="Times New Roman" w:eastAsia="Times New Roman" w:hAnsi="Times New Roman" w:cs="Times New Roman"/>
          <w:color w:val="000000"/>
          <w:sz w:val="24"/>
          <w:szCs w:val="24"/>
          <w:lang w:bidi="en-US"/>
        </w:rPr>
        <w:t xml:space="preserve">, a pripadajućeg obalnog mora oko </w:t>
      </w:r>
      <w:r w:rsidR="00886F10" w:rsidRPr="00886F10">
        <w:rPr>
          <w:rFonts w:ascii="Times New Roman" w:eastAsia="Times New Roman" w:hAnsi="Times New Roman" w:cs="Times New Roman"/>
          <w:color w:val="000000"/>
          <w:sz w:val="24"/>
          <w:szCs w:val="24"/>
          <w:lang w:bidi="en-US"/>
        </w:rPr>
        <w:t>31</w:t>
      </w:r>
      <w:r w:rsidR="00886F10">
        <w:rPr>
          <w:rFonts w:ascii="Times New Roman" w:eastAsia="Times New Roman" w:hAnsi="Times New Roman" w:cs="Times New Roman"/>
          <w:color w:val="000000"/>
          <w:sz w:val="24"/>
          <w:szCs w:val="24"/>
          <w:lang w:bidi="en-US"/>
        </w:rPr>
        <w:t>.</w:t>
      </w:r>
      <w:r w:rsidR="00886F10" w:rsidRPr="00886F10">
        <w:rPr>
          <w:rFonts w:ascii="Times New Roman" w:eastAsia="Times New Roman" w:hAnsi="Times New Roman" w:cs="Times New Roman"/>
          <w:color w:val="000000"/>
          <w:sz w:val="24"/>
          <w:szCs w:val="24"/>
          <w:lang w:bidi="en-US"/>
        </w:rPr>
        <w:t>479</w:t>
      </w:r>
      <w:r w:rsidRPr="00D84719">
        <w:rPr>
          <w:rFonts w:ascii="Times New Roman" w:eastAsia="Times New Roman" w:hAnsi="Times New Roman" w:cs="Times New Roman"/>
          <w:color w:val="000000"/>
          <w:sz w:val="24"/>
          <w:szCs w:val="24"/>
          <w:lang w:bidi="en-US"/>
        </w:rPr>
        <w:t xml:space="preserve"> km</w:t>
      </w:r>
      <w:r w:rsidRPr="00D84719">
        <w:rPr>
          <w:rFonts w:ascii="Times New Roman" w:eastAsia="Times New Roman" w:hAnsi="Times New Roman" w:cs="Times New Roman"/>
          <w:color w:val="000000"/>
          <w:sz w:val="24"/>
          <w:szCs w:val="24"/>
          <w:vertAlign w:val="superscript"/>
          <w:lang w:bidi="en-US"/>
        </w:rPr>
        <w:t>2</w:t>
      </w:r>
      <w:r w:rsidR="006F6BD3">
        <w:rPr>
          <w:rFonts w:ascii="Times New Roman" w:eastAsia="Times New Roman" w:hAnsi="Times New Roman" w:cs="Times New Roman"/>
          <w:color w:val="000000"/>
          <w:sz w:val="24"/>
          <w:szCs w:val="24"/>
          <w:lang w:bidi="en-US"/>
        </w:rPr>
        <w:t xml:space="preserve"> </w:t>
      </w:r>
      <w:r w:rsidR="006F6BD3" w:rsidRPr="00D84719">
        <w:rPr>
          <w:rFonts w:ascii="Times New Roman" w:eastAsia="Times New Roman" w:hAnsi="Times New Roman" w:cs="Times New Roman"/>
          <w:sz w:val="24"/>
          <w:szCs w:val="24"/>
          <w:lang w:bidi="en-US"/>
        </w:rPr>
        <w:t xml:space="preserve">(Izvor: </w:t>
      </w:r>
      <w:r w:rsidR="006F6BD3" w:rsidRPr="006F6BD3">
        <w:rPr>
          <w:rFonts w:ascii="Times New Roman" w:eastAsia="Times New Roman" w:hAnsi="Times New Roman" w:cs="Times New Roman"/>
          <w:sz w:val="24"/>
          <w:szCs w:val="24"/>
          <w:lang w:bidi="en-US"/>
        </w:rPr>
        <w:t>Statističk</w:t>
      </w:r>
      <w:r w:rsidR="006F6BD3">
        <w:rPr>
          <w:rFonts w:ascii="Times New Roman" w:eastAsia="Times New Roman" w:hAnsi="Times New Roman" w:cs="Times New Roman"/>
          <w:sz w:val="24"/>
          <w:szCs w:val="24"/>
          <w:lang w:bidi="en-US"/>
        </w:rPr>
        <w:t>i</w:t>
      </w:r>
      <w:r w:rsidR="006F6BD3" w:rsidRPr="006F6BD3">
        <w:rPr>
          <w:rFonts w:ascii="Times New Roman" w:eastAsia="Times New Roman" w:hAnsi="Times New Roman" w:cs="Times New Roman"/>
          <w:sz w:val="24"/>
          <w:szCs w:val="24"/>
          <w:lang w:bidi="en-US"/>
        </w:rPr>
        <w:t xml:space="preserve"> ljetopis Republike Hrvatske 2018.</w:t>
      </w:r>
      <w:r w:rsidR="006F6BD3">
        <w:rPr>
          <w:rFonts w:ascii="Times New Roman" w:eastAsia="Times New Roman" w:hAnsi="Times New Roman" w:cs="Times New Roman"/>
          <w:sz w:val="24"/>
          <w:szCs w:val="24"/>
        </w:rPr>
        <w:t xml:space="preserve">, </w:t>
      </w:r>
      <w:r w:rsidR="006F6BD3" w:rsidRPr="00D84719">
        <w:rPr>
          <w:rFonts w:ascii="Times New Roman" w:eastAsia="Times New Roman" w:hAnsi="Times New Roman" w:cs="Times New Roman"/>
          <w:sz w:val="24"/>
          <w:szCs w:val="24"/>
        </w:rPr>
        <w:t>DZS</w:t>
      </w:r>
      <w:r w:rsidR="006F6BD3" w:rsidRPr="00D84719">
        <w:rPr>
          <w:rFonts w:ascii="Times New Roman" w:eastAsia="Times New Roman" w:hAnsi="Times New Roman" w:cs="Times New Roman"/>
          <w:sz w:val="24"/>
          <w:szCs w:val="24"/>
          <w:lang w:bidi="en-US"/>
        </w:rPr>
        <w:t>)</w:t>
      </w:r>
      <w:r w:rsidRPr="00D84719">
        <w:rPr>
          <w:rFonts w:ascii="Times New Roman" w:eastAsia="Times New Roman" w:hAnsi="Times New Roman" w:cs="Times New Roman"/>
          <w:color w:val="000000"/>
          <w:sz w:val="24"/>
          <w:szCs w:val="24"/>
          <w:lang w:bidi="en-US"/>
        </w:rPr>
        <w:t>. Kroz Republiku Hrvatsku prolaze mnoge međunarodno važne prometnice. Važnost zemljopisnog položaja države povećava Jadransko more kao dio Sredozemnog mora koji prodire najdublje i najsjevernije prema srednjem dijelu europskog kontinenta. Od prometnih pravaca najvažniji su posavski i jadranski, zatim podravski i više poprečnih od austrijske i mađarske granice prema Jadranu (Rijeci i Splitu).</w:t>
      </w:r>
    </w:p>
    <w:p w14:paraId="0B5B8A40"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Prostor Republike Hrvatske dijeli se na tri velike prirodno-zemljopisne cjeline:</w:t>
      </w:r>
    </w:p>
    <w:p w14:paraId="51D36EAC" w14:textId="77777777" w:rsidR="00D84719" w:rsidRPr="00D84719" w:rsidRDefault="00D84719" w:rsidP="00F61CE7">
      <w:pPr>
        <w:numPr>
          <w:ilvl w:val="0"/>
          <w:numId w:val="11"/>
        </w:numPr>
        <w:tabs>
          <w:tab w:val="left" w:pos="1755"/>
        </w:tabs>
        <w:autoSpaceDE w:val="0"/>
        <w:autoSpaceDN w:val="0"/>
        <w:adjustRightInd w:val="0"/>
        <w:spacing w:before="80" w:after="0" w:line="240" w:lineRule="auto"/>
        <w:jc w:val="both"/>
        <w:rPr>
          <w:rFonts w:ascii="Times New Roman" w:eastAsia="Calibri" w:hAnsi="Times New Roman" w:cs="Times New Roman"/>
          <w:sz w:val="24"/>
          <w:szCs w:val="24"/>
          <w:lang w:bidi="en-US"/>
        </w:rPr>
      </w:pPr>
      <w:r w:rsidRPr="00D84719">
        <w:rPr>
          <w:rFonts w:ascii="Times New Roman" w:eastAsia="Calibri" w:hAnsi="Times New Roman" w:cs="Times New Roman"/>
          <w:sz w:val="24"/>
          <w:szCs w:val="24"/>
          <w:lang w:bidi="en-US"/>
        </w:rPr>
        <w:t>panonski i peripanonski prostor obuhvaća nizinske i brežuljkaste dijelove istočne i sjeverozapadne Hrvatske. Najveći dio površine iskorištava se za ratarsku i stočarsku proizvodnju. Slavonija i Baranja na istoku najpogodnije su za uzgoj žitarica, vlažne doline i brdski predjeli bogati su šumom, dok je sjeverozapadni dio, koji izrazito gravitira prema Gradu Zagrebu, industrijski je najrazvijeniji</w:t>
      </w:r>
    </w:p>
    <w:p w14:paraId="3749A9E1" w14:textId="77777777" w:rsidR="00D84719" w:rsidRPr="00D84719" w:rsidRDefault="00D84719" w:rsidP="00F61CE7">
      <w:pPr>
        <w:numPr>
          <w:ilvl w:val="0"/>
          <w:numId w:val="11"/>
        </w:numPr>
        <w:tabs>
          <w:tab w:val="left" w:pos="1755"/>
        </w:tabs>
        <w:autoSpaceDE w:val="0"/>
        <w:autoSpaceDN w:val="0"/>
        <w:adjustRightInd w:val="0"/>
        <w:spacing w:before="80" w:after="0" w:line="240" w:lineRule="auto"/>
        <w:jc w:val="both"/>
        <w:rPr>
          <w:rFonts w:ascii="Times New Roman" w:eastAsia="Calibri" w:hAnsi="Times New Roman" w:cs="Times New Roman"/>
          <w:sz w:val="24"/>
          <w:szCs w:val="24"/>
          <w:lang w:bidi="en-US"/>
        </w:rPr>
      </w:pPr>
      <w:r w:rsidRPr="00D84719">
        <w:rPr>
          <w:rFonts w:ascii="Times New Roman" w:eastAsia="Calibri" w:hAnsi="Times New Roman" w:cs="Times New Roman"/>
          <w:sz w:val="24"/>
          <w:szCs w:val="24"/>
          <w:lang w:bidi="en-US"/>
        </w:rPr>
        <w:t>brdsko-planinski prostor, koji uglavnom dijeli panonsku Hrvatsku od njezina primorskog dijela, slabije je razvijen kraj. Njegov će se budući razvoj temeljiti na prometnoj važnosti, daljem razvoju drvne industrije, na još nedostatno iskorištenim mogućnostima proizvodnje zdrave hrane te na razvoju zimskog i seoskog turizma</w:t>
      </w:r>
    </w:p>
    <w:p w14:paraId="2006FE13" w14:textId="77777777" w:rsidR="00D84719" w:rsidRPr="00D84719" w:rsidRDefault="00D84719" w:rsidP="00F61CE7">
      <w:pPr>
        <w:numPr>
          <w:ilvl w:val="0"/>
          <w:numId w:val="11"/>
        </w:numPr>
        <w:tabs>
          <w:tab w:val="left" w:pos="1755"/>
        </w:tabs>
        <w:autoSpaceDE w:val="0"/>
        <w:autoSpaceDN w:val="0"/>
        <w:adjustRightInd w:val="0"/>
        <w:spacing w:before="80" w:after="0" w:line="240" w:lineRule="auto"/>
        <w:jc w:val="both"/>
        <w:rPr>
          <w:rFonts w:ascii="Times New Roman" w:eastAsia="Calibri" w:hAnsi="Times New Roman" w:cs="Times New Roman"/>
          <w:sz w:val="24"/>
          <w:szCs w:val="24"/>
          <w:lang w:bidi="en-US"/>
        </w:rPr>
      </w:pPr>
      <w:r w:rsidRPr="00D84719">
        <w:rPr>
          <w:rFonts w:ascii="Times New Roman" w:eastAsia="Calibri" w:hAnsi="Times New Roman" w:cs="Times New Roman"/>
          <w:sz w:val="24"/>
          <w:szCs w:val="24"/>
          <w:lang w:bidi="en-US"/>
        </w:rPr>
        <w:t>jadranski prostor obuhvaća uzak rubni primorski pojas, odijeljen od zaleđa visokim planinama. To je pretežno krški prostor s izrazito suhim ljetima. Malobrojni vodotoci najčešće se uskim sutjeskama probijaju prema moru. Hrvatsko primorje dijeli se na sjeverni (Istra i Kvarner) i južni dio (Dalmacija), s dobro izraženom uzdužnom podjelom na otočni, obalni i zagorski pojas. Hrvatska jadranska obala jedna je od najrazvedenijih u Europi: ima 1.185 otoka, otočića i hridi. Najveći je otok Krk (410 km</w:t>
      </w:r>
      <w:r w:rsidRPr="00D84719">
        <w:rPr>
          <w:rFonts w:ascii="Times New Roman" w:eastAsia="Calibri" w:hAnsi="Times New Roman" w:cs="Times New Roman"/>
          <w:sz w:val="24"/>
          <w:szCs w:val="24"/>
          <w:vertAlign w:val="superscript"/>
          <w:lang w:bidi="en-US"/>
        </w:rPr>
        <w:t>2</w:t>
      </w:r>
      <w:r w:rsidRPr="00D84719">
        <w:rPr>
          <w:rFonts w:ascii="Times New Roman" w:eastAsia="Calibri" w:hAnsi="Times New Roman" w:cs="Times New Roman"/>
          <w:sz w:val="24"/>
          <w:szCs w:val="24"/>
          <w:lang w:bidi="en-US"/>
        </w:rPr>
        <w:t xml:space="preserve">), </w:t>
      </w:r>
      <w:r w:rsidRPr="00D84719">
        <w:rPr>
          <w:rFonts w:ascii="Times New Roman" w:eastAsia="Calibri" w:hAnsi="Times New Roman" w:cs="Times New Roman"/>
          <w:sz w:val="24"/>
          <w:szCs w:val="24"/>
        </w:rPr>
        <w:t>dok se svojom</w:t>
      </w:r>
      <w:r w:rsidRPr="00D84719">
        <w:rPr>
          <w:rFonts w:ascii="Times New Roman" w:eastAsia="Calibri" w:hAnsi="Times New Roman" w:cs="Times New Roman"/>
          <w:sz w:val="24"/>
          <w:szCs w:val="24"/>
          <w:lang w:bidi="en-US"/>
        </w:rPr>
        <w:t xml:space="preserve"> veličinom ističu i Cres (404 km</w:t>
      </w:r>
      <w:r w:rsidRPr="00D84719">
        <w:rPr>
          <w:rFonts w:ascii="Times New Roman" w:eastAsia="Calibri" w:hAnsi="Times New Roman" w:cs="Times New Roman"/>
          <w:sz w:val="24"/>
          <w:szCs w:val="24"/>
          <w:vertAlign w:val="superscript"/>
          <w:lang w:bidi="en-US"/>
        </w:rPr>
        <w:t>2</w:t>
      </w:r>
      <w:r w:rsidRPr="00D84719">
        <w:rPr>
          <w:rFonts w:ascii="Times New Roman" w:eastAsia="Calibri" w:hAnsi="Times New Roman" w:cs="Times New Roman"/>
          <w:sz w:val="24"/>
          <w:szCs w:val="24"/>
          <w:lang w:bidi="en-US"/>
        </w:rPr>
        <w:t>), Brač (395 km</w:t>
      </w:r>
      <w:r w:rsidRPr="00D84719">
        <w:rPr>
          <w:rFonts w:ascii="Times New Roman" w:eastAsia="Calibri" w:hAnsi="Times New Roman" w:cs="Times New Roman"/>
          <w:sz w:val="24"/>
          <w:szCs w:val="24"/>
          <w:vertAlign w:val="superscript"/>
          <w:lang w:bidi="en-US"/>
        </w:rPr>
        <w:t>2</w:t>
      </w:r>
      <w:r w:rsidRPr="00D84719">
        <w:rPr>
          <w:rFonts w:ascii="Times New Roman" w:eastAsia="Calibri" w:hAnsi="Times New Roman" w:cs="Times New Roman"/>
          <w:sz w:val="24"/>
          <w:szCs w:val="24"/>
          <w:lang w:bidi="en-US"/>
        </w:rPr>
        <w:t>), Hvar (300 km</w:t>
      </w:r>
      <w:r w:rsidRPr="00D84719">
        <w:rPr>
          <w:rFonts w:ascii="Times New Roman" w:eastAsia="Calibri" w:hAnsi="Times New Roman" w:cs="Times New Roman"/>
          <w:sz w:val="24"/>
          <w:szCs w:val="24"/>
          <w:vertAlign w:val="superscript"/>
          <w:lang w:bidi="en-US"/>
        </w:rPr>
        <w:t>2</w:t>
      </w:r>
      <w:r w:rsidRPr="00D84719">
        <w:rPr>
          <w:rFonts w:ascii="Times New Roman" w:eastAsia="Calibri" w:hAnsi="Times New Roman" w:cs="Times New Roman"/>
          <w:sz w:val="24"/>
          <w:szCs w:val="24"/>
          <w:lang w:bidi="en-US"/>
        </w:rPr>
        <w:t>), Pag (285 km</w:t>
      </w:r>
      <w:r w:rsidRPr="00D84719">
        <w:rPr>
          <w:rFonts w:ascii="Times New Roman" w:eastAsia="Calibri" w:hAnsi="Times New Roman" w:cs="Times New Roman"/>
          <w:sz w:val="24"/>
          <w:szCs w:val="24"/>
          <w:vertAlign w:val="superscript"/>
          <w:lang w:bidi="en-US"/>
        </w:rPr>
        <w:t>2</w:t>
      </w:r>
      <w:r w:rsidRPr="00D84719">
        <w:rPr>
          <w:rFonts w:ascii="Times New Roman" w:eastAsia="Calibri" w:hAnsi="Times New Roman" w:cs="Times New Roman"/>
          <w:sz w:val="24"/>
          <w:szCs w:val="24"/>
          <w:lang w:bidi="en-US"/>
        </w:rPr>
        <w:t>) i Korčula (276 km</w:t>
      </w:r>
      <w:r w:rsidRPr="00D84719">
        <w:rPr>
          <w:rFonts w:ascii="Times New Roman" w:eastAsia="Calibri" w:hAnsi="Times New Roman" w:cs="Times New Roman"/>
          <w:sz w:val="24"/>
          <w:szCs w:val="24"/>
          <w:vertAlign w:val="superscript"/>
          <w:lang w:bidi="en-US"/>
        </w:rPr>
        <w:t>2</w:t>
      </w:r>
      <w:r w:rsidRPr="00D84719">
        <w:rPr>
          <w:rFonts w:ascii="Times New Roman" w:eastAsia="Calibri" w:hAnsi="Times New Roman" w:cs="Times New Roman"/>
          <w:sz w:val="24"/>
          <w:szCs w:val="24"/>
          <w:lang w:bidi="en-US"/>
        </w:rPr>
        <w:t>). Najveći su poluotoci Istra i Pelješac, a od zaljeva veličinom prednjači kvarnerski akvatorij.</w:t>
      </w:r>
    </w:p>
    <w:p w14:paraId="474DD081" w14:textId="2A4F4419" w:rsidR="00D84719" w:rsidRPr="00D84719" w:rsidRDefault="00D84719" w:rsidP="00D84719">
      <w:pPr>
        <w:spacing w:before="80" w:line="276" w:lineRule="auto"/>
        <w:jc w:val="both"/>
        <w:rPr>
          <w:rFonts w:ascii="Times New Roman" w:eastAsia="Times New Roman" w:hAnsi="Times New Roman" w:cs="Times New Roman"/>
          <w:sz w:val="24"/>
          <w:szCs w:val="24"/>
          <w:lang w:bidi="en-US"/>
        </w:rPr>
      </w:pPr>
      <w:r w:rsidRPr="00D84719">
        <w:rPr>
          <w:rFonts w:ascii="Times New Roman" w:eastAsia="Times New Roman" w:hAnsi="Times New Roman" w:cs="Times New Roman"/>
          <w:color w:val="000000"/>
          <w:sz w:val="24"/>
          <w:szCs w:val="24"/>
          <w:lang w:bidi="en-US"/>
        </w:rPr>
        <w:t>Prema posljednjem popisu stanovništva iz 2011</w:t>
      </w:r>
      <w:r w:rsidR="004C449C">
        <w:rPr>
          <w:rFonts w:ascii="Times New Roman" w:eastAsia="Times New Roman" w:hAnsi="Times New Roman" w:cs="Times New Roman"/>
          <w:color w:val="000000"/>
          <w:sz w:val="24"/>
          <w:szCs w:val="24"/>
          <w:lang w:bidi="en-US"/>
        </w:rPr>
        <w:t>.</w:t>
      </w:r>
      <w:r w:rsidRPr="00D84719">
        <w:rPr>
          <w:rFonts w:ascii="Times New Roman" w:eastAsia="Times New Roman" w:hAnsi="Times New Roman" w:cs="Times New Roman"/>
          <w:color w:val="000000"/>
          <w:sz w:val="24"/>
          <w:szCs w:val="24"/>
          <w:lang w:bidi="en-US"/>
        </w:rPr>
        <w:t xml:space="preserve">, na prostoru Republike Hrvatske registrirano je 4.284.889 stanovnika. </w:t>
      </w:r>
      <w:r w:rsidRPr="00D84719">
        <w:rPr>
          <w:rFonts w:ascii="Times New Roman" w:eastAsia="Times New Roman" w:hAnsi="Times New Roman" w:cs="Times New Roman"/>
          <w:sz w:val="24"/>
          <w:szCs w:val="24"/>
          <w:lang w:bidi="en-US"/>
        </w:rPr>
        <w:t>Najveći i ujedno glavni grad je Zagreb s 790.</w:t>
      </w:r>
      <w:r w:rsidR="002276C7" w:rsidRPr="00D84719">
        <w:rPr>
          <w:rFonts w:ascii="Times New Roman" w:eastAsia="Times New Roman" w:hAnsi="Times New Roman" w:cs="Times New Roman"/>
          <w:sz w:val="24"/>
          <w:szCs w:val="24"/>
          <w:lang w:bidi="en-US"/>
        </w:rPr>
        <w:t>0</w:t>
      </w:r>
      <w:r w:rsidR="002276C7">
        <w:rPr>
          <w:rFonts w:ascii="Times New Roman" w:eastAsia="Times New Roman" w:hAnsi="Times New Roman" w:cs="Times New Roman"/>
          <w:sz w:val="24"/>
          <w:szCs w:val="24"/>
          <w:lang w:bidi="en-US"/>
        </w:rPr>
        <w:t>17</w:t>
      </w:r>
      <w:r w:rsidR="002276C7" w:rsidRPr="00D84719">
        <w:rPr>
          <w:rFonts w:ascii="Times New Roman" w:eastAsia="Times New Roman" w:hAnsi="Times New Roman" w:cs="Times New Roman"/>
          <w:sz w:val="24"/>
          <w:szCs w:val="24"/>
          <w:lang w:bidi="en-US"/>
        </w:rPr>
        <w:t xml:space="preserve"> </w:t>
      </w:r>
      <w:r w:rsidRPr="00D84719">
        <w:rPr>
          <w:rFonts w:ascii="Times New Roman" w:eastAsia="Times New Roman" w:hAnsi="Times New Roman" w:cs="Times New Roman"/>
          <w:sz w:val="24"/>
          <w:szCs w:val="24"/>
          <w:lang w:bidi="en-US"/>
        </w:rPr>
        <w:t xml:space="preserve">stanovnika, a u još tri grada: Splitu, Rijeci i Osijeku nastanjeno je ukupno više od 400.000 stanovnika (Izvor: Popis stanovništva </w:t>
      </w:r>
      <w:r w:rsidRPr="00D84719">
        <w:rPr>
          <w:rFonts w:ascii="Times New Roman" w:eastAsia="Times New Roman" w:hAnsi="Times New Roman" w:cs="Times New Roman"/>
          <w:sz w:val="24"/>
          <w:szCs w:val="24"/>
        </w:rPr>
        <w:t>2011</w:t>
      </w:r>
      <w:r w:rsidR="004C449C">
        <w:rPr>
          <w:rFonts w:ascii="Times New Roman" w:eastAsia="Times New Roman" w:hAnsi="Times New Roman" w:cs="Times New Roman"/>
          <w:sz w:val="24"/>
          <w:szCs w:val="24"/>
        </w:rPr>
        <w:t>.</w:t>
      </w:r>
      <w:r w:rsidRPr="00D84719">
        <w:rPr>
          <w:rFonts w:ascii="Times New Roman" w:eastAsia="Times New Roman" w:hAnsi="Times New Roman" w:cs="Times New Roman"/>
          <w:sz w:val="24"/>
          <w:szCs w:val="24"/>
        </w:rPr>
        <w:t>, DZS</w:t>
      </w:r>
      <w:r w:rsidRPr="00D84719">
        <w:rPr>
          <w:rFonts w:ascii="Times New Roman" w:eastAsia="Times New Roman" w:hAnsi="Times New Roman" w:cs="Times New Roman"/>
          <w:sz w:val="24"/>
          <w:szCs w:val="24"/>
          <w:lang w:bidi="en-US"/>
        </w:rPr>
        <w:t>).</w:t>
      </w:r>
    </w:p>
    <w:p w14:paraId="0F44C826" w14:textId="77777777" w:rsidR="00D84719" w:rsidRPr="00D84719" w:rsidRDefault="00D84719" w:rsidP="00D84719">
      <w:pPr>
        <w:spacing w:before="80" w:line="276" w:lineRule="auto"/>
        <w:jc w:val="both"/>
        <w:rPr>
          <w:rFonts w:ascii="Times New Roman" w:eastAsia="Times New Roman" w:hAnsi="Times New Roman" w:cs="Times New Roman"/>
          <w:szCs w:val="24"/>
          <w:lang w:bidi="en-US"/>
        </w:rPr>
      </w:pPr>
    </w:p>
    <w:p w14:paraId="5CBF00C4" w14:textId="77777777" w:rsidR="00D84719" w:rsidRPr="00D84719" w:rsidRDefault="00D84719" w:rsidP="002559AD">
      <w:pPr>
        <w:pStyle w:val="Naslov3"/>
      </w:pPr>
      <w:bookmarkStart w:id="9" w:name="_Toc41638215"/>
      <w:bookmarkStart w:id="10" w:name="_Toc64460661"/>
      <w:r w:rsidRPr="00D84719">
        <w:t>DRUŠTVENO POLITIČKO USTROJSTVO</w:t>
      </w:r>
      <w:bookmarkEnd w:id="9"/>
      <w:bookmarkEnd w:id="10"/>
    </w:p>
    <w:p w14:paraId="268D4A6D" w14:textId="56B50A88" w:rsidR="00D84719" w:rsidRPr="00D84719" w:rsidRDefault="00D84719" w:rsidP="00D84719">
      <w:pPr>
        <w:spacing w:before="80" w:line="276" w:lineRule="auto"/>
        <w:jc w:val="both"/>
        <w:rPr>
          <w:rFonts w:ascii="Times New Roman" w:eastAsia="Times New Roman" w:hAnsi="Times New Roman" w:cs="Times New Roman"/>
          <w:sz w:val="24"/>
          <w:szCs w:val="24"/>
          <w:lang w:bidi="en-US"/>
        </w:rPr>
      </w:pPr>
      <w:r w:rsidRPr="00D84719">
        <w:rPr>
          <w:rFonts w:ascii="Times New Roman" w:eastAsia="Times New Roman" w:hAnsi="Times New Roman" w:cs="Times New Roman"/>
          <w:sz w:val="24"/>
          <w:szCs w:val="24"/>
          <w:lang w:bidi="en-US"/>
        </w:rPr>
        <w:t xml:space="preserve">Republika Hrvatska postala je neovisna država </w:t>
      </w:r>
      <w:r w:rsidR="0048367C">
        <w:rPr>
          <w:rFonts w:ascii="Times New Roman" w:eastAsia="Times New Roman" w:hAnsi="Times New Roman" w:cs="Times New Roman"/>
          <w:sz w:val="24"/>
          <w:szCs w:val="24"/>
          <w:lang w:bidi="en-US"/>
        </w:rPr>
        <w:t xml:space="preserve">25. lipnja </w:t>
      </w:r>
      <w:r w:rsidRPr="00D84719">
        <w:rPr>
          <w:rFonts w:ascii="Times New Roman" w:eastAsia="Times New Roman" w:hAnsi="Times New Roman" w:cs="Times New Roman"/>
          <w:sz w:val="24"/>
          <w:szCs w:val="24"/>
          <w:lang w:bidi="en-US"/>
        </w:rPr>
        <w:t>1991</w:t>
      </w:r>
      <w:r w:rsidR="004C449C">
        <w:rPr>
          <w:rFonts w:ascii="Times New Roman" w:eastAsia="Times New Roman" w:hAnsi="Times New Roman" w:cs="Times New Roman"/>
          <w:sz w:val="24"/>
          <w:szCs w:val="24"/>
          <w:lang w:bidi="en-US"/>
        </w:rPr>
        <w:t>.</w:t>
      </w:r>
      <w:r w:rsidRPr="00D84719">
        <w:rPr>
          <w:rFonts w:ascii="Times New Roman" w:eastAsia="Times New Roman" w:hAnsi="Times New Roman" w:cs="Times New Roman"/>
          <w:sz w:val="24"/>
          <w:szCs w:val="24"/>
          <w:lang w:bidi="en-US"/>
        </w:rPr>
        <w:t>. Prema Ustavu Republike Hrvatske („Narodne novine“, br. 56/90, 135/97, 8/98,113/00, 124/00, 28/01, 41/01, 55/01, 76/10, 85/10 i 5/14) Republika Hrvatska jedinstvena je i nedjeljiva demokratska i socijalna država.</w:t>
      </w:r>
    </w:p>
    <w:p w14:paraId="156D0EAB"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sz w:val="24"/>
          <w:szCs w:val="24"/>
          <w:lang w:bidi="en-US"/>
        </w:rPr>
        <w:t>Članicom Ujedinjenih naroda Republika Hrvatska postala je 22. svibnja 1992</w:t>
      </w:r>
      <w:r w:rsidRPr="00D84719">
        <w:rPr>
          <w:rFonts w:ascii="Times New Roman" w:eastAsia="Times New Roman" w:hAnsi="Times New Roman" w:cs="Times New Roman"/>
          <w:color w:val="000000"/>
          <w:sz w:val="24"/>
          <w:szCs w:val="24"/>
          <w:lang w:bidi="en-US"/>
        </w:rPr>
        <w:t>..</w:t>
      </w:r>
    </w:p>
    <w:p w14:paraId="13D86C26"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lastRenderedPageBreak/>
        <w:t>Od 1. srpnja</w:t>
      </w:r>
      <w:r w:rsidR="001B5C46">
        <w:rPr>
          <w:rFonts w:ascii="Times New Roman" w:eastAsia="Times New Roman" w:hAnsi="Times New Roman" w:cs="Times New Roman"/>
          <w:color w:val="000000"/>
          <w:sz w:val="24"/>
          <w:szCs w:val="24"/>
          <w:lang w:bidi="en-US"/>
        </w:rPr>
        <w:t xml:space="preserve"> 20</w:t>
      </w:r>
      <w:r w:rsidRPr="00D84719">
        <w:rPr>
          <w:rFonts w:ascii="Times New Roman" w:eastAsia="Times New Roman" w:hAnsi="Times New Roman" w:cs="Times New Roman"/>
          <w:color w:val="000000"/>
          <w:sz w:val="24"/>
          <w:szCs w:val="24"/>
          <w:lang w:bidi="en-US"/>
        </w:rPr>
        <w:t>13. Republika Hrvatska postala je punopravna članica Europske unije sa svim pravima i obvezama koje iz tog članstva proizlaze, a pojedine su ovlasti prenesene institucijama Europske unije slijedom odredbi Ugovora o Europskoj uniji te Ugovora o funkcioniranju Europske unije kao i odredbi Ustava Republike Hrvatske iz glave VIII.</w:t>
      </w:r>
    </w:p>
    <w:p w14:paraId="70B99FDB"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U Republici Hrvatskoj državna je vlast ustrojena na načelu trodiobe vlasti na: zakonodavnu (Hrvatski sabor), izvršnu (Predsjednik Republike Hrvatske i Vlada Republike Hrvatske) i sudbenu. Načelo diobe vlasti uključuje oblike međusobne suradnje i uzajamne provjere nositelja vlasti propisane Ustavom i zakonima. U Republici Hrvatskoj zakoni moraju biti u suglasnosti s Ustavom, a ostali propisi i s Ustavom i sa zakonom. Svatko je dužan držati se Ustava i zakona i poštivati pravni poredak Republike Hrvatske.</w:t>
      </w:r>
    </w:p>
    <w:p w14:paraId="1C367B4A"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 xml:space="preserve">Hrvatski sabor je predstavničko tijelo građana i nositelj zakonodavne vlasti u Republici Hrvatskoj. Predsjednik Republike Hrvatske predstavlja i zastupa Republiku Hrvatsku u zemlji i inozemstvu, brine se za redovito i usklađeno djelovanje te za stabilnost državne vlasti. </w:t>
      </w:r>
    </w:p>
    <w:p w14:paraId="71247A8E"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Vlada Republike Hrvatske obavlja izvršnu vlast u skladu s Ustavom i pripadajućim zakonom.</w:t>
      </w:r>
    </w:p>
    <w:p w14:paraId="1F7E8E07"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 xml:space="preserve">Sudbenu vlast obavljaju sudovi. Sudovi sude na temelju Ustava i zakona. Vrhovni sud Republike Hrvatske, kao najviši sud, osigurava jedinstvenu primjenu zakona i ravnopravnost građana. </w:t>
      </w:r>
    </w:p>
    <w:p w14:paraId="551B6082" w14:textId="77777777" w:rsidR="00D84719" w:rsidRPr="00D84719" w:rsidRDefault="00D84719" w:rsidP="00D84719">
      <w:pPr>
        <w:spacing w:before="80" w:line="276" w:lineRule="auto"/>
        <w:jc w:val="both"/>
        <w:rPr>
          <w:rFonts w:ascii="Times New Roman" w:eastAsia="Times New Roman" w:hAnsi="Times New Roman" w:cs="Times New Roman"/>
          <w:sz w:val="24"/>
          <w:szCs w:val="24"/>
          <w:lang w:bidi="en-US"/>
        </w:rPr>
      </w:pPr>
      <w:r w:rsidRPr="00D84719">
        <w:rPr>
          <w:rFonts w:ascii="Times New Roman" w:eastAsia="Times New Roman" w:hAnsi="Times New Roman" w:cs="Times New Roman"/>
          <w:color w:val="000000"/>
          <w:sz w:val="24"/>
          <w:szCs w:val="24"/>
          <w:lang w:bidi="en-US"/>
        </w:rPr>
        <w:t xml:space="preserve">Jedinice lokalne samouprave u Republici Hrvatskoj su općine i gradovi, koje obavljaju poslove lokalnog </w:t>
      </w:r>
      <w:r w:rsidRPr="00D84719">
        <w:rPr>
          <w:rFonts w:ascii="Times New Roman" w:eastAsia="Times New Roman" w:hAnsi="Times New Roman" w:cs="Times New Roman"/>
          <w:sz w:val="24"/>
          <w:szCs w:val="24"/>
          <w:lang w:bidi="en-US"/>
        </w:rPr>
        <w:t>značaja, a koji nisu dodijeljeni tijelima državne uprave. Jedinice područne (regionalne) samouprave su županije (njih 2</w:t>
      </w:r>
      <w:r w:rsidR="005C6A75">
        <w:rPr>
          <w:rFonts w:ascii="Times New Roman" w:eastAsia="Times New Roman" w:hAnsi="Times New Roman" w:cs="Times New Roman"/>
          <w:sz w:val="24"/>
          <w:szCs w:val="24"/>
          <w:lang w:bidi="en-US"/>
        </w:rPr>
        <w:t>0</w:t>
      </w:r>
      <w:r w:rsidRPr="00D84719">
        <w:rPr>
          <w:rFonts w:ascii="Times New Roman" w:eastAsia="Times New Roman" w:hAnsi="Times New Roman" w:cs="Times New Roman"/>
          <w:sz w:val="24"/>
          <w:szCs w:val="24"/>
          <w:lang w:bidi="en-US"/>
        </w:rPr>
        <w:t>), koje obavljaju poslove od područnoga značaja</w:t>
      </w:r>
      <w:r w:rsidR="005C6A75">
        <w:rPr>
          <w:rFonts w:ascii="Times New Roman" w:eastAsia="Times New Roman" w:hAnsi="Times New Roman" w:cs="Times New Roman"/>
          <w:sz w:val="24"/>
          <w:szCs w:val="24"/>
          <w:lang w:bidi="en-US"/>
        </w:rPr>
        <w:t xml:space="preserve"> i </w:t>
      </w:r>
      <w:r w:rsidR="005C6A75" w:rsidRPr="005C6A75">
        <w:rPr>
          <w:rFonts w:ascii="Times New Roman" w:eastAsia="Times New Roman" w:hAnsi="Times New Roman" w:cs="Times New Roman"/>
          <w:sz w:val="24"/>
          <w:szCs w:val="24"/>
          <w:lang w:bidi="en-US"/>
        </w:rPr>
        <w:t>Grad Zagreb, koji ujedno ima i položaj županije, u okviru svoga samoupravnog djelokruga obavlja poslove iz djelokruga grada i djelokruga županije te druge poslove u skladu sa zakonom</w:t>
      </w:r>
      <w:r w:rsidRPr="00D84719">
        <w:rPr>
          <w:rFonts w:ascii="Times New Roman" w:eastAsia="Times New Roman" w:hAnsi="Times New Roman" w:cs="Times New Roman"/>
          <w:sz w:val="24"/>
          <w:szCs w:val="24"/>
          <w:lang w:bidi="en-US"/>
        </w:rPr>
        <w:t>.</w:t>
      </w:r>
    </w:p>
    <w:p w14:paraId="16523D63" w14:textId="77777777" w:rsidR="00D84719" w:rsidRPr="00D84719" w:rsidRDefault="00D84719" w:rsidP="00D84719">
      <w:pPr>
        <w:spacing w:before="80" w:line="276" w:lineRule="auto"/>
        <w:jc w:val="both"/>
        <w:rPr>
          <w:rFonts w:ascii="Times New Roman" w:eastAsia="Times New Roman" w:hAnsi="Times New Roman" w:cs="Times New Roman"/>
          <w:sz w:val="24"/>
          <w:szCs w:val="24"/>
          <w:lang w:bidi="en-US"/>
        </w:rPr>
      </w:pPr>
    </w:p>
    <w:p w14:paraId="6C09B07D" w14:textId="77777777" w:rsidR="00D84719" w:rsidRPr="00D84719" w:rsidRDefault="00D84719" w:rsidP="002559AD">
      <w:pPr>
        <w:pStyle w:val="Naslov3"/>
      </w:pPr>
      <w:bookmarkStart w:id="11" w:name="_Toc41638216"/>
      <w:bookmarkStart w:id="12" w:name="_Toc64460662"/>
      <w:r w:rsidRPr="00D84719">
        <w:t>GOSPODARSKI POKAZATELJI</w:t>
      </w:r>
      <w:bookmarkEnd w:id="11"/>
      <w:bookmarkEnd w:id="12"/>
    </w:p>
    <w:p w14:paraId="4AC4AE16" w14:textId="77777777" w:rsidR="00D84719" w:rsidRPr="00D84719" w:rsidRDefault="00D84719" w:rsidP="002559AD">
      <w:pPr>
        <w:pStyle w:val="Naslov4"/>
      </w:pPr>
      <w:bookmarkStart w:id="13" w:name="_Toc41638217"/>
      <w:bookmarkStart w:id="14" w:name="_Toc64460663"/>
      <w:r w:rsidRPr="00D84719">
        <w:t>Karakteristike gospodarskih sektora</w:t>
      </w:r>
      <w:bookmarkEnd w:id="13"/>
      <w:bookmarkEnd w:id="14"/>
    </w:p>
    <w:p w14:paraId="76575370" w14:textId="77777777" w:rsidR="00D84719" w:rsidRPr="00D84719" w:rsidRDefault="00D84719" w:rsidP="00D84719">
      <w:pPr>
        <w:spacing w:before="80" w:line="276" w:lineRule="auto"/>
        <w:jc w:val="both"/>
        <w:rPr>
          <w:rFonts w:ascii="Times New Roman" w:eastAsia="Times New Roman" w:hAnsi="Times New Roman" w:cs="Times New Roman"/>
          <w:b/>
          <w:bCs/>
          <w:i/>
          <w:color w:val="000000"/>
          <w:lang w:bidi="en-US"/>
        </w:rPr>
      </w:pPr>
      <w:r w:rsidRPr="00D84719">
        <w:rPr>
          <w:rFonts w:ascii="Times New Roman" w:eastAsia="Times New Roman" w:hAnsi="Times New Roman" w:cs="Times New Roman"/>
          <w:b/>
          <w:bCs/>
          <w:i/>
          <w:color w:val="000000"/>
          <w:lang w:bidi="en-US"/>
        </w:rPr>
        <w:t>Poljoprivreda, ribarstvo, šumarstvo i prehrambena industrija</w:t>
      </w:r>
    </w:p>
    <w:p w14:paraId="0F28DA8A"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U Republici Hrvatskoj razlikuju se tri zemljopisne i klimatske cjeline: ravnica na sjeveru s kontinentalnom klimom, sredozemno priobalje na jugu i planinski prostor u središnjem dijelu. Raznoliki tipovi klime, reljefa i tla omogućuju proizvodnju širokog asortimana poljoprivrednih proizvoda, od ratarskih i industrijskih usjeva, do vinograda te kontinentalnog i mediteranskog voća i povrća. Stočarstvo je na ovim prostorima oduvijek imalo veliku važnost, dok su ribarstvo i prerada ribe tradicionalno najvažnije poljoprivredne djelatnosti u priobalnom i otočnom dijelu Republike Hrvatske.</w:t>
      </w:r>
    </w:p>
    <w:p w14:paraId="2D549482" w14:textId="77777777" w:rsidR="00D84719" w:rsidRPr="00D84719" w:rsidRDefault="00D84719" w:rsidP="00D84719">
      <w:pPr>
        <w:spacing w:before="80" w:line="276" w:lineRule="auto"/>
        <w:jc w:val="both"/>
        <w:rPr>
          <w:rFonts w:ascii="Times New Roman" w:eastAsia="Times New Roman" w:hAnsi="Times New Roman" w:cs="Times New Roman"/>
          <w:b/>
          <w:bCs/>
          <w:i/>
          <w:color w:val="000000"/>
          <w:szCs w:val="24"/>
          <w:lang w:bidi="en-US"/>
        </w:rPr>
      </w:pPr>
      <w:r w:rsidRPr="00D84719">
        <w:rPr>
          <w:rFonts w:ascii="Times New Roman" w:eastAsia="Times New Roman" w:hAnsi="Times New Roman" w:cs="Times New Roman"/>
          <w:b/>
          <w:bCs/>
          <w:i/>
          <w:color w:val="000000"/>
          <w:szCs w:val="24"/>
          <w:lang w:bidi="en-US"/>
        </w:rPr>
        <w:t>Industrija, energetika i graditeljstvo</w:t>
      </w:r>
    </w:p>
    <w:p w14:paraId="20D217CB"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 xml:space="preserve">Industrijska proizvodnja u Republici Hrvatskoj zauzimala je do pojave recesije značajno mjesto u ukupnoj proizvodnji. Isticale su se prerađivačka i petrokemijska industrija te brodogradnja. </w:t>
      </w:r>
      <w:r w:rsidRPr="00D84719">
        <w:rPr>
          <w:rFonts w:ascii="Times New Roman" w:eastAsia="Times New Roman" w:hAnsi="Times New Roman" w:cs="Times New Roman"/>
          <w:color w:val="000000"/>
          <w:sz w:val="24"/>
          <w:szCs w:val="24"/>
          <w:lang w:bidi="en-US"/>
        </w:rPr>
        <w:lastRenderedPageBreak/>
        <w:t>Pojedina poduzeća ugašena su u procesu tranzicije ili su stradala u ratu i to ponajviše tvornice tekstilne, kožarske, metalne i drvne industrije.</w:t>
      </w:r>
    </w:p>
    <w:p w14:paraId="36E7950C" w14:textId="37EBA467" w:rsidR="00BC16BC" w:rsidRPr="00D84719" w:rsidRDefault="00D84719" w:rsidP="00D84719">
      <w:pPr>
        <w:spacing w:before="80" w:line="276" w:lineRule="auto"/>
        <w:jc w:val="both"/>
        <w:rPr>
          <w:rFonts w:ascii="Times New Roman" w:eastAsia="Times New Roman" w:hAnsi="Times New Roman" w:cs="Times New Roman"/>
          <w:sz w:val="24"/>
          <w:szCs w:val="24"/>
          <w:lang w:bidi="en-US"/>
        </w:rPr>
      </w:pPr>
      <w:r w:rsidRPr="00D84719">
        <w:rPr>
          <w:rFonts w:ascii="Times New Roman" w:eastAsia="Times New Roman" w:hAnsi="Times New Roman" w:cs="Times New Roman"/>
          <w:color w:val="000000"/>
          <w:sz w:val="24"/>
          <w:szCs w:val="24"/>
          <w:lang w:bidi="en-US"/>
        </w:rPr>
        <w:t>Značajna je bila proizvodnja i u građevinskom sektoru i energetici. Pojedine industrije ipak i dalje ostvaruju pozitivne rezultate i sudjeluju u vanjskoj trgovini. Prema ukupnom prihodu vodeće industrijske grane su proizvodnja hrane, pića i duhana, a slijede kemijska i naftna industrija te industrija minerala.</w:t>
      </w:r>
      <w:r w:rsidR="006515F5">
        <w:rPr>
          <w:rFonts w:ascii="Times New Roman" w:eastAsia="Times New Roman" w:hAnsi="Times New Roman" w:cs="Times New Roman"/>
          <w:color w:val="000000"/>
          <w:sz w:val="24"/>
          <w:szCs w:val="24"/>
          <w:lang w:bidi="en-US"/>
        </w:rPr>
        <w:t xml:space="preserve"> </w:t>
      </w:r>
      <w:r w:rsidR="006515F5" w:rsidRPr="006515F5">
        <w:rPr>
          <w:rFonts w:ascii="Times New Roman" w:eastAsia="Times New Roman" w:hAnsi="Times New Roman" w:cs="Times New Roman"/>
          <w:color w:val="000000"/>
          <w:sz w:val="24"/>
          <w:szCs w:val="24"/>
          <w:lang w:bidi="en-US"/>
        </w:rPr>
        <w:t>Najveće udjele u ukupnoj potrošnji energije u Republici Hrvatskoj zauzimaju tekuća goriva i prirodni plin. Potrošnja električne energije posljednjih godina je na približno istoj razini, ali njen udio u ukupnoj potrošnji lagano raste. Udio energije iz obnovljivih izvora u ukupnoj potrošnji se također povećava. Nafta i plin eksploatiraju se s 54 eksploatacijska polja pri čemu se iz domaće proizvodnje osigurava oko 20</w:t>
      </w:r>
      <w:r w:rsidR="00D4589D">
        <w:rPr>
          <w:rFonts w:ascii="Times New Roman" w:eastAsia="Times New Roman" w:hAnsi="Times New Roman" w:cs="Times New Roman"/>
          <w:color w:val="000000"/>
          <w:sz w:val="24"/>
          <w:szCs w:val="24"/>
          <w:lang w:bidi="en-US"/>
        </w:rPr>
        <w:t xml:space="preserve"> %</w:t>
      </w:r>
      <w:r w:rsidR="006515F5" w:rsidRPr="006515F5">
        <w:rPr>
          <w:rFonts w:ascii="Times New Roman" w:eastAsia="Times New Roman" w:hAnsi="Times New Roman" w:cs="Times New Roman"/>
          <w:color w:val="000000"/>
          <w:sz w:val="24"/>
          <w:szCs w:val="24"/>
          <w:lang w:bidi="en-US"/>
        </w:rPr>
        <w:t xml:space="preserve"> potreba za naftom te oko 40</w:t>
      </w:r>
      <w:r w:rsidR="00D4589D">
        <w:rPr>
          <w:rFonts w:ascii="Times New Roman" w:eastAsia="Times New Roman" w:hAnsi="Times New Roman" w:cs="Times New Roman"/>
          <w:color w:val="000000"/>
          <w:sz w:val="24"/>
          <w:szCs w:val="24"/>
          <w:lang w:bidi="en-US"/>
        </w:rPr>
        <w:t xml:space="preserve"> %</w:t>
      </w:r>
      <w:r w:rsidR="006515F5" w:rsidRPr="006515F5">
        <w:rPr>
          <w:rFonts w:ascii="Times New Roman" w:eastAsia="Times New Roman" w:hAnsi="Times New Roman" w:cs="Times New Roman"/>
          <w:color w:val="000000"/>
          <w:sz w:val="24"/>
          <w:szCs w:val="24"/>
          <w:lang w:bidi="en-US"/>
        </w:rPr>
        <w:t xml:space="preserve"> potreba za prirodnim plinom. U prosjeku više od polovice električne energije proizvodi se u hidroelektranama, pa proizvodnja električne energije u Republici Hrvatskoj značajno varira ovisno o hidrološkim prilikama. Domaće se potrebe ne zadovoljavaju vlastitom proizvodnjom te uvoz električne energije čini oko 30</w:t>
      </w:r>
      <w:r w:rsidR="00D4589D">
        <w:rPr>
          <w:rFonts w:ascii="Times New Roman" w:eastAsia="Times New Roman" w:hAnsi="Times New Roman" w:cs="Times New Roman"/>
          <w:color w:val="000000"/>
          <w:sz w:val="24"/>
          <w:szCs w:val="24"/>
          <w:lang w:bidi="en-US"/>
        </w:rPr>
        <w:t xml:space="preserve"> %</w:t>
      </w:r>
      <w:r w:rsidR="006515F5" w:rsidRPr="006515F5">
        <w:rPr>
          <w:rFonts w:ascii="Times New Roman" w:eastAsia="Times New Roman" w:hAnsi="Times New Roman" w:cs="Times New Roman"/>
          <w:color w:val="000000"/>
          <w:sz w:val="24"/>
          <w:szCs w:val="24"/>
          <w:lang w:bidi="en-US"/>
        </w:rPr>
        <w:t xml:space="preserve"> ukupne potrošnje.(Izvor:</w:t>
      </w:r>
      <w:r w:rsidR="006515F5" w:rsidRPr="006515F5">
        <w:t xml:space="preserve"> </w:t>
      </w:r>
      <w:r w:rsidR="006515F5" w:rsidRPr="006515F5">
        <w:rPr>
          <w:rFonts w:ascii="Times New Roman" w:eastAsia="Times New Roman" w:hAnsi="Times New Roman" w:cs="Times New Roman"/>
          <w:color w:val="000000"/>
          <w:sz w:val="24"/>
          <w:szCs w:val="24"/>
          <w:lang w:bidi="en-US"/>
        </w:rPr>
        <w:t>Strategija energetskog razvoja Republike Hrvatske do 2030. s pogledom na 2050. godinu</w:t>
      </w:r>
      <w:r w:rsidR="006515F5">
        <w:rPr>
          <w:rFonts w:ascii="Times New Roman" w:eastAsia="Times New Roman" w:hAnsi="Times New Roman" w:cs="Times New Roman"/>
          <w:color w:val="000000"/>
          <w:sz w:val="24"/>
          <w:szCs w:val="24"/>
          <w:lang w:bidi="en-US"/>
        </w:rPr>
        <w:t>,</w:t>
      </w:r>
      <w:r w:rsidR="006515F5" w:rsidRPr="006515F5">
        <w:rPr>
          <w:rFonts w:ascii="Times New Roman" w:eastAsia="Times New Roman" w:hAnsi="Times New Roman" w:cs="Times New Roman"/>
          <w:color w:val="000000"/>
          <w:sz w:val="24"/>
          <w:szCs w:val="24"/>
          <w:lang w:bidi="en-US"/>
        </w:rPr>
        <w:t xml:space="preserve">   </w:t>
      </w:r>
      <w:hyperlink r:id="rId11" w:history="1">
        <w:r w:rsidR="006515F5" w:rsidRPr="00737B17">
          <w:rPr>
            <w:rStyle w:val="Hiperveza"/>
            <w:rFonts w:ascii="Times New Roman" w:eastAsia="Times New Roman" w:hAnsi="Times New Roman" w:cs="Times New Roman"/>
            <w:sz w:val="24"/>
            <w:szCs w:val="24"/>
            <w:lang w:bidi="en-US"/>
          </w:rPr>
          <w:t>https://narodne-novine.nn.hr/clanci/sluzbeni/2020_03_25_602.html</w:t>
        </w:r>
      </w:hyperlink>
      <w:r w:rsidR="006515F5">
        <w:rPr>
          <w:rFonts w:ascii="Times New Roman" w:eastAsia="Times New Roman" w:hAnsi="Times New Roman" w:cs="Times New Roman"/>
          <w:color w:val="000000"/>
          <w:sz w:val="24"/>
          <w:szCs w:val="24"/>
          <w:lang w:bidi="en-US"/>
        </w:rPr>
        <w:t xml:space="preserve">). </w:t>
      </w:r>
    </w:p>
    <w:p w14:paraId="6D4DC014" w14:textId="77777777" w:rsidR="00D84719" w:rsidRPr="00D84719" w:rsidRDefault="00D84719" w:rsidP="00D84719">
      <w:pPr>
        <w:spacing w:before="80" w:line="276" w:lineRule="auto"/>
        <w:jc w:val="both"/>
        <w:rPr>
          <w:rFonts w:ascii="Times New Roman" w:eastAsia="Times New Roman" w:hAnsi="Times New Roman" w:cs="Times New Roman"/>
          <w:b/>
          <w:bCs/>
          <w:i/>
          <w:color w:val="000000"/>
          <w:szCs w:val="24"/>
          <w:lang w:bidi="en-US"/>
        </w:rPr>
      </w:pPr>
      <w:r w:rsidRPr="00D84719">
        <w:rPr>
          <w:rFonts w:ascii="Times New Roman" w:eastAsia="Times New Roman" w:hAnsi="Times New Roman" w:cs="Times New Roman"/>
          <w:b/>
          <w:bCs/>
          <w:i/>
          <w:color w:val="000000"/>
          <w:szCs w:val="24"/>
          <w:lang w:bidi="en-US"/>
        </w:rPr>
        <w:t>Turizam</w:t>
      </w:r>
    </w:p>
    <w:p w14:paraId="5ACEAD7C"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 xml:space="preserve">Republika Hrvatska, kao jedna od najznačajnijih turističkih destinacija na Mediteranu, ima dugu turističku tradiciju i velike razvojne mogućnosti. Prihod od turizma u 2018. iznosio je oko 12 milijardi eura, od toga deset milijardi eura prihoda od stranih gostiju (Izvor: </w:t>
      </w:r>
      <w:r w:rsidR="00FA426F">
        <w:rPr>
          <w:rFonts w:ascii="Times New Roman" w:eastAsia="Times New Roman" w:hAnsi="Times New Roman" w:cs="Times New Roman"/>
          <w:color w:val="000000"/>
          <w:sz w:val="24"/>
          <w:szCs w:val="24"/>
          <w:lang w:bidi="en-US"/>
        </w:rPr>
        <w:t>Hrvatska narodna banka</w:t>
      </w:r>
      <w:r w:rsidRPr="00D84719">
        <w:rPr>
          <w:rFonts w:ascii="Times New Roman" w:eastAsia="Times New Roman" w:hAnsi="Times New Roman" w:cs="Times New Roman"/>
          <w:color w:val="000000"/>
          <w:sz w:val="24"/>
          <w:szCs w:val="24"/>
          <w:lang w:bidi="en-US"/>
        </w:rPr>
        <w:t>). Prednosti hrvatskih turističkih proizvoda su u prvom redu očuvana prirodna bogatstva i okoliš, kulturno i povijesno nasljeđe, blaga mediteranska klima i blizina europskih tržišta te mogućnost aktivnog odmora u zaštićenim područjima.</w:t>
      </w:r>
    </w:p>
    <w:p w14:paraId="45E24F61" w14:textId="77777777" w:rsidR="00D84719" w:rsidRPr="00D84719" w:rsidRDefault="00D84719" w:rsidP="00D84719">
      <w:pPr>
        <w:spacing w:before="80" w:line="276" w:lineRule="auto"/>
        <w:jc w:val="both"/>
        <w:rPr>
          <w:rFonts w:ascii="Times New Roman" w:eastAsia="Times New Roman" w:hAnsi="Times New Roman" w:cs="Times New Roman"/>
          <w:b/>
          <w:bCs/>
          <w:i/>
          <w:color w:val="000000"/>
          <w:szCs w:val="24"/>
          <w:lang w:bidi="en-US"/>
        </w:rPr>
      </w:pPr>
      <w:r w:rsidRPr="00D84719">
        <w:rPr>
          <w:rFonts w:ascii="Times New Roman" w:eastAsia="Times New Roman" w:hAnsi="Times New Roman" w:cs="Times New Roman"/>
          <w:b/>
          <w:bCs/>
          <w:i/>
          <w:color w:val="000000"/>
          <w:szCs w:val="24"/>
          <w:lang w:bidi="en-US"/>
        </w:rPr>
        <w:t>Promet</w:t>
      </w:r>
    </w:p>
    <w:p w14:paraId="160C1435"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Povoljan zemljopisno-prometni položaj Republike Hrvatske omogućuje razvijanje prometne infrastrukture i prometnih djelatnosti kao jednog od važnijih čimbenika sveukupnog gospodarskog i društvenog razvitka zemlje. Udio kombiniranog prijevoza u ukupnom prijevozu robe je nedovoljan. Tu vrstu prijevoza, jednog od najsuvremenijih oblika primjerenog u zaštiti okoliša, potrebno je što prije razviti kako bi se mogli uključiti u već razvijene europske pravce kombiniranog prometa. Cestovna i željeznička infrastruktura nisu podjednako razvijene u svim dijelovima Republike Hrvatske. Iako je u prethodna dva desetljeća puno učinje</w:t>
      </w:r>
      <w:r w:rsidR="00612979">
        <w:rPr>
          <w:rFonts w:ascii="Times New Roman" w:eastAsia="Times New Roman" w:hAnsi="Times New Roman" w:cs="Times New Roman"/>
          <w:color w:val="000000"/>
          <w:sz w:val="24"/>
          <w:szCs w:val="24"/>
          <w:lang w:bidi="en-US"/>
        </w:rPr>
        <w:t>no na izgradnji novih prometni</w:t>
      </w:r>
      <w:r w:rsidRPr="00D84719">
        <w:rPr>
          <w:rFonts w:ascii="Times New Roman" w:eastAsia="Times New Roman" w:hAnsi="Times New Roman" w:cs="Times New Roman"/>
          <w:color w:val="000000"/>
          <w:sz w:val="24"/>
          <w:szCs w:val="24"/>
          <w:lang w:bidi="en-US"/>
        </w:rPr>
        <w:t xml:space="preserve"> i nadalje su potrebna velika ulaganja u postojeću i novu infrastrukturu (poglavito razvoj željezničkog prometa i njegova veća zastupljenost).</w:t>
      </w:r>
    </w:p>
    <w:p w14:paraId="686FF22B"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p>
    <w:p w14:paraId="29AA4F50" w14:textId="77777777" w:rsidR="00D84719" w:rsidRPr="00D84719" w:rsidRDefault="00D84719" w:rsidP="002559AD">
      <w:pPr>
        <w:pStyle w:val="Naslov4"/>
      </w:pPr>
      <w:bookmarkStart w:id="15" w:name="_Toc41638218"/>
      <w:bookmarkStart w:id="16" w:name="_Toc64460664"/>
      <w:r w:rsidRPr="00D84719">
        <w:t>Stanje okoliša</w:t>
      </w:r>
      <w:bookmarkEnd w:id="15"/>
      <w:bookmarkEnd w:id="16"/>
    </w:p>
    <w:p w14:paraId="05B174ED" w14:textId="77777777" w:rsidR="00D84719" w:rsidRPr="00D84719" w:rsidRDefault="00D84719" w:rsidP="00D84719">
      <w:pPr>
        <w:spacing w:before="80" w:line="276" w:lineRule="auto"/>
        <w:jc w:val="both"/>
        <w:rPr>
          <w:rFonts w:ascii="Times New Roman" w:eastAsia="Times New Roman" w:hAnsi="Times New Roman" w:cs="Times New Roman"/>
          <w:b/>
          <w:bCs/>
          <w:i/>
          <w:iCs/>
          <w:color w:val="000000"/>
          <w:szCs w:val="24"/>
        </w:rPr>
      </w:pPr>
      <w:r w:rsidRPr="00D84719">
        <w:rPr>
          <w:rFonts w:ascii="Times New Roman" w:eastAsia="Times New Roman" w:hAnsi="Times New Roman" w:cs="Times New Roman"/>
          <w:b/>
          <w:bCs/>
          <w:i/>
          <w:iCs/>
          <w:color w:val="000000"/>
          <w:szCs w:val="24"/>
        </w:rPr>
        <w:t>Zaštita zraka</w:t>
      </w:r>
    </w:p>
    <w:p w14:paraId="03DF58CE"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 xml:space="preserve">Zrak je dio okoliša od općeg dobra, koji ima osobitu važnost u Republici Hrvatskoj što se očituje kroz uspostavljen dobar zakonodavni okvir na nacionalnoj razini te uspostavljenoj infrastrukturi bilo za praćenje kvalitete zraka (imisija) kroz državnu i lokalnu mrežu te mrežu </w:t>
      </w:r>
      <w:r w:rsidRPr="00D84719">
        <w:rPr>
          <w:rFonts w:ascii="Times New Roman" w:eastAsia="Times New Roman" w:hAnsi="Times New Roman" w:cs="Times New Roman"/>
          <w:color w:val="000000"/>
          <w:sz w:val="24"/>
          <w:szCs w:val="24"/>
        </w:rPr>
        <w:lastRenderedPageBreak/>
        <w:t>posebnih mjerenja bilo za praćenje emisija štetnih tvari u zrak iz nepokretnih i difuznih izvora onečišćenja (emisije).</w:t>
      </w:r>
    </w:p>
    <w:p w14:paraId="2A5E8CDC"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Podaci o emisijama onečišćujućih tvari u zraku kao i podaci o kvaliteti zraka sastavni su dio Informacijskog sustava zaštite</w:t>
      </w:r>
      <w:r w:rsidR="00612979">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zraka koji vodi Zavod za zaštitu okoliša i prirode kao ustrojstvena jedinica pri MINGOR.</w:t>
      </w:r>
    </w:p>
    <w:p w14:paraId="084EAC57"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 xml:space="preserve">MINGOR je nadležno za prikupljanje podataka o emisijama onečišćujućih tvari u zrak u Republici Hrvatskoj i izradu izvješća o inventaru emisija sukladno obvezama prema hrvatskim propisima i međunarodnim ugovorima, prije svega prema Konvenciji o dalekosežnom prekograničnom onečišćenju zraka (LRTAP konvenciji) i Uredbi o nacionalnim obavezama smanjenja emisija određenih onečišćujućih tvari u zraku u </w:t>
      </w:r>
      <w:r w:rsidRPr="00D84719">
        <w:rPr>
          <w:rFonts w:ascii="Times New Roman" w:eastAsia="Times New Roman" w:hAnsi="Times New Roman" w:cs="Times New Roman"/>
          <w:color w:val="000000"/>
          <w:sz w:val="24"/>
          <w:szCs w:val="24"/>
          <w:lang w:bidi="en-US"/>
        </w:rPr>
        <w:t>Republici Hrvatskoj</w:t>
      </w:r>
      <w:r w:rsidRPr="00D84719">
        <w:rPr>
          <w:rFonts w:ascii="Times New Roman" w:eastAsia="Times New Roman" w:hAnsi="Times New Roman" w:cs="Times New Roman"/>
          <w:color w:val="000000"/>
          <w:sz w:val="24"/>
          <w:szCs w:val="24"/>
        </w:rPr>
        <w:t xml:space="preserve"> („Narodne novine“ broj 76/18) (u daljnjem tekstu: Uredba NEC). </w:t>
      </w:r>
    </w:p>
    <w:p w14:paraId="4D3645F8" w14:textId="5EAA6A01"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Praćenje kvalitete zraka u Republici Hrvatskoj provodi se u okviru: državne mreže za trajno praćenje kvalitete zraka i lokalnih mreža za praćenje kvalitete zraka u županijama i gradovima koje uključuju i mjerne postaje posebne namjene. Sukladno Zakonu o zaštiti zraka, tijelo državne uprave odgovorno za upravljanje državnom mrežom od 2010</w:t>
      </w:r>
      <w:r w:rsidR="004C449C">
        <w:rPr>
          <w:rFonts w:ascii="Times New Roman" w:eastAsia="Times New Roman" w:hAnsi="Times New Roman" w:cs="Times New Roman"/>
          <w:color w:val="000000"/>
          <w:sz w:val="24"/>
          <w:szCs w:val="24"/>
          <w:lang w:bidi="en-US"/>
        </w:rPr>
        <w:t>.</w:t>
      </w:r>
      <w:r w:rsidRPr="00D84719">
        <w:rPr>
          <w:rFonts w:ascii="Times New Roman" w:eastAsia="Times New Roman" w:hAnsi="Times New Roman" w:cs="Times New Roman"/>
          <w:color w:val="000000"/>
          <w:sz w:val="24"/>
          <w:szCs w:val="24"/>
          <w:lang w:bidi="en-US"/>
        </w:rPr>
        <w:t xml:space="preserve"> je Državni hidrometeorološki zavod (u daljnjem tekstu: DHMZ). Broj mjernih postaja, kao i program mjerenja na njima povremeno se mijenja i kontinuirano unaprjeđuje. Posljednjih desetak godina značajno se povećao broj automatskih postaja, prije svega zbog razvoja državne mreže za trajno praćenje kvalitete zraka te mjernih postaja uspostavljenih prema rješenju o prihvatljivosti zahvata za okoliš ili rješenju o objedinjenim uvjetima zaštite okoliša odnosno okolišnoj dozvoli koje financiraju onečišćivači. </w:t>
      </w:r>
    </w:p>
    <w:p w14:paraId="3627160F"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Preventivnim mjerama i instrumentima očuvanja kvalitete zraka nastoji se promišljenim planiranjem zahvata u okolišu, predviđanjem mogućih utjecaja na kvalitetu zraka, propisivanjem adekvatnih uvjeta zaštite zraka, praćenjem i izvješćivanjem o kvaliteti zraka, usklađivanjem i poboljšavanjem zakonodavstva te izgradnjom i jačanjem institucionalnih, organizacijskih i stručnih/znanstvenih kapaciteta spriječiti onečišćenje i poboljšati kvalitetu zraka. Preventivne mjere obuhvaćaju postojeće međusektorske mjere i instrumente zaštite okoliša i dodatne mjere čija je svrha unaprjeđivanje cjelovitog sustava upravljanja kvalitetom zraka u Republici Hrvatskoj.</w:t>
      </w:r>
    </w:p>
    <w:p w14:paraId="1486048F" w14:textId="2CD1D87F"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U području zaštite i poboljšanja kvalitete zraka u Republici Hrvatskoj su u razdoblju od 1990. do danas učinjeni značajni pozitivni pomaci. Tako su npr. u odnosu na 1990. u 2018. emisije bile manje za 53</w:t>
      </w:r>
      <w:r w:rsidR="00F75878">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3</w:t>
      </w:r>
      <w:r w:rsidR="00D4589D">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xml:space="preserve"> za dušikove okside (NO</w:t>
      </w:r>
      <w:r w:rsidRPr="00D84719">
        <w:rPr>
          <w:rFonts w:ascii="Times New Roman" w:eastAsia="Times New Roman" w:hAnsi="Times New Roman" w:cs="Times New Roman"/>
          <w:color w:val="000000"/>
          <w:sz w:val="24"/>
          <w:szCs w:val="24"/>
          <w:vertAlign w:val="subscript"/>
        </w:rPr>
        <w:t>x</w:t>
      </w:r>
      <w:r w:rsidRPr="00D84719">
        <w:rPr>
          <w:rFonts w:ascii="Times New Roman" w:eastAsia="Times New Roman" w:hAnsi="Times New Roman" w:cs="Times New Roman"/>
          <w:color w:val="000000"/>
          <w:sz w:val="24"/>
          <w:szCs w:val="24"/>
        </w:rPr>
        <w:t>), 93</w:t>
      </w:r>
      <w:r w:rsidR="00F75878">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9</w:t>
      </w:r>
      <w:r w:rsidR="00D4589D">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xml:space="preserve"> za sumporove okside (SO</w:t>
      </w:r>
      <w:r w:rsidRPr="00D84719">
        <w:rPr>
          <w:rFonts w:ascii="Times New Roman" w:eastAsia="Times New Roman" w:hAnsi="Times New Roman" w:cs="Times New Roman"/>
          <w:color w:val="000000"/>
          <w:sz w:val="24"/>
          <w:szCs w:val="24"/>
          <w:vertAlign w:val="subscript"/>
        </w:rPr>
        <w:t>2</w:t>
      </w:r>
      <w:r w:rsidRPr="00D84719">
        <w:rPr>
          <w:rFonts w:ascii="Times New Roman" w:eastAsia="Times New Roman" w:hAnsi="Times New Roman" w:cs="Times New Roman"/>
          <w:color w:val="000000"/>
          <w:sz w:val="24"/>
          <w:szCs w:val="24"/>
        </w:rPr>
        <w:t>), 33</w:t>
      </w:r>
      <w:r w:rsidR="00F75878">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7</w:t>
      </w:r>
      <w:r w:rsidR="00D4589D">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xml:space="preserve"> za amonijak (NH</w:t>
      </w:r>
      <w:r w:rsidRPr="00D84719">
        <w:rPr>
          <w:rFonts w:ascii="Times New Roman" w:eastAsia="Times New Roman" w:hAnsi="Times New Roman" w:cs="Times New Roman"/>
          <w:color w:val="000000"/>
          <w:sz w:val="24"/>
          <w:szCs w:val="24"/>
          <w:vertAlign w:val="subscript"/>
        </w:rPr>
        <w:t>3</w:t>
      </w:r>
      <w:r w:rsidRPr="00D84719">
        <w:rPr>
          <w:rFonts w:ascii="Times New Roman" w:eastAsia="Times New Roman" w:hAnsi="Times New Roman" w:cs="Times New Roman"/>
          <w:color w:val="000000"/>
          <w:sz w:val="24"/>
          <w:szCs w:val="24"/>
        </w:rPr>
        <w:t>), 57</w:t>
      </w:r>
      <w:r w:rsidR="00D4589D">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xml:space="preserve"> za ne-metanske hlapljive organske spojeve (NMHOS), 57</w:t>
      </w:r>
      <w:r w:rsidR="00F75878">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8</w:t>
      </w:r>
      <w:r w:rsidR="00D4589D">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xml:space="preserve"> za ugljikov monoksid (CO), 25</w:t>
      </w:r>
      <w:r w:rsidR="00F75878">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6</w:t>
      </w:r>
      <w:r w:rsidR="00D4589D">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xml:space="preserve"> za PM</w:t>
      </w:r>
      <w:r w:rsidRPr="00D84719">
        <w:rPr>
          <w:rFonts w:ascii="Times New Roman" w:eastAsia="Times New Roman" w:hAnsi="Times New Roman" w:cs="Times New Roman"/>
          <w:color w:val="000000"/>
          <w:sz w:val="24"/>
          <w:szCs w:val="24"/>
          <w:vertAlign w:val="subscript"/>
        </w:rPr>
        <w:t>10</w:t>
      </w:r>
      <w:r w:rsidRPr="00D84719">
        <w:rPr>
          <w:rFonts w:ascii="Times New Roman" w:eastAsia="Times New Roman" w:hAnsi="Times New Roman" w:cs="Times New Roman"/>
          <w:color w:val="000000"/>
          <w:sz w:val="24"/>
          <w:szCs w:val="24"/>
        </w:rPr>
        <w:t xml:space="preserve">. Smanjenje emisija onečišćujućih tvari u zrak dijelom je posljedica rata za hrvatsku neovisnost (od 1991. do 1995.) i ekonomske krize nakon 2007., no uvelike su rezultat primjene mjera i tehnika smanjenja emisija u zrak, zatim strožih propisa o koncentracijama onečišćujućih tvari u zraku i graničnim vrijednostima emisija, uporabe kvalitetnijeg goriva s nižim sadržajem sumpora, plinofikacija te priključivanje na toplifikacijsku mrežu, korištenja niskosumpornog ugljena, a u manjoj mjeri i razvoj javnog prijevoza i biciklističkih staza. Republika Hrvatska je ratifikacijom Protokola uz LRTAP Konvenciju prihvatila i njima definirane obveze. Obveze o smanjenju emisija do sada su se </w:t>
      </w:r>
      <w:r w:rsidRPr="00D84719">
        <w:rPr>
          <w:rFonts w:ascii="Times New Roman" w:eastAsia="Times New Roman" w:hAnsi="Times New Roman" w:cs="Times New Roman"/>
          <w:color w:val="000000"/>
          <w:sz w:val="24"/>
          <w:szCs w:val="24"/>
        </w:rPr>
        <w:lastRenderedPageBreak/>
        <w:t>uspješno izvršavale, a ispunjenje obveza do 2020. trebalo bi se ostvariti provedbom Programa postupnog smanjivanja emisija za određene onečišćujuće tvari u Republici Hrvatskoj za razdoblje do kraja 2010</w:t>
      </w:r>
      <w:r w:rsidR="004C449C">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 xml:space="preserve"> s projekcijama emisija za razdoblje od 2010. do 2020</w:t>
      </w:r>
      <w:r w:rsidR="004C449C">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 xml:space="preserve"> („Narodne novine“, broj 152/09), odnosno po potrebi revizijom istog. </w:t>
      </w:r>
    </w:p>
    <w:p w14:paraId="7469A3E2" w14:textId="0B337D30"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Vlada Republike Hrvatske je na sjednici održanoj 19. rujna 2019. donijela Program kontrole onečišćenja zraka za razdoblje od 2020. do 2029</w:t>
      </w:r>
      <w:r w:rsidR="004C449C">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 xml:space="preserve"> (u daljnjem tekstu: Program), u skladu s člankom 20. Uredbe NEC i Smjernicama za izradu i provedbu nacionalnih programa kontrole onečišćenja zraka država članica koje je dala Europska komisija. Zakonska osnova za izradu Programa je Zakon o zaštiti okoliša („Narodne novine“, br. 80/13, 153/13, 78/15, 12/18 i 118/18) i tada važeći Zakon o zaštiti zraka („Narodne novine“, br. 130/11, 47/14, 61/17, 118/18) i Uredba NEC. Program postupnog smanjivanja emisija za određene onečišćujuće tvari u Republici Hrvatskoj za razdoblje do kraja 2010</w:t>
      </w:r>
      <w:r w:rsidR="004C449C">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 s projekcijama emisija za razdoblje od 2010. do 2020</w:t>
      </w:r>
      <w:r w:rsidR="004C449C">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 xml:space="preserve"> („Narodne novine“, broj 152/09) korišten je kao raspoloživi izvor podataka za izradu Programa. U razdoblju od 2009. dogodila su se brojna unaprjeđenja zakonodavstva</w:t>
      </w:r>
      <w:r w:rsidRPr="00D84719">
        <w:rPr>
          <w:rFonts w:ascii="Times New Roman" w:eastAsia="Times New Roman" w:hAnsi="Times New Roman" w:cs="Times New Roman"/>
          <w:color w:val="000000"/>
          <w:sz w:val="24"/>
          <w:szCs w:val="24"/>
          <w:lang w:bidi="en-US"/>
        </w:rPr>
        <w:t xml:space="preserve"> Europske unije</w:t>
      </w:r>
      <w:r w:rsidRPr="00D84719">
        <w:rPr>
          <w:rFonts w:ascii="Times New Roman" w:eastAsia="Times New Roman" w:hAnsi="Times New Roman" w:cs="Times New Roman"/>
          <w:color w:val="000000"/>
          <w:sz w:val="24"/>
          <w:szCs w:val="24"/>
        </w:rPr>
        <w:t xml:space="preserve">, kao npr. revizija iz 2012. Protokola o suzbijanju zakiseljavanja, eutrofikacije i prizemnog ozona uz Konvenciju o prekograničnom onečišćenju zraka iz 1979. godine. Republika Hrvatska je 2013. postala punopravna članica </w:t>
      </w:r>
      <w:r w:rsidRPr="00D84719">
        <w:rPr>
          <w:rFonts w:ascii="Times New Roman" w:eastAsia="Times New Roman" w:hAnsi="Times New Roman" w:cs="Times New Roman"/>
          <w:color w:val="000000"/>
          <w:sz w:val="24"/>
          <w:szCs w:val="24"/>
          <w:lang w:bidi="en-US"/>
        </w:rPr>
        <w:t>Europske unije</w:t>
      </w:r>
      <w:r w:rsidRPr="00D84719">
        <w:rPr>
          <w:rFonts w:ascii="Times New Roman" w:eastAsia="Times New Roman" w:hAnsi="Times New Roman" w:cs="Times New Roman"/>
          <w:color w:val="000000"/>
          <w:sz w:val="24"/>
          <w:szCs w:val="24"/>
        </w:rPr>
        <w:t xml:space="preserve"> čime je preuzela i nove međunarodne obveze. Slijedom toga ukazala se je potreba za nadogradnju Programa postupnog smanjivanja emisija za određene onečišćujuće tvari u Republici Hrvatskoj za razdoblje do kraja 2010. godine, s projekcijama emisija za razdoblje od 2010. do 2020. godine („Narodne novine“, broj 152/09), koji dijelom zamjenjuje gore spomenuti Program.</w:t>
      </w:r>
    </w:p>
    <w:p w14:paraId="13C10F50"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 xml:space="preserve">Iako su u području zaštite zraka i smanjenja i ograničavanja onečišćenja u Republici Hrvatskoj već učinjeni znatni napori, nove obveze i zahtjevi </w:t>
      </w:r>
      <w:r w:rsidRPr="00D84719">
        <w:rPr>
          <w:rFonts w:ascii="Times New Roman" w:eastAsia="Times New Roman" w:hAnsi="Times New Roman" w:cs="Times New Roman"/>
          <w:color w:val="000000"/>
          <w:sz w:val="24"/>
          <w:szCs w:val="24"/>
          <w:lang w:bidi="en-US"/>
        </w:rPr>
        <w:t>Europske unije</w:t>
      </w:r>
      <w:r w:rsidRPr="00D84719">
        <w:rPr>
          <w:rFonts w:ascii="Times New Roman" w:eastAsia="Times New Roman" w:hAnsi="Times New Roman" w:cs="Times New Roman"/>
          <w:color w:val="FF0000"/>
          <w:sz w:val="24"/>
          <w:szCs w:val="24"/>
        </w:rPr>
        <w:t xml:space="preserve"> </w:t>
      </w:r>
      <w:r w:rsidRPr="00D84719">
        <w:rPr>
          <w:rFonts w:ascii="Times New Roman" w:eastAsia="Times New Roman" w:hAnsi="Times New Roman" w:cs="Times New Roman"/>
          <w:color w:val="000000"/>
          <w:sz w:val="24"/>
          <w:szCs w:val="24"/>
        </w:rPr>
        <w:t>predstavljaju dodatan izazov za njihovo ostvarenje. Posebice se to odnosi na izgaranje goriva u malim ložištima sektora kućanstva, gdje se s jedne strane zbog klimatskih promjena nastoji povećati količina potrošnje biomase za ogrjev zbog „nulte emisije“ CO</w:t>
      </w:r>
      <w:r w:rsidRPr="00D84719">
        <w:rPr>
          <w:rFonts w:ascii="Times New Roman" w:eastAsia="Times New Roman" w:hAnsi="Times New Roman" w:cs="Times New Roman"/>
          <w:color w:val="000000"/>
          <w:sz w:val="24"/>
          <w:szCs w:val="24"/>
          <w:vertAlign w:val="subscript"/>
        </w:rPr>
        <w:t>2</w:t>
      </w:r>
      <w:r w:rsidRPr="00D84719">
        <w:rPr>
          <w:rFonts w:ascii="Times New Roman" w:eastAsia="Times New Roman" w:hAnsi="Times New Roman" w:cs="Times New Roman"/>
          <w:color w:val="000000"/>
          <w:sz w:val="24"/>
          <w:szCs w:val="24"/>
        </w:rPr>
        <w:t xml:space="preserve"> dok se s druge strane na taj način doprinosi pogoršavanju kvalitete zraka po pitanju lebdećih čestica (PM</w:t>
      </w:r>
      <w:r w:rsidRPr="00D84719">
        <w:rPr>
          <w:rFonts w:ascii="Times New Roman" w:eastAsia="Times New Roman" w:hAnsi="Times New Roman" w:cs="Times New Roman"/>
          <w:color w:val="000000"/>
          <w:sz w:val="24"/>
          <w:szCs w:val="24"/>
          <w:vertAlign w:val="subscript"/>
        </w:rPr>
        <w:t>2,5</w:t>
      </w:r>
      <w:r w:rsidRPr="00D84719">
        <w:rPr>
          <w:rFonts w:ascii="Times New Roman" w:eastAsia="Times New Roman" w:hAnsi="Times New Roman" w:cs="Times New Roman"/>
          <w:color w:val="000000"/>
          <w:sz w:val="24"/>
          <w:szCs w:val="24"/>
        </w:rPr>
        <w:t>, PM</w:t>
      </w:r>
      <w:r w:rsidRPr="00D84719">
        <w:rPr>
          <w:rFonts w:ascii="Times New Roman" w:eastAsia="Times New Roman" w:hAnsi="Times New Roman" w:cs="Times New Roman"/>
          <w:color w:val="000000"/>
          <w:sz w:val="24"/>
          <w:szCs w:val="24"/>
          <w:vertAlign w:val="subscript"/>
        </w:rPr>
        <w:t>10</w:t>
      </w:r>
      <w:r w:rsidRPr="00D84719">
        <w:rPr>
          <w:rFonts w:ascii="Times New Roman" w:eastAsia="Times New Roman" w:hAnsi="Times New Roman" w:cs="Times New Roman"/>
          <w:color w:val="000000"/>
          <w:sz w:val="24"/>
          <w:szCs w:val="24"/>
        </w:rPr>
        <w:t xml:space="preserve">, BC), NMHOS-a i manjim dijelom amonijaka. Izazov su i emisije iz cestovnog prometa (naročito emisije NOx) i njihovo ograničavanje, kao i emisije amonijaka iz sektora poljoprivrede. Izazov je i na operaterima različitih postrojenja/onečišćivačima koji se obzirom na emisije, primjenom NRT-a moraju uskladiti sa zakonodavstvom, a jedan od ključnih instrumenata za ograničavanje značajnih ispuštanja je okolišna dozvola. </w:t>
      </w:r>
    </w:p>
    <w:p w14:paraId="70752D6D"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 xml:space="preserve">Unatoč značajnom smanjenju emisija onečišćujućih tvari u zrak i provođenju mjera zaštite zraka na području države, još uvijek postoje područja gdje zrak nije prve kategorije, odnosno urbana i industrijska područja gdje su prekoračene granične ili ciljne vrijednosti kvalitete zraka. </w:t>
      </w:r>
    </w:p>
    <w:p w14:paraId="5A5CA5BB"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rPr>
        <w:t>Zbog svog zemljopisnog položaja, Republika Hrvatska izložena je dalekosežnom prekograničnom onečišćenju, što je posebice važno kada je riječ o onečišćenju zraka lebdećim česticama i prizemnim ozonom, no ne smiju se zanemariti ni prijenos i taloženje POPs-ova, teških metala i dušika.</w:t>
      </w:r>
    </w:p>
    <w:p w14:paraId="2F4EEFF2"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p>
    <w:p w14:paraId="0257D7CE" w14:textId="77777777" w:rsidR="00D84719" w:rsidRPr="00D84719" w:rsidRDefault="00D84719" w:rsidP="002559AD">
      <w:pPr>
        <w:pStyle w:val="Naslov4"/>
      </w:pPr>
      <w:bookmarkStart w:id="17" w:name="_Toc64460665"/>
      <w:r w:rsidRPr="00D84719">
        <w:lastRenderedPageBreak/>
        <w:t>Zaštita tla</w:t>
      </w:r>
      <w:bookmarkEnd w:id="17"/>
    </w:p>
    <w:p w14:paraId="7EFEB8D9" w14:textId="77777777" w:rsidR="00E4733B" w:rsidRPr="00E4733B" w:rsidRDefault="00E4733B" w:rsidP="00E4733B">
      <w:pPr>
        <w:spacing w:before="80" w:line="276" w:lineRule="auto"/>
        <w:jc w:val="both"/>
        <w:rPr>
          <w:rFonts w:ascii="Times New Roman" w:eastAsia="Times New Roman" w:hAnsi="Times New Roman" w:cs="Times New Roman"/>
          <w:color w:val="000000"/>
          <w:sz w:val="24"/>
          <w:szCs w:val="24"/>
        </w:rPr>
      </w:pPr>
      <w:r w:rsidRPr="00E4733B">
        <w:rPr>
          <w:rFonts w:ascii="Times New Roman" w:eastAsia="Times New Roman" w:hAnsi="Times New Roman" w:cs="Times New Roman"/>
          <w:color w:val="000000"/>
          <w:sz w:val="24"/>
          <w:szCs w:val="24"/>
        </w:rPr>
        <w:t>Strategija održivog razvitka Republike Hrvatske i Nacionalni plan djelovanja na okoliš naglašavaju potrebu za uspostavom cjelovite politike zaštite tla i zemljišta. Budući da temeljni zakonski akt o zaštiti tla i zemljišta nije donesen, zaštita pojedinih uloga tla i održivo gospodarenje tlom i zemljištem u Republici Hrvatskoj posredno su obuhvaćeni legislativom usmjerenom na zaštitu drugih sastavnica okoliša (vode i more, zrak i priroda) i opterećenja na okoliš (industrija i otpad). Međutim, mjere zaštite tla koje se provode u okviru tih zakona nisu dovoljne za usporavanje degradacijskih procesa i otklanjanje opterećenja na tlo i zemljište, budući da zaštita tla nije u primarnom fokusu spomenutih propisa. Zakonski se okvir zaštite zemljišta uspostavlja temeljem posebnih propisa nadležnih ministarstava. Održavanje i zaštita poljoprivrednog zemljišta uređeno je Zakonom o poljoprivrednom zemljištu („Narodne novine“, br. 20/18, 115/18 i 98/19) kao i podzakonskim propisima u okviru nadležnosti Ministarstva poljoprivrede.</w:t>
      </w:r>
    </w:p>
    <w:p w14:paraId="0D0653D3" w14:textId="77777777" w:rsidR="00E4733B" w:rsidRPr="00E4733B" w:rsidRDefault="00E4733B" w:rsidP="00E4733B">
      <w:pPr>
        <w:spacing w:before="80" w:line="276" w:lineRule="auto"/>
        <w:jc w:val="both"/>
        <w:rPr>
          <w:rFonts w:ascii="Times New Roman" w:eastAsia="Times New Roman" w:hAnsi="Times New Roman" w:cs="Times New Roman"/>
          <w:color w:val="000000"/>
          <w:sz w:val="24"/>
          <w:szCs w:val="24"/>
        </w:rPr>
      </w:pPr>
      <w:r w:rsidRPr="00E4733B">
        <w:rPr>
          <w:rFonts w:ascii="Times New Roman" w:eastAsia="Times New Roman" w:hAnsi="Times New Roman" w:cs="Times New Roman"/>
          <w:color w:val="000000"/>
          <w:sz w:val="24"/>
          <w:szCs w:val="24"/>
        </w:rPr>
        <w:t>Zaštita tla i zemljišta od degradacijskih procesa nema posebnu zakonsku potporu u Republici Hrvatskoj, kao ni u Europskoj uniji, gdje Europsko vijeće nije privelo kraju proceduru donošenja Okvirne direktive o tlu od 2007.. Međutim, iste godine je Europski parlament usvojio Tematsku strategiju zaštite tla s ciljem definiranja zajedničkog i sveobuhvatnog pristupa usmjerenog na očuvanje glavnih uloga tla, sprječavanjem daljnje degradacije tla te popravljanjem degradiranih tala na kvalitativnu razinu sukladnu ciljanoj kategoriji uporabe zemljišta.</w:t>
      </w:r>
    </w:p>
    <w:p w14:paraId="46CA7AED" w14:textId="77777777" w:rsidR="00E4733B" w:rsidRPr="00E4733B" w:rsidRDefault="00E4733B" w:rsidP="00E4733B">
      <w:pPr>
        <w:spacing w:before="80" w:line="276" w:lineRule="auto"/>
        <w:jc w:val="both"/>
        <w:rPr>
          <w:rFonts w:ascii="Times New Roman" w:eastAsia="Times New Roman" w:hAnsi="Times New Roman" w:cs="Times New Roman"/>
          <w:color w:val="000000"/>
          <w:sz w:val="24"/>
          <w:szCs w:val="24"/>
        </w:rPr>
      </w:pPr>
      <w:r w:rsidRPr="00E4733B">
        <w:rPr>
          <w:rFonts w:ascii="Times New Roman" w:eastAsia="Times New Roman" w:hAnsi="Times New Roman" w:cs="Times New Roman"/>
          <w:color w:val="000000"/>
          <w:sz w:val="24"/>
          <w:szCs w:val="24"/>
        </w:rPr>
        <w:t>Osnovni preduvjet u zaštiti tla i zemljišta je praćenje stanja tla, odnosno parametara tla sa svrhom prikupljanja informacija o promjenama stanja i karakteristika tla te identifikacije oblika i intenziteta degradacijskih procesa u tlu. Bez razvoja sustava kojim bi se trajno periodično prikupljale informacije o negativnim promjenama u tlu, ne mogu postojati ni pravovremene reakcije kojima bi se te promjene sprječavale ili ublažavale.</w:t>
      </w:r>
    </w:p>
    <w:p w14:paraId="60DAB58E" w14:textId="4881B2A3" w:rsidR="00E4733B" w:rsidRPr="00E4733B" w:rsidRDefault="00FA426F" w:rsidP="00E4733B">
      <w:pPr>
        <w:spacing w:before="80" w:line="276" w:lineRule="auto"/>
        <w:jc w:val="both"/>
        <w:rPr>
          <w:rFonts w:ascii="Times New Roman" w:eastAsia="Times New Roman" w:hAnsi="Times New Roman" w:cs="Times New Roman"/>
          <w:color w:val="000000"/>
          <w:sz w:val="24"/>
          <w:szCs w:val="24"/>
        </w:rPr>
      </w:pPr>
      <w:r w:rsidRPr="00FA426F">
        <w:rPr>
          <w:rFonts w:ascii="Times New Roman" w:eastAsia="Times New Roman" w:hAnsi="Times New Roman" w:cs="Times New Roman"/>
          <w:color w:val="000000"/>
          <w:sz w:val="24"/>
          <w:szCs w:val="24"/>
        </w:rPr>
        <w:t>Izrađen je Program trajnog</w:t>
      </w:r>
      <w:r>
        <w:rPr>
          <w:rFonts w:ascii="Times New Roman" w:eastAsia="Times New Roman" w:hAnsi="Times New Roman" w:cs="Times New Roman"/>
          <w:color w:val="000000"/>
          <w:sz w:val="24"/>
          <w:szCs w:val="24"/>
        </w:rPr>
        <w:t xml:space="preserve"> </w:t>
      </w:r>
      <w:r w:rsidR="00E4733B" w:rsidRPr="00E4733B">
        <w:rPr>
          <w:rFonts w:ascii="Times New Roman" w:eastAsia="Times New Roman" w:hAnsi="Times New Roman" w:cs="Times New Roman"/>
          <w:color w:val="000000"/>
          <w:sz w:val="24"/>
          <w:szCs w:val="24"/>
        </w:rPr>
        <w:t>motrenja tala Hrvatske 2009</w:t>
      </w:r>
      <w:r w:rsidR="005C26BD">
        <w:rPr>
          <w:rFonts w:ascii="Times New Roman" w:eastAsia="Times New Roman" w:hAnsi="Times New Roman" w:cs="Times New Roman"/>
          <w:color w:val="000000"/>
          <w:sz w:val="24"/>
          <w:szCs w:val="24"/>
        </w:rPr>
        <w:t>.</w:t>
      </w:r>
      <w:r w:rsidR="00E4733B" w:rsidRPr="00E4733B">
        <w:rPr>
          <w:rFonts w:ascii="Times New Roman" w:eastAsia="Times New Roman" w:hAnsi="Times New Roman" w:cs="Times New Roman"/>
          <w:color w:val="000000"/>
          <w:sz w:val="24"/>
          <w:szCs w:val="24"/>
        </w:rPr>
        <w:t xml:space="preserve"> kroz pilot projekt „Izrada Programa trajnog motrenja tla Hrvatske“. Pored toga 2010. donesen je prvi Pravilnik o metodologiji za praćenje stanja poljoprivrednog zemljišta („Narodne novine“, broj 60/10) u kojeg su ugrađene preporuke iz Programa trajnog motrenja poljoprivrednih tala. Pravilnikom o metodologiji za praćenje stanja poljoprivrednog zemljišta iz 2019. („Narodne novine“ broj 47/19) stvoreni su preduvjeti za uspostavu informacijskog sustava za zaštitu tla.</w:t>
      </w:r>
    </w:p>
    <w:p w14:paraId="4173F229" w14:textId="00A57301" w:rsidR="00E4733B" w:rsidRPr="00E4733B" w:rsidRDefault="00E4733B" w:rsidP="00E4733B">
      <w:pPr>
        <w:spacing w:before="80" w:line="276" w:lineRule="auto"/>
        <w:jc w:val="both"/>
        <w:rPr>
          <w:rFonts w:ascii="Times New Roman" w:eastAsia="Times New Roman" w:hAnsi="Times New Roman" w:cs="Times New Roman"/>
          <w:color w:val="000000"/>
          <w:sz w:val="24"/>
          <w:szCs w:val="24"/>
        </w:rPr>
      </w:pPr>
      <w:r w:rsidRPr="00E4733B">
        <w:rPr>
          <w:rFonts w:ascii="Times New Roman" w:eastAsia="Times New Roman" w:hAnsi="Times New Roman" w:cs="Times New Roman"/>
          <w:color w:val="000000"/>
          <w:sz w:val="24"/>
          <w:szCs w:val="24"/>
        </w:rPr>
        <w:t>Pravilnikom o zaštiti poljoprivrednog zemljišta od onečišćenja („Narodne novine", broj 71/19) definirane su onečišćujuće tvari, izvori onečišćenja te maksimalno dopuštene količine onečišćujućih tvari u tlu, no nisu propisane za zemljišta koja se koriste u druge svrhe (šumsko zemljište, naselja, industrijske zone itd.), ali predmetno nije zapreka primjeni Pravilnika za ostalo zemljište, što se i primjenjuje u praksi, ali je otežano sustavno motrenje onečišćenih i potencijalno onečišćenih lokacija te eventualnih promjena u stanju tla. Sukladno Programu trajnog motrenja tala Hrvatske iz 2009</w:t>
      </w:r>
      <w:r w:rsidR="005C26BD">
        <w:rPr>
          <w:rFonts w:ascii="Times New Roman" w:eastAsia="Times New Roman" w:hAnsi="Times New Roman" w:cs="Times New Roman"/>
          <w:color w:val="000000"/>
          <w:sz w:val="24"/>
          <w:szCs w:val="24"/>
        </w:rPr>
        <w:t>.</w:t>
      </w:r>
      <w:r w:rsidRPr="00E4733B">
        <w:rPr>
          <w:rFonts w:ascii="Times New Roman" w:eastAsia="Times New Roman" w:hAnsi="Times New Roman" w:cs="Times New Roman"/>
          <w:color w:val="000000"/>
          <w:sz w:val="24"/>
          <w:szCs w:val="24"/>
        </w:rPr>
        <w:t xml:space="preserve"> dobivenom kroz provedbu pilot projekt „Izrada Programa trajnog motrenja tla Hrvatske“ (Agencija za zaštitu okoliša) potrebno je uspostaviti jasan zakonodavni okvir u vidu cjelovite zaštite tla i zemljišta kao sastavnice okoliša što mora biti zadaća </w:t>
      </w:r>
      <w:r w:rsidR="00205AF4">
        <w:rPr>
          <w:rFonts w:ascii="Times New Roman" w:eastAsia="Times New Roman" w:hAnsi="Times New Roman" w:cs="Times New Roman"/>
          <w:color w:val="000000"/>
          <w:sz w:val="24"/>
          <w:szCs w:val="24"/>
        </w:rPr>
        <w:t>MINGOR-a</w:t>
      </w:r>
      <w:r w:rsidRPr="00E4733B">
        <w:rPr>
          <w:rFonts w:ascii="Times New Roman" w:eastAsia="Times New Roman" w:hAnsi="Times New Roman" w:cs="Times New Roman"/>
          <w:color w:val="000000"/>
          <w:sz w:val="24"/>
          <w:szCs w:val="24"/>
        </w:rPr>
        <w:t xml:space="preserve"> -</w:t>
      </w:r>
      <w:r w:rsidR="00205AF4">
        <w:rPr>
          <w:rFonts w:ascii="Times New Roman" w:eastAsia="Times New Roman" w:hAnsi="Times New Roman" w:cs="Times New Roman"/>
          <w:color w:val="000000"/>
          <w:sz w:val="24"/>
          <w:szCs w:val="24"/>
        </w:rPr>
        <w:t>ZZOP</w:t>
      </w:r>
      <w:r w:rsidRPr="00E4733B">
        <w:rPr>
          <w:rFonts w:ascii="Times New Roman" w:eastAsia="Times New Roman" w:hAnsi="Times New Roman" w:cs="Times New Roman"/>
          <w:color w:val="000000"/>
          <w:sz w:val="24"/>
          <w:szCs w:val="24"/>
        </w:rPr>
        <w:t>.</w:t>
      </w:r>
    </w:p>
    <w:p w14:paraId="181DE61D" w14:textId="77777777" w:rsidR="00D84719" w:rsidRDefault="00E4733B" w:rsidP="00D84719">
      <w:pPr>
        <w:spacing w:before="80" w:line="276" w:lineRule="auto"/>
        <w:jc w:val="both"/>
        <w:rPr>
          <w:rFonts w:ascii="Times New Roman" w:eastAsia="Times New Roman" w:hAnsi="Times New Roman" w:cs="Times New Roman"/>
          <w:color w:val="000000"/>
          <w:sz w:val="24"/>
          <w:szCs w:val="24"/>
        </w:rPr>
      </w:pPr>
      <w:r w:rsidRPr="00E4733B">
        <w:rPr>
          <w:rFonts w:ascii="Times New Roman" w:eastAsia="Times New Roman" w:hAnsi="Times New Roman" w:cs="Times New Roman"/>
          <w:color w:val="000000"/>
          <w:sz w:val="24"/>
          <w:szCs w:val="24"/>
        </w:rPr>
        <w:lastRenderedPageBreak/>
        <w:t>Održavanje i zaštita poljoprivrednog zemljišta i naknada uređeno je Zakonom o poljoprivrednom zemljištu („Narodne novine“, br. 20/18, 115/18 i 98/19) kao i podzakonskim propisima koji među ostalim propisuju: agrotehničke mjere kojima su vlasnici i posjednici poljoprivrednog zemljišta dužni poljoprivredno zemljište obrađivati na način da ne umanjuju njegovu bonitetnu vrijednost; utvrđuju se tvari koje se smatraju onečišćivačima poljoprivrednog zemljišta i njihove najviše dopuštene količine, mjere i kontrole od onečišćenja i degradacije radi održavanja u stanju koje ga čini povoljnim staništem za proizvodnju zdravstveno ispravne hrane; propisana je metodologija za praćenje stanja poljoprivrednog zemljišta i razvoj informacijskog sustava, a koristiti će se za izvješćivanje o stanju poljoprivrednog zemljišta u Republici Hrvatskoj kao jednoj od sastavnica okoliša.</w:t>
      </w:r>
    </w:p>
    <w:p w14:paraId="4E11AA7F" w14:textId="77777777" w:rsidR="00BF4275" w:rsidRPr="00D84719" w:rsidRDefault="00BF4275" w:rsidP="00D84719">
      <w:pPr>
        <w:spacing w:before="80" w:line="276" w:lineRule="auto"/>
        <w:jc w:val="both"/>
        <w:rPr>
          <w:rFonts w:ascii="Times New Roman" w:eastAsia="Times New Roman" w:hAnsi="Times New Roman" w:cs="Times New Roman"/>
          <w:b/>
          <w:bCs/>
          <w:i/>
          <w:iCs/>
          <w:color w:val="000000"/>
          <w:sz w:val="24"/>
          <w:szCs w:val="24"/>
        </w:rPr>
      </w:pPr>
    </w:p>
    <w:p w14:paraId="16C69A50" w14:textId="77777777" w:rsidR="00D84719" w:rsidRPr="00D84719" w:rsidRDefault="00D84719" w:rsidP="002559AD">
      <w:pPr>
        <w:pStyle w:val="Naslov4"/>
      </w:pPr>
      <w:bookmarkStart w:id="18" w:name="_Toc64460666"/>
      <w:r w:rsidRPr="00D84719">
        <w:t>Kopnene vode</w:t>
      </w:r>
      <w:bookmarkEnd w:id="18"/>
    </w:p>
    <w:p w14:paraId="5C1AB02C"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 xml:space="preserve">Tijekom procesa pristupanja </w:t>
      </w:r>
      <w:r w:rsidRPr="00D84719">
        <w:rPr>
          <w:rFonts w:ascii="Times New Roman" w:eastAsia="Times New Roman" w:hAnsi="Times New Roman" w:cs="Times New Roman"/>
          <w:color w:val="000000"/>
          <w:sz w:val="24"/>
          <w:szCs w:val="24"/>
          <w:lang w:bidi="en-US"/>
        </w:rPr>
        <w:t>Europskoj uniji</w:t>
      </w:r>
      <w:r w:rsidRPr="00D84719">
        <w:rPr>
          <w:rFonts w:ascii="Times New Roman" w:eastAsia="Times New Roman" w:hAnsi="Times New Roman" w:cs="Times New Roman"/>
          <w:color w:val="000000"/>
          <w:sz w:val="24"/>
          <w:szCs w:val="24"/>
        </w:rPr>
        <w:t>, europska pravna stečevina koja se odnosi na područje upravljanja vodama, prenesena je u pravni poredak Republike Hrvatske. Ključni propisi iz područja upravljanja vodama su Zakon o vodama („Narodne novine“, broj 66/19), Zakon o vodnim uslugama („Narodne novine“, broj 66/19), Zakon o financiranju vodnoga gospodarstva („Narodne novine</w:t>
      </w:r>
      <w:r w:rsidR="006B09B7">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 xml:space="preserve">, br. 153/09, 90/11, 56/13, 154/14, 119/15, 120/16, 127/17 i 66/19) te provedbeni propisi doneseni na temelju navedenih zakona. </w:t>
      </w:r>
    </w:p>
    <w:p w14:paraId="06E58245" w14:textId="77777777" w:rsidR="006B09B7" w:rsidRDefault="006B09B7" w:rsidP="00D84719">
      <w:pPr>
        <w:spacing w:before="80" w:line="276" w:lineRule="auto"/>
        <w:jc w:val="both"/>
        <w:rPr>
          <w:rFonts w:ascii="Times New Roman" w:eastAsia="Times New Roman" w:hAnsi="Times New Roman" w:cs="Times New Roman"/>
          <w:color w:val="000000"/>
          <w:sz w:val="24"/>
          <w:szCs w:val="24"/>
        </w:rPr>
      </w:pPr>
      <w:r w:rsidRPr="006B09B7">
        <w:rPr>
          <w:rFonts w:ascii="Times New Roman" w:eastAsia="Times New Roman" w:hAnsi="Times New Roman" w:cs="Times New Roman"/>
          <w:color w:val="000000"/>
          <w:sz w:val="24"/>
          <w:szCs w:val="24"/>
        </w:rPr>
        <w:t>MINGOR obavlja upravne i stručne poslove koji se odnose na opću i sektorsku politiku zaštite voda, dok su Hrvatske vode – pravna osoba s javnim ovlastima za upravljanje vodama.</w:t>
      </w:r>
      <w:r>
        <w:rPr>
          <w:rFonts w:ascii="Times New Roman" w:eastAsia="Times New Roman" w:hAnsi="Times New Roman" w:cs="Times New Roman"/>
          <w:color w:val="000000"/>
          <w:sz w:val="24"/>
          <w:szCs w:val="24"/>
        </w:rPr>
        <w:t xml:space="preserve"> </w:t>
      </w:r>
    </w:p>
    <w:p w14:paraId="2DC35554"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 xml:space="preserve">Načela upravljanja vodama propisana su Zakonom o vodama i određuju da voda nije komercijalni proizvod, nego je naslijeđe koje treba čuvati, štititi i mudro i racionalno koristiti te da se vodama upravlja prema načelu jedinstva vodnog sustava i načelu održivog razvitka kojim se zadovoljavaju potrebe sadašnje generacije i ne ugrožava pravo i mogućnost budućih generacija da to ostvare za sebe, a upravljanje vodama se prilagođava globalnim klimatskim promjenama. </w:t>
      </w:r>
    </w:p>
    <w:p w14:paraId="39AD3D33"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 xml:space="preserve">Propisi iz područja upravljanja vodama utvrđuju i ciljeve upravljanja vodama te ciljeve zaštite voda. Razrada propisima utvrđenih ciljeva upravljanja vodama i ciljeva zaštite voda odnosno određivanja specifičnih ciljeva te način postizanja ciljeva predmet je planskih dokumenata upravljanja vodama. Specifični ciljevi postavljaju se ovisno o stanju voda, obvezama preuzetim tijekom pristupanja </w:t>
      </w:r>
      <w:r w:rsidRPr="00D84719">
        <w:rPr>
          <w:rFonts w:ascii="Times New Roman" w:eastAsia="Times New Roman" w:hAnsi="Times New Roman" w:cs="Times New Roman"/>
          <w:color w:val="000000"/>
          <w:sz w:val="24"/>
          <w:szCs w:val="24"/>
          <w:lang w:bidi="en-US"/>
        </w:rPr>
        <w:t>Europskoj uniji</w:t>
      </w:r>
      <w:r w:rsidRPr="00D84719">
        <w:rPr>
          <w:rFonts w:ascii="Times New Roman" w:eastAsia="Times New Roman" w:hAnsi="Times New Roman" w:cs="Times New Roman"/>
          <w:color w:val="000000"/>
          <w:sz w:val="24"/>
          <w:szCs w:val="24"/>
        </w:rPr>
        <w:t xml:space="preserve">, obvezama iz važećih propisa tijekom izrade planskih dokumenata i/ili komunikacije s Europskom komisijom. Planski dokumenti upravljanja vodama su: (1) Strategija upravljanja vodama, (2) Plan upravljanja vodnim područjima, (3) Višegodišnji programi gradnje, (4) Financijski plan Hrvatskih voda, (5) Plan upravljanja vodama i (6) detaljni planovi uređeni Zakonom o vodama. </w:t>
      </w:r>
    </w:p>
    <w:p w14:paraId="4611A485"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 xml:space="preserve">Strategija upravljanja vodama („Narodne novine“, broj 91/08) utvrđuje viziju, misiju, ciljeve i zadatke državne politike u upravljanju vodama u dugoročnom razdoblju, do 2038.. Ona daje strateška opredjeljenja i smjernice razvoja vodnoga gospodarstva polazeći od zatečenog stanja vodnog sektora, razvojnih potreba, gospodarskih mogućnosti, međunarodnih obveza te potreba za očuvanjem i unapređenjem stanja voda te vodnih i o vodi ovisnih ekosustava. Strategija upravljanja vodama je dokument na temelju kojeg se </w:t>
      </w:r>
      <w:r w:rsidR="006B09B7" w:rsidRPr="00D84719">
        <w:rPr>
          <w:rFonts w:ascii="Times New Roman" w:eastAsia="Times New Roman" w:hAnsi="Times New Roman" w:cs="Times New Roman"/>
          <w:color w:val="000000"/>
          <w:sz w:val="24"/>
          <w:szCs w:val="24"/>
        </w:rPr>
        <w:t>provod</w:t>
      </w:r>
      <w:r w:rsidR="006B09B7">
        <w:rPr>
          <w:rFonts w:ascii="Times New Roman" w:eastAsia="Times New Roman" w:hAnsi="Times New Roman" w:cs="Times New Roman"/>
          <w:color w:val="000000"/>
          <w:sz w:val="24"/>
          <w:szCs w:val="24"/>
        </w:rPr>
        <w:t>e</w:t>
      </w:r>
      <w:r w:rsidR="006B09B7" w:rsidRPr="00D84719">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xml:space="preserve">reforme vodnog sektora kako bi </w:t>
      </w:r>
      <w:r w:rsidRPr="00D84719">
        <w:rPr>
          <w:rFonts w:ascii="Times New Roman" w:eastAsia="Times New Roman" w:hAnsi="Times New Roman" w:cs="Times New Roman"/>
          <w:color w:val="000000"/>
          <w:sz w:val="24"/>
          <w:szCs w:val="24"/>
        </w:rPr>
        <w:lastRenderedPageBreak/>
        <w:t xml:space="preserve">se dostigli europski standardi u upravljanju vodama, a također je okvir za pripremu strategija i planova prostornog uređenja, zaštite okoliša, zaštite prirode i razvoja ostalih sektora koji ovise o vodama ili utječu na stanje voda (poljoprivreda, šumarstvo, ribarstvo, industrija, energetika, promet, turizam, javno zdravstvo i drugo). Strategija se usklađuje periodično, sukladno promjenama koje nastaju u vodnom sustavu, gospodarskom i društvenom razvoju, a donosi je Hrvatski sabor. Razmatranje o potrebi njenih promjena u predmetnom vremenskom razdoblju u nadležnosti je Nacionalnog vijeća za vode. </w:t>
      </w:r>
    </w:p>
    <w:p w14:paraId="2DE157BC" w14:textId="5A0C8D84"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Plan upravljanja vodnim područjima osnovni je instrument za upravljanje stanjem voda i rizicima od poplava koji donosi Vlada Republike Hrvatske za razdoblje od šest godina, nakon čega se mijenja i dopunjuje za razdoblje od narednih šest godina u svrhu održavanja/postizanja dobrog kemijskog i ekološkog stanja voda. Drugi plan upravljanja vodnim područjima za razdoblje od 2016. do 2021</w:t>
      </w:r>
      <w:r w:rsidR="005C26BD">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 xml:space="preserve"> („Narodne novine“, broj 66/16) sastoji se od dvije komponente: upravljanje stanjem voda i upravljanje rizicima od poplava. U njemu je, između ostaloga, dan pregled podataka o stanju voda i analiza provedbe Plana upravljanja vodnim područjima za razdoblje 2013. do 2015</w:t>
      </w:r>
      <w:r w:rsidR="005C26BD">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 xml:space="preserve">, ocjena napretka u postizanju ciljeva zaštite voda i dana je procjena rizika da ciljevi zaštite voda neće biti ispunjeni. Hrvatske vode mogu donijeti detaljnije planove upravljanja za podsliv, mali sliv i sektor odnosno planove vezane za druga pitanja od interesa za upravljanje vodama, a jedinice lokalne i područne (regionalne) samouprave dužne su od Hrvatskih voda ishoditi zahtjeve za izradu prostornih planova i mišljenje o poštivanju tih zahtjeva u odnosu na usklađenost tih prostornih planova s planskim dokumentima upravljanja vodama. </w:t>
      </w:r>
    </w:p>
    <w:p w14:paraId="38EFA3D6"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Na osnovu prethodno navedenog, ali i drugih ulaznih podataka, a da bi se postigli ciljevi zaštite vodnoga okoliša, za svako vodno područje izrađuje se Program mjera zaštite površinskih i podzemnih voda za plansko razdoblje od 2016. do 2021.. koji je sastavni dio Plana upravljanja vodnim područjima i obuhvaća osnovne, dodatne i dopunske mjere. Osnovne mjere obuhvaćaju: mjere povrata troškova vodnih usluga i poticanje učinkovitog korištenja voda, mjere zaštite voda namijenjenih za ljudsku potrošnju, mjere kontrole zahvaćanja voda, mjere kontrole prihranjivanja podzemnih voda, mjere kontrole točkastih izvora onečišćenja, mjere kontrole raspršenih izvora onečišćenja, mjere kontrole i smanjenja hidromorfološkog opterećenja voda, mjere kontrole drugih značajnih utjecaja na stanje voda osobito na hidromorfološko stanje, mjere zabrane direktnog ispuštanja onečišćenja u podzemne vode, mjere eliminacije i smanjenja onečišćenja prioritetnim tvarima i mjere prevencije akcidentnih onečišćenja. Dodatne mjere odnose se na: (1) vode namijenjene za ljudsku potrošnju ili rezervirane za te namjene u budućnosti, (2) vode pogodne za život slatkovodnih riba i vode pogodne za školjkaše, (3) područja voda za kupanje i rekreaciju, (4) osjetljiva područja, slivovi osjetljivih područja, (5) područja podložna onečišćenju nitratima poljoprivrednog porijekla, ranjiva područja, (6) područja namijenjena zaštiti staništa ili vrsta gdje je održavanje ili poboljšanje stanja voda bitan element njihove zaštite i (7) prijedlog dopune Registra zaštićenih područja. Program mjera za razdoblje od 2016. do</w:t>
      </w:r>
      <w:r w:rsidR="00612979">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2021. planira provedbu 144 osnovnih mjera, 116 dodatnih mjera i preporučuje provedbu devet dopunskih mjera.</w:t>
      </w:r>
    </w:p>
    <w:p w14:paraId="5C6D08BB"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 xml:space="preserve">Postizanje ciljeva, odnosno provođenje mjera iz Plana upravljanja vodnim područjima uključuje niz korisnika/djelatnosti/područja – stanovništvo, poljoprivreda, klimatske promjene, </w:t>
      </w:r>
      <w:r w:rsidRPr="00D84719">
        <w:rPr>
          <w:rFonts w:ascii="Times New Roman" w:eastAsia="Times New Roman" w:hAnsi="Times New Roman" w:cs="Times New Roman"/>
          <w:color w:val="000000"/>
          <w:sz w:val="24"/>
          <w:szCs w:val="24"/>
        </w:rPr>
        <w:lastRenderedPageBreak/>
        <w:t xml:space="preserve">hidroenergetika, energetika - ostalo, ribarstvo i akvakultura, obrana od poplave, šumarstvo, industrija, turizam i rekreacija, promet i ostalo. O izvršenju Plana upravljanja vodnim područjima podnosi se izvješće svake tri godine Hrvatskom saboru i Europskoj komisiji, a izvješće je sastavni dio Plana upravljanja vodnim područjima. </w:t>
      </w:r>
    </w:p>
    <w:p w14:paraId="5DF4CC6B"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 xml:space="preserve">Višegodišnje programe gradnje komunalnih vodnih građevina, regulacijskih i zaštitnih vodnih građevina i građevina za melioracije donosi Vlada Republike Hrvatske, a izrađuju Hrvatske vode u šestogodišnjim planskim ciklusima. Višegodišnji program gradnje („Narodne novine“, broj 117/15) kroz investicijske mjere objedinjuje obaveze iz europske pravne stečevine, osobito iz Okvirne direktive o vodama i Direktive o poplavama te daje poseban naglasak na procjenu i upravljanje poplavnim rizicima, kakvoću vode namijenjene za ljudsku potrošnju i pročišćavanje komunalnih otpadnih voda. </w:t>
      </w:r>
    </w:p>
    <w:p w14:paraId="13530096" w14:textId="77777777" w:rsidR="00D84719" w:rsidRPr="00D84719" w:rsidRDefault="00D84719" w:rsidP="00D84719">
      <w:pPr>
        <w:spacing w:before="80" w:line="276" w:lineRule="auto"/>
        <w:jc w:val="both"/>
        <w:rPr>
          <w:rFonts w:ascii="Times New Roman" w:eastAsia="Times New Roman" w:hAnsi="Times New Roman" w:cs="Times New Roman"/>
          <w:color w:val="000000"/>
          <w:szCs w:val="24"/>
        </w:rPr>
      </w:pPr>
      <w:r w:rsidRPr="00D84719">
        <w:rPr>
          <w:rFonts w:ascii="Times New Roman" w:eastAsia="Times New Roman" w:hAnsi="Times New Roman" w:cs="Times New Roman"/>
          <w:color w:val="000000"/>
          <w:sz w:val="24"/>
          <w:szCs w:val="24"/>
        </w:rPr>
        <w:t>Za upravljanje vodama na godišnjoj razini Hrvatske vode donose Plan upravljanja vodama koji mora biti usklađen s Planom upravljanja vodnim područjima i Financijskim planom Hrvatskih voda.</w:t>
      </w:r>
    </w:p>
    <w:p w14:paraId="724A3A8E" w14:textId="77777777" w:rsidR="00D84719" w:rsidRPr="00D84719" w:rsidRDefault="00D84719" w:rsidP="00D84719">
      <w:pPr>
        <w:keepNext/>
        <w:spacing w:before="80" w:line="276" w:lineRule="auto"/>
        <w:jc w:val="both"/>
        <w:rPr>
          <w:rFonts w:ascii="Times New Roman" w:eastAsia="Times New Roman" w:hAnsi="Times New Roman" w:cs="Times New Roman"/>
          <w:color w:val="000000"/>
          <w:szCs w:val="24"/>
        </w:rPr>
      </w:pPr>
      <w:r w:rsidRPr="00D84719">
        <w:rPr>
          <w:rFonts w:ascii="Times New Roman" w:eastAsia="Times New Roman" w:hAnsi="Times New Roman" w:cs="Times New Roman"/>
          <w:noProof/>
          <w:color w:val="000000"/>
          <w:szCs w:val="24"/>
          <w:lang w:eastAsia="hr-HR"/>
        </w:rPr>
        <w:drawing>
          <wp:inline distT="0" distB="0" distL="0" distR="0" wp14:anchorId="09FD938A" wp14:editId="6011C037">
            <wp:extent cx="5760720" cy="3449957"/>
            <wp:effectExtent l="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449957"/>
                    </a:xfrm>
                    <a:prstGeom prst="rect">
                      <a:avLst/>
                    </a:prstGeom>
                    <a:noFill/>
                    <a:ln>
                      <a:noFill/>
                    </a:ln>
                  </pic:spPr>
                </pic:pic>
              </a:graphicData>
            </a:graphic>
          </wp:inline>
        </w:drawing>
      </w:r>
    </w:p>
    <w:p w14:paraId="24B53F0A" w14:textId="77777777" w:rsidR="00D84719" w:rsidRPr="00D84719" w:rsidRDefault="00D84719" w:rsidP="00D84719">
      <w:pPr>
        <w:keepNext/>
        <w:spacing w:before="80" w:after="0" w:line="276" w:lineRule="auto"/>
        <w:jc w:val="both"/>
        <w:rPr>
          <w:rFonts w:ascii="Times New Roman" w:eastAsia="Times New Roman" w:hAnsi="Times New Roman" w:cs="Times New Roman"/>
          <w:b/>
          <w:bCs/>
          <w:i/>
          <w:sz w:val="20"/>
          <w:szCs w:val="20"/>
        </w:rPr>
      </w:pPr>
      <w:r w:rsidRPr="00D84719">
        <w:rPr>
          <w:rFonts w:ascii="Times New Roman" w:eastAsia="Times New Roman" w:hAnsi="Times New Roman" w:cs="Times New Roman"/>
          <w:b/>
          <w:bCs/>
          <w:i/>
          <w:sz w:val="20"/>
          <w:szCs w:val="20"/>
        </w:rPr>
        <w:t xml:space="preserve">Slika </w:t>
      </w:r>
      <w:r w:rsidRPr="00D84719">
        <w:rPr>
          <w:rFonts w:ascii="Times New Roman" w:eastAsia="Times New Roman" w:hAnsi="Times New Roman" w:cs="Times New Roman"/>
          <w:b/>
          <w:bCs/>
          <w:i/>
          <w:sz w:val="20"/>
          <w:szCs w:val="20"/>
        </w:rPr>
        <w:fldChar w:fldCharType="begin"/>
      </w:r>
      <w:r w:rsidRPr="00D84719">
        <w:rPr>
          <w:rFonts w:ascii="Times New Roman" w:eastAsia="Times New Roman" w:hAnsi="Times New Roman" w:cs="Times New Roman"/>
          <w:b/>
          <w:bCs/>
          <w:i/>
          <w:sz w:val="20"/>
          <w:szCs w:val="20"/>
        </w:rPr>
        <w:instrText xml:space="preserve"> STYLEREF 2 \s </w:instrText>
      </w:r>
      <w:r w:rsidRPr="00D84719">
        <w:rPr>
          <w:rFonts w:ascii="Times New Roman" w:eastAsia="Times New Roman" w:hAnsi="Times New Roman" w:cs="Times New Roman"/>
          <w:b/>
          <w:bCs/>
          <w:i/>
          <w:sz w:val="20"/>
          <w:szCs w:val="20"/>
        </w:rPr>
        <w:fldChar w:fldCharType="separate"/>
      </w:r>
      <w:r w:rsidRPr="00D84719">
        <w:rPr>
          <w:rFonts w:ascii="Times New Roman" w:eastAsia="Times New Roman" w:hAnsi="Times New Roman" w:cs="Times New Roman"/>
          <w:b/>
          <w:bCs/>
          <w:i/>
          <w:sz w:val="20"/>
          <w:szCs w:val="20"/>
        </w:rPr>
        <w:t>2.1</w:t>
      </w:r>
      <w:r w:rsidRPr="00D84719">
        <w:rPr>
          <w:rFonts w:ascii="Times New Roman" w:eastAsia="Times New Roman" w:hAnsi="Times New Roman" w:cs="Times New Roman"/>
          <w:b/>
          <w:bCs/>
          <w:i/>
          <w:sz w:val="20"/>
          <w:szCs w:val="20"/>
        </w:rPr>
        <w:fldChar w:fldCharType="end"/>
      </w:r>
      <w:r w:rsidRPr="00D84719">
        <w:rPr>
          <w:rFonts w:ascii="Times New Roman" w:eastAsia="Times New Roman" w:hAnsi="Times New Roman" w:cs="Times New Roman"/>
          <w:b/>
          <w:bCs/>
          <w:i/>
          <w:sz w:val="20"/>
          <w:szCs w:val="20"/>
        </w:rPr>
        <w:noBreakHyphen/>
      </w:r>
      <w:r w:rsidRPr="00D84719">
        <w:rPr>
          <w:rFonts w:ascii="Times New Roman" w:eastAsia="Times New Roman" w:hAnsi="Times New Roman" w:cs="Times New Roman"/>
          <w:b/>
          <w:bCs/>
          <w:i/>
          <w:sz w:val="20"/>
          <w:szCs w:val="20"/>
        </w:rPr>
        <w:fldChar w:fldCharType="begin"/>
      </w:r>
      <w:r w:rsidRPr="00D84719">
        <w:rPr>
          <w:rFonts w:ascii="Times New Roman" w:eastAsia="Times New Roman" w:hAnsi="Times New Roman" w:cs="Times New Roman"/>
          <w:b/>
          <w:bCs/>
          <w:i/>
          <w:sz w:val="20"/>
          <w:szCs w:val="20"/>
        </w:rPr>
        <w:instrText xml:space="preserve"> SEQ Slika \* ARABIC \s 2 </w:instrText>
      </w:r>
      <w:r w:rsidRPr="00D84719">
        <w:rPr>
          <w:rFonts w:ascii="Times New Roman" w:eastAsia="Times New Roman" w:hAnsi="Times New Roman" w:cs="Times New Roman"/>
          <w:b/>
          <w:bCs/>
          <w:i/>
          <w:sz w:val="20"/>
          <w:szCs w:val="20"/>
        </w:rPr>
        <w:fldChar w:fldCharType="separate"/>
      </w:r>
      <w:r w:rsidRPr="00D84719">
        <w:rPr>
          <w:rFonts w:ascii="Times New Roman" w:eastAsia="Times New Roman" w:hAnsi="Times New Roman" w:cs="Times New Roman"/>
          <w:b/>
          <w:bCs/>
          <w:i/>
          <w:sz w:val="20"/>
          <w:szCs w:val="20"/>
        </w:rPr>
        <w:t>1</w:t>
      </w:r>
      <w:r w:rsidRPr="00D84719">
        <w:rPr>
          <w:rFonts w:ascii="Times New Roman" w:eastAsia="Times New Roman" w:hAnsi="Times New Roman" w:cs="Times New Roman"/>
          <w:b/>
          <w:bCs/>
          <w:i/>
          <w:sz w:val="20"/>
          <w:szCs w:val="20"/>
        </w:rPr>
        <w:fldChar w:fldCharType="end"/>
      </w:r>
      <w:r w:rsidRPr="00D84719">
        <w:rPr>
          <w:rFonts w:ascii="Times New Roman" w:eastAsia="Times New Roman" w:hAnsi="Times New Roman" w:cs="Times New Roman"/>
          <w:b/>
          <w:bCs/>
          <w:i/>
          <w:sz w:val="20"/>
          <w:szCs w:val="20"/>
        </w:rPr>
        <w:t xml:space="preserve"> Odnos planskih dokumenata upravljanja vodama</w:t>
      </w:r>
    </w:p>
    <w:p w14:paraId="58403A5F" w14:textId="77777777" w:rsidR="00D84719" w:rsidRPr="00D84719" w:rsidRDefault="00D84719" w:rsidP="00D84719">
      <w:pPr>
        <w:spacing w:before="80" w:line="276" w:lineRule="auto"/>
        <w:jc w:val="both"/>
        <w:rPr>
          <w:rFonts w:ascii="Times New Roman" w:eastAsia="Times New Roman" w:hAnsi="Times New Roman" w:cs="Times New Roman"/>
          <w:color w:val="000000"/>
          <w:szCs w:val="24"/>
        </w:rPr>
      </w:pPr>
    </w:p>
    <w:p w14:paraId="330C4340" w14:textId="77777777" w:rsidR="00D84719" w:rsidRPr="00D84719" w:rsidRDefault="00D84719" w:rsidP="002559AD">
      <w:pPr>
        <w:pStyle w:val="Naslov4"/>
      </w:pPr>
      <w:bookmarkStart w:id="19" w:name="_Toc64460667"/>
      <w:r w:rsidRPr="00D84719">
        <w:t>Zaštita prirode</w:t>
      </w:r>
      <w:bookmarkEnd w:id="19"/>
    </w:p>
    <w:p w14:paraId="787CC7F0"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 xml:space="preserve">Strateškim planiranjem nastoje se usmjeriti raspoloživi kapaciteti prema aktivnostima koje će u najznačajnijoj mjeri doprinijeti očuvanju prirode. Strategija i akcijski plan zaštite prirode Republike Hrvatske temeljni su dokumenti zaštite prirode kojima se određuju dugoročni ciljevi i smjernice očuvanja biološke raznolikosti, a dosad su doneseni u 1999., 2008. i 2017.. </w:t>
      </w:r>
    </w:p>
    <w:p w14:paraId="660F2C49"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bookmarkStart w:id="20" w:name="_Hlk51926696"/>
      <w:r w:rsidRPr="00D84719">
        <w:rPr>
          <w:rFonts w:ascii="Times New Roman" w:eastAsia="Times New Roman" w:hAnsi="Times New Roman" w:cs="Times New Roman"/>
          <w:color w:val="000000"/>
          <w:sz w:val="24"/>
          <w:szCs w:val="24"/>
        </w:rPr>
        <w:t xml:space="preserve">Europska pravna stečevina zaštite prirode prenesena je u pravni poredak Hrvatske, najvećim dijelom kroz Zakon o zaštiti prirode („Narodne novine“, br. 80/13, 15/18, 14/19 i 127/19) i </w:t>
      </w:r>
      <w:r w:rsidRPr="00D84719">
        <w:rPr>
          <w:rFonts w:ascii="Times New Roman" w:eastAsia="Times New Roman" w:hAnsi="Times New Roman" w:cs="Times New Roman"/>
          <w:color w:val="000000"/>
          <w:sz w:val="24"/>
          <w:szCs w:val="24"/>
        </w:rPr>
        <w:lastRenderedPageBreak/>
        <w:t>prateće provedbene podzakonske akte</w:t>
      </w:r>
      <w:bookmarkStart w:id="21" w:name="_Hlk43303717"/>
      <w:r w:rsidRPr="00D84719">
        <w:rPr>
          <w:rFonts w:ascii="Times New Roman" w:eastAsia="Times New Roman" w:hAnsi="Times New Roman" w:cs="Times New Roman"/>
          <w:color w:val="000000"/>
          <w:sz w:val="24"/>
          <w:szCs w:val="24"/>
        </w:rPr>
        <w:t xml:space="preserve">. </w:t>
      </w:r>
      <w:bookmarkStart w:id="22" w:name="_Hlk43303872"/>
      <w:r w:rsidRPr="00D84719">
        <w:rPr>
          <w:rFonts w:ascii="Times New Roman" w:eastAsia="Times New Roman" w:hAnsi="Times New Roman" w:cs="Times New Roman"/>
          <w:color w:val="000000"/>
          <w:sz w:val="24"/>
          <w:szCs w:val="24"/>
        </w:rPr>
        <w:t xml:space="preserve">Na taj način </w:t>
      </w:r>
      <w:r w:rsidRPr="00D84719">
        <w:rPr>
          <w:rFonts w:ascii="Times New Roman" w:eastAsia="Times New Roman" w:hAnsi="Times New Roman" w:cs="Times New Roman"/>
          <w:color w:val="000000"/>
          <w:sz w:val="24"/>
          <w:szCs w:val="24"/>
          <w:shd w:val="clear" w:color="auto" w:fill="FFFFFF"/>
        </w:rPr>
        <w:t>uspostavljen je novi zakonodavni i institucionalni okvir zaštite prirode kojim se zakonodavstvo uskladilo s odgovarajućim direktivama Europske unije, a time i s međunarodnim konvencijama i sporazumima vezanim uz zaštitu prirode budući da je Republika Hrvatska potpisnica 18 međunarodnih ugovora iz tog područja.</w:t>
      </w:r>
    </w:p>
    <w:bookmarkEnd w:id="20"/>
    <w:bookmarkEnd w:id="21"/>
    <w:bookmarkEnd w:id="22"/>
    <w:p w14:paraId="6F22CE26"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Za poslove zaštite prirode nadležni su MINGOR i upravna tijela jedinica područne (regionalne) samouprave nadležna za zaštitu prirode, javne ustanove za upravljanje nacionalnim parkovima i parkovima prirode te javne ustanove za upravljanje drugim zaštićenim područjima i/ili dijelovima prirode čiji su osnivači jedinice područne (regionalne) samouprave. U MINGOR zaštita prirode u nadležnosti je Uprave za zaštitu prirode i Zavoda za zaštitu okoliša i prirode.</w:t>
      </w:r>
    </w:p>
    <w:p w14:paraId="254B7BA5"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 xml:space="preserve">Sukladno članku 12. Zakona o zaštiti prirode, MINGOR izrađuje Izvješće o stanju prirode u Republici Hrvatskoj za razdoblje od pet godina za potrebe analize ostvarivanja ciljeva i aktivnosti Strategije. Posljednje Izvješće o stanju prirode u </w:t>
      </w:r>
      <w:r w:rsidRPr="00D84719">
        <w:rPr>
          <w:rFonts w:ascii="Times New Roman" w:eastAsia="Times New Roman" w:hAnsi="Times New Roman" w:cs="Times New Roman"/>
          <w:color w:val="000000"/>
          <w:sz w:val="24"/>
          <w:szCs w:val="24"/>
          <w:lang w:bidi="en-US"/>
        </w:rPr>
        <w:t>Republici Hrvatskoj</w:t>
      </w:r>
      <w:r w:rsidRPr="00D84719">
        <w:rPr>
          <w:rFonts w:ascii="Times New Roman" w:eastAsia="Times New Roman" w:hAnsi="Times New Roman" w:cs="Times New Roman"/>
          <w:color w:val="000000"/>
          <w:sz w:val="24"/>
          <w:szCs w:val="24"/>
        </w:rPr>
        <w:t xml:space="preserve"> izrađeno je za razdoblje od 2013. do 2017. i donosi pregled stanja svih sastavnica prirode (bioraznolikost, krajobrazna raznolikost i georaznolikost), pritisaka na njih, kao i provedbe mehanizama i mjera zaštite koji bi trebali pridonijeti postizanju i očuvanju dobrog stanja svih sastavnica. Sukladno Zakonu o zaštiti prirode korištenje prirodnih dobara provodi se na temelju planova gospodarenja prirodnim dobrima vodeći računa o očuvanju bioraznolikosti, krajobrazne raznolikosti i georaznolikosti. U postupku izrade prostornih planova i planova gospodarenja prirodnim dobrima temeljem Zakona o zaštiti prirode utvrđuje se prisutnost ugroženih i rijetkih stanišnih tipova i njihovo stanje te u dokumente unose uvjeti i mjere, odnosno smjernice za njihovo očuvanje. Staništa se neposredno štite unutar zaštićenih područja te područja ekološke mreže. Osim mehanizma ocjene prihvatljivosti za ekološku mrežu propisanog Zakonom o zaštiti prirode i vezanog uz Ekološku mrežu </w:t>
      </w:r>
      <w:r w:rsidRPr="00D84719">
        <w:rPr>
          <w:rFonts w:ascii="Times New Roman" w:eastAsia="Times New Roman" w:hAnsi="Times New Roman" w:cs="Times New Roman"/>
          <w:color w:val="000000"/>
          <w:sz w:val="24"/>
          <w:szCs w:val="24"/>
          <w:lang w:bidi="en-US"/>
        </w:rPr>
        <w:t>Republike Hrvatske</w:t>
      </w:r>
      <w:r w:rsidRPr="00D84719">
        <w:rPr>
          <w:rFonts w:ascii="Times New Roman" w:eastAsia="Times New Roman" w:hAnsi="Times New Roman" w:cs="Times New Roman"/>
          <w:color w:val="000000"/>
          <w:sz w:val="24"/>
          <w:szCs w:val="24"/>
        </w:rPr>
        <w:t>, zaštita staništa uzima se u obzir i prilikom planiranja aktivnosti na ostalim područjima provedbom postupka strateške procjene utjecaja na okoliš i procjene utjecaja zahvata na okoliš.</w:t>
      </w:r>
    </w:p>
    <w:p w14:paraId="5BD33BE3"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 xml:space="preserve">Izuzetno bogatstvo bioraznolikosti Republike Hrvatske očituje se kroz gotovo 40.000 poznatih vrsta i podvrsta uz pretpostavku da je ukupan broj znatno veći. Tomu je doprinijelo intenziviranje istraživanja, povezano s procesom pridruživanja </w:t>
      </w:r>
      <w:r w:rsidRPr="00D84719">
        <w:rPr>
          <w:rFonts w:ascii="Times New Roman" w:eastAsia="Times New Roman" w:hAnsi="Times New Roman" w:cs="Times New Roman"/>
          <w:color w:val="000000"/>
          <w:sz w:val="24"/>
          <w:szCs w:val="24"/>
          <w:lang w:bidi="en-US"/>
        </w:rPr>
        <w:t>Europskoj uniji</w:t>
      </w:r>
      <w:r w:rsidRPr="00D84719">
        <w:rPr>
          <w:rFonts w:ascii="Times New Roman" w:eastAsia="Times New Roman" w:hAnsi="Times New Roman" w:cs="Times New Roman"/>
          <w:color w:val="000000"/>
          <w:sz w:val="24"/>
          <w:szCs w:val="24"/>
        </w:rPr>
        <w:t xml:space="preserve">, posebice izradom prijedloga ekološke mreže Natura 2000. Unatoč bogatstvu bioraznolikosti i provedbi određenih mjera očuvanja, mnoge su divlje vrste i dalje ugrožene. Takav trend je zabilježen i na svjetskoj razini. </w:t>
      </w:r>
    </w:p>
    <w:p w14:paraId="51AD503A" w14:textId="0A45D2A2" w:rsidR="00D84719" w:rsidRPr="00D84719" w:rsidRDefault="00D84719" w:rsidP="00D84719">
      <w:pPr>
        <w:spacing w:before="80" w:line="276" w:lineRule="auto"/>
        <w:jc w:val="both"/>
        <w:rPr>
          <w:rFonts w:ascii="Times New Roman" w:eastAsia="Times New Roman" w:hAnsi="Times New Roman" w:cs="Times New Roman"/>
          <w:b/>
          <w:bCs/>
          <w:color w:val="000000"/>
          <w:sz w:val="24"/>
          <w:szCs w:val="24"/>
        </w:rPr>
      </w:pPr>
      <w:r w:rsidRPr="00D84719">
        <w:rPr>
          <w:rFonts w:ascii="Times New Roman" w:eastAsia="Times New Roman" w:hAnsi="Times New Roman" w:cs="Times New Roman"/>
          <w:color w:val="000000"/>
          <w:sz w:val="24"/>
          <w:szCs w:val="24"/>
        </w:rPr>
        <w:t>Temeljem kriterija IUCN-a u Republici Hrvatskoj status ugroženosti procijenjen je za preko 3.000 vrsta, odnosno oko 8</w:t>
      </w:r>
      <w:r w:rsidR="00D4589D">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xml:space="preserve"> zabilježenih vrsta. Revizija ugroženosti napravljena za pojedine skupine i vrste pokazuje određene promjene, kao što je primjerice pogoršanje statusa ugroženosti za pojedine vrste. No, one su prije svega rezultat novih saznanja te preciznije primjene kriterija IUCN-a. Temeljem Zakona o zaštiti prirode vrste se štite putem dva glavna mehanizma – zaštitom područja te ciljanom zaštitom vrsta provedbom „horizontalnih“ mjera. Horizontalne mjere uključuju strogu zaštitu vrsta, reguliranje korištenja vrsta i ciljanu provedbu mjera očuvanja na nacionalnoj razini, u okviru aktivnosti sektora zaštite prirode i ostalih sektora.</w:t>
      </w:r>
    </w:p>
    <w:p w14:paraId="00EB95F8" w14:textId="77777777" w:rsidR="00D84719" w:rsidRPr="00D84719" w:rsidRDefault="00D84719" w:rsidP="00D84719">
      <w:pPr>
        <w:spacing w:before="80" w:line="276" w:lineRule="auto"/>
        <w:jc w:val="both"/>
        <w:rPr>
          <w:rFonts w:ascii="Times New Roman" w:eastAsia="Times New Roman" w:hAnsi="Times New Roman" w:cs="Times New Roman"/>
          <w:b/>
          <w:bCs/>
          <w:color w:val="000000"/>
          <w:sz w:val="24"/>
          <w:szCs w:val="24"/>
        </w:rPr>
      </w:pPr>
    </w:p>
    <w:p w14:paraId="68E4F6DA" w14:textId="77777777" w:rsidR="00D84719" w:rsidRPr="00D84719" w:rsidRDefault="00D84719" w:rsidP="002559AD">
      <w:pPr>
        <w:pStyle w:val="Naslov4"/>
      </w:pPr>
      <w:bookmarkStart w:id="23" w:name="_Toc64460668"/>
      <w:r w:rsidRPr="00D84719">
        <w:t>Zaštita morskog okoliša i obalnog područja</w:t>
      </w:r>
      <w:bookmarkEnd w:id="23"/>
    </w:p>
    <w:p w14:paraId="32DEE609" w14:textId="18E9A28D" w:rsidR="00D84719" w:rsidRPr="00D84719" w:rsidRDefault="00D84719" w:rsidP="00D84719">
      <w:pPr>
        <w:spacing w:before="120" w:after="12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Zakonom o zaštiti okoliša i Uredbom o izradi i provedbi dokumenata Strategije upravljanja morskim okolišem i obalnim područjem („Narodne novine“, br. 112/14, 39/17 i 112/18) uspostavio se pravni okvir za djelovanje u smjeru postizanja i/ili održavanja dobrog ekološkog stanja morskog okoliša najkasnije do 2020</w:t>
      </w:r>
      <w:r w:rsidR="005C26BD">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 xml:space="preserve">, što je ujedno zajednički cilj država članica </w:t>
      </w:r>
      <w:r w:rsidRPr="00D84719">
        <w:rPr>
          <w:rFonts w:ascii="Times New Roman" w:eastAsia="Times New Roman" w:hAnsi="Times New Roman" w:cs="Times New Roman"/>
          <w:color w:val="000000"/>
          <w:sz w:val="24"/>
          <w:szCs w:val="24"/>
          <w:lang w:bidi="en-US"/>
        </w:rPr>
        <w:t>Europske unije</w:t>
      </w:r>
      <w:r w:rsidRPr="00D84719">
        <w:rPr>
          <w:rFonts w:ascii="Times New Roman" w:eastAsia="Times New Roman" w:hAnsi="Times New Roman" w:cs="Times New Roman"/>
          <w:color w:val="000000"/>
          <w:sz w:val="24"/>
          <w:szCs w:val="24"/>
        </w:rPr>
        <w:t xml:space="preserve"> koje imaju izlaz na more. Ujedno, Okvirna direktiva o morskoj strategiji predstavlja i okolišni stup u svim politikama </w:t>
      </w:r>
      <w:r w:rsidRPr="00D84719">
        <w:rPr>
          <w:rFonts w:ascii="Times New Roman" w:eastAsia="Times New Roman" w:hAnsi="Times New Roman" w:cs="Times New Roman"/>
          <w:color w:val="000000"/>
          <w:sz w:val="24"/>
          <w:szCs w:val="24"/>
          <w:lang w:bidi="en-US"/>
        </w:rPr>
        <w:t>Europske unije</w:t>
      </w:r>
      <w:r w:rsidRPr="00D84719">
        <w:rPr>
          <w:rFonts w:ascii="Times New Roman" w:eastAsia="Times New Roman" w:hAnsi="Times New Roman" w:cs="Times New Roman"/>
          <w:color w:val="000000"/>
          <w:sz w:val="24"/>
          <w:szCs w:val="24"/>
        </w:rPr>
        <w:t xml:space="preserve"> koje se bave i/ili uključuju upravljanje i iskorištavanje prirodnih resursa morskog okoliša. Ti su propisi objedinili i Protokol Barcelonske konvencije o integralnom upravljanju obalnim područjem Sredozemlja koji je Republika Hrvatska ratificirala Zakonom o potvrđivanju Protokola o integralnom upravljanju obalnim područjem Sredozemlja („Narodne novine“ – Međunarodni ugovori, broj 8/12). Na taj su način povezani zaštita morskog okoliša i integralno upravljanje obalnim područjem, koje podrazumijeva dinamički proces održivog upravljanja i korištenja obalnog područja, uzimajući istovremeno u obzir krhkost obalnih ekosustava i krajobraza, raznolikost aktivnosti i korištenja, njihovo međusobno djelovanje, pomorsku usmjerenost pojedenih aktivnosti i korištenja te njihov utjecaj na morske i kopnene dijelove. </w:t>
      </w:r>
    </w:p>
    <w:p w14:paraId="2C2BA83C" w14:textId="77777777" w:rsidR="00D84719" w:rsidRPr="00D84719" w:rsidRDefault="00D84719" w:rsidP="00D84719">
      <w:pPr>
        <w:spacing w:before="120" w:after="12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Nositelj politike zaštite morskog okoliša i održivog upravljanja obalnim područjem je MINGOR, koji je nadležan za izradu i provedbu Strategije upravljanja morskim okolišem i obalnim područjem (Strategija), ključnog dokumenta koji dugoročno određuje i usmjerava ciljeve upravljanja morskim okolišem i obalnim područjem na načelima održivog razvitka i integralnog upravljanja obalnim područjem, primjenjujući ekosustavni pristup u skladu s ukupnim gospodarskim, društvenim, socijalnim i kulturnim razvitkom na području Republike Hrvatske. Pri izradi Strategije upravljanja morskim okolišem i obalnim područjem prvo se provode pripremni postupci, odnosno izrađuju se pripremni dokumenti koji predstavljaju stručne podloge za izradu akcijskih programa. U razdoblju od 2012. do 2015. doneseni su svi propisani pripremni dokumenti, a do 2017. i akcijski programi. Početna procjena stanja i opterećenja morskog okoliša hrvatskog dijela Jadrana čiji je sastavni dio i Gospodarsko-socijalna analiza korištenja i troška propadanja morskog okoliša i obalnog područja te Skup značajki dobrog stanja okoliša za morske vode pod suverenitetom Republike Hrvatske i Skup ciljeva u zaštiti morskog okoliša i s njima povezanih pokazatelja) temeljem kojih su izrađena dva akcijska programa:</w:t>
      </w:r>
      <w:r w:rsidR="00612979">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Sustav praćenja i promatranja za stalnu procjenu stanja Jadranskog mora („Narodne novine“, broj 153/14) i Program mjera zaštite i upravljanja morskim okolišem i obalnim područjem Republike Hrvatske („Narodne novine“, broj 97/17). Obzirom da svi dokumenti Strategije kroz šestogodišnje implementacijske cikluse podliježu revidiranju, u okviru drugog implementacijskog ciklusa Okvirne direktive o morskoj strategiji, donošenjem dokumenta</w:t>
      </w:r>
      <w:r w:rsidR="00612979">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w:t>
      </w:r>
      <w:r w:rsidRPr="00D84719">
        <w:rPr>
          <w:rFonts w:ascii="Times New Roman" w:eastAsia="Times New Roman" w:hAnsi="Times New Roman" w:cs="Times New Roman"/>
          <w:i/>
          <w:color w:val="000000"/>
          <w:sz w:val="24"/>
          <w:szCs w:val="24"/>
        </w:rPr>
        <w:t>Ažuriranje dokumenata Strategije upravljanja morskim okolišem i obalnim područjem temeljem obveza iz članka 8, članka 9. i članka 10. Okvirne direktive o pomorskoj strategiji 2008/56/EZ“</w:t>
      </w:r>
      <w:r w:rsidRPr="00D84719">
        <w:rPr>
          <w:rFonts w:ascii="Times New Roman" w:eastAsia="Times New Roman" w:hAnsi="Times New Roman" w:cs="Times New Roman"/>
          <w:color w:val="000000"/>
          <w:sz w:val="24"/>
          <w:szCs w:val="24"/>
        </w:rPr>
        <w:t xml:space="preserve">, ažurirani su pripremni dokumenti Strategije. Usvajanje ažuriranog </w:t>
      </w:r>
      <w:r w:rsidRPr="00D84719">
        <w:rPr>
          <w:rFonts w:ascii="Times New Roman" w:eastAsia="Times New Roman" w:hAnsi="Times New Roman" w:cs="Times New Roman"/>
          <w:i/>
          <w:color w:val="000000"/>
          <w:sz w:val="24"/>
          <w:szCs w:val="24"/>
        </w:rPr>
        <w:t>„Sustava praćenja i promatranja za stalnu procjenu stanja Jadranskog mora“</w:t>
      </w:r>
      <w:r w:rsidRPr="00D84719">
        <w:rPr>
          <w:rFonts w:ascii="Times New Roman" w:eastAsia="Times New Roman" w:hAnsi="Times New Roman" w:cs="Times New Roman"/>
          <w:color w:val="000000"/>
          <w:sz w:val="24"/>
          <w:szCs w:val="24"/>
        </w:rPr>
        <w:t xml:space="preserve"> očekuje se krajem 2020., dok je rok za ažuriranje postojećeg „Programa mjera“ 2022.. Uzimajući u obzir regionalni/podregionalni pristup u izradi nacionalnih „morskih“ strategija kojeg propisuje Okvirna direktiva o morskoj strategiji, dokumenti Strategije usklađuju se s aktivnostima </w:t>
      </w:r>
      <w:r w:rsidRPr="00D84719">
        <w:rPr>
          <w:rFonts w:ascii="Times New Roman" w:eastAsia="Times New Roman" w:hAnsi="Times New Roman" w:cs="Times New Roman"/>
          <w:color w:val="000000"/>
          <w:sz w:val="24"/>
          <w:szCs w:val="24"/>
        </w:rPr>
        <w:lastRenderedPageBreak/>
        <w:t>vezanim za provedbu ekosustavnog pristupa upravljanju ljudskim aktivnostima koje mogu imati utjecaja na morski i obalni okoliš Sredozemlja, koje se provode u okviru Mediteranskog akcijskog plana Programa za okoliš Ujedinjenih naroda (UNEP/MAP) i pripadajuće Barcelonske konvencije s pratećim protokolima.</w:t>
      </w:r>
    </w:p>
    <w:p w14:paraId="21E1CBC8" w14:textId="77777777" w:rsidR="00D84719" w:rsidRPr="00D84719" w:rsidRDefault="00D84719" w:rsidP="00D84719">
      <w:pPr>
        <w:spacing w:before="120" w:after="12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U okviru provedbe postojećeg Sustava praćenja i promatranja za stalnu procjenu stanja Jadranskog mora, podaci za monitoring opasnih i štetnih tvari koji je propisan za Deskriptore dobrog stanja okoliša 8 (onečišćujuće tvari u morskom okolišu) i 9 (onečišćujuće tvari u hrani iz mora) preuzimaju se iz Monitoring programa ispitivanja kakvoće prijelaznih i priobalnih voda koje provode Hrvatske vode temeljem obveza iz Okvirne direktive o vodama te Plana praćenja kakvoće mora i školjkaša na proizvodnim područjima i područjima za ponovno polaganje živih školjkaša koji se provodi temeljem Uredbe Komisije (EZ) broj 1881/2006 o utvrđivanju najvećih dopuštenih količina određenih kontaminanata u hrani.</w:t>
      </w:r>
    </w:p>
    <w:p w14:paraId="6E538428" w14:textId="77777777" w:rsidR="00D84719" w:rsidRPr="00D84719" w:rsidRDefault="00D84719" w:rsidP="00D84719">
      <w:pPr>
        <w:spacing w:before="120" w:after="12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 xml:space="preserve">U svrhu uspostave koordinacije stručnih tijela s ciljem izrade i provedbe Strategije, Vlada Republike Hrvatske je osnovala Stručni nacionalni odbor za izvršenje zadaća uređenih Uredbom o izradi i provedbi dokumenata Strategije upravljanja morskim okolišem i obalnim područjem i izradu i provedbu Strategije („Narodne novine“, br. 117/12, 31/17 i 42/18) kojeg vodi MINGOR i u kojem su predstavnici svih relevantnih tijela zaduženih za provedbu navedene Uredbe. </w:t>
      </w:r>
    </w:p>
    <w:p w14:paraId="1501DDD5" w14:textId="77777777" w:rsidR="00D84719" w:rsidRPr="00D84719" w:rsidRDefault="00D84719" w:rsidP="00D84719">
      <w:pPr>
        <w:spacing w:after="200" w:line="276" w:lineRule="auto"/>
        <w:rPr>
          <w:rFonts w:ascii="Times New Roman" w:eastAsia="Times New Roman" w:hAnsi="Times New Roman" w:cs="Times New Roman"/>
          <w:color w:val="000000"/>
          <w:szCs w:val="24"/>
        </w:rPr>
      </w:pPr>
    </w:p>
    <w:p w14:paraId="03A7EC0E" w14:textId="77777777" w:rsidR="00D84719" w:rsidRPr="00D84719" w:rsidRDefault="00D84719" w:rsidP="002559AD">
      <w:pPr>
        <w:pStyle w:val="Naslov4"/>
      </w:pPr>
      <w:bookmarkStart w:id="24" w:name="_Toc64460669"/>
      <w:r w:rsidRPr="00D84719">
        <w:t>Gospodarenje otpadom</w:t>
      </w:r>
      <w:bookmarkEnd w:id="24"/>
    </w:p>
    <w:p w14:paraId="5C1786FD" w14:textId="77777777" w:rsidR="00D84719" w:rsidRPr="00D84719" w:rsidRDefault="00D84719" w:rsidP="00D84719">
      <w:pPr>
        <w:spacing w:after="20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Pokazatelj intenziteta stvaranja otpada može ukazati na razdvajanje veze između gospodarskog rasta i proizvodnje otpada, što je cilj određen Strategijom održivog razvitka Republike Hrvatske.</w:t>
      </w:r>
    </w:p>
    <w:p w14:paraId="0DA270B4" w14:textId="14AA4C7B" w:rsidR="00D84719" w:rsidRPr="00D84719" w:rsidRDefault="00D84719" w:rsidP="00D84719">
      <w:pPr>
        <w:spacing w:after="20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 xml:space="preserve">Na razini </w:t>
      </w:r>
      <w:r w:rsidR="007B366A" w:rsidRPr="007B366A">
        <w:rPr>
          <w:rFonts w:ascii="Times New Roman" w:eastAsia="Times New Roman" w:hAnsi="Times New Roman" w:cs="Times New Roman"/>
          <w:color w:val="000000"/>
          <w:sz w:val="24"/>
          <w:szCs w:val="24"/>
        </w:rPr>
        <w:t xml:space="preserve">Europske unije </w:t>
      </w:r>
      <w:r w:rsidRPr="00D84719">
        <w:rPr>
          <w:rFonts w:ascii="Times New Roman" w:eastAsia="Times New Roman" w:hAnsi="Times New Roman" w:cs="Times New Roman"/>
          <w:color w:val="000000"/>
          <w:sz w:val="24"/>
          <w:szCs w:val="24"/>
        </w:rPr>
        <w:t xml:space="preserve">intenzitet stvaranja otpada u prerađivačkom i uslužnom sektoru se smanjuje, kao i intenzitet stvaranja komunalnog otpada u odnosu na potrošnju kućanstava. </w:t>
      </w:r>
      <w:r w:rsidR="002721C9" w:rsidRPr="002721C9">
        <w:rPr>
          <w:rFonts w:ascii="Times New Roman" w:eastAsia="Times New Roman" w:hAnsi="Times New Roman" w:cs="Times New Roman"/>
          <w:color w:val="000000"/>
          <w:sz w:val="24"/>
          <w:szCs w:val="24"/>
        </w:rPr>
        <w:t xml:space="preserve">U </w:t>
      </w:r>
      <w:r w:rsidR="00CE5834">
        <w:rPr>
          <w:rFonts w:ascii="Times New Roman" w:eastAsia="Times New Roman" w:hAnsi="Times New Roman" w:cs="Times New Roman"/>
          <w:color w:val="000000"/>
          <w:sz w:val="24"/>
          <w:szCs w:val="24"/>
        </w:rPr>
        <w:t>Republici Hrvatskoj</w:t>
      </w:r>
      <w:r w:rsidR="002721C9">
        <w:rPr>
          <w:rFonts w:ascii="Times New Roman" w:eastAsia="Times New Roman" w:hAnsi="Times New Roman" w:cs="Times New Roman"/>
          <w:color w:val="000000"/>
          <w:sz w:val="24"/>
          <w:szCs w:val="24"/>
        </w:rPr>
        <w:t xml:space="preserve"> u </w:t>
      </w:r>
      <w:r w:rsidR="002721C9" w:rsidRPr="002721C9">
        <w:rPr>
          <w:rFonts w:ascii="Times New Roman" w:eastAsia="Times New Roman" w:hAnsi="Times New Roman" w:cs="Times New Roman"/>
          <w:color w:val="000000"/>
          <w:sz w:val="24"/>
          <w:szCs w:val="24"/>
        </w:rPr>
        <w:t>2019</w:t>
      </w:r>
      <w:r w:rsidR="004C449C">
        <w:rPr>
          <w:rFonts w:ascii="Times New Roman" w:eastAsia="Times New Roman" w:hAnsi="Times New Roman" w:cs="Times New Roman"/>
          <w:color w:val="000000"/>
          <w:sz w:val="24"/>
          <w:szCs w:val="24"/>
        </w:rPr>
        <w:t>.</w:t>
      </w:r>
      <w:r w:rsidR="002721C9" w:rsidRPr="002721C9">
        <w:rPr>
          <w:rFonts w:ascii="Times New Roman" w:eastAsia="Times New Roman" w:hAnsi="Times New Roman" w:cs="Times New Roman"/>
          <w:color w:val="000000"/>
          <w:sz w:val="24"/>
          <w:szCs w:val="24"/>
        </w:rPr>
        <w:t xml:space="preserve"> ukupno je nastalo 1.811.617 t komunalnog otpada, što je povećanje od 2</w:t>
      </w:r>
      <w:r w:rsidR="00D4589D">
        <w:rPr>
          <w:rFonts w:ascii="Times New Roman" w:eastAsia="Times New Roman" w:hAnsi="Times New Roman" w:cs="Times New Roman"/>
          <w:color w:val="000000"/>
          <w:sz w:val="24"/>
          <w:szCs w:val="24"/>
        </w:rPr>
        <w:t xml:space="preserve"> %</w:t>
      </w:r>
      <w:r w:rsidR="002721C9" w:rsidRPr="002721C9">
        <w:rPr>
          <w:rFonts w:ascii="Times New Roman" w:eastAsia="Times New Roman" w:hAnsi="Times New Roman" w:cs="Times New Roman"/>
          <w:color w:val="000000"/>
          <w:sz w:val="24"/>
          <w:szCs w:val="24"/>
        </w:rPr>
        <w:t xml:space="preserve"> u odnosu na ukupnu količinu iz 2018</w:t>
      </w:r>
      <w:r w:rsidR="005C26BD">
        <w:rPr>
          <w:rFonts w:ascii="Times New Roman" w:eastAsia="Times New Roman" w:hAnsi="Times New Roman" w:cs="Times New Roman"/>
          <w:color w:val="000000"/>
          <w:sz w:val="24"/>
          <w:szCs w:val="24"/>
        </w:rPr>
        <w:t>.</w:t>
      </w:r>
      <w:r w:rsidR="002721C9" w:rsidRPr="002721C9">
        <w:rPr>
          <w:rFonts w:ascii="Times New Roman" w:eastAsia="Times New Roman" w:hAnsi="Times New Roman" w:cs="Times New Roman"/>
          <w:color w:val="000000"/>
          <w:sz w:val="24"/>
          <w:szCs w:val="24"/>
        </w:rPr>
        <w:t xml:space="preserve">. Godišnja količina komunalnog otpada po stanovniku iznosila je 444 kg. Povećanje ukupnih količina komunalnog opada ne ide u prilog ostvarenju Cilja 1.1. iz Plana gospodarenja otpadom </w:t>
      </w:r>
      <w:r w:rsidR="00CE5834" w:rsidRPr="00CE5834">
        <w:rPr>
          <w:rFonts w:ascii="Times New Roman" w:eastAsia="Times New Roman" w:hAnsi="Times New Roman" w:cs="Times New Roman"/>
          <w:color w:val="000000"/>
          <w:sz w:val="24"/>
          <w:szCs w:val="24"/>
        </w:rPr>
        <w:t>Republi</w:t>
      </w:r>
      <w:r w:rsidR="00CE5834">
        <w:rPr>
          <w:rFonts w:ascii="Times New Roman" w:eastAsia="Times New Roman" w:hAnsi="Times New Roman" w:cs="Times New Roman"/>
          <w:color w:val="000000"/>
          <w:sz w:val="24"/>
          <w:szCs w:val="24"/>
        </w:rPr>
        <w:t>ke</w:t>
      </w:r>
      <w:r w:rsidR="00CE5834" w:rsidRPr="00CE5834">
        <w:rPr>
          <w:rFonts w:ascii="Times New Roman" w:eastAsia="Times New Roman" w:hAnsi="Times New Roman" w:cs="Times New Roman"/>
          <w:color w:val="000000"/>
          <w:sz w:val="24"/>
          <w:szCs w:val="24"/>
        </w:rPr>
        <w:t xml:space="preserve"> Hrvatsk</w:t>
      </w:r>
      <w:r w:rsidR="00CE5834">
        <w:rPr>
          <w:rFonts w:ascii="Times New Roman" w:eastAsia="Times New Roman" w:hAnsi="Times New Roman" w:cs="Times New Roman"/>
          <w:color w:val="000000"/>
          <w:sz w:val="24"/>
          <w:szCs w:val="24"/>
        </w:rPr>
        <w:t>e</w:t>
      </w:r>
      <w:r w:rsidR="002721C9" w:rsidRPr="002721C9">
        <w:rPr>
          <w:rFonts w:ascii="Times New Roman" w:eastAsia="Times New Roman" w:hAnsi="Times New Roman" w:cs="Times New Roman"/>
          <w:color w:val="000000"/>
          <w:sz w:val="24"/>
          <w:szCs w:val="24"/>
        </w:rPr>
        <w:t xml:space="preserve"> za razdoblje 2017. do 2022. vezano za smanjenje nastajanja komunalnog otpada</w:t>
      </w:r>
      <w:r w:rsidR="002721C9">
        <w:rPr>
          <w:rFonts w:ascii="Times New Roman" w:eastAsia="Times New Roman" w:hAnsi="Times New Roman" w:cs="Times New Roman"/>
          <w:color w:val="000000"/>
          <w:sz w:val="24"/>
          <w:szCs w:val="24"/>
        </w:rPr>
        <w:t xml:space="preserve">. </w:t>
      </w:r>
      <w:r w:rsidR="002721C9" w:rsidRPr="002721C9">
        <w:rPr>
          <w:rFonts w:ascii="Times New Roman" w:eastAsia="Times New Roman" w:hAnsi="Times New Roman" w:cs="Times New Roman"/>
          <w:color w:val="000000"/>
          <w:sz w:val="24"/>
          <w:szCs w:val="24"/>
        </w:rPr>
        <w:t>Komunalni otpad odlagao se tijekom 2019</w:t>
      </w:r>
      <w:r w:rsidR="005C26BD">
        <w:rPr>
          <w:rFonts w:ascii="Times New Roman" w:eastAsia="Times New Roman" w:hAnsi="Times New Roman" w:cs="Times New Roman"/>
          <w:color w:val="000000"/>
          <w:sz w:val="24"/>
          <w:szCs w:val="24"/>
        </w:rPr>
        <w:t>.</w:t>
      </w:r>
      <w:r w:rsidR="002721C9" w:rsidRPr="002721C9">
        <w:rPr>
          <w:rFonts w:ascii="Times New Roman" w:eastAsia="Times New Roman" w:hAnsi="Times New Roman" w:cs="Times New Roman"/>
          <w:color w:val="000000"/>
          <w:sz w:val="24"/>
          <w:szCs w:val="24"/>
        </w:rPr>
        <w:t xml:space="preserve"> na ukupno 108 odlagališta. Obuhvat stanovništva organiziranim sakupljanjem komunalnog otpada u 2019</w:t>
      </w:r>
      <w:r w:rsidR="004C449C">
        <w:rPr>
          <w:rFonts w:ascii="Times New Roman" w:eastAsia="Times New Roman" w:hAnsi="Times New Roman" w:cs="Times New Roman"/>
          <w:color w:val="000000"/>
          <w:sz w:val="24"/>
          <w:szCs w:val="24"/>
        </w:rPr>
        <w:t>.</w:t>
      </w:r>
      <w:r w:rsidR="002721C9" w:rsidRPr="002721C9">
        <w:rPr>
          <w:rFonts w:ascii="Times New Roman" w:eastAsia="Times New Roman" w:hAnsi="Times New Roman" w:cs="Times New Roman"/>
          <w:color w:val="000000"/>
          <w:sz w:val="24"/>
          <w:szCs w:val="24"/>
        </w:rPr>
        <w:t xml:space="preserve"> iznosio je 99</w:t>
      </w:r>
      <w:r w:rsidR="00D4589D">
        <w:rPr>
          <w:rFonts w:ascii="Times New Roman" w:eastAsia="Times New Roman" w:hAnsi="Times New Roman" w:cs="Times New Roman"/>
          <w:color w:val="000000"/>
          <w:sz w:val="24"/>
          <w:szCs w:val="24"/>
        </w:rPr>
        <w:t xml:space="preserve"> %</w:t>
      </w:r>
      <w:r w:rsidR="002721C9" w:rsidRPr="002721C9">
        <w:rPr>
          <w:rFonts w:ascii="Times New Roman" w:eastAsia="Times New Roman" w:hAnsi="Times New Roman" w:cs="Times New Roman"/>
          <w:color w:val="000000"/>
          <w:sz w:val="24"/>
          <w:szCs w:val="24"/>
        </w:rPr>
        <w:t>, a sve općine i gradovi su imali organizirano sakupljanje i odvoz komunalnog otpada.</w:t>
      </w:r>
      <w:r w:rsidR="002721C9">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xml:space="preserve">(Izvor: Izvješće o komunalnom otpadu za </w:t>
      </w:r>
      <w:r w:rsidR="00CE5834" w:rsidRPr="00D84719">
        <w:rPr>
          <w:rFonts w:ascii="Times New Roman" w:eastAsia="Times New Roman" w:hAnsi="Times New Roman" w:cs="Times New Roman"/>
          <w:color w:val="000000"/>
          <w:sz w:val="24"/>
          <w:szCs w:val="24"/>
        </w:rPr>
        <w:t>201</w:t>
      </w:r>
      <w:r w:rsidR="00CE5834">
        <w:rPr>
          <w:rFonts w:ascii="Times New Roman" w:eastAsia="Times New Roman" w:hAnsi="Times New Roman" w:cs="Times New Roman"/>
          <w:color w:val="000000"/>
          <w:sz w:val="24"/>
          <w:szCs w:val="24"/>
        </w:rPr>
        <w:t>9</w:t>
      </w:r>
      <w:r w:rsidRPr="00D84719">
        <w:rPr>
          <w:rFonts w:ascii="Times New Roman" w:eastAsia="Times New Roman" w:hAnsi="Times New Roman" w:cs="Times New Roman"/>
          <w:color w:val="000000"/>
          <w:sz w:val="24"/>
          <w:szCs w:val="24"/>
        </w:rPr>
        <w:t>.</w:t>
      </w:r>
      <w:r w:rsidR="00EA1CDB">
        <w:rPr>
          <w:rFonts w:ascii="Times New Roman" w:eastAsia="Times New Roman" w:hAnsi="Times New Roman" w:cs="Times New Roman"/>
          <w:color w:val="000000"/>
          <w:sz w:val="24"/>
          <w:szCs w:val="24"/>
        </w:rPr>
        <w:t xml:space="preserve"> godinu, </w:t>
      </w:r>
      <w:r w:rsidR="00706663">
        <w:rPr>
          <w:rFonts w:ascii="Times New Roman" w:eastAsia="Times New Roman" w:hAnsi="Times New Roman" w:cs="Times New Roman"/>
          <w:color w:val="000000"/>
          <w:sz w:val="24"/>
          <w:szCs w:val="24"/>
        </w:rPr>
        <w:t>MINGOR).</w:t>
      </w:r>
    </w:p>
    <w:p w14:paraId="2BCA663C" w14:textId="77777777" w:rsidR="00D84719" w:rsidRPr="00D84719" w:rsidRDefault="00D84719" w:rsidP="00D84719">
      <w:pPr>
        <w:spacing w:before="80" w:line="276" w:lineRule="auto"/>
        <w:jc w:val="both"/>
        <w:rPr>
          <w:rFonts w:ascii="Times New Roman" w:eastAsia="Times New Roman" w:hAnsi="Times New Roman" w:cs="Times New Roman"/>
          <w:sz w:val="24"/>
          <w:szCs w:val="24"/>
        </w:rPr>
      </w:pPr>
      <w:r w:rsidRPr="00D84719">
        <w:rPr>
          <w:rFonts w:ascii="Times New Roman" w:eastAsia="Times New Roman" w:hAnsi="Times New Roman" w:cs="Times New Roman"/>
          <w:sz w:val="24"/>
          <w:szCs w:val="24"/>
        </w:rPr>
        <w:t xml:space="preserve">Statistike otpada pripremaju se u skladu s propisanim metodološkim preporukama EUROSTAT-a te dostavljaju svake dvije godine u EUROSTAT-ov Centar za podatke o otpadu. </w:t>
      </w:r>
    </w:p>
    <w:p w14:paraId="0EC0D228"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Ukupno je u 2015. proizvedeno 1</w:t>
      </w:r>
      <w:r w:rsidR="000B302B">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653</w:t>
      </w:r>
      <w:r w:rsidR="000B302B">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918 t, u 2016. proizvedeno 1</w:t>
      </w:r>
      <w:r w:rsidR="000B302B">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679</w:t>
      </w:r>
      <w:r w:rsidR="000B302B">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765 t, 2017. proizvedeno 1</w:t>
      </w:r>
      <w:r w:rsidR="000B302B">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716</w:t>
      </w:r>
      <w:r w:rsidR="000B302B">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441 t</w:t>
      </w:r>
      <w:r w:rsidR="00D848EB">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 xml:space="preserve"> 2018. proizvedeno 1</w:t>
      </w:r>
      <w:r w:rsidR="000B302B">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768</w:t>
      </w:r>
      <w:r w:rsidR="000B302B">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41</w:t>
      </w:r>
      <w:r w:rsidR="000B302B">
        <w:rPr>
          <w:rFonts w:ascii="Times New Roman" w:eastAsia="Times New Roman" w:hAnsi="Times New Roman" w:cs="Times New Roman"/>
          <w:color w:val="000000"/>
          <w:sz w:val="24"/>
          <w:szCs w:val="24"/>
        </w:rPr>
        <w:t>1</w:t>
      </w:r>
      <w:r w:rsidRPr="00D84719">
        <w:rPr>
          <w:rFonts w:ascii="Times New Roman" w:eastAsia="Times New Roman" w:hAnsi="Times New Roman" w:cs="Times New Roman"/>
          <w:color w:val="000000"/>
          <w:sz w:val="24"/>
          <w:szCs w:val="24"/>
        </w:rPr>
        <w:t xml:space="preserve"> t </w:t>
      </w:r>
      <w:r w:rsidR="00D848EB">
        <w:rPr>
          <w:rFonts w:ascii="Times New Roman" w:eastAsia="Times New Roman" w:hAnsi="Times New Roman" w:cs="Times New Roman"/>
          <w:color w:val="000000"/>
          <w:sz w:val="24"/>
          <w:szCs w:val="24"/>
        </w:rPr>
        <w:t xml:space="preserve">i u 2019. proizvedeno 1.811.617 t </w:t>
      </w:r>
      <w:r w:rsidRPr="00D84719">
        <w:rPr>
          <w:rFonts w:ascii="Times New Roman" w:eastAsia="Times New Roman" w:hAnsi="Times New Roman" w:cs="Times New Roman"/>
          <w:color w:val="000000"/>
          <w:sz w:val="24"/>
          <w:szCs w:val="24"/>
        </w:rPr>
        <w:t>komunalnog otpada.</w:t>
      </w:r>
    </w:p>
    <w:p w14:paraId="164B1184"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lastRenderedPageBreak/>
        <w:t>Operateri odnosno organizacijske jedinice koje obavljaju djelatnost uslijed koje nastaje otpad i/ili djelatnost gospodarenja otpadom prijavljuju podatke</w:t>
      </w:r>
      <w:r w:rsidR="00612979">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o otpadu u Registar onečišćavanja okoliša (ROO). Stupanjem na snagu Pravilnika o registru onečišćavanja okoliša („Narodne novine“ broj 87/15), 2015. povećali su se pragovi prijave nastanka otpada za proizvođače otpada i prestala je obveza prijave podataka za prijevoznike otpada. Za obvezu prijave nastanka i/ili prijenosa izvan mjesta nastanka opasnog otpada prag je povećan s 50 kg na 500 kg, a neopasnog otpada s 2 t na 20 t. Isti prag se ne odnosi na obveznike koji obavljaju djelatnosti gospodarenja otpadom tj. sakupljače otpada, pružatelje javnih usluga prikupljanja miješanog komunalnog otpada i biorazgradivog komunalnog otpada, reciklažna dvorišta itd.</w:t>
      </w:r>
    </w:p>
    <w:p w14:paraId="58EBA548" w14:textId="28A6095E"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Za 2015. proizvođači su prijavili ukupno 1</w:t>
      </w:r>
      <w:r w:rsidR="00B12E06">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939</w:t>
      </w:r>
      <w:r w:rsidR="00B12E06">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376, za 2016</w:t>
      </w:r>
      <w:r w:rsidR="004C449C">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 xml:space="preserve"> 2</w:t>
      </w:r>
      <w:r w:rsidR="00B12E06">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107</w:t>
      </w:r>
      <w:r w:rsidR="00B12E06">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017 t, za 2017</w:t>
      </w:r>
      <w:r w:rsidR="004C449C">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 xml:space="preserve"> 1</w:t>
      </w:r>
      <w:r w:rsidR="00B12E06">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869</w:t>
      </w:r>
      <w:r w:rsidR="00B12E06">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789 t te za 2018</w:t>
      </w:r>
      <w:r w:rsidR="004C449C">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 xml:space="preserve"> ukupno 1</w:t>
      </w:r>
      <w:r w:rsidR="00B12E06">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805</w:t>
      </w:r>
      <w:r w:rsidR="00B12E06">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773 t proizvodnog otpada.</w:t>
      </w:r>
    </w:p>
    <w:p w14:paraId="63309B10" w14:textId="6026339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Izvoz otpada koji podliježe notifikacijskom postupku bio je u laganom porastu od 2004. do 2014. (23</w:t>
      </w:r>
      <w:r w:rsidR="001715E3">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540 t), uz manja odstupanja u količinama. U 2015. (44</w:t>
      </w:r>
      <w:r w:rsidR="001715E3">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071 t) i 2016. (77</w:t>
      </w:r>
      <w:r w:rsidR="001715E3">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826 t) bilježi se porast izvoza otpada, a uzrokovan je povećanom proizvodnjom gorivog otpada (RDF) te potrebom za njegovim zbrinjavanjem. Radi se o gorivu iz otpada te ostalom otpadu (uključujući mješavine materijala) od mehaničkih obrada otpada kojeg prijašnjih godina nije bilo u velikim količinama. Tijekom 2018. (96</w:t>
      </w:r>
      <w:r w:rsidR="001715E3">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028 t) bilježi se porast izvoza od 19</w:t>
      </w:r>
      <w:r w:rsidR="00D4589D">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xml:space="preserve"> u odnosu na 2017. (80</w:t>
      </w:r>
      <w:r w:rsidR="001715E3">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985 t), a najvećim dijelom mulja od obrade komunalnih otpadnih voda i gorivog otpada (RDF) te ostalog izmiješanog otpada koji sadrži opasne tvari.</w:t>
      </w:r>
    </w:p>
    <w:p w14:paraId="5AB9A1D5" w14:textId="77777777" w:rsidR="00D84719" w:rsidRPr="00D84719" w:rsidRDefault="00D84719" w:rsidP="00D84719">
      <w:pPr>
        <w:spacing w:before="80" w:line="276" w:lineRule="auto"/>
        <w:jc w:val="both"/>
        <w:rPr>
          <w:rFonts w:ascii="Times New Roman" w:eastAsia="Times New Roman" w:hAnsi="Times New Roman" w:cs="Times New Roman"/>
          <w:sz w:val="24"/>
          <w:szCs w:val="24"/>
        </w:rPr>
      </w:pPr>
      <w:r w:rsidRPr="00D84719">
        <w:rPr>
          <w:rFonts w:ascii="Times New Roman" w:eastAsia="Times New Roman" w:hAnsi="Times New Roman" w:cs="Times New Roman"/>
          <w:sz w:val="24"/>
          <w:szCs w:val="24"/>
        </w:rPr>
        <w:t>Provedba i uspostava cjelovitog sustava gospodarenja otpadom u Republici Hrvatskoj omogućena je primjenom i ispunjavanjem ciljeva definiranih Strategijom gospodarenja otpadom Republike Hrvatske („Narodne novine“, broj 130/05), Planom gospodarenja otpadom Republike Hrvatske za razdoblje od 2017. do 2022. („Narodne novine“, broj 3/17), Zakonom o održivom gospodarenju otpadom („Narodne novine“, br. 94/13, 73/17,</w:t>
      </w:r>
      <w:r w:rsidR="0059134B">
        <w:rPr>
          <w:rFonts w:ascii="Times New Roman" w:eastAsia="Times New Roman" w:hAnsi="Times New Roman" w:cs="Times New Roman"/>
          <w:sz w:val="24"/>
          <w:szCs w:val="24"/>
        </w:rPr>
        <w:t xml:space="preserve"> </w:t>
      </w:r>
      <w:r w:rsidRPr="00D84719">
        <w:rPr>
          <w:rFonts w:ascii="Times New Roman" w:eastAsia="Times New Roman" w:hAnsi="Times New Roman" w:cs="Times New Roman"/>
          <w:sz w:val="24"/>
          <w:szCs w:val="24"/>
        </w:rPr>
        <w:t>14/19 i 98/19) i drugim propisima kojima se uređuje gospodarenje otpadom.</w:t>
      </w:r>
    </w:p>
    <w:p w14:paraId="1E824D3C" w14:textId="77777777" w:rsidR="00D84719" w:rsidRPr="00D84719" w:rsidRDefault="00D84719" w:rsidP="00D84719">
      <w:pPr>
        <w:spacing w:after="200" w:line="276" w:lineRule="auto"/>
        <w:jc w:val="both"/>
        <w:rPr>
          <w:rFonts w:ascii="Times New Roman" w:eastAsia="Times New Roman" w:hAnsi="Times New Roman" w:cs="Times New Roman"/>
          <w:sz w:val="24"/>
          <w:szCs w:val="24"/>
        </w:rPr>
      </w:pPr>
      <w:r w:rsidRPr="00D84719">
        <w:rPr>
          <w:rFonts w:ascii="Times New Roman" w:eastAsia="Times New Roman" w:hAnsi="Times New Roman" w:cs="Times New Roman"/>
          <w:sz w:val="24"/>
          <w:szCs w:val="24"/>
        </w:rPr>
        <w:t xml:space="preserve">Strateški prioritet na nacionalnoj i razini </w:t>
      </w:r>
      <w:r w:rsidRPr="00D84719">
        <w:rPr>
          <w:rFonts w:ascii="Times New Roman" w:eastAsia="Times New Roman" w:hAnsi="Times New Roman" w:cs="Times New Roman"/>
          <w:color w:val="000000"/>
          <w:sz w:val="24"/>
          <w:szCs w:val="24"/>
          <w:lang w:bidi="en-US"/>
        </w:rPr>
        <w:t>Europske unije</w:t>
      </w:r>
      <w:r w:rsidRPr="00D84719">
        <w:rPr>
          <w:rFonts w:ascii="Times New Roman" w:eastAsia="Times New Roman" w:hAnsi="Times New Roman" w:cs="Times New Roman"/>
          <w:color w:val="FF0000"/>
          <w:sz w:val="24"/>
          <w:szCs w:val="24"/>
        </w:rPr>
        <w:t xml:space="preserve"> </w:t>
      </w:r>
      <w:r w:rsidRPr="00D84719">
        <w:rPr>
          <w:rFonts w:ascii="Times New Roman" w:eastAsia="Times New Roman" w:hAnsi="Times New Roman" w:cs="Times New Roman"/>
          <w:sz w:val="24"/>
          <w:szCs w:val="24"/>
        </w:rPr>
        <w:t xml:space="preserve">je postići učinkovito korištenje resursa, što se nastoji ostvariti primjenom koncepta kružnog gospodarstva. Iako je na europskoj razini napredak k učinkovitijem korištenju resursa nesporan s pozicije proizvodnje (ali svakako ima veze s </w:t>
      </w:r>
      <w:proofErr w:type="spellStart"/>
      <w:r w:rsidR="00150F47" w:rsidRPr="00150F47">
        <w:rPr>
          <w:rFonts w:ascii="Times New Roman" w:eastAsia="Times New Roman" w:hAnsi="Times New Roman" w:cs="Times New Roman"/>
          <w:sz w:val="24"/>
          <w:szCs w:val="24"/>
        </w:rPr>
        <w:t>izmještanjem</w:t>
      </w:r>
      <w:proofErr w:type="spellEnd"/>
      <w:r w:rsidR="00150F47" w:rsidRPr="00150F47">
        <w:rPr>
          <w:rFonts w:ascii="Times New Roman" w:eastAsia="Times New Roman" w:hAnsi="Times New Roman" w:cs="Times New Roman"/>
          <w:sz w:val="24"/>
          <w:szCs w:val="24"/>
        </w:rPr>
        <w:t xml:space="preserve"> industrijskih postrojenja</w:t>
      </w:r>
      <w:r w:rsidR="00150F47" w:rsidRPr="00150F47" w:rsidDel="00150F47">
        <w:rPr>
          <w:rFonts w:ascii="Times New Roman" w:eastAsia="Times New Roman" w:hAnsi="Times New Roman" w:cs="Times New Roman"/>
          <w:sz w:val="24"/>
          <w:szCs w:val="24"/>
        </w:rPr>
        <w:t xml:space="preserve"> </w:t>
      </w:r>
      <w:r w:rsidRPr="00D84719">
        <w:rPr>
          <w:rFonts w:ascii="Times New Roman" w:eastAsia="Times New Roman" w:hAnsi="Times New Roman" w:cs="Times New Roman"/>
          <w:sz w:val="24"/>
          <w:szCs w:val="24"/>
        </w:rPr>
        <w:t xml:space="preserve">na druge kontinente), trend je manje pozitivan kada se promatra potrošnja. Kao pokazatelj učinkovitosti korištenja resursa koristi se pokazatelj produktivnost materijala, a izračunava se u omjeru </w:t>
      </w:r>
      <w:r w:rsidR="0059134B" w:rsidRPr="00D84719">
        <w:rPr>
          <w:rFonts w:ascii="Times New Roman" w:eastAsia="Times New Roman" w:hAnsi="Times New Roman" w:cs="Times New Roman"/>
          <w:sz w:val="24"/>
          <w:szCs w:val="24"/>
        </w:rPr>
        <w:t>BDP-a</w:t>
      </w:r>
      <w:r w:rsidRPr="00D84719">
        <w:rPr>
          <w:rFonts w:ascii="Times New Roman" w:eastAsia="Times New Roman" w:hAnsi="Times New Roman" w:cs="Times New Roman"/>
          <w:sz w:val="24"/>
          <w:szCs w:val="24"/>
        </w:rPr>
        <w:t xml:space="preserve"> i domaće potrošnje materijala.</w:t>
      </w:r>
    </w:p>
    <w:p w14:paraId="07D9BD02" w14:textId="77777777" w:rsidR="00D84719" w:rsidRPr="00D84719" w:rsidRDefault="00D84719" w:rsidP="00D84719">
      <w:pPr>
        <w:spacing w:after="200" w:line="276" w:lineRule="auto"/>
        <w:rPr>
          <w:rFonts w:ascii="Times New Roman" w:eastAsia="Times New Roman" w:hAnsi="Times New Roman" w:cs="Times New Roman"/>
          <w:color w:val="000000"/>
          <w:szCs w:val="24"/>
        </w:rPr>
      </w:pPr>
    </w:p>
    <w:p w14:paraId="4734B0C5" w14:textId="77777777" w:rsidR="00D84719" w:rsidRPr="00D84719" w:rsidRDefault="00D84719" w:rsidP="008A290D">
      <w:pPr>
        <w:pStyle w:val="Naslov2"/>
      </w:pPr>
      <w:bookmarkStart w:id="25" w:name="_Toc41638219"/>
      <w:bookmarkStart w:id="26" w:name="_Toc64460670"/>
      <w:r w:rsidRPr="00D84719">
        <w:t>Institucionalni, politički i regulatorni okvir</w:t>
      </w:r>
      <w:bookmarkEnd w:id="25"/>
      <w:bookmarkEnd w:id="26"/>
    </w:p>
    <w:p w14:paraId="4B6E5480" w14:textId="77777777" w:rsidR="00D84719" w:rsidRPr="00D84719" w:rsidRDefault="00D84719" w:rsidP="008A290D">
      <w:pPr>
        <w:pStyle w:val="Naslov3"/>
      </w:pPr>
      <w:bookmarkStart w:id="27" w:name="_Toc41638220"/>
      <w:bookmarkStart w:id="28" w:name="_Toc64460671"/>
      <w:r w:rsidRPr="00D84719">
        <w:t>MEĐUNARODNI UGOVORI</w:t>
      </w:r>
      <w:bookmarkEnd w:id="27"/>
      <w:bookmarkEnd w:id="28"/>
    </w:p>
    <w:p w14:paraId="62AC91A8"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Republika Hrvatska stranka je niza međunarodnih okolišnih sporazuma.</w:t>
      </w:r>
    </w:p>
    <w:p w14:paraId="115CCE19"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U nastavku je prikazan popis međunarodnih ugovora kojih je Republika Hrvatska stranka, a koji su povezani s gospodarenjem POPs-ovima:</w:t>
      </w:r>
    </w:p>
    <w:p w14:paraId="305B566C" w14:textId="1ADA45B0" w:rsidR="00D84719" w:rsidRPr="007F5231" w:rsidRDefault="00D84719" w:rsidP="007F5231">
      <w:pPr>
        <w:pStyle w:val="Odlomakpopisa"/>
        <w:numPr>
          <w:ilvl w:val="0"/>
          <w:numId w:val="22"/>
        </w:numPr>
        <w:tabs>
          <w:tab w:val="left" w:pos="1755"/>
        </w:tabs>
        <w:autoSpaceDE w:val="0"/>
        <w:autoSpaceDN w:val="0"/>
        <w:adjustRightInd w:val="0"/>
        <w:spacing w:before="60" w:after="60" w:line="240" w:lineRule="auto"/>
        <w:ind w:left="851" w:hanging="284"/>
        <w:contextualSpacing w:val="0"/>
        <w:jc w:val="both"/>
        <w:rPr>
          <w:rFonts w:ascii="Times New Roman" w:eastAsia="Calibri" w:hAnsi="Times New Roman" w:cs="Times New Roman"/>
          <w:sz w:val="24"/>
          <w:szCs w:val="24"/>
        </w:rPr>
      </w:pPr>
      <w:r w:rsidRPr="007F5231">
        <w:rPr>
          <w:rFonts w:ascii="Times New Roman" w:eastAsia="Calibri" w:hAnsi="Times New Roman" w:cs="Times New Roman"/>
          <w:sz w:val="24"/>
          <w:szCs w:val="24"/>
        </w:rPr>
        <w:lastRenderedPageBreak/>
        <w:t>Stockholmska konvencija o postojanim organskim onečišćujućim tvarima („Narodne novine – Međunarodni ugovori“, broj 11/06), stupila je na snagu u odnosu na Republiku Hrvatsku 30. travnja 2007</w:t>
      </w:r>
      <w:r w:rsidR="005C26BD">
        <w:rPr>
          <w:rFonts w:ascii="Times New Roman" w:eastAsia="Calibri" w:hAnsi="Times New Roman" w:cs="Times New Roman"/>
          <w:sz w:val="24"/>
          <w:szCs w:val="24"/>
        </w:rPr>
        <w:t>.</w:t>
      </w:r>
      <w:r w:rsidRPr="007F5231">
        <w:rPr>
          <w:rFonts w:ascii="Times New Roman" w:eastAsia="Calibri" w:hAnsi="Times New Roman" w:cs="Times New Roman"/>
          <w:sz w:val="24"/>
          <w:szCs w:val="24"/>
        </w:rPr>
        <w:t xml:space="preserve"> („Narodne novine – Međunarodni ugovori", broj 2/07)</w:t>
      </w:r>
    </w:p>
    <w:p w14:paraId="3B0F2FB2" w14:textId="77777777" w:rsidR="00D84719" w:rsidRPr="007F5231" w:rsidRDefault="00D84719" w:rsidP="007F5231">
      <w:pPr>
        <w:pStyle w:val="Odlomakpopisa"/>
        <w:numPr>
          <w:ilvl w:val="0"/>
          <w:numId w:val="22"/>
        </w:numPr>
        <w:tabs>
          <w:tab w:val="left" w:pos="1755"/>
        </w:tabs>
        <w:autoSpaceDE w:val="0"/>
        <w:autoSpaceDN w:val="0"/>
        <w:adjustRightInd w:val="0"/>
        <w:spacing w:before="60" w:after="60" w:line="240" w:lineRule="auto"/>
        <w:ind w:left="851" w:hanging="284"/>
        <w:contextualSpacing w:val="0"/>
        <w:jc w:val="both"/>
        <w:rPr>
          <w:rFonts w:ascii="Times New Roman" w:eastAsia="Calibri" w:hAnsi="Times New Roman" w:cs="Times New Roman"/>
          <w:sz w:val="24"/>
          <w:szCs w:val="24"/>
        </w:rPr>
      </w:pPr>
      <w:r w:rsidRPr="007F5231">
        <w:rPr>
          <w:rFonts w:ascii="Times New Roman" w:eastAsia="Calibri" w:hAnsi="Times New Roman" w:cs="Times New Roman"/>
          <w:sz w:val="24"/>
          <w:szCs w:val="24"/>
        </w:rPr>
        <w:t>Konvencija o prekograničnom onečišćenju zraka na velikim udaljenostima, na temelju notifikacije o sukcesiji, Republika Hrvatska postala je stranka („Narodne novine – Međunarodni ugovori“, broj 12/93)</w:t>
      </w:r>
    </w:p>
    <w:p w14:paraId="50A59DEC" w14:textId="3637D40E" w:rsidR="00D84719" w:rsidRPr="007F5231" w:rsidRDefault="00D84719" w:rsidP="007F5231">
      <w:pPr>
        <w:pStyle w:val="Odlomakpopisa"/>
        <w:numPr>
          <w:ilvl w:val="0"/>
          <w:numId w:val="22"/>
        </w:numPr>
        <w:tabs>
          <w:tab w:val="left" w:pos="1755"/>
        </w:tabs>
        <w:autoSpaceDE w:val="0"/>
        <w:autoSpaceDN w:val="0"/>
        <w:adjustRightInd w:val="0"/>
        <w:spacing w:before="60" w:after="60" w:line="240" w:lineRule="auto"/>
        <w:ind w:left="851" w:hanging="284"/>
        <w:contextualSpacing w:val="0"/>
        <w:jc w:val="both"/>
        <w:rPr>
          <w:rFonts w:ascii="Times New Roman" w:eastAsia="Calibri" w:hAnsi="Times New Roman" w:cs="Times New Roman"/>
          <w:sz w:val="24"/>
          <w:szCs w:val="24"/>
        </w:rPr>
      </w:pPr>
      <w:r w:rsidRPr="007F5231">
        <w:rPr>
          <w:rFonts w:ascii="Times New Roman" w:eastAsia="Calibri" w:hAnsi="Times New Roman" w:cs="Times New Roman"/>
          <w:sz w:val="24"/>
          <w:szCs w:val="24"/>
        </w:rPr>
        <w:t>Protokol o postojanim organskim onečišćujućim tvarima uz Konvenciju o dalekosežnom prekograničnom onečišćenju zraka iz 1979</w:t>
      </w:r>
      <w:r w:rsidR="005C26BD">
        <w:rPr>
          <w:rFonts w:ascii="Times New Roman" w:eastAsia="Calibri" w:hAnsi="Times New Roman" w:cs="Times New Roman"/>
          <w:sz w:val="24"/>
          <w:szCs w:val="24"/>
        </w:rPr>
        <w:t>.</w:t>
      </w:r>
      <w:r w:rsidRPr="007F5231">
        <w:rPr>
          <w:rFonts w:ascii="Times New Roman" w:eastAsia="Calibri" w:hAnsi="Times New Roman" w:cs="Times New Roman"/>
          <w:sz w:val="24"/>
          <w:szCs w:val="24"/>
        </w:rPr>
        <w:t xml:space="preserve"> („Narodne novine – Međunarodni ugovori“, broj 5/07), stupio na snagu u odnosu na Republiku Hrvatsku 5. prosinca 2007</w:t>
      </w:r>
      <w:r w:rsidR="005C26BD">
        <w:rPr>
          <w:rFonts w:ascii="Times New Roman" w:eastAsia="Calibri" w:hAnsi="Times New Roman" w:cs="Times New Roman"/>
          <w:sz w:val="24"/>
          <w:szCs w:val="24"/>
        </w:rPr>
        <w:t>.</w:t>
      </w:r>
      <w:r w:rsidRPr="007F5231">
        <w:rPr>
          <w:rFonts w:ascii="Times New Roman" w:eastAsia="Calibri" w:hAnsi="Times New Roman" w:cs="Times New Roman"/>
          <w:sz w:val="24"/>
          <w:szCs w:val="24"/>
        </w:rPr>
        <w:t xml:space="preserve"> („Narodne novine – Međunarodni ugovori“, broj 9/07)</w:t>
      </w:r>
    </w:p>
    <w:p w14:paraId="7CA853E7" w14:textId="75F98CBA" w:rsidR="00D84719" w:rsidRPr="007F5231" w:rsidRDefault="00D84719" w:rsidP="007F5231">
      <w:pPr>
        <w:pStyle w:val="Odlomakpopisa"/>
        <w:numPr>
          <w:ilvl w:val="0"/>
          <w:numId w:val="22"/>
        </w:numPr>
        <w:tabs>
          <w:tab w:val="left" w:pos="1755"/>
        </w:tabs>
        <w:autoSpaceDE w:val="0"/>
        <w:autoSpaceDN w:val="0"/>
        <w:adjustRightInd w:val="0"/>
        <w:spacing w:before="60" w:after="60" w:line="240" w:lineRule="auto"/>
        <w:ind w:left="851" w:hanging="284"/>
        <w:contextualSpacing w:val="0"/>
        <w:jc w:val="both"/>
        <w:rPr>
          <w:rFonts w:ascii="Times New Roman" w:eastAsia="Calibri" w:hAnsi="Times New Roman" w:cs="Times New Roman"/>
          <w:sz w:val="24"/>
          <w:szCs w:val="24"/>
        </w:rPr>
      </w:pPr>
      <w:r w:rsidRPr="007F5231">
        <w:rPr>
          <w:rFonts w:ascii="Times New Roman" w:eastAsia="Calibri" w:hAnsi="Times New Roman" w:cs="Times New Roman"/>
          <w:sz w:val="24"/>
          <w:szCs w:val="24"/>
        </w:rPr>
        <w:t>Konvencija o nadzoru prekograničnog prometa opasnog otpada i njegovu odlaganju („Narodne novine – Međunarodni ugovori“, broj 3/94 i 7/19), stupila je na snagu u odnosu na Republiku Hrvatsku 7. kolovoza 1994</w:t>
      </w:r>
      <w:r w:rsidR="005C26BD">
        <w:rPr>
          <w:rFonts w:ascii="Times New Roman" w:eastAsia="Calibri" w:hAnsi="Times New Roman" w:cs="Times New Roman"/>
          <w:sz w:val="24"/>
          <w:szCs w:val="24"/>
        </w:rPr>
        <w:t>.</w:t>
      </w:r>
      <w:r w:rsidRPr="007F5231">
        <w:rPr>
          <w:rFonts w:ascii="Times New Roman" w:eastAsia="Calibri" w:hAnsi="Times New Roman" w:cs="Times New Roman"/>
          <w:sz w:val="24"/>
          <w:szCs w:val="24"/>
        </w:rPr>
        <w:t>, Baselska konvencija</w:t>
      </w:r>
    </w:p>
    <w:p w14:paraId="60A7B7B5" w14:textId="7DBEF671" w:rsidR="00D84719" w:rsidRPr="007F5231" w:rsidRDefault="00D84719" w:rsidP="007F5231">
      <w:pPr>
        <w:pStyle w:val="Odlomakpopisa"/>
        <w:numPr>
          <w:ilvl w:val="0"/>
          <w:numId w:val="22"/>
        </w:numPr>
        <w:tabs>
          <w:tab w:val="left" w:pos="1755"/>
        </w:tabs>
        <w:autoSpaceDE w:val="0"/>
        <w:autoSpaceDN w:val="0"/>
        <w:adjustRightInd w:val="0"/>
        <w:spacing w:before="60" w:after="60" w:line="240" w:lineRule="auto"/>
        <w:ind w:left="851" w:hanging="284"/>
        <w:contextualSpacing w:val="0"/>
        <w:jc w:val="both"/>
        <w:rPr>
          <w:rFonts w:ascii="Times New Roman" w:eastAsia="Calibri" w:hAnsi="Times New Roman" w:cs="Times New Roman"/>
          <w:sz w:val="24"/>
          <w:szCs w:val="24"/>
        </w:rPr>
      </w:pPr>
      <w:r w:rsidRPr="007F5231">
        <w:rPr>
          <w:rFonts w:ascii="Times New Roman" w:eastAsia="Calibri" w:hAnsi="Times New Roman" w:cs="Times New Roman"/>
          <w:sz w:val="24"/>
          <w:szCs w:val="24"/>
        </w:rPr>
        <w:t>Roterdamska konvencija o postupku prethodnog pristanka za određene opasne kemikalije i pesticide u međunarodnoj trgovini („Narodne novine – Međunarodni ugovori“, broj 4/07), stupila je na snagu u odnosu na Republiku Hrvatsku 14. veljače 2008</w:t>
      </w:r>
      <w:r w:rsidR="005C26BD">
        <w:rPr>
          <w:rFonts w:ascii="Times New Roman" w:eastAsia="Calibri" w:hAnsi="Times New Roman" w:cs="Times New Roman"/>
          <w:sz w:val="24"/>
          <w:szCs w:val="24"/>
        </w:rPr>
        <w:t>.</w:t>
      </w:r>
      <w:r w:rsidRPr="007F5231">
        <w:rPr>
          <w:rFonts w:ascii="Times New Roman" w:eastAsia="Calibri" w:hAnsi="Times New Roman" w:cs="Times New Roman"/>
          <w:sz w:val="24"/>
          <w:szCs w:val="24"/>
        </w:rPr>
        <w:t xml:space="preserve"> („Narodne novine – Međunarodni ugovori“, broj 1/08)</w:t>
      </w:r>
    </w:p>
    <w:p w14:paraId="1D3F7F16" w14:textId="5B7F6077" w:rsidR="00D84719" w:rsidRPr="007F5231" w:rsidRDefault="00D84719" w:rsidP="007F5231">
      <w:pPr>
        <w:pStyle w:val="Odlomakpopisa"/>
        <w:numPr>
          <w:ilvl w:val="0"/>
          <w:numId w:val="22"/>
        </w:numPr>
        <w:tabs>
          <w:tab w:val="left" w:pos="1755"/>
        </w:tabs>
        <w:autoSpaceDE w:val="0"/>
        <w:autoSpaceDN w:val="0"/>
        <w:adjustRightInd w:val="0"/>
        <w:spacing w:before="60" w:after="60" w:line="240" w:lineRule="auto"/>
        <w:ind w:left="851" w:hanging="284"/>
        <w:contextualSpacing w:val="0"/>
        <w:jc w:val="both"/>
        <w:rPr>
          <w:rFonts w:ascii="Times New Roman" w:eastAsia="Calibri" w:hAnsi="Times New Roman" w:cs="Times New Roman"/>
          <w:sz w:val="24"/>
          <w:szCs w:val="24"/>
        </w:rPr>
      </w:pPr>
      <w:r w:rsidRPr="007F5231">
        <w:rPr>
          <w:rFonts w:ascii="Times New Roman" w:eastAsia="Calibri" w:hAnsi="Times New Roman" w:cs="Times New Roman"/>
          <w:sz w:val="24"/>
          <w:szCs w:val="24"/>
        </w:rPr>
        <w:t>Konvencija o prekograničnim učincima industrijskih nesreća (</w:t>
      </w:r>
      <w:r w:rsidR="00D06A8B">
        <w:rPr>
          <w:rFonts w:ascii="Times New Roman" w:eastAsia="Calibri" w:hAnsi="Times New Roman" w:cs="Times New Roman"/>
          <w:sz w:val="24"/>
          <w:szCs w:val="24"/>
        </w:rPr>
        <w:t>„</w:t>
      </w:r>
      <w:r w:rsidRPr="007F5231">
        <w:rPr>
          <w:rFonts w:ascii="Times New Roman" w:eastAsia="Calibri" w:hAnsi="Times New Roman" w:cs="Times New Roman"/>
          <w:sz w:val="24"/>
          <w:szCs w:val="24"/>
        </w:rPr>
        <w:t>Narodne novine – Međunarodni ugovori“, broj 7/99), stupila je na snagu u odnosu na Republiku Hrvatsku 19. travnja 2000</w:t>
      </w:r>
      <w:r w:rsidR="005C26BD">
        <w:rPr>
          <w:rFonts w:ascii="Times New Roman" w:eastAsia="Calibri" w:hAnsi="Times New Roman" w:cs="Times New Roman"/>
          <w:sz w:val="24"/>
          <w:szCs w:val="24"/>
        </w:rPr>
        <w:t>.</w:t>
      </w:r>
      <w:r w:rsidRPr="007F5231">
        <w:rPr>
          <w:rFonts w:ascii="Times New Roman" w:eastAsia="Calibri" w:hAnsi="Times New Roman" w:cs="Times New Roman"/>
          <w:sz w:val="24"/>
          <w:szCs w:val="24"/>
        </w:rPr>
        <w:t xml:space="preserve"> („Narodne novine – Međunarodni ugovori“, broj 10/01)</w:t>
      </w:r>
    </w:p>
    <w:p w14:paraId="27FB2AC9" w14:textId="784CD2D4" w:rsidR="00D84719" w:rsidRPr="007F5231" w:rsidRDefault="00D84719" w:rsidP="007F5231">
      <w:pPr>
        <w:pStyle w:val="Odlomakpopisa"/>
        <w:numPr>
          <w:ilvl w:val="0"/>
          <w:numId w:val="22"/>
        </w:numPr>
        <w:tabs>
          <w:tab w:val="left" w:pos="1755"/>
        </w:tabs>
        <w:autoSpaceDE w:val="0"/>
        <w:autoSpaceDN w:val="0"/>
        <w:adjustRightInd w:val="0"/>
        <w:spacing w:before="60" w:after="60" w:line="240" w:lineRule="auto"/>
        <w:ind w:left="851" w:hanging="284"/>
        <w:contextualSpacing w:val="0"/>
        <w:jc w:val="both"/>
        <w:rPr>
          <w:rFonts w:ascii="Times New Roman" w:eastAsia="Calibri" w:hAnsi="Times New Roman" w:cs="Times New Roman"/>
          <w:sz w:val="24"/>
          <w:szCs w:val="24"/>
        </w:rPr>
      </w:pPr>
      <w:r w:rsidRPr="007F5231">
        <w:rPr>
          <w:rFonts w:ascii="Times New Roman" w:eastAsia="Calibri" w:hAnsi="Times New Roman" w:cs="Times New Roman"/>
          <w:sz w:val="24"/>
          <w:szCs w:val="24"/>
        </w:rPr>
        <w:t>Konvencija o zaštiti Sredozemnog mora od onečišćavanja, na temelju notifikacije o sukcesiji Republika Hrvatska stranka je Konvencije od 8. listopada 1991</w:t>
      </w:r>
      <w:r w:rsidR="005C26BD">
        <w:rPr>
          <w:rFonts w:ascii="Times New Roman" w:eastAsia="Calibri" w:hAnsi="Times New Roman" w:cs="Times New Roman"/>
          <w:sz w:val="24"/>
          <w:szCs w:val="24"/>
        </w:rPr>
        <w:t>.</w:t>
      </w:r>
      <w:r w:rsidRPr="007F5231">
        <w:rPr>
          <w:rFonts w:ascii="Times New Roman" w:eastAsia="Calibri" w:hAnsi="Times New Roman" w:cs="Times New Roman"/>
          <w:sz w:val="24"/>
          <w:szCs w:val="24"/>
        </w:rPr>
        <w:t xml:space="preserve"> („Narodne novine – Međunarodni ugovori“, broj 12/93)</w:t>
      </w:r>
    </w:p>
    <w:p w14:paraId="69A538E8" w14:textId="77777777" w:rsidR="00D84719" w:rsidRPr="007F5231" w:rsidRDefault="00D84719" w:rsidP="007F5231">
      <w:pPr>
        <w:pStyle w:val="Odlomakpopisa"/>
        <w:numPr>
          <w:ilvl w:val="0"/>
          <w:numId w:val="22"/>
        </w:numPr>
        <w:tabs>
          <w:tab w:val="left" w:pos="1755"/>
        </w:tabs>
        <w:autoSpaceDE w:val="0"/>
        <w:autoSpaceDN w:val="0"/>
        <w:adjustRightInd w:val="0"/>
        <w:spacing w:before="60" w:after="60" w:line="240" w:lineRule="auto"/>
        <w:ind w:left="851" w:hanging="284"/>
        <w:contextualSpacing w:val="0"/>
        <w:jc w:val="both"/>
        <w:rPr>
          <w:rFonts w:ascii="Times New Roman" w:eastAsia="Calibri" w:hAnsi="Times New Roman" w:cs="Times New Roman"/>
          <w:sz w:val="24"/>
          <w:szCs w:val="24"/>
        </w:rPr>
      </w:pPr>
      <w:r w:rsidRPr="007F5231">
        <w:rPr>
          <w:rFonts w:ascii="Times New Roman" w:eastAsia="Calibri" w:hAnsi="Times New Roman" w:cs="Times New Roman"/>
          <w:sz w:val="24"/>
          <w:szCs w:val="24"/>
        </w:rPr>
        <w:t>Protokol o zaštiti Sredozemnog mora od onečišćenja s kopna (Atena, 17. svibnja 1980.), (LBS Protokol), (Službeni list SFRJ, Međunarodni ugovori 1/90)</w:t>
      </w:r>
    </w:p>
    <w:p w14:paraId="02851EF6" w14:textId="77777777" w:rsidR="00D84719" w:rsidRPr="007F5231" w:rsidRDefault="00D84719" w:rsidP="007F5231">
      <w:pPr>
        <w:pStyle w:val="Odlomakpopisa"/>
        <w:numPr>
          <w:ilvl w:val="0"/>
          <w:numId w:val="22"/>
        </w:numPr>
        <w:tabs>
          <w:tab w:val="left" w:pos="1755"/>
        </w:tabs>
        <w:autoSpaceDE w:val="0"/>
        <w:autoSpaceDN w:val="0"/>
        <w:adjustRightInd w:val="0"/>
        <w:spacing w:before="60" w:after="60" w:line="240" w:lineRule="auto"/>
        <w:ind w:left="851" w:hanging="284"/>
        <w:contextualSpacing w:val="0"/>
        <w:jc w:val="both"/>
        <w:rPr>
          <w:rFonts w:ascii="Times New Roman" w:eastAsia="Calibri" w:hAnsi="Times New Roman" w:cs="Times New Roman"/>
          <w:sz w:val="24"/>
          <w:szCs w:val="24"/>
        </w:rPr>
      </w:pPr>
      <w:r w:rsidRPr="007F5231">
        <w:rPr>
          <w:rFonts w:ascii="Times New Roman" w:eastAsia="Calibri" w:hAnsi="Times New Roman" w:cs="Times New Roman"/>
          <w:sz w:val="24"/>
          <w:szCs w:val="24"/>
        </w:rPr>
        <w:t>Odluka o proglašenju Zakona o potvrđivanju izmjena i dopuna Protokola o zaštiti Sredozemnog mora od onečišćavanja s kopna („Narodne novine – Međunarodni ugovori“, broj 3/06), (novi naziv Protokola: Protokol o zaštiti Sredozemnog mora od onečišćavanja iz izvora i djelatnosti na kopnu)</w:t>
      </w:r>
    </w:p>
    <w:p w14:paraId="48016E73" w14:textId="77777777" w:rsidR="00D84719" w:rsidRPr="007F5231" w:rsidRDefault="00D84719" w:rsidP="007F5231">
      <w:pPr>
        <w:pStyle w:val="Odlomakpopisa"/>
        <w:numPr>
          <w:ilvl w:val="0"/>
          <w:numId w:val="22"/>
        </w:numPr>
        <w:tabs>
          <w:tab w:val="left" w:pos="1755"/>
        </w:tabs>
        <w:autoSpaceDE w:val="0"/>
        <w:autoSpaceDN w:val="0"/>
        <w:adjustRightInd w:val="0"/>
        <w:spacing w:before="60" w:after="60" w:line="240" w:lineRule="auto"/>
        <w:ind w:left="851" w:hanging="284"/>
        <w:contextualSpacing w:val="0"/>
        <w:jc w:val="both"/>
        <w:rPr>
          <w:rFonts w:ascii="Times New Roman" w:eastAsia="Calibri" w:hAnsi="Times New Roman" w:cs="Times New Roman"/>
          <w:sz w:val="24"/>
          <w:szCs w:val="24"/>
        </w:rPr>
      </w:pPr>
      <w:r w:rsidRPr="007F5231">
        <w:rPr>
          <w:rFonts w:ascii="Times New Roman" w:eastAsia="Calibri" w:hAnsi="Times New Roman" w:cs="Times New Roman"/>
          <w:sz w:val="24"/>
          <w:szCs w:val="24"/>
        </w:rPr>
        <w:t>Konvencija o suradnji na zaštiti i održivoj uporabi rijeke Dunav („Narodne novine – Međunarodni ugovori“, broj 2/96), Sofijska konvencija, Sofija 1994.</w:t>
      </w:r>
    </w:p>
    <w:p w14:paraId="79F71CA0" w14:textId="77777777" w:rsidR="00D84719" w:rsidRPr="007F5231" w:rsidRDefault="00D84719" w:rsidP="007F5231">
      <w:pPr>
        <w:pStyle w:val="Odlomakpopisa"/>
        <w:numPr>
          <w:ilvl w:val="0"/>
          <w:numId w:val="22"/>
        </w:numPr>
        <w:tabs>
          <w:tab w:val="left" w:pos="1755"/>
        </w:tabs>
        <w:autoSpaceDE w:val="0"/>
        <w:autoSpaceDN w:val="0"/>
        <w:adjustRightInd w:val="0"/>
        <w:spacing w:before="60" w:after="60" w:line="240" w:lineRule="auto"/>
        <w:ind w:left="851" w:hanging="284"/>
        <w:contextualSpacing w:val="0"/>
        <w:jc w:val="both"/>
        <w:rPr>
          <w:rFonts w:ascii="Times New Roman" w:eastAsia="Calibri" w:hAnsi="Times New Roman" w:cs="Times New Roman"/>
          <w:sz w:val="24"/>
          <w:szCs w:val="24"/>
        </w:rPr>
      </w:pPr>
      <w:r w:rsidRPr="007F5231">
        <w:rPr>
          <w:rFonts w:ascii="Times New Roman" w:eastAsia="Calibri" w:hAnsi="Times New Roman" w:cs="Times New Roman"/>
          <w:sz w:val="24"/>
          <w:szCs w:val="24"/>
        </w:rPr>
        <w:t>Okvirni sporazum o slivu rijeke Save, („Narodne novine – Međunarodni ugovori“, broj 14/03)</w:t>
      </w:r>
    </w:p>
    <w:p w14:paraId="181217B8" w14:textId="77777777" w:rsidR="00D84719" w:rsidRPr="007F5231" w:rsidRDefault="00D84719" w:rsidP="007F5231">
      <w:pPr>
        <w:pStyle w:val="Odlomakpopisa"/>
        <w:numPr>
          <w:ilvl w:val="0"/>
          <w:numId w:val="22"/>
        </w:numPr>
        <w:tabs>
          <w:tab w:val="left" w:pos="1755"/>
        </w:tabs>
        <w:autoSpaceDE w:val="0"/>
        <w:autoSpaceDN w:val="0"/>
        <w:adjustRightInd w:val="0"/>
        <w:spacing w:before="60" w:after="60" w:line="240" w:lineRule="auto"/>
        <w:ind w:left="851" w:hanging="284"/>
        <w:contextualSpacing w:val="0"/>
        <w:jc w:val="both"/>
        <w:rPr>
          <w:rFonts w:ascii="Times New Roman" w:eastAsia="Calibri" w:hAnsi="Times New Roman" w:cs="Times New Roman"/>
          <w:sz w:val="24"/>
          <w:szCs w:val="24"/>
        </w:rPr>
      </w:pPr>
      <w:r w:rsidRPr="007F5231">
        <w:rPr>
          <w:rFonts w:ascii="Times New Roman" w:eastAsia="Calibri" w:hAnsi="Times New Roman" w:cs="Times New Roman"/>
          <w:sz w:val="24"/>
          <w:szCs w:val="24"/>
        </w:rPr>
        <w:t>Sporazum o vodnogospodarskim odnosima između Vlade Republike Hrvatske i Vlade Republike Mađarske („Narodne novine – Međunarodni ugovori“, broj 10/94)</w:t>
      </w:r>
    </w:p>
    <w:p w14:paraId="0924AF69" w14:textId="77777777" w:rsidR="00D84719" w:rsidRPr="007F5231" w:rsidRDefault="00D84719" w:rsidP="007F5231">
      <w:pPr>
        <w:pStyle w:val="Odlomakpopisa"/>
        <w:numPr>
          <w:ilvl w:val="0"/>
          <w:numId w:val="22"/>
        </w:numPr>
        <w:tabs>
          <w:tab w:val="left" w:pos="1755"/>
        </w:tabs>
        <w:autoSpaceDE w:val="0"/>
        <w:autoSpaceDN w:val="0"/>
        <w:adjustRightInd w:val="0"/>
        <w:spacing w:before="60" w:after="60" w:line="240" w:lineRule="auto"/>
        <w:ind w:left="851" w:hanging="284"/>
        <w:contextualSpacing w:val="0"/>
        <w:jc w:val="both"/>
        <w:rPr>
          <w:rFonts w:ascii="Times New Roman" w:eastAsia="Calibri" w:hAnsi="Times New Roman" w:cs="Times New Roman"/>
          <w:sz w:val="24"/>
          <w:szCs w:val="24"/>
        </w:rPr>
      </w:pPr>
      <w:r w:rsidRPr="007F5231">
        <w:rPr>
          <w:rFonts w:ascii="Times New Roman" w:eastAsia="Calibri" w:hAnsi="Times New Roman" w:cs="Times New Roman"/>
          <w:sz w:val="24"/>
          <w:szCs w:val="24"/>
        </w:rPr>
        <w:t>Ugovor između Vlade Republike Hrvatske i Vlade Bosne i Hercegovine o uređenju vodnogospodarskih odnosa („Narodne novine – Međunarodni ugovori“, broj 12/96)</w:t>
      </w:r>
    </w:p>
    <w:p w14:paraId="5F6A0025" w14:textId="77777777" w:rsidR="00D84719" w:rsidRPr="007F5231" w:rsidRDefault="00D84719" w:rsidP="007F5231">
      <w:pPr>
        <w:pStyle w:val="Odlomakpopisa"/>
        <w:numPr>
          <w:ilvl w:val="0"/>
          <w:numId w:val="22"/>
        </w:numPr>
        <w:tabs>
          <w:tab w:val="left" w:pos="1755"/>
        </w:tabs>
        <w:autoSpaceDE w:val="0"/>
        <w:autoSpaceDN w:val="0"/>
        <w:adjustRightInd w:val="0"/>
        <w:spacing w:before="60" w:after="60" w:line="240" w:lineRule="auto"/>
        <w:ind w:left="851" w:hanging="284"/>
        <w:contextualSpacing w:val="0"/>
        <w:jc w:val="both"/>
        <w:rPr>
          <w:rFonts w:ascii="Times New Roman" w:eastAsia="Calibri" w:hAnsi="Times New Roman" w:cs="Times New Roman"/>
          <w:sz w:val="24"/>
          <w:szCs w:val="24"/>
        </w:rPr>
      </w:pPr>
      <w:r w:rsidRPr="007F5231">
        <w:rPr>
          <w:rFonts w:ascii="Times New Roman" w:eastAsia="Calibri" w:hAnsi="Times New Roman" w:cs="Times New Roman"/>
          <w:sz w:val="24"/>
          <w:szCs w:val="24"/>
        </w:rPr>
        <w:t>Ugovor između Vlade Republike Hrvatske i Vlade Republike Slovenije o uređivanju vodnogospodarskih odnosa („Narodne novine – Međunarodni ugovori“, broj 10/97)</w:t>
      </w:r>
    </w:p>
    <w:p w14:paraId="009483B5" w14:textId="77777777" w:rsidR="00D84719" w:rsidRPr="007F5231" w:rsidRDefault="00D84719" w:rsidP="007F5231">
      <w:pPr>
        <w:pStyle w:val="Odlomakpopisa"/>
        <w:numPr>
          <w:ilvl w:val="0"/>
          <w:numId w:val="22"/>
        </w:numPr>
        <w:tabs>
          <w:tab w:val="left" w:pos="1755"/>
        </w:tabs>
        <w:autoSpaceDE w:val="0"/>
        <w:autoSpaceDN w:val="0"/>
        <w:adjustRightInd w:val="0"/>
        <w:spacing w:before="60" w:after="60" w:line="240" w:lineRule="auto"/>
        <w:ind w:left="851" w:hanging="284"/>
        <w:contextualSpacing w:val="0"/>
        <w:jc w:val="both"/>
        <w:rPr>
          <w:rFonts w:ascii="Times New Roman" w:eastAsia="Calibri" w:hAnsi="Times New Roman" w:cs="Times New Roman"/>
          <w:sz w:val="24"/>
          <w:szCs w:val="24"/>
        </w:rPr>
      </w:pPr>
      <w:r w:rsidRPr="007F5231">
        <w:rPr>
          <w:rFonts w:ascii="Times New Roman" w:eastAsia="Calibri" w:hAnsi="Times New Roman" w:cs="Times New Roman"/>
          <w:sz w:val="24"/>
          <w:szCs w:val="24"/>
        </w:rPr>
        <w:t>Ugovor između Vlade Republike Hrvatske i Vlade Republike Crne Gore o međusobnim odnosima u području upravljanja vodama („Narodne novine – Međunarodni ugovori“, broj 1/08).</w:t>
      </w:r>
    </w:p>
    <w:p w14:paraId="5C8D5852" w14:textId="77777777" w:rsidR="00D84719" w:rsidRPr="00D84719" w:rsidRDefault="00D84719" w:rsidP="009B7156">
      <w:pPr>
        <w:spacing w:after="200" w:line="276" w:lineRule="auto"/>
        <w:rPr>
          <w:rFonts w:ascii="Times New Roman" w:eastAsia="Times New Roman" w:hAnsi="Times New Roman" w:cs="Times New Roman"/>
          <w:color w:val="000000"/>
          <w:szCs w:val="24"/>
        </w:rPr>
      </w:pPr>
    </w:p>
    <w:p w14:paraId="35822A04" w14:textId="77777777" w:rsidR="00D84719" w:rsidRPr="00D84719" w:rsidRDefault="00D84719" w:rsidP="008A290D">
      <w:pPr>
        <w:pStyle w:val="Naslov3"/>
      </w:pPr>
      <w:bookmarkStart w:id="29" w:name="_Toc41638221"/>
      <w:bookmarkStart w:id="30" w:name="_Toc64460672"/>
      <w:r w:rsidRPr="00D84719">
        <w:lastRenderedPageBreak/>
        <w:t xml:space="preserve">ZAKONODAVSTVO KOJE SE ODNOSI NA GOSPODARENJE POPS-OVIMA NA RAZINI </w:t>
      </w:r>
      <w:bookmarkEnd w:id="29"/>
      <w:r w:rsidRPr="00D84719">
        <w:t>EUROPSKE UNIJE</w:t>
      </w:r>
      <w:bookmarkEnd w:id="30"/>
      <w:r w:rsidRPr="00D84719">
        <w:t xml:space="preserve"> </w:t>
      </w:r>
    </w:p>
    <w:p w14:paraId="5D92B3CB" w14:textId="77777777" w:rsidR="00D84719" w:rsidRPr="00D84719" w:rsidRDefault="00D84719" w:rsidP="008A290D">
      <w:pPr>
        <w:pStyle w:val="Naslov4"/>
      </w:pPr>
      <w:bookmarkStart w:id="31" w:name="_Toc41638222"/>
      <w:bookmarkStart w:id="32" w:name="_Toc64460673"/>
      <w:r w:rsidRPr="00D84719">
        <w:t>POPs i REACH Uredba</w:t>
      </w:r>
      <w:bookmarkEnd w:id="31"/>
      <w:bookmarkEnd w:id="32"/>
    </w:p>
    <w:p w14:paraId="60085281" w14:textId="77777777" w:rsidR="00D84719" w:rsidRPr="00D84719" w:rsidRDefault="00D84719" w:rsidP="00D84719">
      <w:pPr>
        <w:spacing w:before="80" w:line="276" w:lineRule="auto"/>
        <w:jc w:val="both"/>
        <w:rPr>
          <w:rFonts w:ascii="Times New Roman" w:eastAsia="Times New Roman" w:hAnsi="Times New Roman" w:cs="Times New Roman"/>
          <w:sz w:val="24"/>
          <w:szCs w:val="24"/>
        </w:rPr>
      </w:pPr>
      <w:r w:rsidRPr="00D84719">
        <w:rPr>
          <w:rFonts w:ascii="Times New Roman" w:eastAsia="Times New Roman" w:hAnsi="Times New Roman" w:cs="Times New Roman"/>
          <w:sz w:val="24"/>
          <w:szCs w:val="24"/>
        </w:rPr>
        <w:t>Na razini Europske unije temeljni provedbeni propis za Konvenciju i Protokol o POPs-ovima bila je Uredba (EZ) broj 850/2004 Europskog parlamenta i Vijeća od 29. travnja</w:t>
      </w:r>
      <w:r w:rsidR="001B5C46">
        <w:rPr>
          <w:rFonts w:ascii="Times New Roman" w:eastAsia="Times New Roman" w:hAnsi="Times New Roman" w:cs="Times New Roman"/>
          <w:sz w:val="24"/>
          <w:szCs w:val="24"/>
        </w:rPr>
        <w:t xml:space="preserve"> 20</w:t>
      </w:r>
      <w:r w:rsidRPr="00D84719">
        <w:rPr>
          <w:rFonts w:ascii="Times New Roman" w:eastAsia="Times New Roman" w:hAnsi="Times New Roman" w:cs="Times New Roman"/>
          <w:sz w:val="24"/>
          <w:szCs w:val="24"/>
        </w:rPr>
        <w:t xml:space="preserve">04. o postojanim organskim onečišćujućim tvarima </w:t>
      </w:r>
      <w:bookmarkStart w:id="33" w:name="_Hlk43210223"/>
      <w:r w:rsidRPr="00D84719">
        <w:rPr>
          <w:rFonts w:ascii="Times New Roman" w:eastAsia="Times New Roman" w:hAnsi="Times New Roman" w:cs="Times New Roman"/>
          <w:sz w:val="24"/>
          <w:szCs w:val="24"/>
        </w:rPr>
        <w:t xml:space="preserve">i izmjeni Direktive 79/117/EEZ </w:t>
      </w:r>
      <w:bookmarkEnd w:id="33"/>
      <w:r w:rsidRPr="00D84719">
        <w:rPr>
          <w:rFonts w:ascii="Times New Roman" w:eastAsia="Times New Roman" w:hAnsi="Times New Roman" w:cs="Times New Roman"/>
          <w:sz w:val="24"/>
          <w:szCs w:val="24"/>
        </w:rPr>
        <w:t xml:space="preserve">koja </w:t>
      </w:r>
      <w:r w:rsidR="000B1FC0">
        <w:rPr>
          <w:rFonts w:ascii="Times New Roman" w:eastAsia="Times New Roman" w:hAnsi="Times New Roman" w:cs="Times New Roman"/>
          <w:sz w:val="24"/>
          <w:szCs w:val="24"/>
        </w:rPr>
        <w:t>je direktno primjenjiva</w:t>
      </w:r>
      <w:r w:rsidRPr="00D84719">
        <w:rPr>
          <w:rFonts w:ascii="Times New Roman" w:eastAsia="Times New Roman" w:hAnsi="Times New Roman" w:cs="Times New Roman"/>
          <w:sz w:val="24"/>
          <w:szCs w:val="24"/>
        </w:rPr>
        <w:t xml:space="preserve"> u svim državama članicama Europske unije. Navedena Uredba na snazi je bila do srpnja 2019..</w:t>
      </w:r>
    </w:p>
    <w:p w14:paraId="3A51FDF3"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Direktna provedba Uredbe (EZ) broj 850/2004 Europskog parlamenta i Vijeća od 29. travnja 2004. o postojanim organskim onečišćujućim tvarima i izmjeni Direktive 79/117/EEZ te izmjene i dopune Uredbe</w:t>
      </w:r>
      <w:r w:rsidRPr="00D84719">
        <w:rPr>
          <w:rFonts w:ascii="Times New Roman" w:eastAsia="Times New Roman" w:hAnsi="Times New Roman" w:cs="Times New Roman"/>
          <w:color w:val="000000"/>
          <w:sz w:val="24"/>
          <w:szCs w:val="24"/>
          <w:vertAlign w:val="superscript"/>
        </w:rPr>
        <w:footnoteReference w:id="2"/>
      </w:r>
      <w:r w:rsidRPr="00D84719">
        <w:rPr>
          <w:rFonts w:ascii="Times New Roman" w:eastAsia="Times New Roman" w:hAnsi="Times New Roman" w:cs="Times New Roman"/>
          <w:color w:val="000000"/>
          <w:sz w:val="24"/>
          <w:szCs w:val="24"/>
        </w:rPr>
        <w:t xml:space="preserve">, u Republici Hrvatskoj omogućena je donošenjem Zakona o provedbi Uredbe (EZ) broj 850/2004 o postojanim organskim onečišćujućim tvarima („Narodne novine“, br. 148/13 i 52/19). </w:t>
      </w:r>
    </w:p>
    <w:p w14:paraId="76881A02" w14:textId="77777777" w:rsidR="00D84719" w:rsidRDefault="00D84719" w:rsidP="00D84719">
      <w:pPr>
        <w:spacing w:before="80" w:line="276" w:lineRule="auto"/>
        <w:jc w:val="both"/>
        <w:rPr>
          <w:rFonts w:ascii="Times New Roman" w:eastAsia="Times New Roman" w:hAnsi="Times New Roman" w:cs="Times New Roman"/>
          <w:sz w:val="24"/>
          <w:szCs w:val="24"/>
        </w:rPr>
      </w:pPr>
      <w:r w:rsidRPr="00D84719">
        <w:rPr>
          <w:rFonts w:ascii="Times New Roman" w:eastAsia="Times New Roman" w:hAnsi="Times New Roman" w:cs="Times New Roman"/>
          <w:sz w:val="24"/>
          <w:szCs w:val="24"/>
        </w:rPr>
        <w:t>Od srpnja 2019. na je snazi Uredba (EU) 2019/1021 Europskog parlamenta i Vijeća</w:t>
      </w:r>
      <w:r w:rsidRPr="00D84719">
        <w:rPr>
          <w:rFonts w:ascii="Times New Roman" w:eastAsia="Times New Roman" w:hAnsi="Times New Roman" w:cs="Times New Roman"/>
          <w:sz w:val="24"/>
          <w:szCs w:val="24"/>
          <w:shd w:val="clear" w:color="auto" w:fill="FFFFFF"/>
        </w:rPr>
        <w:t xml:space="preserve"> od 20. lipnja</w:t>
      </w:r>
      <w:r w:rsidR="001B5C46">
        <w:rPr>
          <w:rFonts w:ascii="Times New Roman" w:eastAsia="Times New Roman" w:hAnsi="Times New Roman" w:cs="Times New Roman"/>
          <w:sz w:val="24"/>
          <w:szCs w:val="24"/>
          <w:shd w:val="clear" w:color="auto" w:fill="FFFFFF"/>
        </w:rPr>
        <w:t xml:space="preserve"> 20</w:t>
      </w:r>
      <w:r w:rsidRPr="00D84719">
        <w:rPr>
          <w:rFonts w:ascii="Times New Roman" w:eastAsia="Times New Roman" w:hAnsi="Times New Roman" w:cs="Times New Roman"/>
          <w:sz w:val="24"/>
          <w:szCs w:val="24"/>
          <w:shd w:val="clear" w:color="auto" w:fill="FFFFFF"/>
        </w:rPr>
        <w:t>19. o postojanim organskim onečišćujućim tvarima</w:t>
      </w:r>
      <w:r w:rsidRPr="00D84719">
        <w:rPr>
          <w:rFonts w:ascii="Times New Roman" w:eastAsia="Times New Roman" w:hAnsi="Times New Roman" w:cs="Times New Roman"/>
          <w:sz w:val="24"/>
          <w:szCs w:val="24"/>
        </w:rPr>
        <w:t xml:space="preserve"> (u daljnjem tekstu: POPs Uredba). Direktna provedba POPs Uredbe u Republici Hrvatskoj omogućena je donošenjem Zakona o provedbi Uredbe (EU) 2019/1021 o postojanim organskim onečišćujućim tvarima („Narodne novine“, broj 54/20) (u daljnjem tekstu: Zakon o provedbi POPs Uredbe).</w:t>
      </w:r>
    </w:p>
    <w:p w14:paraId="5E5AAA8C" w14:textId="77777777" w:rsidR="0019231E" w:rsidRPr="0019231E" w:rsidRDefault="0019231E" w:rsidP="0019231E">
      <w:pPr>
        <w:spacing w:before="80" w:line="276" w:lineRule="auto"/>
        <w:jc w:val="both"/>
        <w:rPr>
          <w:rFonts w:ascii="Times New Roman" w:eastAsia="Times New Roman" w:hAnsi="Times New Roman" w:cs="Times New Roman"/>
          <w:sz w:val="24"/>
          <w:szCs w:val="24"/>
          <w:lang w:bidi="hr-HR"/>
        </w:rPr>
      </w:pPr>
      <w:r w:rsidRPr="0019231E">
        <w:rPr>
          <w:rFonts w:ascii="Times New Roman" w:eastAsia="Times New Roman" w:hAnsi="Times New Roman" w:cs="Times New Roman"/>
          <w:sz w:val="24"/>
          <w:szCs w:val="24"/>
          <w:lang w:bidi="hr-HR"/>
        </w:rPr>
        <w:t xml:space="preserve">Preinakom Uredbe uvode se samo tehničke izmjene s ciljem otklanjanja postojećih nejasnoća i provedivosti operativnih odredaba. Naime, mijenjaju se definicije „stavljanje na tržište“, „proizvoda“, „tvari“, „otpada“, „odlaganja“ i „oporabe“. Termin „pripravak“ zamijenjen je terminom „smjesa“ sukladno terminologiji prema općem zakonodavstvu vezano uz kemikalije, stoga se dodaju i nove definicije „proizvodnje“, „uporabe“ i „intermedijera u zatvorenom, prostorno ograničenom sustavu“. </w:t>
      </w:r>
    </w:p>
    <w:p w14:paraId="574DA562" w14:textId="77777777" w:rsidR="0019231E" w:rsidRPr="00D84719" w:rsidRDefault="0019231E" w:rsidP="00D84719">
      <w:pPr>
        <w:spacing w:before="80" w:line="276" w:lineRule="auto"/>
        <w:jc w:val="both"/>
        <w:rPr>
          <w:rFonts w:ascii="Times New Roman" w:eastAsia="Times New Roman" w:hAnsi="Times New Roman" w:cs="Times New Roman"/>
          <w:sz w:val="24"/>
          <w:szCs w:val="24"/>
          <w:lang w:bidi="hr-HR"/>
        </w:rPr>
      </w:pPr>
      <w:r w:rsidRPr="0019231E">
        <w:rPr>
          <w:rFonts w:ascii="Times New Roman" w:eastAsia="Times New Roman" w:hAnsi="Times New Roman" w:cs="Times New Roman"/>
          <w:sz w:val="24"/>
          <w:szCs w:val="24"/>
          <w:lang w:bidi="hr-HR"/>
        </w:rPr>
        <w:t xml:space="preserve">Uvodi se Europska agencija za kemikalije (ECHA), u samu provedbu </w:t>
      </w:r>
      <w:r w:rsidR="000860FC">
        <w:rPr>
          <w:rFonts w:ascii="Times New Roman" w:eastAsia="Times New Roman" w:hAnsi="Times New Roman" w:cs="Times New Roman"/>
          <w:sz w:val="24"/>
          <w:szCs w:val="24"/>
        </w:rPr>
        <w:t>POPs Uredbe</w:t>
      </w:r>
      <w:r w:rsidRPr="0019231E">
        <w:rPr>
          <w:rFonts w:ascii="Times New Roman" w:eastAsia="Times New Roman" w:hAnsi="Times New Roman" w:cs="Times New Roman"/>
          <w:sz w:val="24"/>
          <w:szCs w:val="24"/>
          <w:lang w:bidi="hr-HR"/>
        </w:rPr>
        <w:t xml:space="preserve"> te se neke zadaće s Europske komisije prenose ECHA-i zbog njezinog stručnog znanja i iskustva u provedbi općeg zakonodavstva o kemikalijama i međunarodnim sporazumima o kemikalijama. Uvodi se uloga Foruma za razmjenu informacija o provedbi, uspostavljenog Uredbom (EZ) br. 1907/2006 Europskog parlamenta i Vijeća / REACH Uredba i Uredbom (EU) 649/2012. Preinakom Uredbe ažurirane su ovlasti Europske komisije te su prilagođene odredbe o izvješćivanju i praćenju.</w:t>
      </w:r>
    </w:p>
    <w:p w14:paraId="58CE895A" w14:textId="77777777" w:rsidR="00D84719" w:rsidRPr="00D84719" w:rsidRDefault="00D84719" w:rsidP="00D84719">
      <w:pPr>
        <w:spacing w:before="80" w:line="276" w:lineRule="auto"/>
        <w:jc w:val="both"/>
        <w:rPr>
          <w:rFonts w:ascii="Times New Roman" w:eastAsia="Times New Roman" w:hAnsi="Times New Roman" w:cs="Times New Roman"/>
          <w:sz w:val="24"/>
          <w:szCs w:val="24"/>
        </w:rPr>
      </w:pPr>
      <w:r w:rsidRPr="00D84719">
        <w:rPr>
          <w:rFonts w:ascii="Times New Roman" w:eastAsia="Times New Roman" w:hAnsi="Times New Roman" w:cs="Times New Roman"/>
          <w:sz w:val="24"/>
          <w:szCs w:val="24"/>
        </w:rPr>
        <w:t xml:space="preserve">POPs Uredba sadrži i odredbe koje zahtijevaju uspostavu: proračuna emisija/inventara za nenamjerno proizvedene POPs-ove, izradu nacionalnih provedbenih planova i planova Europske unije i mehanizama za provedbu planova, praćenje i razmjenu informacija o POPs-ovima. U određenoj mjeri POPs Uredba ide korak dalje od samog međunarodnog ugovora u smislu ambicioznosti. </w:t>
      </w:r>
    </w:p>
    <w:p w14:paraId="067818FE" w14:textId="77777777" w:rsidR="00D84719" w:rsidRPr="00D84719" w:rsidRDefault="00D84719" w:rsidP="00D84719">
      <w:pPr>
        <w:spacing w:before="80" w:line="276" w:lineRule="auto"/>
        <w:jc w:val="both"/>
        <w:rPr>
          <w:rFonts w:ascii="Times New Roman" w:eastAsia="Times New Roman" w:hAnsi="Times New Roman" w:cs="Times New Roman"/>
          <w:sz w:val="24"/>
          <w:szCs w:val="24"/>
        </w:rPr>
      </w:pPr>
      <w:r w:rsidRPr="00D84719">
        <w:rPr>
          <w:rFonts w:ascii="Times New Roman" w:eastAsia="Times New Roman" w:hAnsi="Times New Roman" w:cs="Times New Roman"/>
          <w:sz w:val="24"/>
          <w:szCs w:val="24"/>
        </w:rPr>
        <w:t xml:space="preserve">Ocjenjivanjem pravnog okvira za područje kemikalija na razini </w:t>
      </w:r>
      <w:r w:rsidRPr="00D84719">
        <w:rPr>
          <w:rFonts w:ascii="Times New Roman" w:eastAsia="Times New Roman" w:hAnsi="Times New Roman" w:cs="Times New Roman"/>
          <w:color w:val="000000"/>
          <w:sz w:val="24"/>
          <w:szCs w:val="24"/>
          <w:lang w:bidi="en-US"/>
        </w:rPr>
        <w:t>Europske unije</w:t>
      </w:r>
      <w:r w:rsidRPr="00D84719">
        <w:rPr>
          <w:rFonts w:ascii="Times New Roman" w:eastAsia="Times New Roman" w:hAnsi="Times New Roman" w:cs="Times New Roman"/>
          <w:sz w:val="24"/>
          <w:szCs w:val="24"/>
        </w:rPr>
        <w:t xml:space="preserve">, utvrđen je niz problema vezanih uz provedbu zakonodavstva Europske unije, što je dovelo do razlika u </w:t>
      </w:r>
      <w:r w:rsidRPr="00D84719">
        <w:rPr>
          <w:rFonts w:ascii="Times New Roman" w:eastAsia="Times New Roman" w:hAnsi="Times New Roman" w:cs="Times New Roman"/>
          <w:sz w:val="24"/>
          <w:szCs w:val="24"/>
        </w:rPr>
        <w:lastRenderedPageBreak/>
        <w:t>zakonima i drugim propisima država članica koje izravno utječu na funkcioniranje unutarnjega tržišta te je prepoznata potreba da se poduzmu dodatni napori u cilju:</w:t>
      </w:r>
    </w:p>
    <w:p w14:paraId="48636CD7" w14:textId="77777777" w:rsidR="00D84719" w:rsidRPr="00D84719" w:rsidRDefault="00D84719" w:rsidP="00F61CE7">
      <w:pPr>
        <w:numPr>
          <w:ilvl w:val="0"/>
          <w:numId w:val="12"/>
        </w:numPr>
        <w:tabs>
          <w:tab w:val="left" w:pos="1755"/>
        </w:tabs>
        <w:autoSpaceDE w:val="0"/>
        <w:autoSpaceDN w:val="0"/>
        <w:adjustRightInd w:val="0"/>
        <w:spacing w:before="80" w:after="0" w:line="240" w:lineRule="auto"/>
        <w:jc w:val="both"/>
        <w:rPr>
          <w:rFonts w:ascii="Times New Roman" w:eastAsia="Calibri" w:hAnsi="Times New Roman" w:cs="Times New Roman"/>
          <w:sz w:val="24"/>
          <w:szCs w:val="24"/>
        </w:rPr>
      </w:pPr>
      <w:r w:rsidRPr="00D84719">
        <w:rPr>
          <w:rFonts w:ascii="Times New Roman" w:eastAsia="Calibri" w:hAnsi="Times New Roman" w:cs="Times New Roman"/>
          <w:sz w:val="24"/>
          <w:szCs w:val="24"/>
        </w:rPr>
        <w:t>zaštite ljudskog zdravlja i okoliša</w:t>
      </w:r>
    </w:p>
    <w:p w14:paraId="29534029" w14:textId="77777777" w:rsidR="00D84719" w:rsidRPr="00D84719" w:rsidRDefault="00D84719" w:rsidP="00F61CE7">
      <w:pPr>
        <w:numPr>
          <w:ilvl w:val="0"/>
          <w:numId w:val="12"/>
        </w:numPr>
        <w:tabs>
          <w:tab w:val="left" w:pos="1755"/>
        </w:tabs>
        <w:autoSpaceDE w:val="0"/>
        <w:autoSpaceDN w:val="0"/>
        <w:adjustRightInd w:val="0"/>
        <w:spacing w:before="80" w:after="0" w:line="240" w:lineRule="auto"/>
        <w:jc w:val="both"/>
        <w:rPr>
          <w:rFonts w:ascii="Times New Roman" w:eastAsia="Calibri" w:hAnsi="Times New Roman" w:cs="Times New Roman"/>
          <w:sz w:val="24"/>
          <w:szCs w:val="24"/>
        </w:rPr>
      </w:pPr>
      <w:r w:rsidRPr="00D84719">
        <w:rPr>
          <w:rFonts w:ascii="Times New Roman" w:eastAsia="Calibri" w:hAnsi="Times New Roman" w:cs="Times New Roman"/>
          <w:sz w:val="24"/>
          <w:szCs w:val="24"/>
        </w:rPr>
        <w:t>osiguranja svih preduvjeta za ostvarivanja potpune i učinkovite kemijske sigurnosti na razini cijele Europske unije</w:t>
      </w:r>
    </w:p>
    <w:p w14:paraId="79D12661" w14:textId="77777777" w:rsidR="00D84719" w:rsidRPr="00D84719" w:rsidRDefault="00D84719" w:rsidP="00F61CE7">
      <w:pPr>
        <w:numPr>
          <w:ilvl w:val="0"/>
          <w:numId w:val="12"/>
        </w:numPr>
        <w:tabs>
          <w:tab w:val="left" w:pos="1755"/>
        </w:tabs>
        <w:autoSpaceDE w:val="0"/>
        <w:autoSpaceDN w:val="0"/>
        <w:adjustRightInd w:val="0"/>
        <w:spacing w:before="80" w:after="0" w:line="240" w:lineRule="auto"/>
        <w:jc w:val="both"/>
        <w:rPr>
          <w:rFonts w:ascii="Times New Roman" w:eastAsia="Calibri" w:hAnsi="Times New Roman" w:cs="Times New Roman"/>
          <w:sz w:val="24"/>
          <w:szCs w:val="24"/>
        </w:rPr>
      </w:pPr>
      <w:r w:rsidRPr="00D84719">
        <w:rPr>
          <w:rFonts w:ascii="Times New Roman" w:eastAsia="Calibri" w:hAnsi="Times New Roman" w:cs="Times New Roman"/>
          <w:sz w:val="24"/>
          <w:szCs w:val="24"/>
        </w:rPr>
        <w:t>slobode kretanja tvari pojedinačno, u smjesama i proizvodima</w:t>
      </w:r>
    </w:p>
    <w:p w14:paraId="67BA4DFF" w14:textId="77777777" w:rsidR="00D84719" w:rsidRPr="00D84719" w:rsidRDefault="00D84719" w:rsidP="00F61CE7">
      <w:pPr>
        <w:numPr>
          <w:ilvl w:val="0"/>
          <w:numId w:val="12"/>
        </w:numPr>
        <w:tabs>
          <w:tab w:val="left" w:pos="1755"/>
        </w:tabs>
        <w:autoSpaceDE w:val="0"/>
        <w:autoSpaceDN w:val="0"/>
        <w:adjustRightInd w:val="0"/>
        <w:spacing w:before="80" w:after="0" w:line="240" w:lineRule="auto"/>
        <w:jc w:val="both"/>
        <w:rPr>
          <w:rFonts w:ascii="Times New Roman" w:eastAsia="Calibri" w:hAnsi="Times New Roman" w:cs="Times New Roman"/>
          <w:sz w:val="24"/>
          <w:szCs w:val="24"/>
        </w:rPr>
      </w:pPr>
      <w:r w:rsidRPr="00D84719">
        <w:rPr>
          <w:rFonts w:ascii="Times New Roman" w:eastAsia="Calibri" w:hAnsi="Times New Roman" w:cs="Times New Roman"/>
          <w:sz w:val="24"/>
          <w:szCs w:val="24"/>
        </w:rPr>
        <w:t>povećavanja konkurentnosti i inovativnosti i</w:t>
      </w:r>
    </w:p>
    <w:p w14:paraId="714F2C17" w14:textId="77777777" w:rsidR="00D84719" w:rsidRPr="00D84719" w:rsidRDefault="00D84719" w:rsidP="00F61CE7">
      <w:pPr>
        <w:numPr>
          <w:ilvl w:val="0"/>
          <w:numId w:val="12"/>
        </w:numPr>
        <w:tabs>
          <w:tab w:val="left" w:pos="1755"/>
        </w:tabs>
        <w:autoSpaceDE w:val="0"/>
        <w:autoSpaceDN w:val="0"/>
        <w:adjustRightInd w:val="0"/>
        <w:spacing w:before="80" w:after="0" w:line="240" w:lineRule="auto"/>
        <w:jc w:val="both"/>
        <w:rPr>
          <w:rFonts w:ascii="Times New Roman" w:eastAsia="Calibri" w:hAnsi="Times New Roman" w:cs="Times New Roman"/>
          <w:sz w:val="24"/>
          <w:szCs w:val="24"/>
        </w:rPr>
      </w:pPr>
      <w:r w:rsidRPr="00D84719">
        <w:rPr>
          <w:rFonts w:ascii="Times New Roman" w:eastAsia="Calibri" w:hAnsi="Times New Roman" w:cs="Times New Roman"/>
          <w:sz w:val="24"/>
          <w:szCs w:val="24"/>
        </w:rPr>
        <w:t>poticanja razvoja alternativnih metoda ocjenjivanja opasnosti tvari.</w:t>
      </w:r>
    </w:p>
    <w:p w14:paraId="055B633F" w14:textId="77777777" w:rsidR="00D84719" w:rsidRPr="00D84719" w:rsidRDefault="00D84719" w:rsidP="00D84719">
      <w:pPr>
        <w:spacing w:before="80" w:line="276" w:lineRule="auto"/>
        <w:jc w:val="both"/>
        <w:rPr>
          <w:rFonts w:ascii="Times New Roman" w:eastAsia="Times New Roman" w:hAnsi="Times New Roman" w:cs="Times New Roman"/>
          <w:sz w:val="24"/>
          <w:szCs w:val="24"/>
        </w:rPr>
      </w:pPr>
      <w:r w:rsidRPr="00D84719">
        <w:rPr>
          <w:rFonts w:ascii="Times New Roman" w:eastAsia="Times New Roman" w:hAnsi="Times New Roman" w:cs="Times New Roman"/>
          <w:sz w:val="24"/>
          <w:szCs w:val="24"/>
        </w:rPr>
        <w:t xml:space="preserve">Na temelju navedenog, zakonodavstvo </w:t>
      </w:r>
      <w:r w:rsidRPr="00D84719">
        <w:rPr>
          <w:rFonts w:ascii="Times New Roman" w:eastAsia="Times New Roman" w:hAnsi="Times New Roman" w:cs="Times New Roman"/>
          <w:color w:val="000000"/>
          <w:sz w:val="24"/>
          <w:szCs w:val="24"/>
          <w:lang w:bidi="en-US"/>
        </w:rPr>
        <w:t>Europske unije</w:t>
      </w:r>
      <w:r w:rsidRPr="00D84719">
        <w:rPr>
          <w:rFonts w:ascii="Times New Roman" w:eastAsia="Times New Roman" w:hAnsi="Times New Roman" w:cs="Times New Roman"/>
          <w:sz w:val="24"/>
          <w:szCs w:val="24"/>
        </w:rPr>
        <w:t xml:space="preserve"> kontinuirano se nadopunjuje i ažurira u skladu s novim saznanjima i aktualnim potrebama, dok se POPs Uredba redovno usklađuje i s ostalim zakonodavstvom Europske unije prije svega misli se na Uredbu (EZ) broj 1907/2006 Europskog Parlamenta i Vijeća od 18. prosinca</w:t>
      </w:r>
      <w:r w:rsidR="001B5C46">
        <w:rPr>
          <w:rFonts w:ascii="Times New Roman" w:eastAsia="Times New Roman" w:hAnsi="Times New Roman" w:cs="Times New Roman"/>
          <w:sz w:val="24"/>
          <w:szCs w:val="24"/>
        </w:rPr>
        <w:t xml:space="preserve"> 20</w:t>
      </w:r>
      <w:r w:rsidRPr="00D84719">
        <w:rPr>
          <w:rFonts w:ascii="Times New Roman" w:eastAsia="Times New Roman" w:hAnsi="Times New Roman" w:cs="Times New Roman"/>
          <w:sz w:val="24"/>
          <w:szCs w:val="24"/>
        </w:rPr>
        <w:t>06. o registraciji, evaluaciji, autorizaciji i ograničavanju kemikalija (REACH) i osnivanju Europske agencije za kemikalije te o izmjeni Direktive 1999/45/EZ i stavljanju izvan snage Uredbe Vijeća (EEZ) broj 793/93 i Uredbe Komisije (EZ) broj 1488/94 kao i Direktive Vijeća 76/769/EEZ i direktiva Komisije 91/155/EEZ, 93/67/EEZ, 93/105/EZ i 2000/21/EZ, a koja je prenesena u nacionalno zakonodavstvo putem Zakona o provedbi Uredbe (EZ) broj 1907/2006 Europskog parlamenta i Vijeća EZ o registraciji, evaluaciji, autorizaciji i ograničavanju kemikalija („Narodne novine“, br. 53/08, 18/13 i 115/18).</w:t>
      </w:r>
    </w:p>
    <w:p w14:paraId="1DFB2927" w14:textId="77777777" w:rsidR="00D84719" w:rsidRPr="00D84719" w:rsidRDefault="00D84719" w:rsidP="00D84719">
      <w:pPr>
        <w:spacing w:before="80" w:line="276" w:lineRule="auto"/>
        <w:jc w:val="both"/>
        <w:rPr>
          <w:rFonts w:ascii="Times New Roman" w:eastAsia="Times New Roman" w:hAnsi="Times New Roman" w:cs="Times New Roman"/>
          <w:sz w:val="24"/>
          <w:szCs w:val="24"/>
        </w:rPr>
      </w:pPr>
      <w:r w:rsidRPr="00D84719">
        <w:rPr>
          <w:rFonts w:ascii="Times New Roman" w:eastAsia="Times New Roman" w:hAnsi="Times New Roman" w:cs="Times New Roman"/>
          <w:sz w:val="24"/>
          <w:szCs w:val="24"/>
        </w:rPr>
        <w:t>POPs Uredba obuhvaća sedam priloga:</w:t>
      </w:r>
    </w:p>
    <w:p w14:paraId="476678A9" w14:textId="77777777" w:rsidR="00D84719" w:rsidRPr="00EC7DC5" w:rsidRDefault="00D84719" w:rsidP="00EC7DC5">
      <w:pPr>
        <w:pStyle w:val="Odlomakpopisa"/>
        <w:numPr>
          <w:ilvl w:val="0"/>
          <w:numId w:val="24"/>
        </w:numPr>
        <w:spacing w:before="80" w:line="276" w:lineRule="auto"/>
        <w:jc w:val="both"/>
        <w:rPr>
          <w:rFonts w:ascii="Times New Roman" w:eastAsia="Times New Roman" w:hAnsi="Times New Roman" w:cs="Times New Roman"/>
          <w:sz w:val="24"/>
          <w:szCs w:val="24"/>
        </w:rPr>
      </w:pPr>
      <w:r w:rsidRPr="00EC7DC5">
        <w:rPr>
          <w:rFonts w:ascii="Times New Roman" w:eastAsia="Times New Roman" w:hAnsi="Times New Roman" w:cs="Times New Roman"/>
          <w:sz w:val="24"/>
          <w:szCs w:val="24"/>
        </w:rPr>
        <w:t>Prilog I. – popis tvari koje podliježu zabranama – predstavlja popis kemikalija/POPs-ova koje su uključene u dodatke Konvencije i Protokola o POPs-ovima uz LRTAP Konvenciju, odredbe koje se odnose na zabranu proizvodnje, stavljanje na tržište (Dio A. – Tvari navedene u Konvenciji i u Protokolu kao i tvari navedene samo u Konvenciji</w:t>
      </w:r>
      <w:r w:rsidR="00612979" w:rsidRPr="00EC7DC5">
        <w:rPr>
          <w:rFonts w:ascii="Times New Roman" w:eastAsia="Times New Roman" w:hAnsi="Times New Roman" w:cs="Times New Roman"/>
          <w:sz w:val="24"/>
          <w:szCs w:val="24"/>
        </w:rPr>
        <w:t xml:space="preserve"> </w:t>
      </w:r>
      <w:r w:rsidRPr="00EC7DC5">
        <w:rPr>
          <w:rFonts w:ascii="Times New Roman" w:eastAsia="Times New Roman" w:hAnsi="Times New Roman" w:cs="Times New Roman"/>
          <w:sz w:val="24"/>
          <w:szCs w:val="24"/>
        </w:rPr>
        <w:t>i Dio B. – Tvari navedene samo u Protokolu)</w:t>
      </w:r>
    </w:p>
    <w:p w14:paraId="412FCDC7" w14:textId="77777777" w:rsidR="00D84719" w:rsidRPr="00EC7DC5" w:rsidRDefault="00D84719" w:rsidP="00EC7DC5">
      <w:pPr>
        <w:pStyle w:val="Odlomakpopisa"/>
        <w:numPr>
          <w:ilvl w:val="0"/>
          <w:numId w:val="24"/>
        </w:numPr>
        <w:spacing w:before="80" w:line="276" w:lineRule="auto"/>
        <w:jc w:val="both"/>
        <w:rPr>
          <w:rFonts w:ascii="Times New Roman" w:eastAsia="Times New Roman" w:hAnsi="Times New Roman" w:cs="Times New Roman"/>
          <w:sz w:val="24"/>
          <w:szCs w:val="24"/>
        </w:rPr>
      </w:pPr>
      <w:r w:rsidRPr="00EC7DC5">
        <w:rPr>
          <w:rFonts w:ascii="Times New Roman" w:eastAsia="Times New Roman" w:hAnsi="Times New Roman" w:cs="Times New Roman"/>
          <w:sz w:val="24"/>
          <w:szCs w:val="24"/>
        </w:rPr>
        <w:t>Prilog II. – popis tvari koje podliježu ograničenjima</w:t>
      </w:r>
    </w:p>
    <w:p w14:paraId="61F611B9" w14:textId="77777777" w:rsidR="00D84719" w:rsidRPr="00EC7DC5" w:rsidRDefault="00D84719" w:rsidP="00EC7DC5">
      <w:pPr>
        <w:pStyle w:val="Odlomakpopisa"/>
        <w:numPr>
          <w:ilvl w:val="0"/>
          <w:numId w:val="24"/>
        </w:numPr>
        <w:spacing w:before="80" w:line="276" w:lineRule="auto"/>
        <w:jc w:val="both"/>
        <w:rPr>
          <w:rFonts w:ascii="Times New Roman" w:eastAsia="Times New Roman" w:hAnsi="Times New Roman" w:cs="Times New Roman"/>
          <w:sz w:val="24"/>
          <w:szCs w:val="24"/>
        </w:rPr>
      </w:pPr>
      <w:r w:rsidRPr="00EC7DC5">
        <w:rPr>
          <w:rFonts w:ascii="Times New Roman" w:eastAsia="Times New Roman" w:hAnsi="Times New Roman" w:cs="Times New Roman"/>
          <w:sz w:val="24"/>
          <w:szCs w:val="24"/>
        </w:rPr>
        <w:t>Prilog III. – popis tvari koje podliježu odredbama o ograničenju ispuštanja u okoliš (nenamjerna proizvodnja)</w:t>
      </w:r>
    </w:p>
    <w:p w14:paraId="3812DC85" w14:textId="77777777" w:rsidR="00D84719" w:rsidRPr="00EC7DC5" w:rsidRDefault="00D84719" w:rsidP="00EC7DC5">
      <w:pPr>
        <w:pStyle w:val="Odlomakpopisa"/>
        <w:numPr>
          <w:ilvl w:val="0"/>
          <w:numId w:val="24"/>
        </w:numPr>
        <w:spacing w:before="80" w:line="276" w:lineRule="auto"/>
        <w:jc w:val="both"/>
        <w:rPr>
          <w:rFonts w:ascii="Times New Roman" w:eastAsia="Times New Roman" w:hAnsi="Times New Roman" w:cs="Times New Roman"/>
          <w:sz w:val="24"/>
          <w:szCs w:val="24"/>
        </w:rPr>
      </w:pPr>
      <w:r w:rsidRPr="00EC7DC5">
        <w:rPr>
          <w:rFonts w:ascii="Times New Roman" w:eastAsia="Times New Roman" w:hAnsi="Times New Roman" w:cs="Times New Roman"/>
          <w:sz w:val="24"/>
          <w:szCs w:val="24"/>
        </w:rPr>
        <w:t>Prilog IV. – gospodarenje otpadom – propisane granične vrijednosti koncentracije sadržaja u otpadu</w:t>
      </w:r>
    </w:p>
    <w:p w14:paraId="46A2ACE3" w14:textId="77777777" w:rsidR="00D84719" w:rsidRPr="00EC7DC5" w:rsidRDefault="00D84719" w:rsidP="00EC7DC5">
      <w:pPr>
        <w:pStyle w:val="Odlomakpopisa"/>
        <w:numPr>
          <w:ilvl w:val="0"/>
          <w:numId w:val="24"/>
        </w:numPr>
        <w:spacing w:before="80" w:line="276" w:lineRule="auto"/>
        <w:jc w:val="both"/>
        <w:rPr>
          <w:rFonts w:ascii="Times New Roman" w:eastAsia="Times New Roman" w:hAnsi="Times New Roman" w:cs="Times New Roman"/>
          <w:color w:val="000000"/>
          <w:sz w:val="24"/>
          <w:szCs w:val="24"/>
        </w:rPr>
      </w:pPr>
      <w:r w:rsidRPr="00EC7DC5">
        <w:rPr>
          <w:rFonts w:ascii="Times New Roman" w:eastAsia="Times New Roman" w:hAnsi="Times New Roman" w:cs="Times New Roman"/>
          <w:sz w:val="24"/>
          <w:szCs w:val="24"/>
        </w:rPr>
        <w:t xml:space="preserve">Prilog V. – gospodarenje otpadom – </w:t>
      </w:r>
      <w:r w:rsidRPr="00EC7DC5">
        <w:rPr>
          <w:rFonts w:ascii="Times New Roman" w:eastAsia="Times New Roman" w:hAnsi="Times New Roman" w:cs="Times New Roman"/>
          <w:color w:val="000000"/>
          <w:sz w:val="24"/>
          <w:szCs w:val="24"/>
        </w:rPr>
        <w:t>Zbrinjavanje i oporaba u skladu s Člankom 7. stavkom 2. (Dio 1.) i vrste otpada i postupci na koje se primjenjuje Članak 7. stavak 4. točka (b) (Dio 2.)</w:t>
      </w:r>
    </w:p>
    <w:p w14:paraId="69CF60BF" w14:textId="77777777" w:rsidR="00D84719" w:rsidRPr="00EC7DC5" w:rsidRDefault="00D84719" w:rsidP="00EC7DC5">
      <w:pPr>
        <w:pStyle w:val="Odlomakpopisa"/>
        <w:numPr>
          <w:ilvl w:val="0"/>
          <w:numId w:val="24"/>
        </w:numPr>
        <w:spacing w:before="80" w:line="276" w:lineRule="auto"/>
        <w:jc w:val="both"/>
        <w:rPr>
          <w:rFonts w:ascii="Times New Roman" w:eastAsia="Times New Roman" w:hAnsi="Times New Roman" w:cs="Times New Roman"/>
          <w:sz w:val="24"/>
          <w:szCs w:val="24"/>
        </w:rPr>
      </w:pPr>
      <w:r w:rsidRPr="00EC7DC5">
        <w:rPr>
          <w:rFonts w:ascii="Times New Roman" w:eastAsia="Times New Roman" w:hAnsi="Times New Roman" w:cs="Times New Roman"/>
          <w:sz w:val="24"/>
          <w:szCs w:val="24"/>
        </w:rPr>
        <w:t xml:space="preserve">Prilog VI. – Uredba stavljena izvan snage i popis njezinih naknadnih izmjena </w:t>
      </w:r>
    </w:p>
    <w:p w14:paraId="53BF68E3" w14:textId="77777777" w:rsidR="00D84719" w:rsidRPr="00EC7DC5" w:rsidRDefault="00D84719" w:rsidP="00EC7DC5">
      <w:pPr>
        <w:pStyle w:val="Odlomakpopisa"/>
        <w:numPr>
          <w:ilvl w:val="0"/>
          <w:numId w:val="24"/>
        </w:numPr>
        <w:spacing w:before="80" w:line="276" w:lineRule="auto"/>
        <w:jc w:val="both"/>
        <w:rPr>
          <w:rFonts w:ascii="Times New Roman" w:eastAsia="Times New Roman" w:hAnsi="Times New Roman" w:cs="Times New Roman"/>
          <w:color w:val="000000"/>
          <w:sz w:val="24"/>
          <w:szCs w:val="24"/>
        </w:rPr>
      </w:pPr>
      <w:r w:rsidRPr="00EC7DC5">
        <w:rPr>
          <w:rFonts w:ascii="Times New Roman" w:eastAsia="Times New Roman" w:hAnsi="Times New Roman" w:cs="Times New Roman"/>
          <w:sz w:val="24"/>
          <w:szCs w:val="24"/>
        </w:rPr>
        <w:t>Prilog VII. – korelacijska tablica.</w:t>
      </w:r>
    </w:p>
    <w:p w14:paraId="71279CB6" w14:textId="77777777" w:rsidR="00D84719" w:rsidRPr="00D84719" w:rsidRDefault="00D84719" w:rsidP="00D84719">
      <w:pPr>
        <w:spacing w:before="80" w:line="276" w:lineRule="auto"/>
        <w:jc w:val="both"/>
        <w:rPr>
          <w:rFonts w:ascii="Times New Roman" w:eastAsia="Times New Roman" w:hAnsi="Times New Roman" w:cs="Times New Roman"/>
          <w:sz w:val="24"/>
          <w:szCs w:val="24"/>
        </w:rPr>
      </w:pPr>
      <w:r w:rsidRPr="00D84719">
        <w:rPr>
          <w:rFonts w:ascii="Times New Roman" w:eastAsia="Times New Roman" w:hAnsi="Times New Roman" w:cs="Times New Roman"/>
          <w:sz w:val="24"/>
          <w:szCs w:val="24"/>
        </w:rPr>
        <w:t>Zakonom o provedbi POPs Uredbe omogućuje se izravna provedba POPs Uredbe kojom se</w:t>
      </w:r>
      <w:r w:rsidR="00612979">
        <w:rPr>
          <w:rFonts w:ascii="Times New Roman" w:eastAsia="Times New Roman" w:hAnsi="Times New Roman" w:cs="Times New Roman"/>
          <w:sz w:val="24"/>
          <w:szCs w:val="24"/>
        </w:rPr>
        <w:t xml:space="preserve"> </w:t>
      </w:r>
      <w:r w:rsidRPr="00D84719">
        <w:rPr>
          <w:rFonts w:ascii="Times New Roman" w:eastAsia="Times New Roman" w:hAnsi="Times New Roman" w:cs="Times New Roman"/>
          <w:sz w:val="24"/>
          <w:szCs w:val="24"/>
        </w:rPr>
        <w:t>zabranjuje/ograničava proizvodnja, uporaba i stavljanje na tržište POPs-ova navedenih u dodacima Konvencije i Protokola o POPs-ovima, a sadrži odredbe o zalihama i gospodarenju otpadom. Za provedbu POPs Uredbe u Republici Hrvatskoj određena su tijela državne uprave nadležna za zdravstvo, poljoprivredu, gospodarstvo, zaštitu okoliša, vodno gospodarstvo, šumarstvo, veterinarstvo te inspekcijski nadzor.</w:t>
      </w:r>
    </w:p>
    <w:p w14:paraId="17B3E090" w14:textId="77777777" w:rsidR="00D84719" w:rsidRPr="00D84719" w:rsidRDefault="00D84719" w:rsidP="00D84719">
      <w:pPr>
        <w:spacing w:before="80" w:line="276" w:lineRule="auto"/>
        <w:jc w:val="both"/>
        <w:rPr>
          <w:rFonts w:ascii="Times New Roman" w:eastAsia="Times New Roman" w:hAnsi="Times New Roman" w:cs="Times New Roman"/>
          <w:szCs w:val="24"/>
        </w:rPr>
      </w:pPr>
    </w:p>
    <w:p w14:paraId="6ABAC442" w14:textId="77777777" w:rsidR="00D84719" w:rsidRPr="00D84719" w:rsidRDefault="00D84719" w:rsidP="008A290D">
      <w:pPr>
        <w:pStyle w:val="Naslov4"/>
      </w:pPr>
      <w:bookmarkStart w:id="34" w:name="_Toc41638223"/>
      <w:bookmarkStart w:id="35" w:name="_Toc64460674"/>
      <w:r w:rsidRPr="00D84719">
        <w:t>IED Direktiva</w:t>
      </w:r>
      <w:bookmarkEnd w:id="34"/>
      <w:bookmarkEnd w:id="35"/>
    </w:p>
    <w:p w14:paraId="1A0810EA" w14:textId="77777777" w:rsidR="00D84719" w:rsidRPr="00D84719" w:rsidRDefault="00D84719" w:rsidP="00D84719">
      <w:pPr>
        <w:spacing w:before="80" w:line="276" w:lineRule="auto"/>
        <w:jc w:val="both"/>
        <w:rPr>
          <w:rFonts w:ascii="Times New Roman" w:eastAsia="Times New Roman" w:hAnsi="Times New Roman" w:cs="Times New Roman"/>
          <w:sz w:val="24"/>
          <w:szCs w:val="24"/>
          <w:lang w:bidi="en-US"/>
        </w:rPr>
      </w:pPr>
      <w:r w:rsidRPr="00D84719">
        <w:rPr>
          <w:rFonts w:ascii="Times New Roman" w:eastAsia="Times New Roman" w:hAnsi="Times New Roman" w:cs="Times New Roman"/>
          <w:sz w:val="24"/>
          <w:szCs w:val="24"/>
          <w:lang w:bidi="en-US"/>
        </w:rPr>
        <w:t>Direktivom 2010/75/EZ Europskog parlamenta i Vijeća od 24. studenoga</w:t>
      </w:r>
      <w:r w:rsidR="001B5C46">
        <w:rPr>
          <w:rFonts w:ascii="Times New Roman" w:eastAsia="Times New Roman" w:hAnsi="Times New Roman" w:cs="Times New Roman"/>
          <w:sz w:val="24"/>
          <w:szCs w:val="24"/>
          <w:lang w:bidi="en-US"/>
        </w:rPr>
        <w:t xml:space="preserve"> 20</w:t>
      </w:r>
      <w:r w:rsidRPr="00D84719">
        <w:rPr>
          <w:rFonts w:ascii="Times New Roman" w:eastAsia="Times New Roman" w:hAnsi="Times New Roman" w:cs="Times New Roman"/>
          <w:sz w:val="24"/>
          <w:szCs w:val="24"/>
          <w:lang w:bidi="en-US"/>
        </w:rPr>
        <w:t>10. o industrijskim emisijama (integrirano sprječavanje i kontrola onečišćenja) (u daljnjem tekstu: IED) osigurava se visoka razina zaštite okoliša kroz integraciju mjera u samim industrijskim procesima. IED je prenesena u nacionalno zakonodavstvo i omogućena je provedba odredaba putem većeg broja propisa kao što je Zakon o zaštiti okoliša („Narodne novine“, br. 80/13, 153/13, 78/15, 12/18, 118/18), Zakon o zaštiti zraka („Narodne novine“, broj 127/19) te Zakon o održivom gospodarenju otpadom („Narodne novine“, br. 94/13, 73/17, 14/19 i 98/19) uz niz provedbenih propisa tih zakona, naročito Uredba o graničnim vrijednostima emisija onečišćujućih tvari u zrak iz nepokretnih izvora („Narodne novine“, broj 87/17)</w:t>
      </w:r>
      <w:r w:rsidR="00D003D0">
        <w:rPr>
          <w:rFonts w:ascii="Times New Roman" w:eastAsia="Times New Roman" w:hAnsi="Times New Roman" w:cs="Times New Roman"/>
          <w:sz w:val="24"/>
          <w:szCs w:val="24"/>
          <w:lang w:bidi="en-US"/>
        </w:rPr>
        <w:t>,</w:t>
      </w:r>
      <w:r w:rsidRPr="00D84719">
        <w:rPr>
          <w:rFonts w:ascii="Times New Roman" w:eastAsia="Times New Roman" w:hAnsi="Times New Roman" w:cs="Times New Roman"/>
          <w:sz w:val="24"/>
          <w:szCs w:val="24"/>
          <w:lang w:bidi="en-US"/>
        </w:rPr>
        <w:t xml:space="preserve"> Uredba o okolišnoj dozvoli („Narodne novine“, br. 8/14, 5/18)</w:t>
      </w:r>
      <w:r w:rsidR="00D003D0">
        <w:rPr>
          <w:rFonts w:ascii="Times New Roman" w:eastAsia="Times New Roman" w:hAnsi="Times New Roman" w:cs="Times New Roman"/>
          <w:sz w:val="24"/>
          <w:szCs w:val="24"/>
          <w:lang w:bidi="en-US"/>
        </w:rPr>
        <w:t>,</w:t>
      </w:r>
      <w:r w:rsidR="00D003D0" w:rsidRPr="00D003D0">
        <w:t xml:space="preserve"> </w:t>
      </w:r>
      <w:r w:rsidR="00D003D0" w:rsidRPr="00D003D0">
        <w:rPr>
          <w:rFonts w:ascii="Times New Roman" w:eastAsia="Times New Roman" w:hAnsi="Times New Roman" w:cs="Times New Roman"/>
          <w:sz w:val="24"/>
          <w:szCs w:val="24"/>
          <w:lang w:bidi="en-US"/>
        </w:rPr>
        <w:t>Zakon o vodama (Narodne novine br. 66/19) i Pravilnik o graničnim vrijednostima emisija otpadnih voda (Narodne novine br. 26/20)</w:t>
      </w:r>
      <w:r w:rsidRPr="00D84719">
        <w:rPr>
          <w:rFonts w:ascii="Times New Roman" w:eastAsia="Times New Roman" w:hAnsi="Times New Roman" w:cs="Times New Roman"/>
          <w:sz w:val="24"/>
          <w:szCs w:val="24"/>
          <w:lang w:bidi="en-US"/>
        </w:rPr>
        <w:t>.</w:t>
      </w:r>
    </w:p>
    <w:p w14:paraId="427D9AED" w14:textId="77777777" w:rsidR="00D84719" w:rsidRPr="00D84719" w:rsidRDefault="00D84719" w:rsidP="00D84719">
      <w:pPr>
        <w:spacing w:before="80" w:line="276" w:lineRule="auto"/>
        <w:jc w:val="both"/>
        <w:rPr>
          <w:rFonts w:ascii="Times New Roman" w:eastAsia="Times New Roman" w:hAnsi="Times New Roman" w:cs="Times New Roman"/>
          <w:sz w:val="24"/>
          <w:szCs w:val="24"/>
          <w:lang w:bidi="en-US"/>
        </w:rPr>
      </w:pPr>
      <w:r w:rsidRPr="00D84719">
        <w:rPr>
          <w:rFonts w:ascii="Times New Roman" w:eastAsia="Times New Roman" w:hAnsi="Times New Roman" w:cs="Times New Roman"/>
          <w:sz w:val="24"/>
          <w:szCs w:val="24"/>
          <w:lang w:bidi="en-US"/>
        </w:rPr>
        <w:t>Industrijska postrojenja u kojima se provode aktivnosti obuhvaćene Prilogom I. IED-a dužna su ishoditi okolišnu dozvolu. Emisije svih značajnih onečišćujućih tvari (uključujući i POPs-ove), za koje je vjerojatno da će biti ispuštene u većim/značajnim količinama, moraju se regulirati okolišnom dozvolom. Uvjeti navedeni okolišnom dozvolom, posebice ograničenja emisija, moraju se temeljiti na provedbi/primjeni najbolje raspoložive tehnike (NRT-a).</w:t>
      </w:r>
    </w:p>
    <w:p w14:paraId="67AD5F98" w14:textId="77777777" w:rsidR="00D84719" w:rsidRPr="00D84719" w:rsidRDefault="00D84719" w:rsidP="00D84719">
      <w:pPr>
        <w:spacing w:before="80" w:line="276" w:lineRule="auto"/>
        <w:jc w:val="both"/>
        <w:rPr>
          <w:rFonts w:ascii="Times New Roman" w:eastAsia="Times New Roman" w:hAnsi="Times New Roman" w:cs="Times New Roman"/>
          <w:sz w:val="24"/>
          <w:szCs w:val="24"/>
          <w:lang w:bidi="en-US"/>
        </w:rPr>
      </w:pPr>
      <w:r w:rsidRPr="00D84719">
        <w:rPr>
          <w:rFonts w:ascii="Times New Roman" w:eastAsia="Times New Roman" w:hAnsi="Times New Roman" w:cs="Times New Roman"/>
          <w:sz w:val="24"/>
          <w:szCs w:val="24"/>
          <w:lang w:bidi="en-US"/>
        </w:rPr>
        <w:t xml:space="preserve">Europska komisija je omogućila razmjenu informacija o NRT-ovima za različite industrijske sektore, pomoću tzv. </w:t>
      </w:r>
      <w:bookmarkStart w:id="36" w:name="_Hlk52865785"/>
      <w:r w:rsidRPr="00D84719">
        <w:rPr>
          <w:rFonts w:ascii="Times New Roman" w:eastAsia="Times New Roman" w:hAnsi="Times New Roman" w:cs="Times New Roman"/>
          <w:sz w:val="24"/>
          <w:szCs w:val="24"/>
          <w:lang w:bidi="en-US"/>
        </w:rPr>
        <w:t>RDNRT</w:t>
      </w:r>
      <w:bookmarkEnd w:id="36"/>
      <w:r w:rsidRPr="00D84719">
        <w:rPr>
          <w:rFonts w:ascii="Times New Roman" w:eastAsia="Times New Roman" w:hAnsi="Times New Roman" w:cs="Times New Roman"/>
          <w:sz w:val="24"/>
          <w:szCs w:val="24"/>
          <w:lang w:bidi="en-US"/>
        </w:rPr>
        <w:t xml:space="preserve">-ova koji su dostupni na mrežnim stranicama </w:t>
      </w:r>
      <w:hyperlink r:id="rId13" w:history="1">
        <w:r w:rsidR="00D02EC8" w:rsidRPr="00583887">
          <w:rPr>
            <w:rStyle w:val="Hiperveza"/>
            <w:rFonts w:ascii="Times New Roman" w:eastAsia="Times New Roman" w:hAnsi="Times New Roman" w:cs="Times New Roman"/>
            <w:sz w:val="24"/>
            <w:szCs w:val="24"/>
            <w:lang w:bidi="en-US"/>
          </w:rPr>
          <w:t>http://eippcb.jrc.ec.europa.eu/reference/</w:t>
        </w:r>
      </w:hyperlink>
      <w:r w:rsidRPr="00D84719">
        <w:rPr>
          <w:rFonts w:ascii="Times New Roman" w:eastAsia="Times New Roman" w:hAnsi="Times New Roman" w:cs="Times New Roman"/>
          <w:sz w:val="24"/>
          <w:szCs w:val="24"/>
          <w:lang w:bidi="en-US"/>
        </w:rPr>
        <w:t>.</w:t>
      </w:r>
    </w:p>
    <w:p w14:paraId="013940D6" w14:textId="77777777" w:rsidR="00D84719" w:rsidRPr="00D84719" w:rsidRDefault="00D84719" w:rsidP="00D84719">
      <w:pPr>
        <w:spacing w:before="80" w:line="276" w:lineRule="auto"/>
        <w:jc w:val="both"/>
        <w:rPr>
          <w:rFonts w:ascii="Times New Roman" w:eastAsia="Times New Roman" w:hAnsi="Times New Roman" w:cs="Times New Roman"/>
          <w:sz w:val="24"/>
          <w:szCs w:val="24"/>
          <w:lang w:bidi="en-US"/>
        </w:rPr>
      </w:pPr>
      <w:r w:rsidRPr="00D84719">
        <w:rPr>
          <w:rFonts w:ascii="Times New Roman" w:eastAsia="Times New Roman" w:hAnsi="Times New Roman" w:cs="Times New Roman"/>
          <w:sz w:val="24"/>
          <w:szCs w:val="24"/>
          <w:lang w:bidi="en-US"/>
        </w:rPr>
        <w:t>Za POPs-ove su razrađene posebne granične vrijednosti emisija uz NRT. Zaključci o NRT-u su obvezujući dokumenti, odnosno definirane granične vrijednosti emisija određenih onečišćujućih tvari te se primjenjuju prilikom izdavanja uvjeta i graničnih vrijednosti pojedinačnih emisija u okolišnim dozvolama.</w:t>
      </w:r>
    </w:p>
    <w:p w14:paraId="0C78F377" w14:textId="77777777" w:rsidR="00807336" w:rsidRDefault="00807336" w:rsidP="00807336">
      <w:pPr>
        <w:spacing w:before="80" w:line="276" w:lineRule="auto"/>
        <w:jc w:val="both"/>
        <w:rPr>
          <w:rFonts w:ascii="Times New Roman" w:eastAsia="Times New Roman" w:hAnsi="Times New Roman" w:cs="Times New Roman"/>
          <w:color w:val="000000"/>
          <w:sz w:val="24"/>
          <w:szCs w:val="24"/>
        </w:rPr>
      </w:pPr>
    </w:p>
    <w:p w14:paraId="1720C5AB" w14:textId="77777777" w:rsidR="00807336" w:rsidRDefault="00807336" w:rsidP="000B4180">
      <w:pPr>
        <w:pStyle w:val="Naslov4"/>
      </w:pPr>
      <w:bookmarkStart w:id="37" w:name="_Toc64460675"/>
      <w:r>
        <w:t xml:space="preserve">Nove </w:t>
      </w:r>
      <w:r w:rsidR="00C168BA">
        <w:t xml:space="preserve">zakonodavne </w:t>
      </w:r>
      <w:r>
        <w:t>aktivnosti</w:t>
      </w:r>
      <w:bookmarkEnd w:id="37"/>
    </w:p>
    <w:p w14:paraId="5F4C0141" w14:textId="77777777" w:rsidR="00807336" w:rsidRPr="008B2BB0" w:rsidRDefault="00807336" w:rsidP="00807336">
      <w:pPr>
        <w:spacing w:before="80" w:line="276" w:lineRule="auto"/>
        <w:jc w:val="both"/>
        <w:rPr>
          <w:rFonts w:ascii="Times New Roman" w:eastAsia="Times New Roman" w:hAnsi="Times New Roman" w:cs="Times New Roman"/>
          <w:color w:val="000000"/>
          <w:sz w:val="24"/>
          <w:szCs w:val="24"/>
        </w:rPr>
      </w:pPr>
      <w:r w:rsidRPr="008B2BB0">
        <w:rPr>
          <w:rFonts w:ascii="Times New Roman" w:eastAsia="Times New Roman" w:hAnsi="Times New Roman" w:cs="Times New Roman"/>
          <w:color w:val="000000"/>
          <w:sz w:val="24"/>
          <w:szCs w:val="24"/>
        </w:rPr>
        <w:t>Europski zeleni plan (EZP), je temeljna strategija E</w:t>
      </w:r>
      <w:r>
        <w:rPr>
          <w:rFonts w:ascii="Times New Roman" w:eastAsia="Times New Roman" w:hAnsi="Times New Roman" w:cs="Times New Roman"/>
          <w:color w:val="000000"/>
          <w:sz w:val="24"/>
          <w:szCs w:val="24"/>
        </w:rPr>
        <w:t>uropske komisije od 2019.</w:t>
      </w:r>
      <w:r w:rsidRPr="008B2BB0">
        <w:rPr>
          <w:rFonts w:ascii="Times New Roman" w:eastAsia="Times New Roman" w:hAnsi="Times New Roman" w:cs="Times New Roman"/>
          <w:color w:val="000000"/>
          <w:sz w:val="24"/>
          <w:szCs w:val="24"/>
        </w:rPr>
        <w:t xml:space="preserve">, koja ima za cilj pretvoriti EU u pošteno i prosperitetno društvo, s modernim, ekonomski učinkovitim i konkurentnim gospodarstvom u kojem nema neto emisija stakleničkih plinova u 2050. i gdje se gospodarski rast odvaja od iskorištavanja resursa. Kroz EZP, klimatski i okolišni ciljevi se po prvi put stavljaju u samo središte djelovanja Europske komisije te se želi zaštititi, sačuvati i povećati prirodni kapital EU i zaštititi zdravlje i dobrobit građana od okolišnih rizika i utjecaja. Pri svemu tome teži se pravednoj i </w:t>
      </w:r>
      <w:proofErr w:type="spellStart"/>
      <w:r w:rsidRPr="008B2BB0">
        <w:rPr>
          <w:rFonts w:ascii="Times New Roman" w:eastAsia="Times New Roman" w:hAnsi="Times New Roman" w:cs="Times New Roman"/>
          <w:color w:val="000000"/>
          <w:sz w:val="24"/>
          <w:szCs w:val="24"/>
        </w:rPr>
        <w:t>uključivoj</w:t>
      </w:r>
      <w:proofErr w:type="spellEnd"/>
      <w:r w:rsidRPr="008B2BB0">
        <w:rPr>
          <w:rFonts w:ascii="Times New Roman" w:eastAsia="Times New Roman" w:hAnsi="Times New Roman" w:cs="Times New Roman"/>
          <w:color w:val="000000"/>
          <w:sz w:val="24"/>
          <w:szCs w:val="24"/>
        </w:rPr>
        <w:t xml:space="preserve"> tranziciji koja u središte stavlja građane EU i njihovu dobrobit. </w:t>
      </w:r>
    </w:p>
    <w:p w14:paraId="01D911CA" w14:textId="18665CE0" w:rsidR="00807336" w:rsidRDefault="00807336" w:rsidP="00807336">
      <w:pPr>
        <w:spacing w:before="80" w:line="276" w:lineRule="auto"/>
        <w:jc w:val="both"/>
        <w:rPr>
          <w:rFonts w:ascii="Times New Roman" w:eastAsia="Times New Roman" w:hAnsi="Times New Roman" w:cs="Times New Roman"/>
          <w:color w:val="000000"/>
          <w:sz w:val="24"/>
          <w:szCs w:val="24"/>
        </w:rPr>
      </w:pPr>
      <w:r w:rsidRPr="008B2BB0">
        <w:rPr>
          <w:rFonts w:ascii="Times New Roman" w:eastAsia="Times New Roman" w:hAnsi="Times New Roman" w:cs="Times New Roman"/>
          <w:color w:val="000000"/>
          <w:sz w:val="24"/>
          <w:szCs w:val="24"/>
        </w:rPr>
        <w:t xml:space="preserve">U tom smislu prioriteti su rješavanje problema od onečišćenja od </w:t>
      </w:r>
      <w:proofErr w:type="spellStart"/>
      <w:r w:rsidRPr="008B2BB0">
        <w:rPr>
          <w:rFonts w:ascii="Times New Roman" w:eastAsia="Times New Roman" w:hAnsi="Times New Roman" w:cs="Times New Roman"/>
          <w:color w:val="000000"/>
          <w:sz w:val="24"/>
          <w:szCs w:val="24"/>
        </w:rPr>
        <w:t>mikroplastike</w:t>
      </w:r>
      <w:proofErr w:type="spellEnd"/>
      <w:r w:rsidRPr="008B2BB0">
        <w:rPr>
          <w:rFonts w:ascii="Times New Roman" w:eastAsia="Times New Roman" w:hAnsi="Times New Roman" w:cs="Times New Roman"/>
          <w:color w:val="000000"/>
          <w:sz w:val="24"/>
          <w:szCs w:val="24"/>
        </w:rPr>
        <w:t xml:space="preserve"> i kemikalija uključujući farmaceutske proizvode. Postavljen je cilj nulte stope onečišćenja za netoksični okoliš te je u 2020</w:t>
      </w:r>
      <w:r w:rsidR="004C449C">
        <w:rPr>
          <w:rFonts w:ascii="Times New Roman" w:eastAsia="Times New Roman" w:hAnsi="Times New Roman" w:cs="Times New Roman"/>
          <w:color w:val="000000"/>
          <w:sz w:val="24"/>
          <w:szCs w:val="24"/>
        </w:rPr>
        <w:t>.</w:t>
      </w:r>
      <w:r w:rsidRPr="008B2BB0">
        <w:rPr>
          <w:rFonts w:ascii="Times New Roman" w:eastAsia="Times New Roman" w:hAnsi="Times New Roman" w:cs="Times New Roman"/>
          <w:color w:val="000000"/>
          <w:sz w:val="24"/>
          <w:szCs w:val="24"/>
        </w:rPr>
        <w:t xml:space="preserve"> pokrenuta izrada Strategije o kemikalijama za održivost</w:t>
      </w:r>
      <w:r>
        <w:rPr>
          <w:rFonts w:ascii="Times New Roman" w:eastAsia="Times New Roman" w:hAnsi="Times New Roman" w:cs="Times New Roman"/>
          <w:color w:val="000000"/>
          <w:sz w:val="24"/>
          <w:szCs w:val="24"/>
        </w:rPr>
        <w:t>.</w:t>
      </w:r>
      <w:r w:rsidRPr="008B2BB0">
        <w:rPr>
          <w:rFonts w:ascii="Times New Roman" w:eastAsia="Times New Roman" w:hAnsi="Times New Roman" w:cs="Times New Roman"/>
          <w:color w:val="000000"/>
          <w:sz w:val="24"/>
          <w:szCs w:val="24"/>
        </w:rPr>
        <w:t xml:space="preserve"> </w:t>
      </w:r>
    </w:p>
    <w:p w14:paraId="7F8C3537" w14:textId="77777777" w:rsidR="00807336" w:rsidRPr="00807336" w:rsidRDefault="00807336" w:rsidP="00807336">
      <w:pPr>
        <w:spacing w:before="8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w:t>
      </w:r>
      <w:r w:rsidRPr="00807336">
        <w:rPr>
          <w:rFonts w:ascii="Times New Roman" w:eastAsia="Times New Roman" w:hAnsi="Times New Roman" w:cs="Times New Roman"/>
          <w:color w:val="000000"/>
          <w:sz w:val="24"/>
          <w:szCs w:val="24"/>
        </w:rPr>
        <w:t>trategijom se nastoji ostvariti netoksično okruženje u kojem se kemikalije proizvode i upotrebljavaju na način kojim se povećava njihov doprinos društvu, uključujući postizanje zelene i digitalne tranzicije, uz izbjegavanje štete za planet i sadašnje i buduće generacije. Strategija predviđa postavljanje industrije EU-a kao globalno konkurentnog aktera u proizvodnji i uporabi sigurnih i održivih kemikalija. U strategiji se predlaže jasan plan i vremenski raspored preobrazbe industrije s ciljem privlačenja ulaganja u sigurne i održive proizvode i proizvodne metode.</w:t>
      </w:r>
    </w:p>
    <w:p w14:paraId="40E28016" w14:textId="77777777" w:rsidR="00807336" w:rsidRPr="00807336" w:rsidRDefault="00807336" w:rsidP="00807336">
      <w:pPr>
        <w:spacing w:before="80" w:line="276" w:lineRule="auto"/>
        <w:jc w:val="both"/>
        <w:rPr>
          <w:rFonts w:ascii="Times New Roman" w:eastAsia="Times New Roman" w:hAnsi="Times New Roman" w:cs="Times New Roman"/>
          <w:color w:val="000000"/>
          <w:sz w:val="24"/>
          <w:szCs w:val="24"/>
        </w:rPr>
      </w:pPr>
      <w:r w:rsidRPr="00807336">
        <w:rPr>
          <w:rFonts w:ascii="Times New Roman" w:eastAsia="Times New Roman" w:hAnsi="Times New Roman" w:cs="Times New Roman"/>
          <w:color w:val="000000"/>
          <w:sz w:val="24"/>
          <w:szCs w:val="24"/>
        </w:rPr>
        <w:t xml:space="preserve">Ciljevi su: </w:t>
      </w:r>
    </w:p>
    <w:p w14:paraId="4C589532" w14:textId="77777777" w:rsidR="00807336" w:rsidRPr="00807336" w:rsidRDefault="00807336" w:rsidP="00EC7DC5">
      <w:pPr>
        <w:spacing w:before="80" w:line="276" w:lineRule="auto"/>
        <w:ind w:left="709" w:hanging="283"/>
        <w:jc w:val="both"/>
        <w:rPr>
          <w:rFonts w:ascii="Times New Roman" w:eastAsia="Times New Roman" w:hAnsi="Times New Roman" w:cs="Times New Roman"/>
          <w:color w:val="000000"/>
          <w:sz w:val="24"/>
          <w:szCs w:val="24"/>
        </w:rPr>
      </w:pPr>
      <w:r w:rsidRPr="00807336">
        <w:rPr>
          <w:rFonts w:ascii="Times New Roman" w:eastAsia="Times New Roman" w:hAnsi="Times New Roman" w:cs="Times New Roman"/>
          <w:color w:val="000000"/>
          <w:sz w:val="24"/>
          <w:szCs w:val="24"/>
        </w:rPr>
        <w:t>1. Inovacijama do sigurnih i održivih kemikalija u EU-u</w:t>
      </w:r>
    </w:p>
    <w:p w14:paraId="7D608AC2" w14:textId="77777777" w:rsidR="00807336" w:rsidRPr="00807336" w:rsidRDefault="00807336" w:rsidP="00EC7DC5">
      <w:pPr>
        <w:spacing w:before="80" w:line="276" w:lineRule="auto"/>
        <w:ind w:left="709" w:hanging="283"/>
        <w:jc w:val="both"/>
        <w:rPr>
          <w:rFonts w:ascii="Times New Roman" w:eastAsia="Times New Roman" w:hAnsi="Times New Roman" w:cs="Times New Roman"/>
          <w:color w:val="000000"/>
          <w:sz w:val="24"/>
          <w:szCs w:val="24"/>
        </w:rPr>
      </w:pPr>
      <w:r w:rsidRPr="00807336">
        <w:rPr>
          <w:rFonts w:ascii="Times New Roman" w:eastAsia="Times New Roman" w:hAnsi="Times New Roman" w:cs="Times New Roman"/>
          <w:color w:val="000000"/>
          <w:sz w:val="24"/>
          <w:szCs w:val="24"/>
        </w:rPr>
        <w:t>2.</w:t>
      </w:r>
      <w:r w:rsidRPr="00807336">
        <w:rPr>
          <w:rFonts w:ascii="Times New Roman" w:eastAsia="Times New Roman" w:hAnsi="Times New Roman" w:cs="Times New Roman"/>
          <w:bCs/>
          <w:color w:val="000000"/>
          <w:sz w:val="24"/>
          <w:szCs w:val="24"/>
        </w:rPr>
        <w:t xml:space="preserve"> Snažniji pravni okvir EU-a za rješavanje gorućih pitanja povezanih s okolišem i zdravljem</w:t>
      </w:r>
    </w:p>
    <w:p w14:paraId="7BB82E62" w14:textId="77777777" w:rsidR="00807336" w:rsidRPr="00807336" w:rsidRDefault="00807336" w:rsidP="00EC7DC5">
      <w:pPr>
        <w:spacing w:before="80" w:line="276" w:lineRule="auto"/>
        <w:ind w:left="709" w:hanging="283"/>
        <w:jc w:val="both"/>
        <w:rPr>
          <w:rFonts w:ascii="Times New Roman" w:eastAsia="Times New Roman" w:hAnsi="Times New Roman" w:cs="Times New Roman"/>
          <w:color w:val="000000"/>
          <w:sz w:val="24"/>
          <w:szCs w:val="24"/>
        </w:rPr>
      </w:pPr>
      <w:r w:rsidRPr="00807336">
        <w:rPr>
          <w:rFonts w:ascii="Times New Roman" w:eastAsia="Times New Roman" w:hAnsi="Times New Roman" w:cs="Times New Roman"/>
          <w:color w:val="000000"/>
          <w:sz w:val="24"/>
          <w:szCs w:val="24"/>
        </w:rPr>
        <w:t xml:space="preserve">3. Pojednostavnjenje i konsolidacija pravnog okvira </w:t>
      </w:r>
    </w:p>
    <w:p w14:paraId="63D853D2" w14:textId="77777777" w:rsidR="00807336" w:rsidRPr="00807336" w:rsidRDefault="00807336" w:rsidP="00EC7DC5">
      <w:pPr>
        <w:spacing w:before="80" w:line="276" w:lineRule="auto"/>
        <w:ind w:left="709" w:hanging="283"/>
        <w:jc w:val="both"/>
        <w:rPr>
          <w:rFonts w:ascii="Times New Roman" w:eastAsia="Times New Roman" w:hAnsi="Times New Roman" w:cs="Times New Roman"/>
          <w:color w:val="000000"/>
          <w:sz w:val="24"/>
          <w:szCs w:val="24"/>
        </w:rPr>
      </w:pPr>
      <w:r w:rsidRPr="00807336">
        <w:rPr>
          <w:rFonts w:ascii="Times New Roman" w:eastAsia="Times New Roman" w:hAnsi="Times New Roman" w:cs="Times New Roman"/>
          <w:color w:val="000000"/>
          <w:sz w:val="24"/>
          <w:szCs w:val="24"/>
        </w:rPr>
        <w:t>4. Sveobuhvatna baza znanja o kemikalijama</w:t>
      </w:r>
    </w:p>
    <w:p w14:paraId="7D14809E" w14:textId="77777777" w:rsidR="00807336" w:rsidRPr="00807336" w:rsidRDefault="00807336" w:rsidP="00EC7DC5">
      <w:pPr>
        <w:spacing w:before="80" w:line="276" w:lineRule="auto"/>
        <w:ind w:left="709" w:hanging="283"/>
        <w:jc w:val="both"/>
        <w:rPr>
          <w:rFonts w:ascii="Times New Roman" w:eastAsia="Times New Roman" w:hAnsi="Times New Roman" w:cs="Times New Roman"/>
          <w:color w:val="000000"/>
          <w:sz w:val="24"/>
          <w:szCs w:val="24"/>
        </w:rPr>
      </w:pPr>
      <w:r w:rsidRPr="00807336">
        <w:rPr>
          <w:rFonts w:ascii="Times New Roman" w:eastAsia="Times New Roman" w:hAnsi="Times New Roman" w:cs="Times New Roman"/>
          <w:color w:val="000000"/>
          <w:sz w:val="24"/>
          <w:szCs w:val="24"/>
        </w:rPr>
        <w:t>5.</w:t>
      </w:r>
      <w:r w:rsidRPr="00807336">
        <w:rPr>
          <w:rFonts w:ascii="Times New Roman" w:eastAsia="Times New Roman" w:hAnsi="Times New Roman" w:cs="Times New Roman"/>
          <w:bCs/>
          <w:color w:val="000000"/>
          <w:sz w:val="24"/>
          <w:szCs w:val="24"/>
        </w:rPr>
        <w:t xml:space="preserve"> Pružanje modela za dobro upravljanje kemikalijama na globalnoj razini</w:t>
      </w:r>
      <w:r w:rsidRPr="00807336">
        <w:rPr>
          <w:rFonts w:ascii="Times New Roman" w:eastAsia="Times New Roman" w:hAnsi="Times New Roman" w:cs="Times New Roman"/>
          <w:color w:val="000000"/>
          <w:sz w:val="24"/>
          <w:szCs w:val="24"/>
        </w:rPr>
        <w:tab/>
      </w:r>
    </w:p>
    <w:p w14:paraId="16972BBB" w14:textId="77777777" w:rsidR="00807336" w:rsidRPr="008B2BB0" w:rsidRDefault="00807336" w:rsidP="00807336">
      <w:pPr>
        <w:spacing w:before="8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 </w:t>
      </w:r>
      <w:r w:rsidRPr="008B2BB0">
        <w:rPr>
          <w:rFonts w:ascii="Times New Roman" w:eastAsia="Times New Roman" w:hAnsi="Times New Roman" w:cs="Times New Roman"/>
          <w:color w:val="000000"/>
          <w:sz w:val="24"/>
          <w:szCs w:val="24"/>
        </w:rPr>
        <w:t>2021. će se raditi na Akcijskom planu za postizanje nulte stope onečišćenja zraka, vode i tla i na Reviziji mjera za rješavanje problema onečišćenja iz velikih industrijskih postrojenja.</w:t>
      </w:r>
    </w:p>
    <w:p w14:paraId="40756200" w14:textId="77777777" w:rsidR="00807336" w:rsidRDefault="00807336" w:rsidP="00807336">
      <w:pPr>
        <w:spacing w:before="80" w:line="276" w:lineRule="auto"/>
        <w:jc w:val="both"/>
        <w:rPr>
          <w:rFonts w:ascii="Times New Roman" w:eastAsia="Times New Roman" w:hAnsi="Times New Roman" w:cs="Times New Roman"/>
          <w:color w:val="000000"/>
          <w:sz w:val="24"/>
          <w:szCs w:val="24"/>
        </w:rPr>
      </w:pPr>
      <w:r w:rsidRPr="008B2BB0">
        <w:rPr>
          <w:rFonts w:ascii="Times New Roman" w:eastAsia="Times New Roman" w:hAnsi="Times New Roman" w:cs="Times New Roman"/>
          <w:color w:val="000000"/>
          <w:sz w:val="24"/>
          <w:szCs w:val="24"/>
        </w:rPr>
        <w:t>Veliki doprinos u postizanju ovog cilja se očekuje i od novog Akcijskog plana za kružno gospodarstvo, koji uključuje inicijativu za održive proizvode i daje poseban naglasak na resursno intenzivnim sektorima, kao što su tekstilni sektor, građevinarstvo, sektor elektronike i plastike. Uvodi se primjena načela kružnosti pri dizajniranju proizvoda kako bi se osiguralo sigurno upravljanje kemikalijama i otpadom.</w:t>
      </w:r>
    </w:p>
    <w:p w14:paraId="723D7543" w14:textId="77777777" w:rsidR="00807336" w:rsidRDefault="00807336" w:rsidP="00807336">
      <w:pPr>
        <w:spacing w:before="8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Sigurnom upravljanju kemikalijama i otpadom značajno će pridonijeti i SCIP baza</w:t>
      </w:r>
      <w:r w:rsidRPr="00807336">
        <w:rPr>
          <w:rFonts w:ascii="Times New Roman" w:eastAsia="Times New Roman" w:hAnsi="Times New Roman" w:cs="Times New Roman"/>
          <w:color w:val="000000"/>
          <w:sz w:val="24"/>
          <w:szCs w:val="24"/>
        </w:rPr>
        <w:t xml:space="preserve"> podataka</w:t>
      </w:r>
      <w:r w:rsidR="0061297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hyperlink r:id="rId14" w:history="1">
        <w:r w:rsidRPr="007824FF">
          <w:rPr>
            <w:rStyle w:val="Hiperveza"/>
            <w:rFonts w:ascii="Times New Roman" w:eastAsia="Times New Roman" w:hAnsi="Times New Roman" w:cs="Times New Roman"/>
            <w:sz w:val="24"/>
            <w:szCs w:val="24"/>
          </w:rPr>
          <w:t>https://echa.europa.eu/hr/scip</w:t>
        </w:r>
      </w:hyperlink>
      <w:r>
        <w:rPr>
          <w:rFonts w:ascii="Times New Roman" w:eastAsia="Times New Roman" w:hAnsi="Times New Roman" w:cs="Times New Roman"/>
          <w:color w:val="000000"/>
          <w:sz w:val="24"/>
          <w:szCs w:val="24"/>
        </w:rPr>
        <w:t xml:space="preserve">) </w:t>
      </w:r>
      <w:r w:rsidRPr="00807336">
        <w:rPr>
          <w:rFonts w:ascii="Times New Roman" w:eastAsia="Times New Roman" w:hAnsi="Times New Roman" w:cs="Times New Roman"/>
          <w:color w:val="000000"/>
          <w:sz w:val="24"/>
          <w:szCs w:val="24"/>
        </w:rPr>
        <w:t>za informiranje o zabrinjavajućim tvarima u proizvodima kao takvima ili u složenim predmetima (proizvodima) koja je uspostavljena u Okvirnoj direktivi o otpadu.</w:t>
      </w:r>
      <w:r>
        <w:rPr>
          <w:rFonts w:ascii="Times New Roman" w:eastAsia="Times New Roman" w:hAnsi="Times New Roman" w:cs="Times New Roman"/>
          <w:color w:val="000000"/>
          <w:sz w:val="24"/>
          <w:szCs w:val="24"/>
        </w:rPr>
        <w:t xml:space="preserve"> </w:t>
      </w:r>
      <w:r w:rsidRPr="00807336">
        <w:rPr>
          <w:rFonts w:ascii="Times New Roman" w:eastAsia="Times New Roman" w:hAnsi="Times New Roman" w:cs="Times New Roman"/>
          <w:color w:val="000000"/>
          <w:sz w:val="24"/>
          <w:szCs w:val="24"/>
        </w:rPr>
        <w:t>SCIP osigurava da su informacije o proizvodima koji sadrže tvari s popisa predloženih tvari dostupne tijekom čitavog životnog ciklusa proizvoda i materij</w:t>
      </w:r>
      <w:r>
        <w:rPr>
          <w:rFonts w:ascii="Times New Roman" w:eastAsia="Times New Roman" w:hAnsi="Times New Roman" w:cs="Times New Roman"/>
          <w:color w:val="000000"/>
          <w:sz w:val="24"/>
          <w:szCs w:val="24"/>
        </w:rPr>
        <w:t xml:space="preserve">ala, uključujući i fazu otpada. Osim toga: </w:t>
      </w:r>
      <w:r w:rsidRPr="00807336">
        <w:rPr>
          <w:rFonts w:ascii="Times New Roman" w:eastAsia="Times New Roman" w:hAnsi="Times New Roman" w:cs="Times New Roman"/>
          <w:color w:val="000000"/>
          <w:sz w:val="24"/>
          <w:szCs w:val="24"/>
        </w:rPr>
        <w:t>namijenjena je sm</w:t>
      </w:r>
      <w:r>
        <w:rPr>
          <w:rFonts w:ascii="Times New Roman" w:eastAsia="Times New Roman" w:hAnsi="Times New Roman" w:cs="Times New Roman"/>
          <w:color w:val="000000"/>
          <w:sz w:val="24"/>
          <w:szCs w:val="24"/>
        </w:rPr>
        <w:t xml:space="preserve">anjenju opasnih tvari u otpadu, </w:t>
      </w:r>
      <w:r w:rsidRPr="00807336">
        <w:rPr>
          <w:rFonts w:ascii="Times New Roman" w:eastAsia="Times New Roman" w:hAnsi="Times New Roman" w:cs="Times New Roman"/>
          <w:color w:val="000000"/>
          <w:sz w:val="24"/>
          <w:szCs w:val="24"/>
        </w:rPr>
        <w:t>njome se potiče zamjena tih t</w:t>
      </w:r>
      <w:r>
        <w:rPr>
          <w:rFonts w:ascii="Times New Roman" w:eastAsia="Times New Roman" w:hAnsi="Times New Roman" w:cs="Times New Roman"/>
          <w:color w:val="000000"/>
          <w:sz w:val="24"/>
          <w:szCs w:val="24"/>
        </w:rPr>
        <w:t xml:space="preserve">vari sigurnijim alternativama i </w:t>
      </w:r>
      <w:r w:rsidRPr="00807336">
        <w:rPr>
          <w:rFonts w:ascii="Times New Roman" w:eastAsia="Times New Roman" w:hAnsi="Times New Roman" w:cs="Times New Roman"/>
          <w:color w:val="000000"/>
          <w:sz w:val="24"/>
          <w:szCs w:val="24"/>
        </w:rPr>
        <w:t>doprinosi boljem kružnom gospodarstvu pomažući subjektima za gospodarenje otpadom da osiguraju da takve tvari nisu prisutne u recikliranim materijalima.</w:t>
      </w:r>
      <w:r>
        <w:rPr>
          <w:rFonts w:ascii="Times New Roman" w:eastAsia="Times New Roman" w:hAnsi="Times New Roman" w:cs="Times New Roman"/>
          <w:color w:val="000000"/>
          <w:sz w:val="24"/>
          <w:szCs w:val="24"/>
        </w:rPr>
        <w:t xml:space="preserve"> Obveza prijave podataka u SCIP bazu počinje se primjenjivati od 5. siječnja 2021. sukladno </w:t>
      </w:r>
      <w:r w:rsidRPr="00807336">
        <w:rPr>
          <w:rFonts w:ascii="Times New Roman" w:eastAsia="Times New Roman" w:hAnsi="Times New Roman" w:cs="Times New Roman"/>
          <w:color w:val="000000"/>
          <w:sz w:val="24"/>
          <w:szCs w:val="24"/>
        </w:rPr>
        <w:t>Okvirnoj direktivi o otpadu</w:t>
      </w:r>
      <w:r>
        <w:rPr>
          <w:rFonts w:ascii="Times New Roman" w:eastAsia="Times New Roman" w:hAnsi="Times New Roman" w:cs="Times New Roman"/>
          <w:color w:val="000000"/>
          <w:sz w:val="24"/>
          <w:szCs w:val="24"/>
        </w:rPr>
        <w:t>.</w:t>
      </w:r>
    </w:p>
    <w:p w14:paraId="3AC86E52" w14:textId="77777777" w:rsidR="00D84719" w:rsidRPr="00D84719" w:rsidRDefault="00D84719" w:rsidP="00D84719">
      <w:pPr>
        <w:spacing w:before="80" w:line="276" w:lineRule="auto"/>
        <w:jc w:val="both"/>
        <w:rPr>
          <w:rFonts w:ascii="Times New Roman" w:eastAsia="Times New Roman" w:hAnsi="Times New Roman" w:cs="Times New Roman"/>
          <w:color w:val="000000"/>
          <w:szCs w:val="24"/>
          <w:lang w:bidi="en-US"/>
        </w:rPr>
      </w:pPr>
    </w:p>
    <w:p w14:paraId="363D17AE" w14:textId="77777777" w:rsidR="00D84719" w:rsidRPr="00D84719" w:rsidRDefault="00D84719" w:rsidP="008A290D">
      <w:pPr>
        <w:pStyle w:val="Naslov3"/>
      </w:pPr>
      <w:bookmarkStart w:id="38" w:name="_Toc41638224"/>
      <w:bookmarkStart w:id="39" w:name="_Toc64460676"/>
      <w:r w:rsidRPr="00D84719">
        <w:t>ZAKONODAVSTVO U REPUBLICI HRVATSKOJ</w:t>
      </w:r>
      <w:bookmarkEnd w:id="38"/>
      <w:bookmarkEnd w:id="39"/>
    </w:p>
    <w:p w14:paraId="60C24A85" w14:textId="77777777" w:rsidR="00D84719" w:rsidRPr="00D84719" w:rsidRDefault="00D84719" w:rsidP="00D84719">
      <w:pPr>
        <w:spacing w:before="120" w:after="12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U nastavku je popis propisa i dokumenata koji propisuju gospodarenje i praćenje (monitoring) POPs-ova.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D84719" w:rsidRPr="00D84719" w14:paraId="77575E78" w14:textId="77777777" w:rsidTr="00D84719">
        <w:trPr>
          <w:jc w:val="center"/>
        </w:trPr>
        <w:tc>
          <w:tcPr>
            <w:tcW w:w="5000" w:type="pct"/>
            <w:tcBorders>
              <w:top w:val="single" w:sz="4" w:space="0" w:color="auto"/>
              <w:left w:val="single" w:sz="4" w:space="0" w:color="auto"/>
              <w:bottom w:val="single" w:sz="4" w:space="0" w:color="auto"/>
              <w:right w:val="single" w:sz="4" w:space="0" w:color="auto"/>
            </w:tcBorders>
            <w:shd w:val="clear" w:color="auto" w:fill="BFBFBF"/>
            <w:vAlign w:val="center"/>
          </w:tcPr>
          <w:p w14:paraId="18B1C821" w14:textId="77777777" w:rsidR="00D84719" w:rsidRPr="00D84719" w:rsidRDefault="00D84719" w:rsidP="00D84719">
            <w:pPr>
              <w:spacing w:after="0" w:line="276" w:lineRule="auto"/>
              <w:jc w:val="center"/>
              <w:rPr>
                <w:rFonts w:ascii="Times New Roman" w:eastAsia="Times New Roman" w:hAnsi="Times New Roman" w:cs="Times New Roman"/>
                <w:b/>
                <w:bCs/>
                <w:color w:val="000000"/>
              </w:rPr>
            </w:pPr>
            <w:r w:rsidRPr="00D84719">
              <w:rPr>
                <w:rFonts w:ascii="Times New Roman" w:eastAsia="Times New Roman" w:hAnsi="Times New Roman" w:cs="Times New Roman"/>
                <w:b/>
                <w:bCs/>
                <w:color w:val="000000"/>
              </w:rPr>
              <w:t>BILJNO ZDRAVSTVO – SREDSTVA ZA ZAŠTITU BILJA I OSTATCI PESTICIDA</w:t>
            </w:r>
          </w:p>
        </w:tc>
      </w:tr>
      <w:tr w:rsidR="00D84719" w:rsidRPr="00D84719" w14:paraId="64CA1F90"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6DD0228B" w14:textId="77777777" w:rsidR="00D84719" w:rsidRPr="00D84719" w:rsidRDefault="00D84719" w:rsidP="00D84719">
            <w:pPr>
              <w:spacing w:after="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lastRenderedPageBreak/>
              <w:t>Zakon o provedbi Uredbe (EZ) broj 1107/2009 o stavljanju na tržište sredstava za zaštitu bilja („Narodne novine“, br. 80/13 i 32/19)</w:t>
            </w:r>
          </w:p>
        </w:tc>
      </w:tr>
      <w:tr w:rsidR="00D84719" w:rsidRPr="00D84719" w14:paraId="100DB060" w14:textId="77777777" w:rsidTr="00F831D6">
        <w:trPr>
          <w:trHeight w:val="444"/>
          <w:jc w:val="center"/>
        </w:trPr>
        <w:tc>
          <w:tcPr>
            <w:tcW w:w="5000" w:type="pct"/>
            <w:tcBorders>
              <w:top w:val="single" w:sz="4" w:space="0" w:color="auto"/>
              <w:left w:val="single" w:sz="4" w:space="0" w:color="auto"/>
              <w:bottom w:val="single" w:sz="4" w:space="0" w:color="auto"/>
              <w:right w:val="single" w:sz="4" w:space="0" w:color="auto"/>
            </w:tcBorders>
            <w:vAlign w:val="center"/>
          </w:tcPr>
          <w:p w14:paraId="3929B4E6" w14:textId="77777777" w:rsidR="00D84719" w:rsidRPr="00D84719" w:rsidRDefault="00D84719" w:rsidP="00D84719">
            <w:pPr>
              <w:spacing w:after="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Zakon o održivoj uporabi pesticida („Narodne novine“, br. 14/14 i 115/18)</w:t>
            </w:r>
          </w:p>
        </w:tc>
      </w:tr>
      <w:tr w:rsidR="00D84719" w:rsidRPr="00D84719" w14:paraId="0270D381" w14:textId="77777777" w:rsidTr="00F831D6">
        <w:trPr>
          <w:trHeight w:val="6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78341E06" w14:textId="77777777" w:rsidR="00D84719" w:rsidRPr="00D84719" w:rsidRDefault="00D84719" w:rsidP="00D84719">
            <w:pPr>
              <w:spacing w:after="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Pravilnik o uspostavi akcijskog okvira za postizanje održive uporabe pesticida („Narodne novine“, broj 142/12)</w:t>
            </w:r>
          </w:p>
        </w:tc>
      </w:tr>
      <w:tr w:rsidR="00D84719" w:rsidRPr="00D84719" w14:paraId="5A8E6B2D"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3D6EB123" w14:textId="77777777" w:rsidR="00D84719" w:rsidRPr="00D84719" w:rsidRDefault="00D84719" w:rsidP="00D84719">
            <w:pPr>
              <w:spacing w:after="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Zakon o provedbi Uredbe (EZ) broj 396/05 o maksimalnim razinama ostataka pesticida u i na hrani i hrani za životinje biljnog i životinjskog podrijetla („Narodne novine“, br. 80/13 i 115/18)</w:t>
            </w:r>
          </w:p>
        </w:tc>
      </w:tr>
      <w:tr w:rsidR="00D84719" w:rsidRPr="00D84719" w14:paraId="6DA19D76"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24B27790" w14:textId="77777777" w:rsidR="00D84719" w:rsidRPr="00D84719" w:rsidRDefault="00D84719" w:rsidP="00D84719">
            <w:pPr>
              <w:spacing w:after="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Pravilnik o metodama uzorkovanja za provedbu službene kontrole ostataka pesticida u i na proizvodima biljnog i životinjskog podrijetla („Narodne novine“, broj 77/08)</w:t>
            </w:r>
          </w:p>
        </w:tc>
      </w:tr>
      <w:tr w:rsidR="00D84719" w:rsidRPr="00D84719" w14:paraId="07D4A0B5" w14:textId="77777777" w:rsidTr="00D84719">
        <w:trPr>
          <w:trHeight w:val="395"/>
          <w:jc w:val="center"/>
        </w:trPr>
        <w:tc>
          <w:tcPr>
            <w:tcW w:w="5000" w:type="pct"/>
            <w:tcBorders>
              <w:top w:val="single" w:sz="4" w:space="0" w:color="auto"/>
              <w:left w:val="single" w:sz="4" w:space="0" w:color="auto"/>
              <w:bottom w:val="single" w:sz="4" w:space="0" w:color="auto"/>
              <w:right w:val="single" w:sz="4" w:space="0" w:color="auto"/>
            </w:tcBorders>
            <w:shd w:val="clear" w:color="auto" w:fill="BFBFBF"/>
            <w:vAlign w:val="center"/>
          </w:tcPr>
          <w:p w14:paraId="6C22A303" w14:textId="77777777" w:rsidR="00D84719" w:rsidRPr="00D84719" w:rsidRDefault="00D84719" w:rsidP="00D84719">
            <w:pPr>
              <w:spacing w:after="0" w:line="240" w:lineRule="auto"/>
              <w:jc w:val="center"/>
              <w:rPr>
                <w:rFonts w:ascii="Times New Roman" w:eastAsia="Times New Roman" w:hAnsi="Times New Roman" w:cs="Times New Roman"/>
                <w:color w:val="000000"/>
                <w:lang w:eastAsia="hr-HR"/>
              </w:rPr>
            </w:pPr>
            <w:r w:rsidRPr="00D84719">
              <w:rPr>
                <w:rFonts w:ascii="Times New Roman" w:eastAsia="Times New Roman" w:hAnsi="Times New Roman" w:cs="Times New Roman"/>
                <w:b/>
                <w:bCs/>
                <w:color w:val="000000"/>
                <w:lang w:eastAsia="hr-HR"/>
              </w:rPr>
              <w:t>KEMIKALIJE</w:t>
            </w:r>
          </w:p>
        </w:tc>
      </w:tr>
      <w:tr w:rsidR="00D84719" w:rsidRPr="00D84719" w14:paraId="5F4A8EA0"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0325E18D" w14:textId="77777777" w:rsidR="00D84719" w:rsidRPr="00D84719" w:rsidRDefault="00D84719" w:rsidP="00D84719">
            <w:pPr>
              <w:spacing w:after="0" w:line="240" w:lineRule="auto"/>
              <w:jc w:val="both"/>
              <w:rPr>
                <w:rFonts w:ascii="Times New Roman" w:eastAsia="Times New Roman" w:hAnsi="Times New Roman" w:cs="Times New Roman"/>
                <w:sz w:val="24"/>
                <w:szCs w:val="24"/>
                <w:lang w:eastAsia="hr-HR"/>
              </w:rPr>
            </w:pPr>
            <w:r w:rsidRPr="00D84719">
              <w:rPr>
                <w:rFonts w:ascii="Times New Roman" w:eastAsia="Times New Roman" w:hAnsi="Times New Roman" w:cs="Times New Roman"/>
                <w:sz w:val="24"/>
                <w:szCs w:val="24"/>
                <w:lang w:eastAsia="hr-HR"/>
              </w:rPr>
              <w:t>Zakon o potvrđivanju Roterdamske konvencije o postupku prethodnog pristanka za određene opasne kemikalije i pesticide u međunarodnoj trgovini („Narodne novine“ – Međunarodni ugovori“, broj 4/07)</w:t>
            </w:r>
          </w:p>
        </w:tc>
      </w:tr>
      <w:tr w:rsidR="00D84719" w:rsidRPr="00D84719" w14:paraId="3F383AE7"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4A4E7701" w14:textId="77777777" w:rsidR="00D84719" w:rsidRPr="00D84719" w:rsidRDefault="00D84719" w:rsidP="00D84719">
            <w:pPr>
              <w:spacing w:after="0" w:line="240"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sz w:val="24"/>
                <w:szCs w:val="24"/>
                <w:lang w:eastAsia="hr-HR"/>
              </w:rPr>
              <w:t>Zakon o kemikalijama („Narodne novine“, br. 18/13, 115/18 i 37/20)</w:t>
            </w:r>
          </w:p>
        </w:tc>
      </w:tr>
      <w:tr w:rsidR="00D84719" w:rsidRPr="00D84719" w14:paraId="7362C523"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6B388C14" w14:textId="77777777" w:rsidR="00D84719" w:rsidRPr="00D84719" w:rsidRDefault="00D84719" w:rsidP="00D84719">
            <w:pPr>
              <w:spacing w:after="0" w:line="240" w:lineRule="auto"/>
              <w:jc w:val="both"/>
              <w:rPr>
                <w:rFonts w:ascii="Times New Roman" w:eastAsia="Times New Roman" w:hAnsi="Times New Roman" w:cs="Times New Roman"/>
                <w:color w:val="000000"/>
                <w:sz w:val="24"/>
                <w:szCs w:val="24"/>
                <w:lang w:eastAsia="hr-HR"/>
              </w:rPr>
            </w:pPr>
            <w:r w:rsidRPr="00D84719">
              <w:rPr>
                <w:rFonts w:ascii="Times New Roman" w:eastAsia="Times New Roman" w:hAnsi="Times New Roman" w:cs="Times New Roman"/>
                <w:sz w:val="24"/>
                <w:szCs w:val="24"/>
                <w:lang w:eastAsia="hr-HR"/>
              </w:rPr>
              <w:t>Zakon o provedbi Uredbe (EZ) broj 1272/2008 Europskog parlamenta i Vijeća o razvrstavanju, označavanju i pakiranju tvari i smjesa, kojom se izmjenjuju, dopunjuju i ukidaju Direktiva 67/548/EEZ i Direktiva 1999/45/EZ i izmjenjuje i dopunjuje Uredba (EZ) broj 1907/2006 („Narodne novine“, br. 50/12,18/13, 115/18 i 127/19)</w:t>
            </w:r>
          </w:p>
        </w:tc>
      </w:tr>
      <w:tr w:rsidR="00D84719" w:rsidRPr="00D84719" w14:paraId="230E129F"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2F31C2E2" w14:textId="77777777" w:rsidR="00D84719" w:rsidRPr="00D84719" w:rsidRDefault="00D84719" w:rsidP="00D84719">
            <w:pPr>
              <w:spacing w:after="0" w:line="240" w:lineRule="auto"/>
              <w:jc w:val="both"/>
              <w:rPr>
                <w:rFonts w:ascii="Times New Roman" w:eastAsia="Times New Roman" w:hAnsi="Times New Roman" w:cs="Times New Roman"/>
                <w:sz w:val="24"/>
                <w:szCs w:val="24"/>
                <w:lang w:eastAsia="hr-HR"/>
              </w:rPr>
            </w:pPr>
            <w:r w:rsidRPr="00D84719">
              <w:rPr>
                <w:rFonts w:ascii="Times New Roman" w:eastAsia="Times New Roman" w:hAnsi="Times New Roman" w:cs="Times New Roman"/>
                <w:sz w:val="24"/>
                <w:szCs w:val="24"/>
                <w:lang w:eastAsia="hr-HR"/>
              </w:rPr>
              <w:t>Zakon o provedbi Uredbe (EZ) broj 1907/2006 Europskog Parlamenta i Vijeća EZ o registraciji, evaluaciji, autorizaciji i ograničavanju kemikalija („Narodne novine“, br. 53/08, 18/13 i 115/18)</w:t>
            </w:r>
          </w:p>
        </w:tc>
      </w:tr>
      <w:tr w:rsidR="00D84719" w:rsidRPr="00D84719" w14:paraId="3FAEC9CD"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6DED3247" w14:textId="77777777" w:rsidR="00D84719" w:rsidRPr="00D84719" w:rsidRDefault="00D84719" w:rsidP="00D84719">
            <w:pPr>
              <w:spacing w:after="0" w:line="240" w:lineRule="auto"/>
              <w:jc w:val="both"/>
              <w:rPr>
                <w:rFonts w:ascii="Times New Roman" w:eastAsia="Times New Roman" w:hAnsi="Times New Roman" w:cs="Times New Roman"/>
                <w:sz w:val="24"/>
                <w:szCs w:val="24"/>
                <w:lang w:eastAsia="hr-HR"/>
              </w:rPr>
            </w:pPr>
            <w:r w:rsidRPr="00D84719">
              <w:rPr>
                <w:rFonts w:ascii="Times New Roman" w:eastAsia="Times New Roman" w:hAnsi="Times New Roman" w:cs="Times New Roman"/>
                <w:sz w:val="24"/>
                <w:szCs w:val="24"/>
                <w:lang w:eastAsia="hr-HR"/>
              </w:rPr>
              <w:t>Nacionalna strategija kemijske sigurnosti („Narodne novine“, broj 143/08)</w:t>
            </w:r>
          </w:p>
        </w:tc>
      </w:tr>
      <w:tr w:rsidR="00D84719" w:rsidRPr="00D84719" w14:paraId="71064314"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2F8088A1" w14:textId="77777777" w:rsidR="00D84719" w:rsidRPr="00D84719" w:rsidRDefault="00D84719" w:rsidP="00156E75">
            <w:pPr>
              <w:spacing w:after="0" w:line="240" w:lineRule="auto"/>
              <w:jc w:val="both"/>
              <w:rPr>
                <w:rFonts w:ascii="Times New Roman" w:eastAsia="Times New Roman" w:hAnsi="Times New Roman" w:cs="Times New Roman"/>
                <w:sz w:val="24"/>
                <w:szCs w:val="24"/>
                <w:lang w:eastAsia="hr-HR"/>
              </w:rPr>
            </w:pPr>
            <w:r w:rsidRPr="00D84719">
              <w:rPr>
                <w:rFonts w:ascii="Times New Roman" w:eastAsia="Times New Roman" w:hAnsi="Times New Roman" w:cs="Times New Roman"/>
                <w:sz w:val="24"/>
                <w:szCs w:val="24"/>
                <w:lang w:eastAsia="hr-HR"/>
              </w:rPr>
              <w:t>Zakon o provedbi Uredbe (EU) broj 528/2012 Europskog parlamenta i Vijeća u vezi sa stavljanjem na raspolaganje na tržištu i uporabi biocidnih proizvoda („Narodne novine“, br. 39/13</w:t>
            </w:r>
            <w:r w:rsidR="00156E75">
              <w:rPr>
                <w:rFonts w:ascii="Times New Roman" w:eastAsia="Times New Roman" w:hAnsi="Times New Roman" w:cs="Times New Roman"/>
                <w:sz w:val="24"/>
                <w:szCs w:val="24"/>
                <w:lang w:eastAsia="hr-HR"/>
              </w:rPr>
              <w:t>,</w:t>
            </w:r>
            <w:r w:rsidRPr="00D84719">
              <w:rPr>
                <w:rFonts w:ascii="Times New Roman" w:eastAsia="Times New Roman" w:hAnsi="Times New Roman" w:cs="Times New Roman"/>
                <w:sz w:val="24"/>
                <w:szCs w:val="24"/>
                <w:lang w:eastAsia="hr-HR"/>
              </w:rPr>
              <w:t xml:space="preserve"> 47/14</w:t>
            </w:r>
            <w:r w:rsidR="00156E75">
              <w:rPr>
                <w:rFonts w:ascii="Times New Roman" w:eastAsia="Times New Roman" w:hAnsi="Times New Roman" w:cs="Times New Roman"/>
                <w:sz w:val="24"/>
                <w:szCs w:val="24"/>
                <w:lang w:eastAsia="hr-HR"/>
              </w:rPr>
              <w:t>,</w:t>
            </w:r>
            <w:r w:rsidRPr="00D84719">
              <w:rPr>
                <w:rFonts w:ascii="Times New Roman" w:eastAsia="Times New Roman" w:hAnsi="Times New Roman" w:cs="Times New Roman"/>
                <w:sz w:val="24"/>
                <w:szCs w:val="24"/>
                <w:lang w:eastAsia="hr-HR"/>
              </w:rPr>
              <w:t xml:space="preserve"> 115/18</w:t>
            </w:r>
            <w:r w:rsidR="00156E75">
              <w:rPr>
                <w:rFonts w:ascii="Times New Roman" w:eastAsia="Times New Roman" w:hAnsi="Times New Roman" w:cs="Times New Roman"/>
                <w:sz w:val="24"/>
                <w:szCs w:val="24"/>
                <w:lang w:eastAsia="hr-HR"/>
              </w:rPr>
              <w:t xml:space="preserve"> i 62/20</w:t>
            </w:r>
            <w:r w:rsidRPr="00D84719">
              <w:rPr>
                <w:rFonts w:ascii="Times New Roman" w:eastAsia="Times New Roman" w:hAnsi="Times New Roman" w:cs="Times New Roman"/>
                <w:sz w:val="24"/>
                <w:szCs w:val="24"/>
                <w:lang w:eastAsia="hr-HR"/>
              </w:rPr>
              <w:t>)</w:t>
            </w:r>
          </w:p>
        </w:tc>
      </w:tr>
      <w:tr w:rsidR="00D84719" w:rsidRPr="00D84719" w14:paraId="2A69487F" w14:textId="77777777" w:rsidTr="00F831D6">
        <w:trPr>
          <w:trHeight w:val="262"/>
          <w:jc w:val="center"/>
        </w:trPr>
        <w:tc>
          <w:tcPr>
            <w:tcW w:w="5000" w:type="pct"/>
            <w:tcBorders>
              <w:top w:val="single" w:sz="4" w:space="0" w:color="auto"/>
              <w:left w:val="single" w:sz="4" w:space="0" w:color="auto"/>
              <w:bottom w:val="single" w:sz="4" w:space="0" w:color="auto"/>
              <w:right w:val="single" w:sz="4" w:space="0" w:color="auto"/>
            </w:tcBorders>
            <w:vAlign w:val="center"/>
          </w:tcPr>
          <w:p w14:paraId="1848581E" w14:textId="77777777" w:rsidR="00D84719" w:rsidRPr="00D84719" w:rsidRDefault="00D84719" w:rsidP="00D84719">
            <w:pPr>
              <w:spacing w:after="0" w:line="240" w:lineRule="auto"/>
              <w:jc w:val="both"/>
              <w:rPr>
                <w:rFonts w:ascii="Times New Roman" w:eastAsia="Times New Roman" w:hAnsi="Times New Roman" w:cs="Times New Roman"/>
                <w:color w:val="000000"/>
                <w:sz w:val="24"/>
                <w:szCs w:val="24"/>
                <w:lang w:eastAsia="hr-HR"/>
              </w:rPr>
            </w:pPr>
            <w:r w:rsidRPr="00D84719">
              <w:rPr>
                <w:rFonts w:ascii="Times New Roman" w:eastAsia="Times New Roman" w:hAnsi="Times New Roman" w:cs="Times New Roman"/>
                <w:sz w:val="24"/>
                <w:szCs w:val="24"/>
                <w:lang w:eastAsia="hr-HR"/>
              </w:rPr>
              <w:t>Pravilnik o načinu vođenja očevidnika o kemikalijama te o načinu i rokovima dostave podataka iz očevidnika („Narodne novine“, br. 99/13 i 157/13)</w:t>
            </w:r>
          </w:p>
        </w:tc>
      </w:tr>
      <w:tr w:rsidR="00D84719" w:rsidRPr="00D84719" w14:paraId="6EE1FA4B" w14:textId="77777777" w:rsidTr="00F831D6">
        <w:trPr>
          <w:trHeight w:val="454"/>
          <w:jc w:val="center"/>
        </w:trPr>
        <w:tc>
          <w:tcPr>
            <w:tcW w:w="5000" w:type="pct"/>
            <w:tcBorders>
              <w:top w:val="single" w:sz="4" w:space="0" w:color="auto"/>
              <w:left w:val="single" w:sz="4" w:space="0" w:color="auto"/>
              <w:bottom w:val="single" w:sz="4" w:space="0" w:color="auto"/>
              <w:right w:val="single" w:sz="4" w:space="0" w:color="auto"/>
            </w:tcBorders>
            <w:vAlign w:val="center"/>
          </w:tcPr>
          <w:p w14:paraId="240F028F" w14:textId="77777777" w:rsidR="00D84719" w:rsidRPr="00D84719" w:rsidRDefault="00D84719" w:rsidP="00D84719">
            <w:pPr>
              <w:spacing w:after="0" w:line="240" w:lineRule="auto"/>
              <w:jc w:val="both"/>
              <w:rPr>
                <w:rFonts w:ascii="Times New Roman" w:eastAsia="Times New Roman" w:hAnsi="Times New Roman" w:cs="Times New Roman"/>
                <w:color w:val="000000"/>
                <w:sz w:val="24"/>
                <w:szCs w:val="24"/>
                <w:lang w:eastAsia="hr-HR"/>
              </w:rPr>
            </w:pPr>
            <w:r w:rsidRPr="00D84719">
              <w:rPr>
                <w:rFonts w:ascii="Times New Roman" w:eastAsia="Times New Roman" w:hAnsi="Times New Roman" w:cs="Times New Roman"/>
                <w:sz w:val="24"/>
                <w:szCs w:val="24"/>
                <w:lang w:eastAsia="hr-HR"/>
              </w:rPr>
              <w:t>Pravilnik o skladištenju opasnih kemikalija koje djeluju u obliku plina („Narodne novine“, broj 91/13)</w:t>
            </w:r>
          </w:p>
        </w:tc>
      </w:tr>
      <w:tr w:rsidR="00D84719" w:rsidRPr="00D84719" w14:paraId="74CEB98E"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6E4C00FC" w14:textId="77777777" w:rsidR="00D84719" w:rsidRPr="00D84719" w:rsidRDefault="00D84719" w:rsidP="00D84719">
            <w:pPr>
              <w:spacing w:after="0" w:line="240" w:lineRule="auto"/>
              <w:jc w:val="both"/>
              <w:rPr>
                <w:rFonts w:ascii="Times New Roman" w:eastAsia="Times New Roman" w:hAnsi="Times New Roman" w:cs="Times New Roman"/>
                <w:color w:val="000000"/>
                <w:sz w:val="24"/>
                <w:szCs w:val="24"/>
                <w:lang w:eastAsia="hr-HR"/>
              </w:rPr>
            </w:pPr>
            <w:r w:rsidRPr="00D84719">
              <w:rPr>
                <w:rFonts w:ascii="Times New Roman" w:eastAsia="Times New Roman" w:hAnsi="Times New Roman" w:cs="Times New Roman"/>
                <w:sz w:val="24"/>
                <w:szCs w:val="24"/>
                <w:lang w:eastAsia="hr-HR"/>
              </w:rPr>
              <w:t>Pravilnik o uvjetima za obavljanje djelatnosti proizvodnje, stavljanja na tržište i korištenja opasnih kemikalija („Narodne novine“, br. 99/13, 157/13 i 122/14)</w:t>
            </w:r>
          </w:p>
        </w:tc>
      </w:tr>
      <w:tr w:rsidR="00D84719" w:rsidRPr="00D84719" w14:paraId="698B9D70"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39B18016" w14:textId="77777777" w:rsidR="00D84719" w:rsidRPr="00D84719" w:rsidRDefault="00D84719" w:rsidP="00D84719">
            <w:pPr>
              <w:spacing w:after="0" w:line="240" w:lineRule="auto"/>
              <w:jc w:val="both"/>
              <w:rPr>
                <w:rFonts w:ascii="Times New Roman" w:eastAsia="Times New Roman" w:hAnsi="Times New Roman" w:cs="Times New Roman"/>
                <w:color w:val="000000"/>
                <w:sz w:val="24"/>
                <w:szCs w:val="24"/>
                <w:lang w:eastAsia="hr-HR"/>
              </w:rPr>
            </w:pPr>
            <w:r w:rsidRPr="00D84719">
              <w:rPr>
                <w:rFonts w:ascii="Times New Roman" w:eastAsia="Times New Roman" w:hAnsi="Times New Roman" w:cs="Times New Roman"/>
                <w:sz w:val="24"/>
                <w:szCs w:val="24"/>
                <w:lang w:eastAsia="hr-HR"/>
              </w:rPr>
              <w:t>Pravilnik o dobroj laboratorijskoj praksi („Narodne novine“, broj 73/12)</w:t>
            </w:r>
          </w:p>
        </w:tc>
      </w:tr>
      <w:tr w:rsidR="00D84719" w:rsidRPr="00D84719" w14:paraId="7204AE5B"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2C23BC89" w14:textId="77777777" w:rsidR="00D84719" w:rsidRPr="00D84719" w:rsidRDefault="00D84719" w:rsidP="00D84719">
            <w:pPr>
              <w:spacing w:after="0" w:line="240" w:lineRule="auto"/>
              <w:jc w:val="both"/>
              <w:rPr>
                <w:rFonts w:ascii="Times New Roman" w:eastAsia="Times New Roman" w:hAnsi="Times New Roman" w:cs="Times New Roman"/>
                <w:sz w:val="24"/>
                <w:szCs w:val="24"/>
                <w:lang w:eastAsia="hr-HR"/>
              </w:rPr>
            </w:pPr>
            <w:r w:rsidRPr="00D84719">
              <w:rPr>
                <w:rFonts w:ascii="Times New Roman" w:eastAsia="Times New Roman" w:hAnsi="Times New Roman" w:cs="Times New Roman"/>
                <w:sz w:val="24"/>
                <w:szCs w:val="24"/>
                <w:lang w:eastAsia="hr-HR"/>
              </w:rPr>
              <w:t>Zakon o provedbi Uredbe (EU) broj 649/2012 o izvozu i uvozu opasnih kemikalija („Narodne novine“, br. 41/14 i 115/18)</w:t>
            </w:r>
          </w:p>
        </w:tc>
      </w:tr>
      <w:tr w:rsidR="00D84719" w:rsidRPr="00D84719" w14:paraId="31D12B44"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38A1CA0D" w14:textId="77777777" w:rsidR="00D84719" w:rsidRPr="00D84719" w:rsidRDefault="00D84719" w:rsidP="00D84719">
            <w:pPr>
              <w:spacing w:after="0" w:line="240" w:lineRule="auto"/>
              <w:jc w:val="both"/>
              <w:rPr>
                <w:rFonts w:ascii="Times New Roman" w:eastAsia="Times New Roman" w:hAnsi="Times New Roman" w:cs="Times New Roman"/>
                <w:sz w:val="24"/>
                <w:szCs w:val="24"/>
                <w:lang w:eastAsia="hr-HR"/>
              </w:rPr>
            </w:pPr>
            <w:r w:rsidRPr="00D84719">
              <w:rPr>
                <w:rFonts w:ascii="Times New Roman" w:eastAsia="Times New Roman" w:hAnsi="Times New Roman" w:cs="Times New Roman"/>
                <w:sz w:val="24"/>
                <w:szCs w:val="24"/>
                <w:lang w:eastAsia="hr-HR"/>
              </w:rPr>
              <w:t>Pravilnik o uvjetima i načinu stjecanja te provjere znanja o zaštiti od opasnih kemikalija („Narodne novine“, broj 99/13)</w:t>
            </w:r>
          </w:p>
        </w:tc>
      </w:tr>
      <w:tr w:rsidR="00D84719" w:rsidRPr="00D84719" w14:paraId="7BC838BE"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tcPr>
          <w:p w14:paraId="4075A1AD" w14:textId="77777777" w:rsidR="00D84719" w:rsidRPr="00D84719" w:rsidRDefault="00D84719" w:rsidP="00D84719">
            <w:pPr>
              <w:spacing w:after="0" w:line="240" w:lineRule="auto"/>
              <w:jc w:val="both"/>
              <w:rPr>
                <w:rFonts w:ascii="Times New Roman" w:eastAsia="Times New Roman" w:hAnsi="Times New Roman" w:cs="Times New Roman"/>
                <w:sz w:val="24"/>
                <w:szCs w:val="24"/>
                <w:lang w:eastAsia="hr-HR"/>
              </w:rPr>
            </w:pPr>
            <w:r w:rsidRPr="00D84719">
              <w:rPr>
                <w:rFonts w:ascii="Times New Roman" w:eastAsia="Times New Roman" w:hAnsi="Times New Roman" w:cs="Times New Roman"/>
                <w:sz w:val="24"/>
                <w:szCs w:val="24"/>
                <w:lang w:eastAsia="hr-HR"/>
              </w:rPr>
              <w:t>Zakon o zaštiti na radu („Narodne novine“, br. 71/14, 118/14, 94/18 i 96/18)</w:t>
            </w:r>
          </w:p>
        </w:tc>
      </w:tr>
      <w:tr w:rsidR="00D84719" w:rsidRPr="00D84719" w14:paraId="6C323E06"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tcPr>
          <w:p w14:paraId="4B35DB7E" w14:textId="77777777" w:rsidR="00D84719" w:rsidRPr="00D84719" w:rsidRDefault="00D84719" w:rsidP="00D84719">
            <w:pPr>
              <w:spacing w:after="0" w:line="240" w:lineRule="auto"/>
              <w:jc w:val="both"/>
              <w:rPr>
                <w:rFonts w:ascii="Times New Roman" w:eastAsia="Times New Roman" w:hAnsi="Times New Roman" w:cs="Times New Roman"/>
                <w:sz w:val="24"/>
                <w:szCs w:val="24"/>
                <w:lang w:eastAsia="hr-HR"/>
              </w:rPr>
            </w:pPr>
            <w:r w:rsidRPr="00D84719">
              <w:rPr>
                <w:rFonts w:ascii="Times New Roman" w:eastAsia="Times New Roman" w:hAnsi="Times New Roman" w:cs="Times New Roman"/>
                <w:sz w:val="24"/>
                <w:szCs w:val="24"/>
                <w:lang w:eastAsia="hr-HR"/>
              </w:rPr>
              <w:t xml:space="preserve">Pravilnik o ovlaštenjima za poslove zaštite na radu („Narodne novine“, broj 50/19) </w:t>
            </w:r>
          </w:p>
        </w:tc>
      </w:tr>
      <w:tr w:rsidR="00D84719" w:rsidRPr="00D84719" w14:paraId="48548DA9"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tcPr>
          <w:p w14:paraId="5E82506F" w14:textId="77777777" w:rsidR="00D84719" w:rsidRPr="00D84719" w:rsidRDefault="00D84719" w:rsidP="00D84719">
            <w:pPr>
              <w:spacing w:after="0" w:line="240" w:lineRule="auto"/>
              <w:jc w:val="both"/>
              <w:rPr>
                <w:rFonts w:ascii="Times New Roman" w:eastAsia="Times New Roman" w:hAnsi="Times New Roman" w:cs="Times New Roman"/>
                <w:sz w:val="24"/>
                <w:szCs w:val="24"/>
                <w:lang w:eastAsia="hr-HR"/>
              </w:rPr>
            </w:pPr>
            <w:r w:rsidRPr="00D84719">
              <w:rPr>
                <w:rFonts w:ascii="Times New Roman" w:eastAsia="Times New Roman" w:hAnsi="Times New Roman" w:cs="Times New Roman"/>
                <w:sz w:val="24"/>
                <w:szCs w:val="24"/>
                <w:lang w:eastAsia="hr-HR"/>
              </w:rPr>
              <w:t>Pravilnik o ispitivanju radnog okoliša („Narodne novine“, broj 16/16)</w:t>
            </w:r>
          </w:p>
        </w:tc>
      </w:tr>
      <w:tr w:rsidR="00D84719" w:rsidRPr="00D84719" w14:paraId="0E87E1AB"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tcPr>
          <w:p w14:paraId="6ECB7657" w14:textId="77777777" w:rsidR="00D84719" w:rsidRPr="00D84719" w:rsidRDefault="00D84719" w:rsidP="00D84719">
            <w:pPr>
              <w:spacing w:after="0" w:line="240" w:lineRule="auto"/>
              <w:jc w:val="both"/>
              <w:rPr>
                <w:rFonts w:ascii="Times New Roman" w:eastAsia="Times New Roman" w:hAnsi="Times New Roman" w:cs="Times New Roman"/>
                <w:sz w:val="24"/>
                <w:szCs w:val="24"/>
                <w:lang w:eastAsia="hr-HR"/>
              </w:rPr>
            </w:pPr>
            <w:r w:rsidRPr="00D84719">
              <w:rPr>
                <w:rFonts w:ascii="Times New Roman" w:eastAsia="Times New Roman" w:hAnsi="Times New Roman" w:cs="Times New Roman"/>
                <w:sz w:val="24"/>
                <w:szCs w:val="24"/>
                <w:lang w:eastAsia="hr-HR"/>
              </w:rPr>
              <w:t>Pravilnik o zaštiti radnika od izloženosti opasnim kemikalijama na radu, graničnim vrijednostima izloženosti i biološkim graničnim vrijednostima („Narodne novine“, broj 91/18)</w:t>
            </w:r>
          </w:p>
        </w:tc>
      </w:tr>
      <w:tr w:rsidR="00D84719" w:rsidRPr="00D84719" w14:paraId="4093563D" w14:textId="77777777" w:rsidTr="00D84719">
        <w:trPr>
          <w:jc w:val="center"/>
        </w:trPr>
        <w:tc>
          <w:tcPr>
            <w:tcW w:w="5000" w:type="pct"/>
            <w:tcBorders>
              <w:top w:val="single" w:sz="4" w:space="0" w:color="auto"/>
              <w:left w:val="single" w:sz="4" w:space="0" w:color="auto"/>
              <w:bottom w:val="single" w:sz="4" w:space="0" w:color="auto"/>
              <w:right w:val="single" w:sz="4" w:space="0" w:color="auto"/>
            </w:tcBorders>
            <w:shd w:val="clear" w:color="auto" w:fill="BFBFBF"/>
            <w:vAlign w:val="center"/>
          </w:tcPr>
          <w:p w14:paraId="0DE90C8E" w14:textId="77777777" w:rsidR="00D84719" w:rsidRPr="00D84719" w:rsidRDefault="00D84719" w:rsidP="00D84719">
            <w:pPr>
              <w:spacing w:after="0" w:line="240" w:lineRule="auto"/>
              <w:jc w:val="center"/>
              <w:rPr>
                <w:rFonts w:ascii="Times New Roman" w:eastAsia="Times New Roman" w:hAnsi="Times New Roman" w:cs="Times New Roman"/>
                <w:color w:val="000000"/>
                <w:lang w:eastAsia="hr-HR"/>
              </w:rPr>
            </w:pPr>
            <w:r w:rsidRPr="00D84719">
              <w:rPr>
                <w:rFonts w:ascii="Times New Roman" w:eastAsia="Times New Roman" w:hAnsi="Times New Roman" w:cs="Times New Roman"/>
                <w:b/>
                <w:bCs/>
                <w:color w:val="000000"/>
                <w:lang w:eastAsia="hr-HR"/>
              </w:rPr>
              <w:t>VODE</w:t>
            </w:r>
          </w:p>
        </w:tc>
      </w:tr>
      <w:tr w:rsidR="00D84719" w:rsidRPr="00D84719" w14:paraId="58B42BA3"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6F6033E8" w14:textId="77777777" w:rsidR="00D84719" w:rsidRPr="00D84719" w:rsidRDefault="00D84719" w:rsidP="00D84719">
            <w:pPr>
              <w:spacing w:after="0" w:line="240" w:lineRule="auto"/>
              <w:jc w:val="both"/>
              <w:rPr>
                <w:rFonts w:ascii="Times New Roman" w:eastAsia="Times New Roman" w:hAnsi="Times New Roman" w:cs="Times New Roman"/>
                <w:color w:val="000000"/>
                <w:sz w:val="24"/>
                <w:szCs w:val="24"/>
                <w:lang w:eastAsia="hr-HR"/>
              </w:rPr>
            </w:pPr>
            <w:r w:rsidRPr="00D84719">
              <w:rPr>
                <w:rFonts w:ascii="Times New Roman" w:eastAsia="Times New Roman" w:hAnsi="Times New Roman" w:cs="Times New Roman"/>
                <w:sz w:val="24"/>
                <w:szCs w:val="24"/>
                <w:lang w:eastAsia="hr-HR"/>
              </w:rPr>
              <w:t>Zakon o vodama („Narodne novine“, broj 66/19)</w:t>
            </w:r>
          </w:p>
        </w:tc>
      </w:tr>
      <w:tr w:rsidR="00D84719" w:rsidRPr="00D84719" w14:paraId="41C25171"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12FAFCD6" w14:textId="77777777" w:rsidR="00D84719" w:rsidRPr="00D84719" w:rsidRDefault="00D84719" w:rsidP="00D84719">
            <w:pPr>
              <w:spacing w:after="0" w:line="240" w:lineRule="auto"/>
              <w:rPr>
                <w:rFonts w:ascii="Times New Roman" w:eastAsia="Times New Roman" w:hAnsi="Times New Roman" w:cs="Times New Roman"/>
                <w:sz w:val="24"/>
                <w:szCs w:val="24"/>
                <w:lang w:eastAsia="hr-HR"/>
              </w:rPr>
            </w:pPr>
            <w:r w:rsidRPr="00D84719">
              <w:rPr>
                <w:rFonts w:ascii="Times New Roman" w:eastAsia="Times New Roman" w:hAnsi="Times New Roman" w:cs="Times New Roman"/>
                <w:sz w:val="24"/>
                <w:szCs w:val="24"/>
                <w:lang w:eastAsia="hr-HR"/>
              </w:rPr>
              <w:t>Pravilnik o graničnim vrijednostima emisija otpadnih voda („Narodne novine“, broj 26/20)</w:t>
            </w:r>
          </w:p>
        </w:tc>
      </w:tr>
      <w:tr w:rsidR="00D84719" w:rsidRPr="00D84719" w14:paraId="68F7E783"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56BB42A0" w14:textId="77777777" w:rsidR="00D84719" w:rsidRPr="00D84719" w:rsidRDefault="00D84719" w:rsidP="00D84719">
            <w:pPr>
              <w:spacing w:after="0" w:line="240" w:lineRule="auto"/>
              <w:jc w:val="both"/>
              <w:rPr>
                <w:rFonts w:ascii="Times New Roman" w:eastAsia="Times New Roman" w:hAnsi="Times New Roman" w:cs="Times New Roman"/>
                <w:color w:val="000000"/>
                <w:sz w:val="24"/>
                <w:szCs w:val="24"/>
                <w:lang w:eastAsia="hr-HR"/>
              </w:rPr>
            </w:pPr>
            <w:r w:rsidRPr="00D84719">
              <w:rPr>
                <w:rFonts w:ascii="Times New Roman" w:eastAsia="Times New Roman" w:hAnsi="Times New Roman" w:cs="Times New Roman"/>
                <w:sz w:val="24"/>
                <w:szCs w:val="24"/>
                <w:lang w:eastAsia="hr-HR"/>
              </w:rPr>
              <w:t>Uredba o standardu kakvoće voda („Narodne novine“, broj 96/19)</w:t>
            </w:r>
          </w:p>
        </w:tc>
      </w:tr>
      <w:tr w:rsidR="00D84719" w:rsidRPr="00D84719" w14:paraId="1588AB87"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0979824E" w14:textId="77777777" w:rsidR="00D84719" w:rsidRPr="00D84719" w:rsidRDefault="00D84719" w:rsidP="00D84719">
            <w:pPr>
              <w:spacing w:after="0" w:line="240" w:lineRule="auto"/>
              <w:jc w:val="both"/>
              <w:rPr>
                <w:rFonts w:ascii="Times New Roman" w:eastAsia="Times New Roman" w:hAnsi="Times New Roman" w:cs="Times New Roman"/>
                <w:sz w:val="24"/>
                <w:szCs w:val="24"/>
                <w:lang w:eastAsia="hr-HR"/>
              </w:rPr>
            </w:pPr>
            <w:r w:rsidRPr="00D84719">
              <w:rPr>
                <w:rFonts w:ascii="Times New Roman" w:eastAsia="Times New Roman" w:hAnsi="Times New Roman" w:cs="Times New Roman"/>
                <w:sz w:val="24"/>
                <w:szCs w:val="24"/>
                <w:lang w:eastAsia="hr-HR"/>
              </w:rPr>
              <w:lastRenderedPageBreak/>
              <w:t>Pravilnik o posebnim uvjetima za obavljanje djelatnosti uzimanja uzoraka i ispitivanja voda („Narodne novine“, broj 3/20)</w:t>
            </w:r>
          </w:p>
        </w:tc>
      </w:tr>
      <w:tr w:rsidR="00D84719" w:rsidRPr="00D84719" w14:paraId="3D20B72E" w14:textId="77777777" w:rsidTr="00D84719">
        <w:trPr>
          <w:jc w:val="center"/>
        </w:trPr>
        <w:tc>
          <w:tcPr>
            <w:tcW w:w="5000" w:type="pct"/>
            <w:tcBorders>
              <w:top w:val="single" w:sz="4" w:space="0" w:color="auto"/>
              <w:left w:val="single" w:sz="4" w:space="0" w:color="auto"/>
              <w:bottom w:val="single" w:sz="4" w:space="0" w:color="auto"/>
              <w:right w:val="single" w:sz="4" w:space="0" w:color="auto"/>
            </w:tcBorders>
            <w:shd w:val="clear" w:color="auto" w:fill="BFBFBF"/>
            <w:vAlign w:val="center"/>
          </w:tcPr>
          <w:p w14:paraId="37290E92" w14:textId="77777777" w:rsidR="00D84719" w:rsidRPr="00D84719" w:rsidRDefault="00D84719" w:rsidP="00D84719">
            <w:pPr>
              <w:spacing w:after="0" w:line="240" w:lineRule="auto"/>
              <w:jc w:val="center"/>
              <w:rPr>
                <w:rFonts w:ascii="Times New Roman" w:eastAsia="Times New Roman" w:hAnsi="Times New Roman" w:cs="Times New Roman"/>
                <w:b/>
                <w:bCs/>
                <w:lang w:eastAsia="hr-HR"/>
              </w:rPr>
            </w:pPr>
            <w:r w:rsidRPr="00D84719">
              <w:rPr>
                <w:rFonts w:ascii="Times New Roman" w:eastAsia="Times New Roman" w:hAnsi="Times New Roman" w:cs="Times New Roman"/>
                <w:b/>
                <w:bCs/>
                <w:lang w:eastAsia="hr-HR"/>
              </w:rPr>
              <w:t>MORE</w:t>
            </w:r>
          </w:p>
        </w:tc>
      </w:tr>
      <w:tr w:rsidR="00D84719" w:rsidRPr="00D84719" w14:paraId="0B55CA0A"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2B2025C5" w14:textId="77777777" w:rsidR="00D84719" w:rsidRPr="00D84719" w:rsidRDefault="00D84719" w:rsidP="00D84719">
            <w:pPr>
              <w:spacing w:after="0" w:line="240" w:lineRule="auto"/>
              <w:jc w:val="both"/>
              <w:rPr>
                <w:rFonts w:ascii="Times New Roman" w:eastAsia="Times New Roman" w:hAnsi="Times New Roman" w:cs="Times New Roman"/>
                <w:sz w:val="24"/>
                <w:szCs w:val="24"/>
                <w:lang w:eastAsia="hr-HR"/>
              </w:rPr>
            </w:pPr>
            <w:r w:rsidRPr="00D84719">
              <w:rPr>
                <w:rFonts w:ascii="Times New Roman" w:eastAsia="Times New Roman" w:hAnsi="Times New Roman" w:cs="Times New Roman"/>
                <w:sz w:val="24"/>
                <w:szCs w:val="24"/>
                <w:lang w:eastAsia="hr-HR"/>
              </w:rPr>
              <w:t>Odluka o donošenju Akcijskog programa Strategije upravljanja morskim okolišem i obalnim područjem: Sustav praćenja i promatranja za stalnu procjenu stanja Jadranskog mora („Narodne novine“ broj 153/14)</w:t>
            </w:r>
          </w:p>
        </w:tc>
      </w:tr>
      <w:tr w:rsidR="00D84719" w:rsidRPr="00D84719" w14:paraId="7F48CDD2" w14:textId="77777777" w:rsidTr="00D84719">
        <w:trPr>
          <w:jc w:val="center"/>
        </w:trPr>
        <w:tc>
          <w:tcPr>
            <w:tcW w:w="5000" w:type="pct"/>
            <w:tcBorders>
              <w:top w:val="single" w:sz="4" w:space="0" w:color="auto"/>
              <w:left w:val="single" w:sz="4" w:space="0" w:color="auto"/>
              <w:bottom w:val="single" w:sz="4" w:space="0" w:color="auto"/>
              <w:right w:val="single" w:sz="4" w:space="0" w:color="auto"/>
            </w:tcBorders>
            <w:shd w:val="clear" w:color="auto" w:fill="BFBFBF"/>
            <w:vAlign w:val="center"/>
          </w:tcPr>
          <w:p w14:paraId="7534A271" w14:textId="77777777" w:rsidR="00D84719" w:rsidRPr="00D84719" w:rsidRDefault="00D84719" w:rsidP="00D84719">
            <w:pPr>
              <w:spacing w:after="0" w:line="240" w:lineRule="auto"/>
              <w:jc w:val="center"/>
              <w:rPr>
                <w:rFonts w:ascii="Times New Roman" w:eastAsia="Times New Roman" w:hAnsi="Times New Roman" w:cs="Times New Roman"/>
                <w:color w:val="000000"/>
                <w:lang w:eastAsia="hr-HR"/>
              </w:rPr>
            </w:pPr>
            <w:r w:rsidRPr="00D84719">
              <w:rPr>
                <w:rFonts w:ascii="Times New Roman" w:eastAsia="Times New Roman" w:hAnsi="Times New Roman" w:cs="Times New Roman"/>
                <w:b/>
                <w:bCs/>
                <w:color w:val="000000"/>
                <w:lang w:eastAsia="hr-HR"/>
              </w:rPr>
              <w:t>VETERINARSTVO</w:t>
            </w:r>
          </w:p>
        </w:tc>
      </w:tr>
      <w:tr w:rsidR="00D84719" w:rsidRPr="00D84719" w14:paraId="35D5C951"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270CEC66" w14:textId="77777777" w:rsidR="00D84719" w:rsidRPr="00D84719" w:rsidRDefault="00D84719" w:rsidP="00D84719">
            <w:pPr>
              <w:spacing w:after="0" w:line="240" w:lineRule="auto"/>
              <w:jc w:val="both"/>
              <w:rPr>
                <w:rFonts w:ascii="Times New Roman" w:eastAsia="Times New Roman" w:hAnsi="Times New Roman" w:cs="Times New Roman"/>
                <w:color w:val="000000"/>
                <w:sz w:val="24"/>
                <w:szCs w:val="24"/>
                <w:lang w:eastAsia="hr-HR"/>
              </w:rPr>
            </w:pPr>
            <w:r w:rsidRPr="00D84719">
              <w:rPr>
                <w:rFonts w:ascii="Times New Roman" w:eastAsia="Times New Roman" w:hAnsi="Times New Roman" w:cs="Times New Roman"/>
                <w:sz w:val="24"/>
                <w:szCs w:val="24"/>
                <w:lang w:eastAsia="hr-HR"/>
              </w:rPr>
              <w:t>Zakon o veterinarsko-medicinskim proizvodima („Narodne novine“, br. 84/08, 56/13, 94/13, 15/15 i 32/19)</w:t>
            </w:r>
          </w:p>
        </w:tc>
      </w:tr>
      <w:tr w:rsidR="00D84719" w:rsidRPr="00D84719" w14:paraId="36F37F2A"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6598EE1B" w14:textId="77777777" w:rsidR="00D84719" w:rsidRPr="00D84719" w:rsidRDefault="00D84719" w:rsidP="00D84719">
            <w:pPr>
              <w:spacing w:after="0" w:line="240" w:lineRule="auto"/>
              <w:jc w:val="both"/>
              <w:rPr>
                <w:rFonts w:ascii="Times New Roman" w:eastAsia="Times New Roman" w:hAnsi="Times New Roman" w:cs="Times New Roman"/>
                <w:sz w:val="24"/>
                <w:szCs w:val="24"/>
                <w:lang w:eastAsia="hr-HR"/>
              </w:rPr>
            </w:pPr>
            <w:r w:rsidRPr="00D84719">
              <w:rPr>
                <w:rFonts w:ascii="Times New Roman" w:eastAsia="Times New Roman" w:hAnsi="Times New Roman" w:cs="Times New Roman"/>
                <w:sz w:val="24"/>
                <w:szCs w:val="24"/>
                <w:lang w:eastAsia="hr-HR"/>
              </w:rPr>
              <w:t>Zakon o veterinarstvu („Narodne novine“, br. 82/13, 148/13 i 115/18)</w:t>
            </w:r>
          </w:p>
        </w:tc>
      </w:tr>
      <w:tr w:rsidR="00D84719" w:rsidRPr="00D84719" w14:paraId="72CB2062"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366243AD" w14:textId="77777777" w:rsidR="00D84719" w:rsidRPr="00D84719" w:rsidRDefault="00D84719" w:rsidP="00D84719">
            <w:pPr>
              <w:spacing w:after="0" w:line="240" w:lineRule="auto"/>
              <w:jc w:val="both"/>
              <w:rPr>
                <w:rFonts w:ascii="Times New Roman" w:eastAsia="Times New Roman" w:hAnsi="Times New Roman" w:cs="Times New Roman"/>
                <w:color w:val="000000"/>
                <w:sz w:val="24"/>
                <w:szCs w:val="24"/>
                <w:lang w:eastAsia="hr-HR"/>
              </w:rPr>
            </w:pPr>
            <w:r w:rsidRPr="00D84719">
              <w:rPr>
                <w:rFonts w:ascii="Times New Roman" w:eastAsia="Times New Roman" w:hAnsi="Times New Roman" w:cs="Times New Roman"/>
                <w:sz w:val="24"/>
                <w:szCs w:val="24"/>
                <w:lang w:eastAsia="hr-HR"/>
              </w:rPr>
              <w:t>Pravilnik o ljekovitoj hrani za životinje („Narodne novine“, broj 120/11)</w:t>
            </w:r>
          </w:p>
        </w:tc>
      </w:tr>
      <w:tr w:rsidR="00D84719" w:rsidRPr="00D84719" w14:paraId="0470B047"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75A635F3" w14:textId="77777777" w:rsidR="00D84719" w:rsidRPr="00D84719" w:rsidRDefault="00D84719" w:rsidP="00D84719">
            <w:pPr>
              <w:spacing w:after="0" w:line="240" w:lineRule="auto"/>
              <w:jc w:val="both"/>
              <w:rPr>
                <w:rFonts w:ascii="Times New Roman" w:eastAsia="Times New Roman" w:hAnsi="Times New Roman" w:cs="Times New Roman"/>
                <w:color w:val="000000"/>
                <w:sz w:val="24"/>
                <w:szCs w:val="24"/>
                <w:lang w:eastAsia="hr-HR"/>
              </w:rPr>
            </w:pPr>
            <w:r w:rsidRPr="00D84719">
              <w:rPr>
                <w:rFonts w:ascii="Times New Roman" w:eastAsia="Times New Roman" w:hAnsi="Times New Roman" w:cs="Times New Roman"/>
                <w:sz w:val="24"/>
                <w:szCs w:val="24"/>
                <w:lang w:eastAsia="hr-HR"/>
              </w:rPr>
              <w:t>Pravilnik o monitoringu određenih tvari i njihovih rezidua u živim životinjama i proizvodima životinjskoga podrijetla („Narodne novine“, br. 79/08 i 51/13)</w:t>
            </w:r>
          </w:p>
        </w:tc>
      </w:tr>
      <w:tr w:rsidR="00D84719" w:rsidRPr="00D84719" w14:paraId="6A475852"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72275727" w14:textId="77777777" w:rsidR="00D84719" w:rsidRPr="00D84719" w:rsidRDefault="00D84719" w:rsidP="00D84719">
            <w:pPr>
              <w:spacing w:after="0" w:line="240" w:lineRule="auto"/>
              <w:jc w:val="both"/>
              <w:rPr>
                <w:rFonts w:ascii="Times New Roman" w:eastAsia="Times New Roman" w:hAnsi="Times New Roman" w:cs="Times New Roman"/>
                <w:color w:val="000000"/>
                <w:sz w:val="24"/>
                <w:szCs w:val="24"/>
                <w:lang w:eastAsia="hr-HR"/>
              </w:rPr>
            </w:pPr>
            <w:r w:rsidRPr="00D84719">
              <w:rPr>
                <w:rFonts w:ascii="Times New Roman" w:eastAsia="Times New Roman" w:hAnsi="Times New Roman" w:cs="Times New Roman"/>
                <w:sz w:val="24"/>
                <w:szCs w:val="24"/>
                <w:lang w:eastAsia="hr-HR"/>
              </w:rPr>
              <w:t>Pravilnik o sigurnosti hrane za životinje</w:t>
            </w:r>
            <w:r w:rsidR="00612979">
              <w:rPr>
                <w:rFonts w:ascii="Times New Roman" w:eastAsia="Times New Roman" w:hAnsi="Times New Roman" w:cs="Times New Roman"/>
                <w:sz w:val="24"/>
                <w:szCs w:val="24"/>
                <w:lang w:eastAsia="hr-HR"/>
              </w:rPr>
              <w:t xml:space="preserve"> </w:t>
            </w:r>
            <w:r w:rsidRPr="00D84719">
              <w:rPr>
                <w:rFonts w:ascii="Times New Roman" w:eastAsia="Times New Roman" w:hAnsi="Times New Roman" w:cs="Times New Roman"/>
                <w:sz w:val="24"/>
                <w:szCs w:val="24"/>
                <w:lang w:eastAsia="hr-HR"/>
              </w:rPr>
              <w:t>(„Narodne novine“, broj 102/16)</w:t>
            </w:r>
          </w:p>
        </w:tc>
      </w:tr>
      <w:tr w:rsidR="00D84719" w:rsidRPr="00D84719" w14:paraId="75B6B2AC"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4E142405" w14:textId="77777777" w:rsidR="00D84719" w:rsidRPr="00D84719" w:rsidRDefault="00D84719" w:rsidP="00D84719">
            <w:pPr>
              <w:spacing w:after="0" w:line="240" w:lineRule="auto"/>
              <w:jc w:val="both"/>
              <w:rPr>
                <w:rFonts w:ascii="Times New Roman" w:eastAsia="Times New Roman" w:hAnsi="Times New Roman" w:cs="Times New Roman"/>
                <w:color w:val="000000"/>
                <w:sz w:val="24"/>
                <w:szCs w:val="24"/>
                <w:lang w:eastAsia="hr-HR"/>
              </w:rPr>
            </w:pPr>
            <w:r w:rsidRPr="00D84719">
              <w:rPr>
                <w:rFonts w:ascii="Times New Roman" w:eastAsia="Times New Roman" w:hAnsi="Times New Roman" w:cs="Times New Roman"/>
                <w:sz w:val="24"/>
                <w:szCs w:val="24"/>
                <w:lang w:eastAsia="hr-HR"/>
              </w:rPr>
              <w:t xml:space="preserve">Zakon o provedbi Uredbe (EZ) broj 396/2005 o maksimalnim razinama ostataka pesticida u i na hrani i hrani za životinje biljnog i životinjskog podrijetla („Narodne novine“, br. 80/13, 115/18 i 32/20) </w:t>
            </w:r>
          </w:p>
        </w:tc>
      </w:tr>
      <w:tr w:rsidR="00D84719" w:rsidRPr="00D84719" w14:paraId="553DA487"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7CF16F09" w14:textId="77777777" w:rsidR="00D84719" w:rsidRPr="00D84719" w:rsidRDefault="00D84719" w:rsidP="00D84719">
            <w:pPr>
              <w:spacing w:after="0" w:line="240" w:lineRule="auto"/>
              <w:jc w:val="both"/>
              <w:rPr>
                <w:rFonts w:ascii="Times New Roman" w:eastAsia="Times New Roman" w:hAnsi="Times New Roman" w:cs="Times New Roman"/>
                <w:color w:val="000000"/>
                <w:sz w:val="24"/>
                <w:szCs w:val="24"/>
                <w:lang w:eastAsia="hr-HR"/>
              </w:rPr>
            </w:pPr>
            <w:r w:rsidRPr="00D84719">
              <w:rPr>
                <w:rFonts w:ascii="Times New Roman" w:eastAsia="Times New Roman" w:hAnsi="Times New Roman" w:cs="Times New Roman"/>
                <w:sz w:val="24"/>
                <w:szCs w:val="24"/>
                <w:lang w:eastAsia="hr-HR"/>
              </w:rPr>
              <w:t>Zakon o kontaminantima („Narodne novine“, br. 39/13 i 114/18)</w:t>
            </w:r>
          </w:p>
        </w:tc>
      </w:tr>
      <w:tr w:rsidR="00D84719" w:rsidRPr="00D84719" w14:paraId="2DB85457"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38DDBD6A" w14:textId="77777777" w:rsidR="00D84719" w:rsidRPr="00D84719" w:rsidRDefault="00D84719" w:rsidP="00D84719">
            <w:pPr>
              <w:spacing w:after="0" w:line="240" w:lineRule="auto"/>
              <w:jc w:val="both"/>
              <w:rPr>
                <w:rFonts w:ascii="Times New Roman" w:eastAsia="Times New Roman" w:hAnsi="Times New Roman" w:cs="Times New Roman"/>
                <w:color w:val="000000"/>
                <w:sz w:val="24"/>
                <w:szCs w:val="24"/>
                <w:lang w:eastAsia="hr-HR"/>
              </w:rPr>
            </w:pPr>
            <w:r w:rsidRPr="00D84719">
              <w:rPr>
                <w:rFonts w:ascii="Times New Roman" w:eastAsia="Times New Roman" w:hAnsi="Times New Roman" w:cs="Times New Roman"/>
                <w:sz w:val="24"/>
                <w:szCs w:val="24"/>
                <w:lang w:eastAsia="hr-HR"/>
              </w:rPr>
              <w:t>Zakon o službenim kontrolama koje se provode sukladno propisima o hrani, hrani za životinje, o zdravlju i dobrobiti životinja („Narodne novine“, br. 81/13, 14/14 i 56/15)</w:t>
            </w:r>
          </w:p>
        </w:tc>
      </w:tr>
      <w:tr w:rsidR="00D84719" w:rsidRPr="00D84719" w14:paraId="7065EF92"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1388565D" w14:textId="77777777" w:rsidR="00D84719" w:rsidRPr="00D84719" w:rsidRDefault="00D84719" w:rsidP="00D84719">
            <w:pPr>
              <w:spacing w:after="0" w:line="240" w:lineRule="auto"/>
              <w:jc w:val="both"/>
              <w:rPr>
                <w:rFonts w:ascii="Times New Roman" w:eastAsia="Times New Roman" w:hAnsi="Times New Roman" w:cs="Times New Roman"/>
                <w:color w:val="000000"/>
                <w:sz w:val="24"/>
                <w:szCs w:val="24"/>
                <w:lang w:eastAsia="hr-HR"/>
              </w:rPr>
            </w:pPr>
            <w:r w:rsidRPr="00D84719">
              <w:rPr>
                <w:rFonts w:ascii="Times New Roman" w:eastAsia="Times New Roman" w:hAnsi="Times New Roman" w:cs="Times New Roman"/>
                <w:iCs/>
                <w:sz w:val="24"/>
                <w:szCs w:val="24"/>
                <w:lang w:eastAsia="hr-HR"/>
              </w:rPr>
              <w:t xml:space="preserve">Zakon o hrani </w:t>
            </w:r>
            <w:r w:rsidRPr="00D84719">
              <w:rPr>
                <w:rFonts w:ascii="Times New Roman" w:eastAsia="Times New Roman" w:hAnsi="Times New Roman" w:cs="Times New Roman"/>
                <w:sz w:val="24"/>
                <w:szCs w:val="24"/>
                <w:lang w:eastAsia="hr-HR"/>
              </w:rPr>
              <w:t xml:space="preserve">(„Narodne novine“, br. </w:t>
            </w:r>
            <w:r w:rsidRPr="00D84719">
              <w:rPr>
                <w:rFonts w:ascii="Times New Roman" w:eastAsia="Times New Roman" w:hAnsi="Times New Roman" w:cs="Times New Roman"/>
                <w:iCs/>
                <w:sz w:val="24"/>
                <w:szCs w:val="24"/>
                <w:lang w:eastAsia="hr-HR"/>
              </w:rPr>
              <w:t>81/13, 14/14 i 115/18)</w:t>
            </w:r>
          </w:p>
        </w:tc>
      </w:tr>
      <w:tr w:rsidR="00D84719" w:rsidRPr="00D84719" w14:paraId="73A6E2AB" w14:textId="77777777" w:rsidTr="00D84719">
        <w:trPr>
          <w:jc w:val="center"/>
        </w:trPr>
        <w:tc>
          <w:tcPr>
            <w:tcW w:w="5000" w:type="pct"/>
            <w:tcBorders>
              <w:top w:val="single" w:sz="4" w:space="0" w:color="auto"/>
              <w:left w:val="single" w:sz="4" w:space="0" w:color="auto"/>
              <w:bottom w:val="single" w:sz="4" w:space="0" w:color="auto"/>
              <w:right w:val="single" w:sz="4" w:space="0" w:color="auto"/>
            </w:tcBorders>
            <w:shd w:val="clear" w:color="auto" w:fill="BFBFBF"/>
            <w:vAlign w:val="center"/>
          </w:tcPr>
          <w:p w14:paraId="11A4A050" w14:textId="77777777" w:rsidR="00D84719" w:rsidRPr="00D84719" w:rsidRDefault="00D84719" w:rsidP="00D84719">
            <w:pPr>
              <w:spacing w:after="0" w:line="240" w:lineRule="auto"/>
              <w:jc w:val="center"/>
              <w:rPr>
                <w:rFonts w:ascii="Times New Roman" w:eastAsia="Times New Roman" w:hAnsi="Times New Roman" w:cs="Times New Roman"/>
                <w:color w:val="000000"/>
                <w:lang w:eastAsia="hr-HR"/>
              </w:rPr>
            </w:pPr>
            <w:r w:rsidRPr="00D84719">
              <w:rPr>
                <w:rFonts w:ascii="Times New Roman" w:eastAsia="Times New Roman" w:hAnsi="Times New Roman" w:cs="Times New Roman"/>
                <w:b/>
                <w:bCs/>
                <w:color w:val="000000"/>
                <w:lang w:eastAsia="hr-HR"/>
              </w:rPr>
              <w:t>OKOLIŠ</w:t>
            </w:r>
          </w:p>
        </w:tc>
      </w:tr>
      <w:tr w:rsidR="00D84719" w:rsidRPr="00D84719" w14:paraId="534A44C4"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6452B082" w14:textId="77777777" w:rsidR="00D84719" w:rsidRPr="00D84719" w:rsidRDefault="00D84719" w:rsidP="00D84719">
            <w:pPr>
              <w:spacing w:after="0" w:line="240" w:lineRule="auto"/>
              <w:jc w:val="both"/>
              <w:rPr>
                <w:rFonts w:ascii="Times New Roman" w:eastAsia="Times New Roman" w:hAnsi="Times New Roman" w:cs="Times New Roman"/>
                <w:color w:val="000000"/>
                <w:sz w:val="24"/>
                <w:szCs w:val="24"/>
                <w:lang w:eastAsia="hr-HR"/>
              </w:rPr>
            </w:pPr>
            <w:r w:rsidRPr="00D84719">
              <w:rPr>
                <w:rFonts w:ascii="Times New Roman" w:eastAsia="Times New Roman" w:hAnsi="Times New Roman" w:cs="Times New Roman"/>
                <w:sz w:val="24"/>
                <w:szCs w:val="24"/>
                <w:lang w:eastAsia="hr-HR"/>
              </w:rPr>
              <w:t xml:space="preserve">Zakon o zaštiti okoliša („Narodne novine“, br. </w:t>
            </w:r>
            <w:r w:rsidRPr="00D84719">
              <w:rPr>
                <w:rFonts w:ascii="Times New Roman" w:eastAsia="Times New Roman" w:hAnsi="Times New Roman" w:cs="Times New Roman"/>
                <w:color w:val="333333"/>
                <w:sz w:val="24"/>
                <w:szCs w:val="24"/>
                <w:lang w:eastAsia="hr-HR"/>
              </w:rPr>
              <w:t>80/13, 153/13, 78/15, 12/18 i 118/18)</w:t>
            </w:r>
          </w:p>
        </w:tc>
      </w:tr>
      <w:tr w:rsidR="00D84719" w:rsidRPr="00D84719" w14:paraId="33B7ACA9"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633CEF5D" w14:textId="77777777" w:rsidR="00D84719" w:rsidRPr="00D84719" w:rsidRDefault="00D84719" w:rsidP="00D84719">
            <w:pPr>
              <w:spacing w:after="0" w:line="240" w:lineRule="auto"/>
              <w:jc w:val="both"/>
              <w:rPr>
                <w:rFonts w:ascii="Times New Roman" w:eastAsia="Times New Roman" w:hAnsi="Times New Roman" w:cs="Times New Roman"/>
                <w:sz w:val="24"/>
                <w:szCs w:val="24"/>
                <w:lang w:eastAsia="hr-HR"/>
              </w:rPr>
            </w:pPr>
            <w:r w:rsidRPr="00D84719">
              <w:rPr>
                <w:rFonts w:ascii="Times New Roman" w:eastAsia="Times New Roman" w:hAnsi="Times New Roman" w:cs="Times New Roman"/>
                <w:sz w:val="24"/>
                <w:szCs w:val="24"/>
                <w:lang w:eastAsia="hr-HR"/>
              </w:rPr>
              <w:t>Zakon o potvrđivanju Protokola o postojanim organskim onečišćujućim tvarima uz Konvenciju o dalekosežnom prekograničnom onečišćenju zraka iz 1979. godine („Narodne novine“ –</w:t>
            </w:r>
            <w:r w:rsidR="00612979">
              <w:rPr>
                <w:rFonts w:ascii="Times New Roman" w:eastAsia="Times New Roman" w:hAnsi="Times New Roman" w:cs="Times New Roman"/>
                <w:sz w:val="24"/>
                <w:szCs w:val="24"/>
                <w:lang w:eastAsia="hr-HR"/>
              </w:rPr>
              <w:t xml:space="preserve"> </w:t>
            </w:r>
            <w:r w:rsidRPr="00D84719">
              <w:rPr>
                <w:rFonts w:ascii="Times New Roman" w:eastAsia="Times New Roman" w:hAnsi="Times New Roman" w:cs="Times New Roman"/>
                <w:sz w:val="24"/>
                <w:szCs w:val="24"/>
                <w:lang w:eastAsia="hr-HR"/>
              </w:rPr>
              <w:t>Međunarodni ugovori“ broj 5/07)</w:t>
            </w:r>
          </w:p>
        </w:tc>
      </w:tr>
      <w:tr w:rsidR="00D84719" w:rsidRPr="00D84719" w14:paraId="29DD2B1A"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28679C1F" w14:textId="77777777" w:rsidR="00D84719" w:rsidRPr="00D84719" w:rsidRDefault="00D84719" w:rsidP="00D84719">
            <w:pPr>
              <w:spacing w:after="0" w:line="240" w:lineRule="auto"/>
              <w:jc w:val="both"/>
              <w:rPr>
                <w:rFonts w:ascii="Times New Roman" w:eastAsia="Times New Roman" w:hAnsi="Times New Roman" w:cs="Times New Roman"/>
                <w:color w:val="000000"/>
                <w:sz w:val="24"/>
                <w:szCs w:val="24"/>
                <w:lang w:eastAsia="hr-HR"/>
              </w:rPr>
            </w:pPr>
            <w:r w:rsidRPr="00D84719">
              <w:rPr>
                <w:rFonts w:ascii="Times New Roman" w:eastAsia="Times New Roman" w:hAnsi="Times New Roman" w:cs="Times New Roman"/>
                <w:sz w:val="24"/>
                <w:szCs w:val="24"/>
                <w:lang w:eastAsia="hr-HR"/>
              </w:rPr>
              <w:t>Uredba o procjeni utjecaja zahvata na okoliš („Narodne novine“, br. 61/14 i 3/17)</w:t>
            </w:r>
          </w:p>
        </w:tc>
      </w:tr>
      <w:tr w:rsidR="00D84719" w:rsidRPr="00D84719" w14:paraId="27B3964A"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24CB561E" w14:textId="77777777" w:rsidR="00D84719" w:rsidRPr="00D84719" w:rsidRDefault="00D84719" w:rsidP="00D84719">
            <w:pPr>
              <w:spacing w:after="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Uredba o okolišnoj dozvoli („Narodne novine“, br. 8/14 i 5/18)</w:t>
            </w:r>
          </w:p>
        </w:tc>
      </w:tr>
      <w:tr w:rsidR="00D84719" w:rsidRPr="00D84719" w14:paraId="2A7BF4ED"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2F99631C" w14:textId="77777777" w:rsidR="00D84719" w:rsidRPr="00D84719" w:rsidRDefault="00D84719" w:rsidP="00D84719">
            <w:pPr>
              <w:spacing w:after="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Zakon o provedbi Uredbe (EU) 2019/1021 o postojanim organskim onečišćujućim tvarima („Narodne novine“, broj 54/20)</w:t>
            </w:r>
          </w:p>
        </w:tc>
      </w:tr>
      <w:tr w:rsidR="00D84719" w:rsidRPr="00D84719" w14:paraId="11F35DCA"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706FF413" w14:textId="77777777" w:rsidR="00D84719" w:rsidRPr="00D84719" w:rsidRDefault="00D84719" w:rsidP="00D84719">
            <w:pPr>
              <w:spacing w:after="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Uredba o izradi i provedbi dokumenata Strategije upravljanja morskim okolišem i obalnim područjem („Narodne novine“, broj 112/14)</w:t>
            </w:r>
          </w:p>
        </w:tc>
      </w:tr>
      <w:tr w:rsidR="00D84719" w:rsidRPr="00D84719" w14:paraId="008DAFA7"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4061BC9D" w14:textId="77777777" w:rsidR="00D84719" w:rsidRPr="00D84719" w:rsidRDefault="00D84719" w:rsidP="00D84719">
            <w:pPr>
              <w:spacing w:after="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Uredba o sprječavanju velikih nesreća koje uključuju opasne tvari („Narodne novine“, br. 44/14, 31/17 i 45/17- ispravak)</w:t>
            </w:r>
          </w:p>
        </w:tc>
      </w:tr>
      <w:tr w:rsidR="00D84719" w:rsidRPr="00D84719" w14:paraId="28FFF6B5"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56983A43" w14:textId="77777777" w:rsidR="00D84719" w:rsidRPr="00D84719" w:rsidRDefault="00D84719" w:rsidP="00D84719">
            <w:pPr>
              <w:spacing w:after="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Pravilnik o registru postrojenja u kojima su prisutne opasne tvari i o očevidniku prijavljenih velikih nesreća („Narodne novine“, broj 139/14)</w:t>
            </w:r>
          </w:p>
        </w:tc>
      </w:tr>
      <w:tr w:rsidR="00D84719" w:rsidRPr="00D84719" w14:paraId="17837E71"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7EA83EF0" w14:textId="77777777" w:rsidR="00D84719" w:rsidRPr="00D84719" w:rsidRDefault="00D84719" w:rsidP="00D84719">
            <w:pPr>
              <w:spacing w:after="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Pravilnik o registru onečišćavanja okoliša („Narodne novine“, broj 87/15)</w:t>
            </w:r>
          </w:p>
        </w:tc>
      </w:tr>
      <w:tr w:rsidR="007A419E" w:rsidRPr="00D84719" w14:paraId="691D7EBA"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2A967544" w14:textId="77777777" w:rsidR="007A419E" w:rsidRPr="00D84719" w:rsidRDefault="007A419E" w:rsidP="007A419E">
            <w:pPr>
              <w:spacing w:after="0" w:line="276" w:lineRule="auto"/>
              <w:jc w:val="both"/>
              <w:rPr>
                <w:rFonts w:ascii="Times New Roman" w:eastAsia="Times New Roman" w:hAnsi="Times New Roman" w:cs="Times New Roman"/>
                <w:color w:val="000000"/>
                <w:sz w:val="24"/>
                <w:szCs w:val="24"/>
              </w:rPr>
            </w:pPr>
            <w:r w:rsidRPr="007A419E">
              <w:rPr>
                <w:rFonts w:ascii="Times New Roman" w:eastAsia="Times New Roman" w:hAnsi="Times New Roman" w:cs="Times New Roman"/>
                <w:color w:val="000000"/>
                <w:sz w:val="24"/>
                <w:szCs w:val="24"/>
              </w:rPr>
              <w:t xml:space="preserve">Pravilnik o znaku zaštite okoliša Europske unije – EU </w:t>
            </w:r>
            <w:proofErr w:type="spellStart"/>
            <w:r w:rsidRPr="007A419E">
              <w:rPr>
                <w:rFonts w:ascii="Times New Roman" w:eastAsia="Times New Roman" w:hAnsi="Times New Roman" w:cs="Times New Roman"/>
                <w:color w:val="000000"/>
                <w:sz w:val="24"/>
                <w:szCs w:val="24"/>
              </w:rPr>
              <w:t>Ecolabel</w:t>
            </w:r>
            <w:proofErr w:type="spellEnd"/>
            <w:r>
              <w:rPr>
                <w:rFonts w:ascii="Times New Roman" w:eastAsia="Times New Roman" w:hAnsi="Times New Roman" w:cs="Times New Roman"/>
                <w:color w:val="000000"/>
                <w:sz w:val="24"/>
                <w:szCs w:val="24"/>
              </w:rPr>
              <w:t xml:space="preserve"> </w:t>
            </w:r>
            <w:r w:rsidRPr="007A419E">
              <w:rPr>
                <w:rFonts w:ascii="Times New Roman" w:eastAsia="Times New Roman" w:hAnsi="Times New Roman" w:cs="Times New Roman"/>
                <w:color w:val="000000"/>
                <w:sz w:val="24"/>
                <w:szCs w:val="24"/>
              </w:rPr>
              <w:t xml:space="preserve">(„Narodne novine“, broj </w:t>
            </w:r>
            <w:r>
              <w:rPr>
                <w:rFonts w:ascii="Times New Roman" w:eastAsia="Times New Roman" w:hAnsi="Times New Roman" w:cs="Times New Roman"/>
                <w:color w:val="000000"/>
                <w:sz w:val="24"/>
                <w:szCs w:val="24"/>
              </w:rPr>
              <w:t>116</w:t>
            </w:r>
            <w:r w:rsidRPr="007A419E">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6</w:t>
            </w:r>
            <w:r w:rsidRPr="007A419E">
              <w:rPr>
                <w:rFonts w:ascii="Times New Roman" w:eastAsia="Times New Roman" w:hAnsi="Times New Roman" w:cs="Times New Roman"/>
                <w:color w:val="000000"/>
                <w:sz w:val="24"/>
                <w:szCs w:val="24"/>
              </w:rPr>
              <w:t>)</w:t>
            </w:r>
          </w:p>
        </w:tc>
      </w:tr>
      <w:tr w:rsidR="00D84719" w:rsidRPr="00D84719" w14:paraId="58B900B5" w14:textId="77777777" w:rsidTr="00D84719">
        <w:trPr>
          <w:jc w:val="center"/>
        </w:trPr>
        <w:tc>
          <w:tcPr>
            <w:tcW w:w="5000" w:type="pct"/>
            <w:tcBorders>
              <w:top w:val="single" w:sz="4" w:space="0" w:color="auto"/>
              <w:left w:val="single" w:sz="4" w:space="0" w:color="auto"/>
              <w:bottom w:val="single" w:sz="4" w:space="0" w:color="auto"/>
              <w:right w:val="single" w:sz="4" w:space="0" w:color="auto"/>
            </w:tcBorders>
            <w:shd w:val="clear" w:color="auto" w:fill="BFBFBF"/>
            <w:vAlign w:val="center"/>
          </w:tcPr>
          <w:p w14:paraId="2B939B49" w14:textId="77777777" w:rsidR="00D84719" w:rsidRPr="00D84719" w:rsidRDefault="00D84719" w:rsidP="00D84719">
            <w:pPr>
              <w:spacing w:after="0" w:line="276" w:lineRule="auto"/>
              <w:jc w:val="center"/>
              <w:rPr>
                <w:rFonts w:ascii="Times New Roman" w:eastAsia="Times New Roman" w:hAnsi="Times New Roman" w:cs="Times New Roman"/>
                <w:b/>
                <w:bCs/>
                <w:color w:val="4F5557"/>
              </w:rPr>
            </w:pPr>
            <w:r w:rsidRPr="00D84719">
              <w:rPr>
                <w:rFonts w:ascii="Times New Roman" w:eastAsia="Times New Roman" w:hAnsi="Times New Roman" w:cs="Times New Roman"/>
                <w:b/>
                <w:bCs/>
                <w:color w:val="000000"/>
              </w:rPr>
              <w:t>STRATEŠKO-PLANSKI DOKUMENTI</w:t>
            </w:r>
          </w:p>
        </w:tc>
      </w:tr>
      <w:tr w:rsidR="00D84719" w:rsidRPr="00D84719" w14:paraId="26084C15"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4C5CFAA4" w14:textId="77777777" w:rsidR="00D84719" w:rsidRPr="00D84719" w:rsidRDefault="00D84719" w:rsidP="00D84719">
            <w:pPr>
              <w:spacing w:after="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Nacionalni plan djelovanja na okoliš („Narodne novine“, broj 46/02)</w:t>
            </w:r>
          </w:p>
        </w:tc>
      </w:tr>
      <w:tr w:rsidR="00D84719" w:rsidRPr="00D84719" w14:paraId="7D713E67"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275B87B0" w14:textId="77777777" w:rsidR="00D84719" w:rsidRPr="00D84719" w:rsidRDefault="00D84719" w:rsidP="00D84719">
            <w:pPr>
              <w:spacing w:after="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Strategija gospodarenja otpadom Republike Hrvatske („Narodne novine“, broj 130/05)</w:t>
            </w:r>
          </w:p>
        </w:tc>
      </w:tr>
      <w:tr w:rsidR="00D84719" w:rsidRPr="00D84719" w14:paraId="09A24F7E"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7C7402F4" w14:textId="77777777" w:rsidR="00D84719" w:rsidRPr="00D84719" w:rsidRDefault="00D84719" w:rsidP="00D84719">
            <w:pPr>
              <w:spacing w:after="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Plan gospodarenja otpadom u Republici Hrvatskoj za razdoblje 2007. do 2015. godine („Narodne novine“, br. 85/07, 126/10, 31/11 i 46/15)</w:t>
            </w:r>
          </w:p>
        </w:tc>
      </w:tr>
      <w:tr w:rsidR="00D84719" w:rsidRPr="00D84719" w14:paraId="7BBB4D8E"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32D04A33" w14:textId="77777777" w:rsidR="00D84719" w:rsidRPr="00D84719" w:rsidRDefault="00D84719" w:rsidP="00D84719">
            <w:pPr>
              <w:spacing w:after="0" w:line="240" w:lineRule="auto"/>
              <w:jc w:val="both"/>
              <w:rPr>
                <w:rFonts w:ascii="Times New Roman" w:eastAsia="Times New Roman" w:hAnsi="Times New Roman" w:cs="Times New Roman"/>
                <w:sz w:val="24"/>
                <w:szCs w:val="24"/>
                <w:lang w:eastAsia="hr-HR"/>
              </w:rPr>
            </w:pPr>
            <w:r w:rsidRPr="00D84719">
              <w:rPr>
                <w:rFonts w:ascii="Times New Roman" w:eastAsia="Times New Roman" w:hAnsi="Times New Roman" w:cs="Times New Roman"/>
                <w:sz w:val="24"/>
                <w:szCs w:val="24"/>
                <w:lang w:eastAsia="hr-HR"/>
              </w:rPr>
              <w:t>Plan gospodarenja otpadom Republike Hrvatske za razdoblje 2017. – 2022. godine („Narodne novine“, br. 3/17)</w:t>
            </w:r>
          </w:p>
        </w:tc>
      </w:tr>
      <w:tr w:rsidR="00D84719" w:rsidRPr="00D84719" w14:paraId="6F30CA32"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5B9B4848" w14:textId="77777777" w:rsidR="00D84719" w:rsidRPr="00D84719" w:rsidRDefault="00D84719" w:rsidP="00D84719">
            <w:pPr>
              <w:spacing w:after="0" w:line="240" w:lineRule="auto"/>
              <w:jc w:val="both"/>
              <w:rPr>
                <w:rFonts w:ascii="Times New Roman" w:eastAsia="Times New Roman" w:hAnsi="Times New Roman" w:cs="Times New Roman"/>
                <w:color w:val="000000"/>
                <w:sz w:val="24"/>
                <w:szCs w:val="24"/>
                <w:highlight w:val="yellow"/>
                <w:lang w:eastAsia="hr-HR"/>
              </w:rPr>
            </w:pPr>
            <w:r w:rsidRPr="00D84719">
              <w:rPr>
                <w:rFonts w:ascii="Times New Roman" w:eastAsia="Times New Roman" w:hAnsi="Times New Roman" w:cs="Times New Roman"/>
                <w:sz w:val="24"/>
                <w:szCs w:val="24"/>
                <w:lang w:eastAsia="hr-HR"/>
              </w:rPr>
              <w:t>Plan intervencija u zaštiti okoliša („Narodne novine“, br. 82/99, 86/99 i 12/01)</w:t>
            </w:r>
          </w:p>
        </w:tc>
      </w:tr>
      <w:tr w:rsidR="00D84719" w:rsidRPr="00D84719" w14:paraId="01670DDE"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3DC9CA6A" w14:textId="77777777" w:rsidR="00D84719" w:rsidRPr="00D84719" w:rsidRDefault="00D84719" w:rsidP="00D84719">
            <w:pPr>
              <w:spacing w:after="0" w:line="240" w:lineRule="auto"/>
              <w:jc w:val="both"/>
              <w:rPr>
                <w:rFonts w:ascii="Times New Roman" w:eastAsia="Times New Roman" w:hAnsi="Times New Roman" w:cs="Times New Roman"/>
                <w:color w:val="000000"/>
                <w:sz w:val="24"/>
                <w:szCs w:val="24"/>
                <w:lang w:eastAsia="hr-HR"/>
              </w:rPr>
            </w:pPr>
            <w:r w:rsidRPr="00D84719">
              <w:rPr>
                <w:rFonts w:ascii="Times New Roman" w:eastAsia="Times New Roman" w:hAnsi="Times New Roman" w:cs="Times New Roman"/>
                <w:sz w:val="24"/>
                <w:szCs w:val="24"/>
                <w:lang w:eastAsia="hr-HR"/>
              </w:rPr>
              <w:lastRenderedPageBreak/>
              <w:t>Odluka o donošenju plana zaštite zraka, ozonskog sloja i ublažavanja klimatskih promjena u Republici Hrvatskoj za razdoblje od 2013. do 2017. godine („Narodne novine“, broj 139/13)</w:t>
            </w:r>
          </w:p>
        </w:tc>
      </w:tr>
      <w:tr w:rsidR="00D84719" w:rsidRPr="00D84719" w14:paraId="2E1715CF"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698BAA74" w14:textId="77777777" w:rsidR="00D84719" w:rsidRPr="00D84719" w:rsidRDefault="00D84719" w:rsidP="00D84719">
            <w:pPr>
              <w:spacing w:after="0" w:line="276" w:lineRule="auto"/>
              <w:jc w:val="both"/>
              <w:rPr>
                <w:rFonts w:ascii="Times New Roman" w:eastAsia="Times New Roman" w:hAnsi="Times New Roman" w:cs="Times New Roman"/>
                <w:b/>
                <w:bCs/>
                <w:color w:val="000000"/>
                <w:sz w:val="24"/>
                <w:szCs w:val="24"/>
              </w:rPr>
            </w:pPr>
            <w:r w:rsidRPr="00D84719">
              <w:rPr>
                <w:rFonts w:ascii="Times New Roman" w:eastAsia="Times New Roman" w:hAnsi="Times New Roman" w:cs="Times New Roman"/>
                <w:color w:val="000000"/>
                <w:sz w:val="24"/>
                <w:szCs w:val="24"/>
              </w:rPr>
              <w:t>Plan intervencija kod iznenadnih onečišćenja mora („Narodne novine“, broj 92/08)</w:t>
            </w:r>
          </w:p>
        </w:tc>
      </w:tr>
      <w:tr w:rsidR="00D84719" w:rsidRPr="00D84719" w14:paraId="61D89B64"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46AC7A32" w14:textId="77777777" w:rsidR="00D84719" w:rsidRPr="00D84719" w:rsidRDefault="00D84719" w:rsidP="00D84719">
            <w:pPr>
              <w:spacing w:after="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Strategija održivog razvitka Republike Hrvatske („Narodne novine“, broj 30/09)</w:t>
            </w:r>
          </w:p>
        </w:tc>
      </w:tr>
      <w:tr w:rsidR="00D84719" w:rsidRPr="00D84719" w14:paraId="7A911BFA" w14:textId="77777777" w:rsidTr="00D84719">
        <w:trPr>
          <w:jc w:val="center"/>
        </w:trPr>
        <w:tc>
          <w:tcPr>
            <w:tcW w:w="5000" w:type="pct"/>
            <w:tcBorders>
              <w:top w:val="single" w:sz="4" w:space="0" w:color="auto"/>
              <w:left w:val="single" w:sz="4" w:space="0" w:color="auto"/>
              <w:bottom w:val="single" w:sz="4" w:space="0" w:color="auto"/>
              <w:right w:val="single" w:sz="4" w:space="0" w:color="auto"/>
            </w:tcBorders>
            <w:shd w:val="clear" w:color="auto" w:fill="BFBFBF"/>
            <w:vAlign w:val="center"/>
          </w:tcPr>
          <w:p w14:paraId="4DCE3341" w14:textId="77777777" w:rsidR="00D84719" w:rsidRPr="00D84719" w:rsidRDefault="00D84719" w:rsidP="00D84719">
            <w:pPr>
              <w:spacing w:after="0" w:line="276" w:lineRule="auto"/>
              <w:jc w:val="center"/>
              <w:rPr>
                <w:rFonts w:ascii="Times New Roman" w:eastAsia="Times New Roman" w:hAnsi="Times New Roman" w:cs="Times New Roman"/>
                <w:b/>
                <w:bCs/>
                <w:color w:val="000000"/>
              </w:rPr>
            </w:pPr>
            <w:r w:rsidRPr="00D84719">
              <w:rPr>
                <w:rFonts w:ascii="Times New Roman" w:eastAsia="Times New Roman" w:hAnsi="Times New Roman" w:cs="Times New Roman"/>
                <w:b/>
                <w:bCs/>
                <w:color w:val="000000"/>
              </w:rPr>
              <w:t>ODRŽIVO GOSPODARENJE OTPADOM</w:t>
            </w:r>
          </w:p>
        </w:tc>
      </w:tr>
      <w:tr w:rsidR="00D84719" w:rsidRPr="00D84719" w14:paraId="7AB973A2"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2BEB3E15" w14:textId="77777777" w:rsidR="00D84719" w:rsidRPr="00D84719" w:rsidRDefault="00D84719" w:rsidP="00D84719">
            <w:pPr>
              <w:spacing w:after="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Zakon o potvrđivanju konvencije o nadzoru prekograničnog prometa opasnog otpada i njegovu odlaganju („Narodne novine“ –</w:t>
            </w:r>
            <w:r w:rsidRPr="00D84719">
              <w:rPr>
                <w:rFonts w:ascii="Times New Roman" w:eastAsia="Times New Roman" w:hAnsi="Times New Roman" w:cs="Times New Roman"/>
                <w:i/>
                <w:color w:val="000000"/>
                <w:sz w:val="24"/>
                <w:szCs w:val="24"/>
              </w:rPr>
              <w:t xml:space="preserve"> </w:t>
            </w:r>
            <w:r w:rsidRPr="00D84719">
              <w:rPr>
                <w:rFonts w:ascii="Times New Roman" w:eastAsia="Times New Roman" w:hAnsi="Times New Roman" w:cs="Times New Roman"/>
                <w:color w:val="000000"/>
                <w:sz w:val="24"/>
                <w:szCs w:val="24"/>
              </w:rPr>
              <w:t>Međunarodni ugovori“, broj 3/94)</w:t>
            </w:r>
          </w:p>
        </w:tc>
      </w:tr>
      <w:tr w:rsidR="00D84719" w:rsidRPr="00D84719" w14:paraId="10197E1E"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3795FD0C" w14:textId="77777777" w:rsidR="00D84719" w:rsidRPr="00D84719" w:rsidRDefault="00D84719" w:rsidP="00D84719">
            <w:pPr>
              <w:spacing w:after="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 xml:space="preserve">Zakon o potvrđivanju izmjene i dopune </w:t>
            </w:r>
            <w:proofErr w:type="spellStart"/>
            <w:r w:rsidRPr="00D84719">
              <w:rPr>
                <w:rFonts w:ascii="Times New Roman" w:eastAsia="Times New Roman" w:hAnsi="Times New Roman" w:cs="Times New Roman"/>
                <w:color w:val="000000"/>
                <w:sz w:val="24"/>
                <w:szCs w:val="24"/>
              </w:rPr>
              <w:t>Baselske</w:t>
            </w:r>
            <w:proofErr w:type="spellEnd"/>
            <w:r w:rsidRPr="00D84719">
              <w:rPr>
                <w:rFonts w:ascii="Times New Roman" w:eastAsia="Times New Roman" w:hAnsi="Times New Roman" w:cs="Times New Roman"/>
                <w:color w:val="000000"/>
                <w:sz w:val="24"/>
                <w:szCs w:val="24"/>
              </w:rPr>
              <w:t xml:space="preserve"> konvencije o nadzoru prekograničnog prometa opasnog otpada i njegovu odlaganju, („Narodne novine – Međunarodni ugovori“, broj 7/19)</w:t>
            </w:r>
          </w:p>
        </w:tc>
      </w:tr>
      <w:tr w:rsidR="00D84719" w:rsidRPr="00D84719" w14:paraId="77F553D8"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3D0806B0" w14:textId="77777777" w:rsidR="00D84719" w:rsidRPr="00D84719" w:rsidRDefault="00D84719" w:rsidP="00D84719">
            <w:pPr>
              <w:spacing w:after="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Zakon o održivom gospodarenju otpadom („Narodne novine“, br. 94/13,73/17, 14/19 i 98/19)</w:t>
            </w:r>
          </w:p>
        </w:tc>
      </w:tr>
      <w:tr w:rsidR="00D84719" w:rsidRPr="00D84719" w14:paraId="6E6FEC33"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199E715E" w14:textId="77777777" w:rsidR="00D84719" w:rsidRPr="00D84719" w:rsidRDefault="00D84719" w:rsidP="00D84719">
            <w:pPr>
              <w:spacing w:after="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Pravilnik o gospodarenju otpadom („Narodne novine“, broj 81/20)</w:t>
            </w:r>
          </w:p>
        </w:tc>
      </w:tr>
      <w:tr w:rsidR="00D84719" w:rsidRPr="00D84719" w14:paraId="6DAF5128"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56C5648D" w14:textId="77777777" w:rsidR="00D84719" w:rsidRPr="00D84719" w:rsidRDefault="00D84719" w:rsidP="00D84719">
            <w:pPr>
              <w:spacing w:after="0" w:line="276" w:lineRule="auto"/>
              <w:jc w:val="both"/>
              <w:rPr>
                <w:rFonts w:ascii="Times New Roman" w:eastAsia="Times New Roman" w:hAnsi="Times New Roman" w:cs="Times New Roman"/>
                <w:b/>
                <w:bCs/>
                <w:color w:val="000000"/>
                <w:sz w:val="24"/>
                <w:szCs w:val="24"/>
              </w:rPr>
            </w:pPr>
            <w:r w:rsidRPr="00D84719">
              <w:rPr>
                <w:rFonts w:ascii="Times New Roman" w:eastAsia="Times New Roman" w:hAnsi="Times New Roman" w:cs="Times New Roman"/>
                <w:color w:val="000000"/>
                <w:sz w:val="24"/>
                <w:szCs w:val="24"/>
              </w:rPr>
              <w:t>Pravilnik o gospodarenju polikloriranim bifenilima i polikloriranim terfenilima („Narodne novine“, broj 103/14)</w:t>
            </w:r>
          </w:p>
        </w:tc>
      </w:tr>
      <w:tr w:rsidR="00D84719" w:rsidRPr="00D84719" w14:paraId="3E7C0586"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79C966DC" w14:textId="77777777" w:rsidR="00D84719" w:rsidRPr="00D84719" w:rsidRDefault="00D84719" w:rsidP="00D84719">
            <w:pPr>
              <w:spacing w:after="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Pravilnik o gospodarenju otpadnom električnom i elektroničkom opremom („Narodne novine“, br. 42/14, 48/14, 107/14,139/14, 11/19 i 7/20)</w:t>
            </w:r>
          </w:p>
        </w:tc>
      </w:tr>
      <w:tr w:rsidR="00D84719" w:rsidRPr="00D84719" w14:paraId="356A8CBF"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36ECCC68" w14:textId="77777777" w:rsidR="00D84719" w:rsidRPr="00D84719" w:rsidRDefault="00D84719" w:rsidP="00D84719">
            <w:pPr>
              <w:spacing w:after="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Pravilnik o gospodarenju otpadnim vozilima („Narodne novine“, br. 125/15, 90/16, 60/18, 72/18 i 81/20)</w:t>
            </w:r>
          </w:p>
        </w:tc>
      </w:tr>
      <w:tr w:rsidR="00617D42" w:rsidRPr="00D84719" w14:paraId="2C51C413"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53A6427E" w14:textId="77777777" w:rsidR="00617D42" w:rsidRPr="00D46DCD" w:rsidRDefault="00617D42" w:rsidP="00D84719">
            <w:pPr>
              <w:spacing w:after="0" w:line="276" w:lineRule="auto"/>
              <w:jc w:val="both"/>
              <w:rPr>
                <w:rFonts w:ascii="Times New Roman" w:eastAsia="Times New Roman" w:hAnsi="Times New Roman" w:cs="Times New Roman"/>
                <w:color w:val="000000"/>
                <w:sz w:val="24"/>
                <w:szCs w:val="24"/>
              </w:rPr>
            </w:pPr>
            <w:r w:rsidRPr="00D46DCD">
              <w:rPr>
                <w:rFonts w:ascii="Times New Roman" w:eastAsia="Times New Roman" w:hAnsi="Times New Roman" w:cs="Times New Roman"/>
                <w:color w:val="000000"/>
                <w:sz w:val="24"/>
                <w:szCs w:val="24"/>
              </w:rPr>
              <w:t>Odluka o donošenju Plana gospodarenja otpadom Republike Hrvatske za razdoblje 2017. - 2022. godine („Narodne novine“, broj 3/17)</w:t>
            </w:r>
          </w:p>
        </w:tc>
      </w:tr>
      <w:tr w:rsidR="00617D42" w:rsidRPr="00D84719" w14:paraId="2949E30B" w14:textId="77777777" w:rsidTr="00751F8F">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57DBE0BF" w14:textId="77777777" w:rsidR="00617D42" w:rsidRPr="00205AF4" w:rsidRDefault="00617D42" w:rsidP="00751F8F">
            <w:pPr>
              <w:spacing w:after="0" w:line="276" w:lineRule="auto"/>
              <w:jc w:val="both"/>
              <w:rPr>
                <w:rFonts w:ascii="Times New Roman" w:eastAsia="Times New Roman" w:hAnsi="Times New Roman" w:cs="Times New Roman"/>
                <w:bCs/>
                <w:color w:val="000000"/>
                <w:sz w:val="24"/>
                <w:szCs w:val="24"/>
              </w:rPr>
            </w:pPr>
            <w:r w:rsidRPr="00205AF4">
              <w:rPr>
                <w:rFonts w:ascii="Times New Roman" w:eastAsia="Times New Roman" w:hAnsi="Times New Roman" w:cs="Times New Roman"/>
                <w:bCs/>
                <w:color w:val="000000"/>
                <w:sz w:val="24"/>
                <w:szCs w:val="24"/>
              </w:rPr>
              <w:t>Odluka o implementaciji Plana gospodarenja otpadom Republike Hrvatske za razdoblje 2017.-2022. godine</w:t>
            </w:r>
            <w:r w:rsidR="00FB214D">
              <w:rPr>
                <w:rFonts w:ascii="Times New Roman" w:eastAsia="Times New Roman" w:hAnsi="Times New Roman" w:cs="Times New Roman"/>
                <w:bCs/>
                <w:color w:val="000000"/>
                <w:sz w:val="24"/>
                <w:szCs w:val="24"/>
              </w:rPr>
              <w:t xml:space="preserve"> od 25. svibnja 2017. godine</w:t>
            </w:r>
          </w:p>
        </w:tc>
      </w:tr>
      <w:tr w:rsidR="00D84719" w:rsidRPr="00D84719" w14:paraId="687E1D16" w14:textId="77777777" w:rsidTr="00D84719">
        <w:trPr>
          <w:jc w:val="center"/>
        </w:trPr>
        <w:tc>
          <w:tcPr>
            <w:tcW w:w="5000" w:type="pct"/>
            <w:tcBorders>
              <w:top w:val="single" w:sz="4" w:space="0" w:color="auto"/>
              <w:left w:val="single" w:sz="4" w:space="0" w:color="auto"/>
              <w:bottom w:val="single" w:sz="4" w:space="0" w:color="auto"/>
              <w:right w:val="single" w:sz="4" w:space="0" w:color="auto"/>
            </w:tcBorders>
            <w:shd w:val="clear" w:color="auto" w:fill="BFBFBF"/>
            <w:vAlign w:val="center"/>
          </w:tcPr>
          <w:p w14:paraId="1297E6CE" w14:textId="77777777" w:rsidR="00D84719" w:rsidRPr="00D84719" w:rsidRDefault="00D84719" w:rsidP="00D84719">
            <w:pPr>
              <w:spacing w:after="0" w:line="276" w:lineRule="auto"/>
              <w:jc w:val="center"/>
              <w:rPr>
                <w:rFonts w:ascii="Times New Roman" w:eastAsia="Times New Roman" w:hAnsi="Times New Roman" w:cs="Times New Roman"/>
                <w:b/>
                <w:bCs/>
                <w:color w:val="000000"/>
              </w:rPr>
            </w:pPr>
            <w:r w:rsidRPr="00D84719">
              <w:rPr>
                <w:rFonts w:ascii="Times New Roman" w:eastAsia="Times New Roman" w:hAnsi="Times New Roman" w:cs="Times New Roman"/>
                <w:b/>
                <w:bCs/>
                <w:color w:val="000000"/>
              </w:rPr>
              <w:t>KVALITETA ZRAKA</w:t>
            </w:r>
          </w:p>
        </w:tc>
      </w:tr>
      <w:tr w:rsidR="00D84719" w:rsidRPr="00D84719" w14:paraId="24933264"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492ED44C" w14:textId="77777777" w:rsidR="00D84719" w:rsidRPr="00D84719" w:rsidRDefault="00D84719" w:rsidP="00D84719">
            <w:pPr>
              <w:spacing w:after="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Zakon o zaštiti zraka („Narodne novine“, broj 127/19)</w:t>
            </w:r>
          </w:p>
        </w:tc>
      </w:tr>
      <w:tr w:rsidR="00D84719" w:rsidRPr="00D84719" w14:paraId="4348B325"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3E00E472" w14:textId="77777777" w:rsidR="00D84719" w:rsidRPr="00D84719" w:rsidRDefault="00D84719" w:rsidP="00D84719">
            <w:pPr>
              <w:spacing w:after="0" w:line="276" w:lineRule="auto"/>
              <w:jc w:val="both"/>
              <w:rPr>
                <w:rFonts w:ascii="Times New Roman" w:eastAsia="Times New Roman" w:hAnsi="Times New Roman" w:cs="Times New Roman"/>
                <w:b/>
                <w:bCs/>
                <w:sz w:val="24"/>
                <w:szCs w:val="24"/>
              </w:rPr>
            </w:pPr>
            <w:r w:rsidRPr="00D84719">
              <w:rPr>
                <w:rFonts w:ascii="Times New Roman" w:eastAsia="Times New Roman" w:hAnsi="Times New Roman" w:cs="Times New Roman"/>
                <w:sz w:val="24"/>
                <w:szCs w:val="24"/>
              </w:rPr>
              <w:t>Pravilnik o praćenju kvalitete zraka („Narodne novine“, broj 72/20)</w:t>
            </w:r>
          </w:p>
        </w:tc>
      </w:tr>
      <w:tr w:rsidR="00D84719" w:rsidRPr="00D84719" w14:paraId="3778E96B"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570D6217" w14:textId="77777777" w:rsidR="00D84719" w:rsidRPr="00D84719" w:rsidRDefault="00D84719" w:rsidP="00D84719">
            <w:pPr>
              <w:spacing w:after="0" w:line="276" w:lineRule="auto"/>
              <w:jc w:val="both"/>
              <w:rPr>
                <w:rFonts w:ascii="Times New Roman" w:eastAsia="Times New Roman" w:hAnsi="Times New Roman" w:cs="Times New Roman"/>
                <w:sz w:val="24"/>
                <w:szCs w:val="24"/>
              </w:rPr>
            </w:pPr>
            <w:r w:rsidRPr="00D84719">
              <w:rPr>
                <w:rFonts w:ascii="Times New Roman" w:eastAsia="Times New Roman" w:hAnsi="Times New Roman" w:cs="Times New Roman"/>
                <w:sz w:val="24"/>
                <w:szCs w:val="24"/>
              </w:rPr>
              <w:t>Uredba o razinama onečišćujućih tvari u zraku („Narodne novine“, broj 77/20)</w:t>
            </w:r>
          </w:p>
        </w:tc>
      </w:tr>
      <w:tr w:rsidR="00D84719" w:rsidRPr="00D84719" w14:paraId="64D5FD6E"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349F7847" w14:textId="77777777" w:rsidR="00D84719" w:rsidRPr="00D84719" w:rsidRDefault="00D84719" w:rsidP="00D84719">
            <w:pPr>
              <w:spacing w:after="0" w:line="276" w:lineRule="auto"/>
              <w:jc w:val="both"/>
              <w:rPr>
                <w:rFonts w:ascii="Times New Roman" w:eastAsia="Times New Roman" w:hAnsi="Times New Roman" w:cs="Times New Roman"/>
                <w:b/>
                <w:bCs/>
                <w:color w:val="000000"/>
                <w:sz w:val="24"/>
                <w:szCs w:val="24"/>
              </w:rPr>
            </w:pPr>
            <w:r w:rsidRPr="00D84719">
              <w:rPr>
                <w:rFonts w:ascii="Times New Roman" w:eastAsia="Times New Roman" w:hAnsi="Times New Roman" w:cs="Times New Roman"/>
                <w:color w:val="000000"/>
                <w:sz w:val="24"/>
                <w:szCs w:val="24"/>
              </w:rPr>
              <w:t>Pravilnik o praćenju emisija onečišćujućih tvari u zrak iz nepokretnih izvora („Narodne novine“, broj 129/12 i 97/13)</w:t>
            </w:r>
          </w:p>
        </w:tc>
      </w:tr>
      <w:tr w:rsidR="00D84719" w:rsidRPr="00D84719" w14:paraId="3AEA8863"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0068434D" w14:textId="77777777" w:rsidR="00D84719" w:rsidRPr="00D84719" w:rsidRDefault="00D84719" w:rsidP="00D84719">
            <w:pPr>
              <w:spacing w:after="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 xml:space="preserve">Uredba o kvaliteti tekućih naftnih goriva i načinu praćenja i izvješćivanja te metodologiji izračuna emisija stakleničkih plinova u životnom vijeku isporučenih goriva i energije („Narodne novine“, broj 57/17) </w:t>
            </w:r>
          </w:p>
        </w:tc>
      </w:tr>
      <w:tr w:rsidR="00D84719" w:rsidRPr="00D84719" w14:paraId="6E207827"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527F0645" w14:textId="77777777" w:rsidR="00D84719" w:rsidRPr="00D84719" w:rsidRDefault="00D84719" w:rsidP="00D84719">
            <w:pPr>
              <w:spacing w:after="0" w:line="276" w:lineRule="auto"/>
              <w:jc w:val="both"/>
              <w:rPr>
                <w:rFonts w:ascii="Times New Roman" w:eastAsia="Times New Roman" w:hAnsi="Times New Roman" w:cs="Times New Roman"/>
                <w:b/>
                <w:bCs/>
                <w:color w:val="000000"/>
                <w:sz w:val="24"/>
                <w:szCs w:val="24"/>
              </w:rPr>
            </w:pPr>
            <w:r w:rsidRPr="00D84719">
              <w:rPr>
                <w:rFonts w:ascii="Times New Roman" w:eastAsia="Times New Roman" w:hAnsi="Times New Roman" w:cs="Times New Roman"/>
                <w:color w:val="000000"/>
                <w:sz w:val="24"/>
                <w:szCs w:val="24"/>
              </w:rPr>
              <w:t>Uredba o graničnim vrijednostima emisija onečišćujućih tvari u zrak iz nepokretnih izvora („Narodne novine“, broj 87/17)</w:t>
            </w:r>
          </w:p>
        </w:tc>
      </w:tr>
      <w:tr w:rsidR="00D84719" w:rsidRPr="00D84719" w14:paraId="3519BE42" w14:textId="77777777" w:rsidTr="00D84719">
        <w:trPr>
          <w:jc w:val="center"/>
        </w:trPr>
        <w:tc>
          <w:tcPr>
            <w:tcW w:w="5000" w:type="pct"/>
            <w:tcBorders>
              <w:top w:val="single" w:sz="4" w:space="0" w:color="auto"/>
              <w:left w:val="single" w:sz="4" w:space="0" w:color="auto"/>
              <w:bottom w:val="single" w:sz="4" w:space="0" w:color="auto"/>
              <w:right w:val="single" w:sz="4" w:space="0" w:color="auto"/>
            </w:tcBorders>
            <w:shd w:val="clear" w:color="auto" w:fill="BFBFBF"/>
            <w:vAlign w:val="center"/>
          </w:tcPr>
          <w:p w14:paraId="6EAE705E" w14:textId="77777777" w:rsidR="00D84719" w:rsidRPr="00D84719" w:rsidRDefault="00D84719" w:rsidP="00D84719">
            <w:pPr>
              <w:spacing w:after="0" w:line="240" w:lineRule="auto"/>
              <w:jc w:val="center"/>
              <w:rPr>
                <w:rFonts w:ascii="Times New Roman" w:eastAsia="Times New Roman" w:hAnsi="Times New Roman" w:cs="Times New Roman"/>
                <w:b/>
                <w:bCs/>
                <w:color w:val="000000"/>
                <w:lang w:eastAsia="hr-HR"/>
              </w:rPr>
            </w:pPr>
            <w:r w:rsidRPr="00D84719">
              <w:rPr>
                <w:rFonts w:ascii="Times New Roman" w:eastAsia="Times New Roman" w:hAnsi="Times New Roman" w:cs="Times New Roman"/>
                <w:b/>
                <w:bCs/>
                <w:color w:val="000000"/>
                <w:lang w:eastAsia="hr-HR"/>
              </w:rPr>
              <w:t>ZAŠTITA POLJOPRIVREDNOG ZEMLJIŠTA</w:t>
            </w:r>
          </w:p>
        </w:tc>
      </w:tr>
      <w:tr w:rsidR="00D84719" w:rsidRPr="00D84719" w14:paraId="47F5EF37"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37A4CA69" w14:textId="77777777" w:rsidR="00D84719" w:rsidRPr="00D84719" w:rsidRDefault="00D84719" w:rsidP="00D84719">
            <w:pPr>
              <w:spacing w:after="0" w:line="240" w:lineRule="auto"/>
              <w:jc w:val="both"/>
              <w:rPr>
                <w:rFonts w:ascii="Times New Roman" w:eastAsia="Times New Roman" w:hAnsi="Times New Roman" w:cs="Times New Roman"/>
                <w:color w:val="000000"/>
                <w:sz w:val="24"/>
                <w:szCs w:val="24"/>
                <w:lang w:eastAsia="hr-HR"/>
              </w:rPr>
            </w:pPr>
            <w:r w:rsidRPr="00D84719">
              <w:rPr>
                <w:rFonts w:ascii="Times New Roman" w:eastAsia="Times New Roman" w:hAnsi="Times New Roman" w:cs="Times New Roman"/>
                <w:sz w:val="24"/>
                <w:szCs w:val="24"/>
                <w:lang w:eastAsia="hr-HR"/>
              </w:rPr>
              <w:t>Zakon o poljoprivrednom zemljištu („Narodne novine“, br. 20/18, 115/18 i 98/19)</w:t>
            </w:r>
          </w:p>
        </w:tc>
      </w:tr>
      <w:tr w:rsidR="00D84719" w:rsidRPr="00D84719" w14:paraId="78DEE886"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40E6FF5A" w14:textId="77777777" w:rsidR="00D84719" w:rsidRPr="00D84719" w:rsidRDefault="00D84719" w:rsidP="00D84719">
            <w:pPr>
              <w:spacing w:after="0" w:line="240" w:lineRule="auto"/>
              <w:jc w:val="both"/>
              <w:rPr>
                <w:rFonts w:ascii="Times New Roman" w:eastAsia="Times New Roman" w:hAnsi="Times New Roman" w:cs="Times New Roman"/>
                <w:color w:val="000000"/>
                <w:sz w:val="24"/>
                <w:szCs w:val="24"/>
                <w:lang w:eastAsia="hr-HR"/>
              </w:rPr>
            </w:pPr>
            <w:r w:rsidRPr="00D84719">
              <w:rPr>
                <w:rFonts w:ascii="Times New Roman" w:eastAsia="Times New Roman" w:hAnsi="Times New Roman" w:cs="Times New Roman"/>
                <w:sz w:val="24"/>
                <w:szCs w:val="24"/>
                <w:lang w:eastAsia="hr-HR"/>
              </w:rPr>
              <w:t>Pravilnik o zaštiti poljoprivrednog zemljišta od onečišćenja („Narodne novine“, broj 71/19)</w:t>
            </w:r>
          </w:p>
        </w:tc>
      </w:tr>
      <w:tr w:rsidR="00D84719" w:rsidRPr="00D84719" w14:paraId="6CE7B955"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1A8B4BCD" w14:textId="77777777" w:rsidR="00D84719" w:rsidRPr="00D84719" w:rsidRDefault="00D84719" w:rsidP="00D84719">
            <w:pPr>
              <w:spacing w:after="0" w:line="240" w:lineRule="auto"/>
              <w:jc w:val="both"/>
              <w:rPr>
                <w:rFonts w:ascii="Times New Roman" w:eastAsia="Times New Roman" w:hAnsi="Times New Roman" w:cs="Times New Roman"/>
                <w:color w:val="000000"/>
                <w:sz w:val="24"/>
                <w:szCs w:val="24"/>
                <w:lang w:eastAsia="hr-HR"/>
              </w:rPr>
            </w:pPr>
            <w:r w:rsidRPr="00D84719">
              <w:rPr>
                <w:rFonts w:ascii="Times New Roman" w:eastAsia="Times New Roman" w:hAnsi="Times New Roman" w:cs="Times New Roman"/>
                <w:sz w:val="24"/>
                <w:szCs w:val="24"/>
                <w:lang w:eastAsia="hr-HR"/>
              </w:rPr>
              <w:t>Pravilnik o metodologiji za praćenje stanja poljoprivrednog zemljišta („Narodne novine“, broj 47/19)</w:t>
            </w:r>
          </w:p>
        </w:tc>
      </w:tr>
      <w:tr w:rsidR="00D84719" w:rsidRPr="00D84719" w14:paraId="600B97D3"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10BDE51F" w14:textId="77777777" w:rsidR="00D84719" w:rsidRPr="00D84719" w:rsidRDefault="00D84719" w:rsidP="00D84719">
            <w:pPr>
              <w:spacing w:after="0" w:line="240" w:lineRule="auto"/>
              <w:jc w:val="both"/>
              <w:rPr>
                <w:rFonts w:ascii="Times New Roman" w:eastAsia="Times New Roman" w:hAnsi="Times New Roman" w:cs="Times New Roman"/>
                <w:color w:val="000000"/>
                <w:sz w:val="24"/>
                <w:szCs w:val="24"/>
                <w:lang w:eastAsia="hr-HR"/>
              </w:rPr>
            </w:pPr>
            <w:r w:rsidRPr="00D84719">
              <w:rPr>
                <w:rFonts w:ascii="Times New Roman" w:eastAsia="Times New Roman" w:hAnsi="Times New Roman" w:cs="Times New Roman"/>
                <w:sz w:val="24"/>
                <w:szCs w:val="24"/>
                <w:lang w:eastAsia="hr-HR"/>
              </w:rPr>
              <w:t>Pravilnik o agrotehničkim mjerama („Narodne novine“, broj 22/19)</w:t>
            </w:r>
          </w:p>
        </w:tc>
      </w:tr>
      <w:tr w:rsidR="00D84719" w:rsidRPr="00D84719" w14:paraId="344CFEB7"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37CC5105" w14:textId="77777777" w:rsidR="00D84719" w:rsidRPr="00D84719" w:rsidRDefault="00D84719" w:rsidP="00D84719">
            <w:pPr>
              <w:spacing w:after="0" w:line="240" w:lineRule="auto"/>
              <w:jc w:val="both"/>
              <w:rPr>
                <w:rFonts w:ascii="Times New Roman" w:eastAsia="Times New Roman" w:hAnsi="Times New Roman" w:cs="Times New Roman"/>
                <w:color w:val="000000"/>
                <w:sz w:val="24"/>
                <w:szCs w:val="24"/>
                <w:lang w:eastAsia="hr-HR"/>
              </w:rPr>
            </w:pPr>
            <w:r w:rsidRPr="00D84719">
              <w:rPr>
                <w:rFonts w:ascii="Times New Roman" w:eastAsia="Times New Roman" w:hAnsi="Times New Roman" w:cs="Times New Roman"/>
                <w:sz w:val="24"/>
                <w:szCs w:val="24"/>
                <w:lang w:eastAsia="hr-HR"/>
              </w:rPr>
              <w:t>Pravilnik o mjerilima za utvrđivanje osobito vrijednog obradivog (P1) i vrijednog obradivog (P2) poljoprivrednog zemljišta („Narodne novine“, broj 23/19)</w:t>
            </w:r>
          </w:p>
        </w:tc>
      </w:tr>
      <w:tr w:rsidR="00D84719" w:rsidRPr="00D84719" w14:paraId="5A68F65E"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08D47A6A" w14:textId="77777777" w:rsidR="00D84719" w:rsidRPr="00D84719" w:rsidRDefault="00D84719" w:rsidP="00D84719">
            <w:pPr>
              <w:spacing w:after="0" w:line="240" w:lineRule="auto"/>
              <w:jc w:val="both"/>
              <w:rPr>
                <w:rFonts w:ascii="Times New Roman" w:eastAsia="Times New Roman" w:hAnsi="Times New Roman" w:cs="Times New Roman"/>
                <w:color w:val="000000"/>
                <w:sz w:val="24"/>
                <w:szCs w:val="24"/>
                <w:lang w:eastAsia="hr-HR"/>
              </w:rPr>
            </w:pPr>
            <w:r w:rsidRPr="00D84719">
              <w:rPr>
                <w:rFonts w:ascii="Times New Roman" w:eastAsia="Times New Roman" w:hAnsi="Times New Roman" w:cs="Times New Roman"/>
                <w:sz w:val="24"/>
                <w:szCs w:val="24"/>
                <w:lang w:eastAsia="hr-HR"/>
              </w:rPr>
              <w:t>Pravilnik o postupku registracije sredstava za zaštitu bilja („Narodne novine“, br.57/07, 119/09, 142/12 i 80/13)</w:t>
            </w:r>
          </w:p>
        </w:tc>
      </w:tr>
      <w:tr w:rsidR="00D84719" w:rsidRPr="00D84719" w14:paraId="7B4B28BD" w14:textId="77777777" w:rsidTr="00D84719">
        <w:trPr>
          <w:jc w:val="center"/>
        </w:trPr>
        <w:tc>
          <w:tcPr>
            <w:tcW w:w="5000" w:type="pct"/>
            <w:tcBorders>
              <w:top w:val="single" w:sz="4" w:space="0" w:color="auto"/>
              <w:left w:val="single" w:sz="4" w:space="0" w:color="auto"/>
              <w:bottom w:val="single" w:sz="4" w:space="0" w:color="auto"/>
              <w:right w:val="single" w:sz="4" w:space="0" w:color="auto"/>
            </w:tcBorders>
            <w:shd w:val="clear" w:color="auto" w:fill="BFBFBF"/>
            <w:vAlign w:val="center"/>
          </w:tcPr>
          <w:p w14:paraId="07C06764" w14:textId="77777777" w:rsidR="00D84719" w:rsidRPr="00D84719" w:rsidRDefault="00D84719" w:rsidP="00D84719">
            <w:pPr>
              <w:spacing w:after="0" w:line="240" w:lineRule="auto"/>
              <w:jc w:val="center"/>
              <w:rPr>
                <w:rFonts w:ascii="Times New Roman" w:eastAsia="Times New Roman" w:hAnsi="Times New Roman" w:cs="Times New Roman"/>
                <w:b/>
                <w:lang w:eastAsia="hr-HR"/>
              </w:rPr>
            </w:pPr>
            <w:r w:rsidRPr="00D84719">
              <w:rPr>
                <w:rFonts w:ascii="Times New Roman" w:eastAsia="Times New Roman" w:hAnsi="Times New Roman" w:cs="Times New Roman"/>
                <w:b/>
                <w:lang w:eastAsia="hr-HR"/>
              </w:rPr>
              <w:t>ZAŠTITA ŠUMSKIH EKOSUSTAVA</w:t>
            </w:r>
          </w:p>
        </w:tc>
      </w:tr>
      <w:tr w:rsidR="00D84719" w:rsidRPr="00D84719" w14:paraId="3B719E48"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0D66CA75" w14:textId="77777777" w:rsidR="00D84719" w:rsidRPr="00D84719" w:rsidRDefault="00D84719" w:rsidP="002441B2">
            <w:pPr>
              <w:spacing w:after="0" w:line="240" w:lineRule="auto"/>
              <w:jc w:val="both"/>
              <w:rPr>
                <w:rFonts w:ascii="Times New Roman" w:eastAsia="Times New Roman" w:hAnsi="Times New Roman" w:cs="Times New Roman"/>
                <w:sz w:val="24"/>
                <w:szCs w:val="24"/>
                <w:lang w:eastAsia="hr-HR"/>
              </w:rPr>
            </w:pPr>
            <w:r w:rsidRPr="00D84719">
              <w:rPr>
                <w:rFonts w:ascii="Times New Roman" w:eastAsia="Times New Roman" w:hAnsi="Times New Roman" w:cs="Times New Roman"/>
                <w:sz w:val="24"/>
                <w:szCs w:val="24"/>
                <w:lang w:eastAsia="hr-HR"/>
              </w:rPr>
              <w:t>Zakon o šumama („Narodne novine“, br. 68/18</w:t>
            </w:r>
            <w:r w:rsidR="002441B2">
              <w:rPr>
                <w:rFonts w:ascii="Times New Roman" w:eastAsia="Times New Roman" w:hAnsi="Times New Roman" w:cs="Times New Roman"/>
                <w:sz w:val="24"/>
                <w:szCs w:val="24"/>
                <w:lang w:eastAsia="hr-HR"/>
              </w:rPr>
              <w:t xml:space="preserve">, </w:t>
            </w:r>
            <w:r w:rsidRPr="00D84719">
              <w:rPr>
                <w:rFonts w:ascii="Times New Roman" w:eastAsia="Times New Roman" w:hAnsi="Times New Roman" w:cs="Times New Roman"/>
                <w:sz w:val="24"/>
                <w:szCs w:val="24"/>
                <w:lang w:eastAsia="hr-HR"/>
              </w:rPr>
              <w:t>115/18</w:t>
            </w:r>
            <w:r w:rsidR="002441B2">
              <w:rPr>
                <w:rFonts w:ascii="Times New Roman" w:eastAsia="Times New Roman" w:hAnsi="Times New Roman" w:cs="Times New Roman"/>
                <w:sz w:val="24"/>
                <w:szCs w:val="24"/>
                <w:lang w:eastAsia="hr-HR"/>
              </w:rPr>
              <w:t>, 98/19 i 32/20</w:t>
            </w:r>
            <w:r w:rsidRPr="00D84719">
              <w:rPr>
                <w:rFonts w:ascii="Times New Roman" w:eastAsia="Times New Roman" w:hAnsi="Times New Roman" w:cs="Times New Roman"/>
                <w:sz w:val="24"/>
                <w:szCs w:val="24"/>
                <w:lang w:eastAsia="hr-HR"/>
              </w:rPr>
              <w:t xml:space="preserve">) </w:t>
            </w:r>
          </w:p>
        </w:tc>
      </w:tr>
      <w:tr w:rsidR="00D84719" w:rsidRPr="00D84719" w14:paraId="620A8D82"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10D1F757" w14:textId="77777777" w:rsidR="00D84719" w:rsidRPr="00D84719" w:rsidRDefault="00D84719" w:rsidP="00D84719">
            <w:pPr>
              <w:spacing w:after="0" w:line="240" w:lineRule="auto"/>
              <w:jc w:val="both"/>
              <w:rPr>
                <w:rFonts w:ascii="Times New Roman" w:eastAsia="Times New Roman" w:hAnsi="Times New Roman" w:cs="Times New Roman"/>
                <w:sz w:val="24"/>
                <w:szCs w:val="24"/>
                <w:lang w:eastAsia="hr-HR"/>
              </w:rPr>
            </w:pPr>
            <w:r w:rsidRPr="00D84719">
              <w:rPr>
                <w:rFonts w:ascii="Times New Roman" w:eastAsia="Times New Roman" w:hAnsi="Times New Roman" w:cs="Times New Roman"/>
                <w:sz w:val="24"/>
                <w:szCs w:val="24"/>
                <w:lang w:eastAsia="hr-HR"/>
              </w:rPr>
              <w:lastRenderedPageBreak/>
              <w:t>Pravilnik o zaštiti šuma od požara („Narodne novine“, broj 33/14)</w:t>
            </w:r>
          </w:p>
        </w:tc>
      </w:tr>
      <w:tr w:rsidR="00D84719" w:rsidRPr="00D84719" w14:paraId="3E09A318"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49E3AA50" w14:textId="77777777" w:rsidR="00D84719" w:rsidRPr="00D84719" w:rsidRDefault="00D84719" w:rsidP="00FA3611">
            <w:pPr>
              <w:spacing w:after="0" w:line="240" w:lineRule="auto"/>
              <w:jc w:val="both"/>
              <w:rPr>
                <w:rFonts w:ascii="Times New Roman" w:eastAsia="Times New Roman" w:hAnsi="Times New Roman" w:cs="Times New Roman"/>
                <w:sz w:val="24"/>
                <w:szCs w:val="24"/>
                <w:lang w:eastAsia="hr-HR"/>
              </w:rPr>
            </w:pPr>
            <w:r w:rsidRPr="00D84719">
              <w:rPr>
                <w:rFonts w:ascii="Times New Roman" w:eastAsia="Times New Roman" w:hAnsi="Times New Roman" w:cs="Times New Roman"/>
                <w:sz w:val="24"/>
                <w:szCs w:val="24"/>
                <w:lang w:eastAsia="hr-HR"/>
              </w:rPr>
              <w:t xml:space="preserve">Pravilnik o načinu prikupljanja podataka, vođenju registra te uvjetima korištenja podataka o šumskim požarima („Narodne novine“, </w:t>
            </w:r>
            <w:r w:rsidR="00FA3611">
              <w:rPr>
                <w:rFonts w:ascii="Times New Roman" w:eastAsia="Times New Roman" w:hAnsi="Times New Roman" w:cs="Times New Roman"/>
                <w:sz w:val="24"/>
                <w:szCs w:val="24"/>
                <w:lang w:eastAsia="hr-HR"/>
              </w:rPr>
              <w:t>broj</w:t>
            </w:r>
            <w:r w:rsidRPr="00D84719">
              <w:rPr>
                <w:rFonts w:ascii="Times New Roman" w:eastAsia="Times New Roman" w:hAnsi="Times New Roman" w:cs="Times New Roman"/>
                <w:sz w:val="24"/>
                <w:szCs w:val="24"/>
                <w:lang w:eastAsia="hr-HR"/>
              </w:rPr>
              <w:t xml:space="preserve"> </w:t>
            </w:r>
            <w:r w:rsidR="00FA3611">
              <w:rPr>
                <w:rFonts w:ascii="Times New Roman" w:eastAsia="Times New Roman" w:hAnsi="Times New Roman" w:cs="Times New Roman"/>
                <w:sz w:val="24"/>
                <w:szCs w:val="24"/>
                <w:lang w:eastAsia="hr-HR"/>
              </w:rPr>
              <w:t>82/19</w:t>
            </w:r>
            <w:r w:rsidRPr="00D84719">
              <w:rPr>
                <w:rFonts w:ascii="Times New Roman" w:eastAsia="Times New Roman" w:hAnsi="Times New Roman" w:cs="Times New Roman"/>
                <w:sz w:val="24"/>
                <w:szCs w:val="24"/>
                <w:lang w:eastAsia="hr-HR"/>
              </w:rPr>
              <w:t>)</w:t>
            </w:r>
          </w:p>
        </w:tc>
      </w:tr>
      <w:tr w:rsidR="00D84719" w:rsidRPr="00D84719" w14:paraId="4E016660" w14:textId="77777777" w:rsidTr="00F831D6">
        <w:trPr>
          <w:jc w:val="center"/>
        </w:trPr>
        <w:tc>
          <w:tcPr>
            <w:tcW w:w="5000" w:type="pct"/>
            <w:tcBorders>
              <w:top w:val="single" w:sz="4" w:space="0" w:color="auto"/>
              <w:left w:val="single" w:sz="4" w:space="0" w:color="auto"/>
              <w:bottom w:val="single" w:sz="4" w:space="0" w:color="auto"/>
              <w:right w:val="single" w:sz="4" w:space="0" w:color="auto"/>
            </w:tcBorders>
            <w:vAlign w:val="center"/>
          </w:tcPr>
          <w:p w14:paraId="12C29601" w14:textId="77777777" w:rsidR="00D84719" w:rsidRPr="00D84719" w:rsidRDefault="00D84719" w:rsidP="00FA3611">
            <w:pPr>
              <w:spacing w:after="0" w:line="240" w:lineRule="auto"/>
              <w:jc w:val="both"/>
              <w:rPr>
                <w:rFonts w:ascii="Times New Roman" w:eastAsia="Times New Roman" w:hAnsi="Times New Roman" w:cs="Times New Roman"/>
                <w:sz w:val="24"/>
                <w:szCs w:val="24"/>
                <w:lang w:eastAsia="hr-HR"/>
              </w:rPr>
            </w:pPr>
            <w:r w:rsidRPr="00D84719">
              <w:rPr>
                <w:rFonts w:ascii="Times New Roman" w:eastAsia="Times New Roman" w:hAnsi="Times New Roman" w:cs="Times New Roman"/>
                <w:sz w:val="24"/>
                <w:szCs w:val="24"/>
                <w:lang w:eastAsia="hr-HR"/>
              </w:rPr>
              <w:t xml:space="preserve">Pravilnik o načinu motrenja oštećenosti šumskih ekosustava („Narodne novine“, </w:t>
            </w:r>
            <w:r w:rsidR="00FA3611">
              <w:rPr>
                <w:rFonts w:ascii="Times New Roman" w:eastAsia="Times New Roman" w:hAnsi="Times New Roman" w:cs="Times New Roman"/>
                <w:sz w:val="24"/>
                <w:szCs w:val="24"/>
                <w:lang w:eastAsia="hr-HR"/>
              </w:rPr>
              <w:t>broj 54/19</w:t>
            </w:r>
            <w:r w:rsidRPr="00D84719">
              <w:rPr>
                <w:rFonts w:ascii="Times New Roman" w:eastAsia="Times New Roman" w:hAnsi="Times New Roman" w:cs="Times New Roman"/>
                <w:sz w:val="24"/>
                <w:szCs w:val="24"/>
                <w:lang w:eastAsia="hr-HR"/>
              </w:rPr>
              <w:t>)</w:t>
            </w:r>
          </w:p>
        </w:tc>
      </w:tr>
    </w:tbl>
    <w:p w14:paraId="26C14BB1" w14:textId="77777777" w:rsidR="00D84719" w:rsidRPr="00D84719" w:rsidRDefault="00D84719" w:rsidP="00D84719">
      <w:pPr>
        <w:spacing w:after="200" w:line="276" w:lineRule="auto"/>
        <w:rPr>
          <w:rFonts w:ascii="Times New Roman" w:eastAsia="MinionPro-Cn" w:hAnsi="Times New Roman" w:cs="Times New Roman"/>
          <w:color w:val="000000"/>
          <w:szCs w:val="24"/>
        </w:rPr>
      </w:pPr>
    </w:p>
    <w:p w14:paraId="60817E78" w14:textId="77777777" w:rsidR="00D84719" w:rsidRDefault="00D84719" w:rsidP="00D84719">
      <w:pPr>
        <w:spacing w:after="200" w:line="276" w:lineRule="auto"/>
        <w:rPr>
          <w:rFonts w:ascii="Times New Roman" w:eastAsia="MinionPro-Cn" w:hAnsi="Times New Roman" w:cs="Times New Roman"/>
          <w:color w:val="000000"/>
          <w:szCs w:val="24"/>
        </w:rPr>
      </w:pPr>
    </w:p>
    <w:p w14:paraId="62DDB222" w14:textId="77777777" w:rsidR="0086647B" w:rsidRPr="00D84719" w:rsidRDefault="0086647B" w:rsidP="00D84719">
      <w:pPr>
        <w:spacing w:after="200" w:line="276" w:lineRule="auto"/>
        <w:rPr>
          <w:rFonts w:ascii="Times New Roman" w:eastAsia="MinionPro-Cn" w:hAnsi="Times New Roman" w:cs="Times New Roman"/>
          <w:color w:val="000000"/>
          <w:szCs w:val="24"/>
        </w:rPr>
      </w:pPr>
    </w:p>
    <w:p w14:paraId="6E07BBCF" w14:textId="77777777" w:rsidR="00D84719" w:rsidRPr="00D84719" w:rsidRDefault="00D84719" w:rsidP="008A290D">
      <w:pPr>
        <w:pStyle w:val="Naslov3"/>
      </w:pPr>
      <w:bookmarkStart w:id="40" w:name="_Toc41638225"/>
      <w:bookmarkStart w:id="41" w:name="_Toc64460677"/>
      <w:r w:rsidRPr="00D84719">
        <w:t>MEHANIZAM GOSPODARENJA POPS-OVIMA U REPUBLICI HRVATSKOJ (PODJELA NADLEŽNOSTI I PRAĆENJE STANJA)</w:t>
      </w:r>
      <w:bookmarkEnd w:id="40"/>
      <w:bookmarkEnd w:id="41"/>
    </w:p>
    <w:p w14:paraId="39BCDEE6" w14:textId="77777777" w:rsidR="00D84719" w:rsidRPr="00D84719" w:rsidRDefault="00D84719" w:rsidP="00D84719">
      <w:pPr>
        <w:spacing w:after="0" w:line="276" w:lineRule="auto"/>
        <w:jc w:val="both"/>
        <w:rPr>
          <w:rFonts w:ascii="Times New Roman" w:eastAsia="MinionPro-Cn" w:hAnsi="Times New Roman" w:cs="Times New Roman"/>
          <w:b/>
          <w:bCs/>
          <w:color w:val="000000"/>
          <w:szCs w:val="24"/>
        </w:rPr>
      </w:pPr>
    </w:p>
    <w:p w14:paraId="1DBFEA35" w14:textId="77777777" w:rsidR="00D84719" w:rsidRPr="00D84719" w:rsidRDefault="00D84719" w:rsidP="008A290D">
      <w:pPr>
        <w:pStyle w:val="Naslov4"/>
      </w:pPr>
      <w:bookmarkStart w:id="42" w:name="_Toc41638226"/>
      <w:bookmarkStart w:id="43" w:name="_Toc64460678"/>
      <w:r w:rsidRPr="00D84719">
        <w:t>Nadležnosti</w:t>
      </w:r>
      <w:bookmarkEnd w:id="42"/>
      <w:bookmarkEnd w:id="43"/>
      <w:r w:rsidRPr="00D84719">
        <w:t xml:space="preserve"> </w:t>
      </w:r>
    </w:p>
    <w:p w14:paraId="6688C61F" w14:textId="77777777" w:rsidR="00D84719" w:rsidRPr="00D84719" w:rsidRDefault="00D84719" w:rsidP="00D84719">
      <w:pPr>
        <w:spacing w:line="276" w:lineRule="auto"/>
        <w:jc w:val="both"/>
        <w:rPr>
          <w:rFonts w:ascii="Times New Roman" w:eastAsia="Times New Roman" w:hAnsi="Times New Roman" w:cs="Times New Roman"/>
          <w:sz w:val="24"/>
          <w:szCs w:val="24"/>
        </w:rPr>
      </w:pPr>
      <w:r w:rsidRPr="00D84719">
        <w:rPr>
          <w:rFonts w:ascii="Times New Roman" w:eastAsia="Times New Roman" w:hAnsi="Times New Roman" w:cs="Times New Roman"/>
          <w:sz w:val="24"/>
          <w:szCs w:val="24"/>
        </w:rPr>
        <w:t>MINGOR nacionalna je kontaktna točka Stockholmske konvencije o postojanim organskim onečišćujućim tvarima u Republici Hrvatskoj, odnosno nadležno je tijelo državne uprave za provedbu</w:t>
      </w:r>
      <w:r w:rsidR="005468AD">
        <w:rPr>
          <w:rFonts w:ascii="Times New Roman" w:eastAsia="Times New Roman" w:hAnsi="Times New Roman" w:cs="Times New Roman"/>
          <w:sz w:val="24"/>
          <w:szCs w:val="24"/>
        </w:rPr>
        <w:t xml:space="preserve"> koordinacije</w:t>
      </w:r>
      <w:r w:rsidRPr="00D84719">
        <w:rPr>
          <w:rFonts w:ascii="Times New Roman" w:eastAsia="Times New Roman" w:hAnsi="Times New Roman" w:cs="Times New Roman"/>
          <w:sz w:val="24"/>
          <w:szCs w:val="24"/>
        </w:rPr>
        <w:t xml:space="preserve"> svih aktivnosti vezano za POPs-ove prema ovoj Konvenciji.</w:t>
      </w:r>
    </w:p>
    <w:p w14:paraId="28258F6B" w14:textId="77777777" w:rsidR="00D84719" w:rsidRPr="00D84719" w:rsidRDefault="00D84719" w:rsidP="00D84719">
      <w:pPr>
        <w:spacing w:line="276" w:lineRule="auto"/>
        <w:jc w:val="both"/>
        <w:rPr>
          <w:rFonts w:ascii="Times New Roman" w:eastAsia="Times New Roman" w:hAnsi="Times New Roman" w:cs="Times New Roman"/>
          <w:sz w:val="24"/>
          <w:szCs w:val="24"/>
        </w:rPr>
      </w:pPr>
      <w:r w:rsidRPr="00D84719">
        <w:rPr>
          <w:rFonts w:ascii="Times New Roman" w:eastAsia="Times New Roman" w:hAnsi="Times New Roman" w:cs="Times New Roman"/>
          <w:sz w:val="24"/>
          <w:szCs w:val="24"/>
        </w:rPr>
        <w:t xml:space="preserve">Republika Hrvatska je Zakonom o potvrđivanju Stockholmske konvencije o postojanim organskim onečišćujućim tvarima (Narodne novine – Međunarodni ugovori, broj 11/2006) ratificirala </w:t>
      </w:r>
      <w:proofErr w:type="spellStart"/>
      <w:r w:rsidRPr="00D84719">
        <w:rPr>
          <w:rFonts w:ascii="Times New Roman" w:eastAsia="Times New Roman" w:hAnsi="Times New Roman" w:cs="Times New Roman"/>
          <w:sz w:val="24"/>
          <w:szCs w:val="24"/>
        </w:rPr>
        <w:t>Stockholmsku</w:t>
      </w:r>
      <w:proofErr w:type="spellEnd"/>
      <w:r w:rsidRPr="00D84719">
        <w:rPr>
          <w:rFonts w:ascii="Times New Roman" w:eastAsia="Times New Roman" w:hAnsi="Times New Roman" w:cs="Times New Roman"/>
          <w:sz w:val="24"/>
          <w:szCs w:val="24"/>
        </w:rPr>
        <w:t xml:space="preserve"> konvenciju u studenom 2006., a postala je stranka Stockholmske konvencije 30. travnja</w:t>
      </w:r>
      <w:r w:rsidR="001B5C46">
        <w:rPr>
          <w:rFonts w:ascii="Times New Roman" w:eastAsia="Times New Roman" w:hAnsi="Times New Roman" w:cs="Times New Roman"/>
          <w:sz w:val="24"/>
          <w:szCs w:val="24"/>
        </w:rPr>
        <w:t xml:space="preserve"> 20</w:t>
      </w:r>
      <w:r w:rsidRPr="00D84719">
        <w:rPr>
          <w:rFonts w:ascii="Times New Roman" w:eastAsia="Times New Roman" w:hAnsi="Times New Roman" w:cs="Times New Roman"/>
          <w:sz w:val="24"/>
          <w:szCs w:val="24"/>
        </w:rPr>
        <w:t>07. (Narodne novine – Međunarodni ugovori, broj 2/2007).</w:t>
      </w:r>
    </w:p>
    <w:p w14:paraId="43FBD4E3" w14:textId="77777777" w:rsidR="00D84719" w:rsidRPr="00D84719" w:rsidRDefault="000860FC" w:rsidP="00D84719">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Zakonom o provedbi POPs Uredbe</w:t>
      </w:r>
      <w:r w:rsidRPr="00D84719">
        <w:rPr>
          <w:rFonts w:ascii="Times New Roman" w:eastAsia="Times New Roman" w:hAnsi="Times New Roman" w:cs="Times New Roman"/>
          <w:sz w:val="24"/>
          <w:szCs w:val="24"/>
        </w:rPr>
        <w:t xml:space="preserve"> </w:t>
      </w:r>
      <w:r w:rsidR="00D84719" w:rsidRPr="00D84719">
        <w:rPr>
          <w:rFonts w:ascii="Times New Roman" w:eastAsia="Times New Roman" w:hAnsi="Times New Roman" w:cs="Times New Roman"/>
          <w:sz w:val="24"/>
          <w:szCs w:val="24"/>
        </w:rPr>
        <w:t>utvrđuju se nadležna tijela državne uprave i zadaće nadležnih tijela državne uprave za provedbu POPs Uredbe.</w:t>
      </w:r>
    </w:p>
    <w:p w14:paraId="2F22DA37" w14:textId="77777777" w:rsidR="00D84719" w:rsidRPr="00D84719" w:rsidRDefault="00D84719" w:rsidP="00D84719">
      <w:pPr>
        <w:spacing w:line="276" w:lineRule="auto"/>
        <w:jc w:val="both"/>
        <w:rPr>
          <w:rFonts w:ascii="Times New Roman" w:eastAsia="Times New Roman" w:hAnsi="Times New Roman" w:cs="Times New Roman"/>
          <w:sz w:val="24"/>
          <w:szCs w:val="24"/>
        </w:rPr>
      </w:pPr>
      <w:r w:rsidRPr="00D84719">
        <w:rPr>
          <w:rFonts w:ascii="Times New Roman" w:eastAsia="Times New Roman" w:hAnsi="Times New Roman" w:cs="Times New Roman"/>
          <w:sz w:val="24"/>
          <w:szCs w:val="24"/>
        </w:rPr>
        <w:t xml:space="preserve">Nadležnost tijela državne uprave za provedbu Stockholmske konvencije u Republici Hrvatskoj dijeli se između slijedećih tijela: </w:t>
      </w:r>
    </w:p>
    <w:p w14:paraId="671A29F9" w14:textId="77777777" w:rsidR="00D84719" w:rsidRPr="00EC7DC5" w:rsidRDefault="00D84719" w:rsidP="00EC7DC5">
      <w:pPr>
        <w:pStyle w:val="Odlomakpopisa"/>
        <w:numPr>
          <w:ilvl w:val="0"/>
          <w:numId w:val="25"/>
        </w:numPr>
        <w:spacing w:line="276" w:lineRule="auto"/>
        <w:jc w:val="both"/>
        <w:rPr>
          <w:rFonts w:ascii="Times New Roman" w:eastAsia="Times New Roman" w:hAnsi="Times New Roman" w:cs="Times New Roman"/>
          <w:b/>
          <w:bCs/>
          <w:sz w:val="24"/>
          <w:szCs w:val="24"/>
        </w:rPr>
      </w:pPr>
      <w:r w:rsidRPr="00EC7DC5">
        <w:rPr>
          <w:rFonts w:ascii="Times New Roman" w:eastAsia="Times New Roman" w:hAnsi="Times New Roman" w:cs="Times New Roman"/>
          <w:b/>
          <w:bCs/>
          <w:sz w:val="24"/>
          <w:szCs w:val="24"/>
        </w:rPr>
        <w:t xml:space="preserve">Ministarstvo nadležno za poslove zaštite </w:t>
      </w:r>
      <w:r w:rsidR="00CD3A30" w:rsidRPr="00EC7DC5">
        <w:rPr>
          <w:rFonts w:ascii="Times New Roman" w:eastAsia="Times New Roman" w:hAnsi="Times New Roman" w:cs="Times New Roman"/>
          <w:b/>
          <w:bCs/>
          <w:sz w:val="24"/>
          <w:szCs w:val="24"/>
        </w:rPr>
        <w:t>okoliša</w:t>
      </w:r>
      <w:r w:rsidRPr="00EC7DC5">
        <w:rPr>
          <w:rFonts w:ascii="Times New Roman" w:eastAsia="Times New Roman" w:hAnsi="Times New Roman" w:cs="Times New Roman"/>
          <w:b/>
          <w:bCs/>
          <w:sz w:val="24"/>
          <w:szCs w:val="24"/>
        </w:rPr>
        <w:t xml:space="preserve"> </w:t>
      </w:r>
      <w:r w:rsidR="005C6A75" w:rsidRPr="00EC7DC5">
        <w:rPr>
          <w:rFonts w:ascii="Times New Roman" w:eastAsia="Times New Roman" w:hAnsi="Times New Roman" w:cs="Times New Roman"/>
          <w:b/>
          <w:bCs/>
          <w:sz w:val="24"/>
          <w:szCs w:val="24"/>
        </w:rPr>
        <w:t xml:space="preserve"> i poslove gospodarstva</w:t>
      </w:r>
    </w:p>
    <w:p w14:paraId="71C925EC" w14:textId="77777777" w:rsidR="00CA3C37" w:rsidRDefault="00CA3C37" w:rsidP="00EC7DC5">
      <w:pPr>
        <w:pStyle w:val="Odlomakpopisa"/>
        <w:numPr>
          <w:ilvl w:val="1"/>
          <w:numId w:val="25"/>
        </w:numPr>
      </w:pPr>
      <w:r w:rsidRPr="00EC7DC5">
        <w:rPr>
          <w:rFonts w:ascii="Times New Roman" w:eastAsia="Times New Roman" w:hAnsi="Times New Roman" w:cs="Times New Roman"/>
          <w:sz w:val="24"/>
          <w:szCs w:val="24"/>
        </w:rPr>
        <w:t xml:space="preserve">nadležno za pitanja onečišćenja zraka </w:t>
      </w:r>
      <w:r w:rsidR="00B9411F" w:rsidRPr="00EC7DC5">
        <w:rPr>
          <w:rFonts w:ascii="Times New Roman" w:eastAsia="Times New Roman" w:hAnsi="Times New Roman" w:cs="Times New Roman"/>
          <w:sz w:val="24"/>
          <w:szCs w:val="24"/>
        </w:rPr>
        <w:t xml:space="preserve">i voda, </w:t>
      </w:r>
      <w:r w:rsidRPr="00EC7DC5">
        <w:rPr>
          <w:rFonts w:ascii="Times New Roman" w:eastAsia="Times New Roman" w:hAnsi="Times New Roman" w:cs="Times New Roman"/>
          <w:sz w:val="24"/>
          <w:szCs w:val="24"/>
        </w:rPr>
        <w:t>emisija onečišćujućih tvari u zrak,</w:t>
      </w:r>
      <w:r w:rsidRPr="00EC7DC5" w:rsidDel="00F6235D">
        <w:rPr>
          <w:rFonts w:ascii="Times New Roman" w:eastAsia="Times New Roman" w:hAnsi="Times New Roman" w:cs="Times New Roman"/>
          <w:sz w:val="24"/>
          <w:szCs w:val="24"/>
        </w:rPr>
        <w:t xml:space="preserve"> </w:t>
      </w:r>
      <w:r w:rsidRPr="00EC7DC5">
        <w:rPr>
          <w:rFonts w:ascii="Times New Roman" w:eastAsia="Times New Roman" w:hAnsi="Times New Roman" w:cs="Times New Roman"/>
          <w:sz w:val="24"/>
          <w:szCs w:val="24"/>
        </w:rPr>
        <w:t xml:space="preserve">tlo i vode te gospodarenje otpadom </w:t>
      </w:r>
    </w:p>
    <w:p w14:paraId="4CC0C139" w14:textId="77777777" w:rsidR="005C6A75" w:rsidRPr="00EC7DC5" w:rsidRDefault="005C6A75" w:rsidP="00EC7DC5">
      <w:pPr>
        <w:pStyle w:val="Odlomakpopisa"/>
        <w:numPr>
          <w:ilvl w:val="1"/>
          <w:numId w:val="25"/>
        </w:numPr>
        <w:spacing w:line="276" w:lineRule="auto"/>
        <w:jc w:val="both"/>
        <w:rPr>
          <w:rFonts w:ascii="Times New Roman" w:eastAsia="Times New Roman" w:hAnsi="Times New Roman" w:cs="Times New Roman"/>
          <w:b/>
          <w:bCs/>
          <w:sz w:val="24"/>
          <w:szCs w:val="24"/>
        </w:rPr>
      </w:pPr>
      <w:r w:rsidRPr="00EC7DC5">
        <w:rPr>
          <w:rFonts w:ascii="Times New Roman" w:eastAsia="Times New Roman" w:hAnsi="Times New Roman" w:cs="Times New Roman"/>
          <w:bCs/>
          <w:sz w:val="24"/>
          <w:szCs w:val="24"/>
        </w:rPr>
        <w:t>ograničavanje upotrebe određenih opasnih tvari u električnoj i elektroničkoj opremi</w:t>
      </w:r>
    </w:p>
    <w:p w14:paraId="19C19687" w14:textId="77777777" w:rsidR="00D84719" w:rsidRPr="00EC7DC5" w:rsidRDefault="00D84719" w:rsidP="00EC7DC5">
      <w:pPr>
        <w:pStyle w:val="Odlomakpopisa"/>
        <w:numPr>
          <w:ilvl w:val="0"/>
          <w:numId w:val="25"/>
        </w:numPr>
        <w:spacing w:line="276" w:lineRule="auto"/>
        <w:jc w:val="both"/>
        <w:rPr>
          <w:rFonts w:ascii="Times New Roman" w:eastAsia="Times New Roman" w:hAnsi="Times New Roman" w:cs="Times New Roman"/>
          <w:b/>
          <w:bCs/>
          <w:sz w:val="24"/>
          <w:szCs w:val="24"/>
        </w:rPr>
      </w:pPr>
      <w:r w:rsidRPr="00EC7DC5">
        <w:rPr>
          <w:rFonts w:ascii="Times New Roman" w:eastAsia="Times New Roman" w:hAnsi="Times New Roman" w:cs="Times New Roman"/>
          <w:b/>
          <w:bCs/>
          <w:sz w:val="24"/>
          <w:szCs w:val="24"/>
        </w:rPr>
        <w:t>Ministarstvo nadležno za poslove zdravstva</w:t>
      </w:r>
    </w:p>
    <w:p w14:paraId="32B88552" w14:textId="77777777" w:rsidR="00D84719" w:rsidRPr="00EC7DC5" w:rsidRDefault="00D84719" w:rsidP="00EC7DC5">
      <w:pPr>
        <w:pStyle w:val="Odlomakpopisa"/>
        <w:numPr>
          <w:ilvl w:val="1"/>
          <w:numId w:val="25"/>
        </w:numPr>
        <w:spacing w:line="276" w:lineRule="auto"/>
        <w:jc w:val="both"/>
        <w:rPr>
          <w:rFonts w:ascii="Times New Roman" w:eastAsia="Times New Roman" w:hAnsi="Times New Roman" w:cs="Times New Roman"/>
          <w:sz w:val="24"/>
          <w:szCs w:val="24"/>
        </w:rPr>
      </w:pPr>
      <w:r w:rsidRPr="00EC7DC5">
        <w:rPr>
          <w:rFonts w:ascii="Times New Roman" w:eastAsia="Times New Roman" w:hAnsi="Times New Roman" w:cs="Times New Roman"/>
          <w:sz w:val="24"/>
          <w:szCs w:val="24"/>
        </w:rPr>
        <w:t xml:space="preserve">nadležno za postupanje s kemikalijama </w:t>
      </w:r>
    </w:p>
    <w:p w14:paraId="6BDF712E" w14:textId="77777777" w:rsidR="00D84719" w:rsidRPr="00EC7DC5" w:rsidRDefault="00D84719" w:rsidP="00EC7DC5">
      <w:pPr>
        <w:pStyle w:val="Odlomakpopisa"/>
        <w:numPr>
          <w:ilvl w:val="0"/>
          <w:numId w:val="25"/>
        </w:numPr>
        <w:spacing w:line="276" w:lineRule="auto"/>
        <w:jc w:val="both"/>
        <w:rPr>
          <w:rFonts w:ascii="Times New Roman" w:eastAsia="Times New Roman" w:hAnsi="Times New Roman" w:cs="Times New Roman"/>
          <w:b/>
          <w:bCs/>
          <w:sz w:val="24"/>
          <w:szCs w:val="24"/>
        </w:rPr>
      </w:pPr>
      <w:r w:rsidRPr="00EC7DC5">
        <w:rPr>
          <w:rFonts w:ascii="Times New Roman" w:eastAsia="Times New Roman" w:hAnsi="Times New Roman" w:cs="Times New Roman"/>
          <w:b/>
          <w:bCs/>
          <w:sz w:val="24"/>
          <w:szCs w:val="24"/>
        </w:rPr>
        <w:t xml:space="preserve">Ministarstvo nadležno za poslove poljoprivrede </w:t>
      </w:r>
    </w:p>
    <w:p w14:paraId="7605DC1B" w14:textId="77777777" w:rsidR="00D84719" w:rsidRPr="00EC7DC5" w:rsidRDefault="00D84719" w:rsidP="00EC7DC5">
      <w:pPr>
        <w:pStyle w:val="Odlomakpopisa"/>
        <w:numPr>
          <w:ilvl w:val="1"/>
          <w:numId w:val="25"/>
        </w:numPr>
        <w:spacing w:line="276" w:lineRule="auto"/>
        <w:jc w:val="both"/>
        <w:rPr>
          <w:rFonts w:ascii="Times New Roman" w:eastAsia="Times New Roman" w:hAnsi="Times New Roman" w:cs="Times New Roman"/>
          <w:sz w:val="24"/>
          <w:szCs w:val="24"/>
        </w:rPr>
      </w:pPr>
      <w:r w:rsidRPr="00EC7DC5">
        <w:rPr>
          <w:rFonts w:ascii="Times New Roman" w:eastAsia="Times New Roman" w:hAnsi="Times New Roman" w:cs="Times New Roman"/>
          <w:sz w:val="24"/>
          <w:szCs w:val="24"/>
        </w:rPr>
        <w:t xml:space="preserve">nadležno za zaštitu bilja/održivo gospodarenje pesticidima, poljoprivredno </w:t>
      </w:r>
      <w:r w:rsidR="00DD1F08" w:rsidRPr="00EC7DC5">
        <w:rPr>
          <w:rFonts w:ascii="Times New Roman" w:eastAsia="Times New Roman" w:hAnsi="Times New Roman" w:cs="Times New Roman"/>
          <w:sz w:val="24"/>
          <w:szCs w:val="24"/>
        </w:rPr>
        <w:t>zemljište</w:t>
      </w:r>
      <w:r w:rsidRPr="00EC7DC5">
        <w:rPr>
          <w:rFonts w:ascii="Times New Roman" w:eastAsia="Times New Roman" w:hAnsi="Times New Roman" w:cs="Times New Roman"/>
          <w:sz w:val="24"/>
          <w:szCs w:val="24"/>
        </w:rPr>
        <w:t xml:space="preserve">, </w:t>
      </w:r>
      <w:r w:rsidR="00DD1F08" w:rsidRPr="00EC7DC5">
        <w:rPr>
          <w:rFonts w:ascii="Times New Roman" w:eastAsia="Times New Roman" w:hAnsi="Times New Roman" w:cs="Times New Roman"/>
          <w:sz w:val="24"/>
          <w:szCs w:val="24"/>
        </w:rPr>
        <w:t xml:space="preserve">šume </w:t>
      </w:r>
      <w:r w:rsidRPr="00EC7DC5">
        <w:rPr>
          <w:rFonts w:ascii="Times New Roman" w:eastAsia="Times New Roman" w:hAnsi="Times New Roman" w:cs="Times New Roman"/>
          <w:sz w:val="24"/>
          <w:szCs w:val="24"/>
        </w:rPr>
        <w:t xml:space="preserve">i veterinarstvo </w:t>
      </w:r>
    </w:p>
    <w:p w14:paraId="59D9F550" w14:textId="77777777" w:rsidR="00D84719" w:rsidRPr="00EC7DC5" w:rsidRDefault="00D84719" w:rsidP="00EC7DC5">
      <w:pPr>
        <w:pStyle w:val="Odlomakpopisa"/>
        <w:numPr>
          <w:ilvl w:val="0"/>
          <w:numId w:val="25"/>
        </w:numPr>
        <w:spacing w:line="276" w:lineRule="auto"/>
        <w:jc w:val="both"/>
        <w:rPr>
          <w:rFonts w:ascii="Times New Roman" w:eastAsia="Times New Roman" w:hAnsi="Times New Roman" w:cs="Times New Roman"/>
          <w:b/>
          <w:bCs/>
          <w:sz w:val="24"/>
          <w:szCs w:val="24"/>
        </w:rPr>
      </w:pPr>
      <w:r w:rsidRPr="00EC7DC5">
        <w:rPr>
          <w:rFonts w:ascii="Times New Roman" w:eastAsia="Times New Roman" w:hAnsi="Times New Roman" w:cs="Times New Roman"/>
          <w:b/>
          <w:bCs/>
          <w:sz w:val="24"/>
          <w:szCs w:val="24"/>
        </w:rPr>
        <w:t xml:space="preserve">Ministarstvo nadležno za poslove sigurnosti na radu </w:t>
      </w:r>
    </w:p>
    <w:p w14:paraId="19A4E17F" w14:textId="77777777" w:rsidR="00D84719" w:rsidRPr="00EC7DC5" w:rsidRDefault="00D84719" w:rsidP="00EC7DC5">
      <w:pPr>
        <w:pStyle w:val="Odlomakpopisa"/>
        <w:numPr>
          <w:ilvl w:val="1"/>
          <w:numId w:val="25"/>
        </w:numPr>
        <w:spacing w:line="276" w:lineRule="auto"/>
        <w:jc w:val="both"/>
        <w:rPr>
          <w:rFonts w:ascii="Times New Roman" w:eastAsia="Times New Roman" w:hAnsi="Times New Roman" w:cs="Times New Roman"/>
          <w:sz w:val="24"/>
          <w:szCs w:val="24"/>
        </w:rPr>
      </w:pPr>
      <w:r w:rsidRPr="00EC7DC5">
        <w:rPr>
          <w:rFonts w:ascii="Times New Roman" w:eastAsia="Times New Roman" w:hAnsi="Times New Roman" w:cs="Times New Roman"/>
          <w:sz w:val="24"/>
          <w:szCs w:val="24"/>
        </w:rPr>
        <w:t xml:space="preserve">nadležno za postupanje s uređajima koji sadrže poliklorirane bifenile i poliklorirane terfenile (PCB/PCT), označavanje i zaštitu na radu pri rukovanju s takvim uređajima </w:t>
      </w:r>
    </w:p>
    <w:p w14:paraId="656B7A09" w14:textId="77777777" w:rsidR="00D84719" w:rsidRPr="00D84719" w:rsidRDefault="00D84719" w:rsidP="00D84719">
      <w:pPr>
        <w:spacing w:after="200" w:line="276" w:lineRule="auto"/>
        <w:jc w:val="both"/>
        <w:rPr>
          <w:rFonts w:ascii="Times New Roman" w:eastAsia="Times New Roman" w:hAnsi="Times New Roman" w:cs="Times New Roman"/>
          <w:color w:val="000000"/>
          <w:szCs w:val="24"/>
        </w:rPr>
      </w:pPr>
      <w:r w:rsidRPr="00D84719">
        <w:rPr>
          <w:rFonts w:ascii="Times New Roman" w:eastAsia="Times New Roman" w:hAnsi="Times New Roman" w:cs="Times New Roman"/>
          <w:color w:val="000000"/>
          <w:szCs w:val="24"/>
          <w:highlight w:val="yellow"/>
        </w:rPr>
        <w:br w:type="page"/>
      </w:r>
    </w:p>
    <w:p w14:paraId="67358E3F" w14:textId="77777777" w:rsidR="00D84719" w:rsidRPr="00D84719" w:rsidRDefault="00D84719" w:rsidP="008A290D">
      <w:pPr>
        <w:pStyle w:val="Naslov1"/>
      </w:pPr>
      <w:bookmarkStart w:id="44" w:name="_Toc41638228"/>
      <w:bookmarkStart w:id="45" w:name="_Toc64460679"/>
      <w:r w:rsidRPr="00D84719">
        <w:lastRenderedPageBreak/>
        <w:t>OCJENA SADAŠNJEG STANJA VEZANO UZ POPs - OVE U REPUBLICI HRVATSKOJ</w:t>
      </w:r>
      <w:bookmarkEnd w:id="44"/>
      <w:bookmarkEnd w:id="45"/>
    </w:p>
    <w:p w14:paraId="0C9F0512" w14:textId="77777777" w:rsidR="00D84719" w:rsidRPr="00D84719" w:rsidRDefault="00D84719" w:rsidP="00D84719">
      <w:pPr>
        <w:spacing w:before="80" w:line="276" w:lineRule="auto"/>
        <w:jc w:val="both"/>
        <w:rPr>
          <w:rFonts w:ascii="Times New Roman" w:eastAsia="Times New Roman" w:hAnsi="Times New Roman" w:cs="Times New Roman"/>
          <w:sz w:val="24"/>
          <w:szCs w:val="24"/>
          <w:lang w:bidi="en-US"/>
        </w:rPr>
      </w:pPr>
      <w:r w:rsidRPr="00D84719">
        <w:rPr>
          <w:rFonts w:ascii="Times New Roman" w:eastAsia="Times New Roman" w:hAnsi="Times New Roman" w:cs="Times New Roman"/>
          <w:sz w:val="24"/>
          <w:szCs w:val="24"/>
        </w:rPr>
        <w:t xml:space="preserve">Cilj je poglavlja objedinjavanje svih dostupnih podataka o tvarima </w:t>
      </w:r>
      <w:r w:rsidRPr="00D84719">
        <w:rPr>
          <w:rFonts w:ascii="Times New Roman" w:eastAsia="Times New Roman" w:hAnsi="Times New Roman" w:cs="Times New Roman"/>
          <w:sz w:val="24"/>
          <w:szCs w:val="24"/>
          <w:lang w:bidi="en-US"/>
        </w:rPr>
        <w:t xml:space="preserve">sa značajkama POPs-ova na području Republike Hrvatske. S obzirom da je </w:t>
      </w:r>
      <w:r w:rsidR="00760922">
        <w:rPr>
          <w:rFonts w:ascii="Times New Roman" w:eastAsia="Times New Roman" w:hAnsi="Times New Roman" w:cs="Times New Roman"/>
          <w:sz w:val="24"/>
          <w:szCs w:val="24"/>
          <w:lang w:bidi="en-US"/>
        </w:rPr>
        <w:t xml:space="preserve">tekst </w:t>
      </w:r>
      <w:r w:rsidR="00760922" w:rsidRPr="00D84719">
        <w:rPr>
          <w:rFonts w:ascii="Times New Roman" w:eastAsia="Times New Roman" w:hAnsi="Times New Roman" w:cs="Times New Roman"/>
          <w:sz w:val="24"/>
          <w:szCs w:val="24"/>
          <w:lang w:bidi="en-US"/>
        </w:rPr>
        <w:t>Stockholmsk</w:t>
      </w:r>
      <w:r w:rsidR="00760922">
        <w:rPr>
          <w:rFonts w:ascii="Times New Roman" w:eastAsia="Times New Roman" w:hAnsi="Times New Roman" w:cs="Times New Roman"/>
          <w:sz w:val="24"/>
          <w:szCs w:val="24"/>
          <w:lang w:bidi="en-US"/>
        </w:rPr>
        <w:t>e</w:t>
      </w:r>
      <w:r w:rsidR="00760922" w:rsidRPr="00D84719">
        <w:rPr>
          <w:rFonts w:ascii="Times New Roman" w:eastAsia="Times New Roman" w:hAnsi="Times New Roman" w:cs="Times New Roman"/>
          <w:sz w:val="24"/>
          <w:szCs w:val="24"/>
          <w:lang w:bidi="en-US"/>
        </w:rPr>
        <w:t xml:space="preserve"> </w:t>
      </w:r>
      <w:r w:rsidRPr="00D84719">
        <w:rPr>
          <w:rFonts w:ascii="Times New Roman" w:eastAsia="Times New Roman" w:hAnsi="Times New Roman" w:cs="Times New Roman"/>
          <w:sz w:val="24"/>
          <w:szCs w:val="24"/>
          <w:lang w:bidi="en-US"/>
        </w:rPr>
        <w:t>konvencija „živi“ dokument, koji se na temelju novih znanstvenih spoznaja mijenja, nadopunjuje i ažurira, za prikaz povijesnog i trenutnog stanja i iznošenje podataka o</w:t>
      </w:r>
      <w:r w:rsidRPr="00D84719">
        <w:rPr>
          <w:rFonts w:ascii="Times New Roman" w:eastAsia="Times New Roman" w:hAnsi="Times New Roman" w:cs="Times New Roman"/>
          <w:sz w:val="24"/>
          <w:szCs w:val="24"/>
        </w:rPr>
        <w:t xml:space="preserve"> tvarima </w:t>
      </w:r>
      <w:r w:rsidRPr="00D84719">
        <w:rPr>
          <w:rFonts w:ascii="Times New Roman" w:eastAsia="Times New Roman" w:hAnsi="Times New Roman" w:cs="Times New Roman"/>
          <w:sz w:val="24"/>
          <w:szCs w:val="24"/>
          <w:lang w:bidi="en-US"/>
        </w:rPr>
        <w:t>sa značajkama POPs-ova na području Republike Hrvatske u ovom su poglavlju podaci izneseni kronološkim redoslijedom, odnosno:</w:t>
      </w:r>
    </w:p>
    <w:p w14:paraId="4B923285" w14:textId="77777777" w:rsidR="00D84719" w:rsidRPr="00235818" w:rsidRDefault="001715E3" w:rsidP="00235818">
      <w:pPr>
        <w:pStyle w:val="Odlomakpopisa"/>
        <w:numPr>
          <w:ilvl w:val="0"/>
          <w:numId w:val="26"/>
        </w:numPr>
        <w:spacing w:before="80" w:line="276" w:lineRule="auto"/>
        <w:jc w:val="both"/>
        <w:rPr>
          <w:rFonts w:ascii="Times New Roman" w:eastAsia="Times New Roman" w:hAnsi="Times New Roman" w:cs="Times New Roman"/>
          <w:sz w:val="24"/>
          <w:szCs w:val="24"/>
          <w:lang w:bidi="en-US"/>
        </w:rPr>
      </w:pPr>
      <w:r w:rsidRPr="00235818">
        <w:rPr>
          <w:rFonts w:ascii="Times New Roman" w:eastAsia="Times New Roman" w:hAnsi="Times New Roman" w:cs="Times New Roman"/>
          <w:sz w:val="24"/>
          <w:szCs w:val="24"/>
          <w:lang w:bidi="en-US"/>
        </w:rPr>
        <w:t>u poglavlju 3.1</w:t>
      </w:r>
      <w:r w:rsidR="00D84719" w:rsidRPr="00235818">
        <w:rPr>
          <w:rFonts w:ascii="Times New Roman" w:eastAsia="Times New Roman" w:hAnsi="Times New Roman" w:cs="Times New Roman"/>
          <w:sz w:val="24"/>
          <w:szCs w:val="24"/>
          <w:lang w:bidi="en-US"/>
        </w:rPr>
        <w:t xml:space="preserve"> obrađeni su i objedinjeni preliminarni inventari </w:t>
      </w:r>
      <w:r w:rsidR="00D84719" w:rsidRPr="00235818">
        <w:rPr>
          <w:rFonts w:ascii="Times New Roman" w:eastAsia="Times New Roman" w:hAnsi="Times New Roman" w:cs="Times New Roman"/>
          <w:sz w:val="24"/>
          <w:szCs w:val="24"/>
        </w:rPr>
        <w:t xml:space="preserve">tvari </w:t>
      </w:r>
      <w:r w:rsidR="00D84719" w:rsidRPr="00235818">
        <w:rPr>
          <w:rFonts w:ascii="Times New Roman" w:eastAsia="Times New Roman" w:hAnsi="Times New Roman" w:cs="Times New Roman"/>
          <w:sz w:val="24"/>
          <w:szCs w:val="24"/>
          <w:lang w:bidi="en-US"/>
        </w:rPr>
        <w:t>sa značajkama POPs-ova iz Prvog NIP-a</w:t>
      </w:r>
    </w:p>
    <w:p w14:paraId="42A8EDE2" w14:textId="77777777" w:rsidR="00D84719" w:rsidRPr="00235818" w:rsidRDefault="00D84719" w:rsidP="00235818">
      <w:pPr>
        <w:pStyle w:val="Odlomakpopisa"/>
        <w:numPr>
          <w:ilvl w:val="0"/>
          <w:numId w:val="26"/>
        </w:numPr>
        <w:spacing w:before="80" w:line="276" w:lineRule="auto"/>
        <w:jc w:val="both"/>
        <w:rPr>
          <w:rFonts w:ascii="Times New Roman" w:eastAsia="Times New Roman" w:hAnsi="Times New Roman" w:cs="Times New Roman"/>
          <w:sz w:val="24"/>
          <w:szCs w:val="24"/>
          <w:lang w:bidi="en-US"/>
        </w:rPr>
      </w:pPr>
      <w:r w:rsidRPr="00235818">
        <w:rPr>
          <w:rFonts w:ascii="Times New Roman" w:eastAsia="Times New Roman" w:hAnsi="Times New Roman" w:cs="Times New Roman"/>
          <w:sz w:val="24"/>
          <w:szCs w:val="24"/>
          <w:lang w:bidi="en-US"/>
        </w:rPr>
        <w:t xml:space="preserve">u poglavlju 3.2 obrađeni su i objedinjeni preliminarni inventari </w:t>
      </w:r>
      <w:r w:rsidRPr="00235818">
        <w:rPr>
          <w:rFonts w:ascii="Times New Roman" w:eastAsia="Times New Roman" w:hAnsi="Times New Roman" w:cs="Times New Roman"/>
          <w:sz w:val="24"/>
          <w:szCs w:val="24"/>
        </w:rPr>
        <w:t xml:space="preserve">tvari </w:t>
      </w:r>
      <w:r w:rsidRPr="00235818">
        <w:rPr>
          <w:rFonts w:ascii="Times New Roman" w:eastAsia="Times New Roman" w:hAnsi="Times New Roman" w:cs="Times New Roman"/>
          <w:sz w:val="24"/>
          <w:szCs w:val="24"/>
          <w:lang w:bidi="en-US"/>
        </w:rPr>
        <w:t>sa značajkama POPs-ova iz Drugog NIP-a, usvojeni na COP-4/5/6</w:t>
      </w:r>
    </w:p>
    <w:p w14:paraId="65BAE193" w14:textId="77777777" w:rsidR="00D84719" w:rsidRPr="00235818" w:rsidRDefault="00D84719" w:rsidP="00235818">
      <w:pPr>
        <w:pStyle w:val="Odlomakpopisa"/>
        <w:numPr>
          <w:ilvl w:val="0"/>
          <w:numId w:val="26"/>
        </w:numPr>
        <w:spacing w:before="80" w:line="276" w:lineRule="auto"/>
        <w:jc w:val="both"/>
        <w:rPr>
          <w:rFonts w:ascii="Times New Roman" w:eastAsia="Times New Roman" w:hAnsi="Times New Roman" w:cs="Times New Roman"/>
          <w:sz w:val="24"/>
          <w:szCs w:val="24"/>
          <w:lang w:bidi="en-US"/>
        </w:rPr>
      </w:pPr>
      <w:r w:rsidRPr="00235818">
        <w:rPr>
          <w:rFonts w:ascii="Times New Roman" w:eastAsia="Times New Roman" w:hAnsi="Times New Roman" w:cs="Times New Roman"/>
          <w:sz w:val="24"/>
          <w:szCs w:val="24"/>
          <w:lang w:bidi="en-US"/>
        </w:rPr>
        <w:t xml:space="preserve">u poglavlju 3.3 izrađeni su preliminarni inventari </w:t>
      </w:r>
      <w:r w:rsidRPr="00235818">
        <w:rPr>
          <w:rFonts w:ascii="Times New Roman" w:eastAsia="Times New Roman" w:hAnsi="Times New Roman" w:cs="Times New Roman"/>
          <w:sz w:val="24"/>
          <w:szCs w:val="24"/>
        </w:rPr>
        <w:t xml:space="preserve">tvari </w:t>
      </w:r>
      <w:r w:rsidRPr="00235818">
        <w:rPr>
          <w:rFonts w:ascii="Times New Roman" w:eastAsia="Times New Roman" w:hAnsi="Times New Roman" w:cs="Times New Roman"/>
          <w:sz w:val="24"/>
          <w:szCs w:val="24"/>
          <w:lang w:bidi="en-US"/>
        </w:rPr>
        <w:t>sa značajkama POPs-ova usvojeni na COP-7 i -8.</w:t>
      </w:r>
    </w:p>
    <w:p w14:paraId="4D6CA283" w14:textId="77777777" w:rsidR="00D84719" w:rsidRPr="00D84719" w:rsidRDefault="00D84719" w:rsidP="00D84719">
      <w:pPr>
        <w:spacing w:before="80" w:line="276" w:lineRule="auto"/>
        <w:jc w:val="both"/>
        <w:rPr>
          <w:rFonts w:ascii="Times New Roman" w:eastAsia="Times New Roman" w:hAnsi="Times New Roman" w:cs="Times New Roman"/>
          <w:sz w:val="24"/>
          <w:szCs w:val="24"/>
          <w:lang w:bidi="en-US"/>
        </w:rPr>
      </w:pPr>
      <w:r w:rsidRPr="00D84719">
        <w:rPr>
          <w:rFonts w:ascii="Times New Roman" w:eastAsia="Times New Roman" w:hAnsi="Times New Roman" w:cs="Times New Roman"/>
          <w:sz w:val="24"/>
          <w:szCs w:val="24"/>
          <w:lang w:bidi="en-US"/>
        </w:rPr>
        <w:t>Nadalje, o</w:t>
      </w:r>
      <w:r w:rsidRPr="00D84719">
        <w:rPr>
          <w:rFonts w:ascii="Times New Roman" w:eastAsia="Times New Roman" w:hAnsi="Times New Roman" w:cs="Times New Roman"/>
          <w:sz w:val="24"/>
          <w:szCs w:val="24"/>
        </w:rPr>
        <w:t xml:space="preserve">cjena sadašnjeg stanja vezana uz </w:t>
      </w:r>
      <w:r w:rsidRPr="00D84719">
        <w:rPr>
          <w:rFonts w:ascii="Times New Roman" w:eastAsia="Times New Roman" w:hAnsi="Times New Roman" w:cs="Times New Roman"/>
          <w:sz w:val="24"/>
          <w:szCs w:val="24"/>
          <w:lang w:bidi="en-US"/>
        </w:rPr>
        <w:t>pesticide i industrijske kemikalije sa značajkama POPs-ova</w:t>
      </w:r>
      <w:r w:rsidRPr="00D84719">
        <w:rPr>
          <w:rFonts w:ascii="Times New Roman" w:eastAsia="Times New Roman" w:hAnsi="Times New Roman" w:cs="Times New Roman"/>
          <w:sz w:val="24"/>
          <w:szCs w:val="24"/>
        </w:rPr>
        <w:t xml:space="preserve"> (tvari navedene u dodacima </w:t>
      </w:r>
      <w:r w:rsidR="00A64981">
        <w:rPr>
          <w:rFonts w:ascii="Times New Roman" w:eastAsia="Times New Roman" w:hAnsi="Times New Roman" w:cs="Times New Roman"/>
          <w:sz w:val="24"/>
          <w:szCs w:val="24"/>
        </w:rPr>
        <w:t>A</w:t>
      </w:r>
      <w:r w:rsidRPr="00D84719">
        <w:rPr>
          <w:rFonts w:ascii="Times New Roman" w:eastAsia="Times New Roman" w:hAnsi="Times New Roman" w:cs="Times New Roman"/>
          <w:sz w:val="24"/>
          <w:szCs w:val="24"/>
        </w:rPr>
        <w:t xml:space="preserve"> i </w:t>
      </w:r>
      <w:r w:rsidR="00A64981">
        <w:rPr>
          <w:rFonts w:ascii="Times New Roman" w:eastAsia="Times New Roman" w:hAnsi="Times New Roman" w:cs="Times New Roman"/>
          <w:sz w:val="24"/>
          <w:szCs w:val="24"/>
        </w:rPr>
        <w:t>B</w:t>
      </w:r>
      <w:r w:rsidRPr="00D84719">
        <w:rPr>
          <w:rFonts w:ascii="Times New Roman" w:eastAsia="Times New Roman" w:hAnsi="Times New Roman" w:cs="Times New Roman"/>
          <w:sz w:val="24"/>
          <w:szCs w:val="24"/>
        </w:rPr>
        <w:t xml:space="preserve"> </w:t>
      </w:r>
      <w:r w:rsidRPr="00D84719">
        <w:rPr>
          <w:rFonts w:ascii="Times New Roman" w:eastAsia="Times New Roman" w:hAnsi="Times New Roman" w:cs="Times New Roman"/>
          <w:sz w:val="24"/>
          <w:szCs w:val="24"/>
          <w:lang w:bidi="en-US"/>
        </w:rPr>
        <w:t>Stockholmske konvencije)</w:t>
      </w:r>
      <w:r w:rsidRPr="00D84719">
        <w:rPr>
          <w:rFonts w:ascii="Times New Roman" w:eastAsia="Times New Roman" w:hAnsi="Times New Roman" w:cs="Times New Roman"/>
          <w:sz w:val="24"/>
          <w:szCs w:val="24"/>
        </w:rPr>
        <w:t xml:space="preserve"> u Republici Hrvatskoj sinteza je podataka prikupljenih preliminarnim i ažuriranim inventarima POPs-ova uključenih u Prvi i Drugi NIP te preliminarnim inventarom za POPs-ove usvojene na COP-7 i COP-8. U svrhu jasnijeg pregleda dostupnih podataka, ažuriranje inventara </w:t>
      </w:r>
      <w:r w:rsidRPr="00D84719">
        <w:rPr>
          <w:rFonts w:ascii="Times New Roman" w:eastAsia="Times New Roman" w:hAnsi="Times New Roman" w:cs="Times New Roman"/>
          <w:sz w:val="24"/>
          <w:szCs w:val="24"/>
          <w:lang w:bidi="en-US"/>
        </w:rPr>
        <w:t>pesticida i industrijskih kemikalija sa značajkama POPs-ova</w:t>
      </w:r>
      <w:r w:rsidRPr="00D84719">
        <w:rPr>
          <w:rFonts w:ascii="Times New Roman" w:eastAsia="Times New Roman" w:hAnsi="Times New Roman" w:cs="Times New Roman"/>
          <w:sz w:val="24"/>
          <w:szCs w:val="24"/>
        </w:rPr>
        <w:t xml:space="preserve"> uključenih u Prvi i Drugi NIP objedinjeno je poglavljem </w:t>
      </w:r>
      <w:r w:rsidRPr="00D84719">
        <w:rPr>
          <w:rFonts w:ascii="Times New Roman" w:eastAsia="Times New Roman" w:hAnsi="Times New Roman" w:cs="Times New Roman"/>
          <w:i/>
          <w:iCs/>
          <w:sz w:val="24"/>
          <w:szCs w:val="24"/>
        </w:rPr>
        <w:t>3.7 Postojeći programi za praćenje ispuštanja POPs-ova i njihov utjecaj na ljudsko zdravlje i okoliš</w:t>
      </w:r>
      <w:r w:rsidRPr="00D84719">
        <w:rPr>
          <w:rFonts w:ascii="Times New Roman" w:eastAsia="Times New Roman" w:hAnsi="Times New Roman" w:cs="Times New Roman"/>
          <w:sz w:val="24"/>
          <w:szCs w:val="24"/>
        </w:rPr>
        <w:t xml:space="preserve"> ovog dokumenta. </w:t>
      </w:r>
    </w:p>
    <w:p w14:paraId="5BA35AD3" w14:textId="77777777" w:rsidR="00D84719" w:rsidRPr="00D84719" w:rsidRDefault="00D84719" w:rsidP="00D84719">
      <w:pPr>
        <w:spacing w:before="80" w:line="276" w:lineRule="auto"/>
        <w:jc w:val="both"/>
        <w:rPr>
          <w:rFonts w:ascii="Times New Roman" w:eastAsia="Times New Roman" w:hAnsi="Times New Roman" w:cs="Times New Roman"/>
          <w:sz w:val="24"/>
          <w:szCs w:val="24"/>
        </w:rPr>
      </w:pPr>
      <w:r w:rsidRPr="00D84719">
        <w:rPr>
          <w:rFonts w:ascii="Times New Roman" w:eastAsia="Times New Roman" w:hAnsi="Times New Roman" w:cs="Times New Roman"/>
          <w:sz w:val="24"/>
          <w:szCs w:val="24"/>
        </w:rPr>
        <w:t>Ocjena sadašnjeg stanja vezana uz</w:t>
      </w:r>
      <w:r w:rsidRPr="00D84719">
        <w:rPr>
          <w:rFonts w:ascii="Times New Roman" w:eastAsia="Times New Roman" w:hAnsi="Times New Roman" w:cs="Times New Roman"/>
          <w:sz w:val="24"/>
          <w:szCs w:val="24"/>
          <w:lang w:bidi="en-US"/>
        </w:rPr>
        <w:t xml:space="preserve"> nenamjerno proizvedene tvari sa značajkama POPs-ova</w:t>
      </w:r>
      <w:r w:rsidRPr="00D84719">
        <w:rPr>
          <w:rFonts w:ascii="Times New Roman" w:eastAsia="Times New Roman" w:hAnsi="Times New Roman" w:cs="Times New Roman"/>
          <w:sz w:val="24"/>
          <w:szCs w:val="24"/>
        </w:rPr>
        <w:t xml:space="preserve"> (tvari navedene u </w:t>
      </w:r>
      <w:r w:rsidR="00A64981">
        <w:rPr>
          <w:rFonts w:ascii="Times New Roman" w:eastAsia="Times New Roman" w:hAnsi="Times New Roman" w:cs="Times New Roman"/>
          <w:sz w:val="24"/>
          <w:szCs w:val="24"/>
        </w:rPr>
        <w:t>D</w:t>
      </w:r>
      <w:r w:rsidRPr="00D84719">
        <w:rPr>
          <w:rFonts w:ascii="Times New Roman" w:eastAsia="Times New Roman" w:hAnsi="Times New Roman" w:cs="Times New Roman"/>
          <w:sz w:val="24"/>
          <w:szCs w:val="24"/>
        </w:rPr>
        <w:t xml:space="preserve">odatku </w:t>
      </w:r>
      <w:r w:rsidR="00A64981">
        <w:rPr>
          <w:rFonts w:ascii="Times New Roman" w:eastAsia="Times New Roman" w:hAnsi="Times New Roman" w:cs="Times New Roman"/>
          <w:sz w:val="24"/>
          <w:szCs w:val="24"/>
        </w:rPr>
        <w:t>C</w:t>
      </w:r>
      <w:r w:rsidRPr="00D84719">
        <w:rPr>
          <w:rFonts w:ascii="Times New Roman" w:eastAsia="Times New Roman" w:hAnsi="Times New Roman" w:cs="Times New Roman"/>
          <w:sz w:val="24"/>
          <w:szCs w:val="24"/>
        </w:rPr>
        <w:t xml:space="preserve"> </w:t>
      </w:r>
      <w:r w:rsidRPr="00D84719">
        <w:rPr>
          <w:rFonts w:ascii="Times New Roman" w:eastAsia="Times New Roman" w:hAnsi="Times New Roman" w:cs="Times New Roman"/>
          <w:sz w:val="24"/>
          <w:szCs w:val="24"/>
          <w:lang w:bidi="en-US"/>
        </w:rPr>
        <w:t>Stockholmske konvencije)</w:t>
      </w:r>
      <w:r w:rsidRPr="00D84719">
        <w:rPr>
          <w:rFonts w:ascii="Times New Roman" w:eastAsia="Times New Roman" w:hAnsi="Times New Roman" w:cs="Times New Roman"/>
          <w:sz w:val="24"/>
          <w:szCs w:val="24"/>
        </w:rPr>
        <w:t xml:space="preserve"> u Republici Hrvatskoj sinteza je inventara nenamjerne proizvodnje i ispuštanja kemikalija iz Prvog i Drugog NIP-a. Ocjena je obrađena u poglavlju </w:t>
      </w:r>
      <w:r w:rsidRPr="00D84719">
        <w:rPr>
          <w:rFonts w:ascii="Times New Roman" w:eastAsia="Times New Roman" w:hAnsi="Times New Roman" w:cs="Times New Roman"/>
          <w:i/>
          <w:iCs/>
          <w:sz w:val="24"/>
          <w:szCs w:val="24"/>
        </w:rPr>
        <w:t>3.4 Procjena i inventar nenamjerne proizvodnje i ispuštanja kemikalija</w:t>
      </w:r>
      <w:r w:rsidRPr="00D84719">
        <w:rPr>
          <w:rFonts w:ascii="Times New Roman" w:eastAsia="Times New Roman" w:hAnsi="Times New Roman" w:cs="Times New Roman"/>
          <w:sz w:val="24"/>
          <w:szCs w:val="24"/>
        </w:rPr>
        <w:t xml:space="preserve"> ovog dokumenta.</w:t>
      </w:r>
    </w:p>
    <w:p w14:paraId="24E02553" w14:textId="77777777" w:rsidR="00D84719" w:rsidRPr="00D84719" w:rsidRDefault="00D84719" w:rsidP="00D84719">
      <w:pPr>
        <w:spacing w:before="80" w:line="276" w:lineRule="auto"/>
        <w:jc w:val="both"/>
        <w:rPr>
          <w:rFonts w:ascii="Times New Roman" w:eastAsia="Times New Roman" w:hAnsi="Times New Roman" w:cs="Times New Roman"/>
          <w:color w:val="000000"/>
          <w:szCs w:val="24"/>
        </w:rPr>
      </w:pPr>
    </w:p>
    <w:p w14:paraId="46049E5E" w14:textId="77777777" w:rsidR="00D84719" w:rsidRPr="00D84719" w:rsidRDefault="00D84719" w:rsidP="008A290D">
      <w:pPr>
        <w:pStyle w:val="Naslov2"/>
      </w:pPr>
      <w:bookmarkStart w:id="46" w:name="_Toc41638229"/>
      <w:bookmarkStart w:id="47" w:name="_Toc64460680"/>
      <w:r w:rsidRPr="00D84719">
        <w:t>„Stari“ POPs</w:t>
      </w:r>
      <w:bookmarkEnd w:id="46"/>
      <w:r w:rsidRPr="00D84719">
        <w:t>-ovi</w:t>
      </w:r>
      <w:bookmarkEnd w:id="47"/>
      <w:r w:rsidRPr="00D84719">
        <w:t xml:space="preserve"> </w:t>
      </w:r>
    </w:p>
    <w:p w14:paraId="3A3C6559" w14:textId="77777777" w:rsidR="00D84719" w:rsidRPr="00D84719" w:rsidRDefault="00D84719" w:rsidP="008A290D">
      <w:pPr>
        <w:pStyle w:val="Naslov3"/>
      </w:pPr>
      <w:bookmarkStart w:id="48" w:name="_Toc41638230"/>
      <w:bookmarkStart w:id="49" w:name="_Toc64460681"/>
      <w:r w:rsidRPr="00D84719">
        <w:t>POPS PESTICIDI, INDUSTRIJSKE KEMIKALIJE I UPOPS</w:t>
      </w:r>
      <w:bookmarkEnd w:id="48"/>
      <w:bookmarkEnd w:id="49"/>
      <w:r w:rsidRPr="00D84719">
        <w:t xml:space="preserve"> </w:t>
      </w:r>
    </w:p>
    <w:p w14:paraId="3A08E212"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 xml:space="preserve">Izraz </w:t>
      </w:r>
      <w:r w:rsidR="00760922">
        <w:rPr>
          <w:rFonts w:ascii="Times New Roman" w:eastAsia="Times New Roman" w:hAnsi="Times New Roman" w:cs="Times New Roman"/>
          <w:color w:val="000000"/>
          <w:sz w:val="24"/>
          <w:szCs w:val="24"/>
          <w:lang w:bidi="en-US"/>
        </w:rPr>
        <w:t>„</w:t>
      </w:r>
      <w:r w:rsidRPr="00D84719">
        <w:rPr>
          <w:rFonts w:ascii="Times New Roman" w:eastAsia="Times New Roman" w:hAnsi="Times New Roman" w:cs="Times New Roman"/>
          <w:color w:val="000000"/>
          <w:sz w:val="24"/>
          <w:szCs w:val="24"/>
          <w:lang w:bidi="en-US"/>
        </w:rPr>
        <w:t>stari POPs</w:t>
      </w:r>
      <w:r w:rsidR="00760922">
        <w:rPr>
          <w:rFonts w:ascii="Times New Roman" w:eastAsia="Times New Roman" w:hAnsi="Times New Roman" w:cs="Times New Roman"/>
          <w:color w:val="000000"/>
          <w:sz w:val="24"/>
          <w:szCs w:val="24"/>
          <w:lang w:bidi="en-US"/>
        </w:rPr>
        <w:t>“</w:t>
      </w:r>
      <w:r w:rsidRPr="00D84719">
        <w:rPr>
          <w:rFonts w:ascii="Times New Roman" w:eastAsia="Times New Roman" w:hAnsi="Times New Roman" w:cs="Times New Roman"/>
          <w:color w:val="000000"/>
          <w:sz w:val="24"/>
          <w:szCs w:val="24"/>
          <w:lang w:bidi="en-US"/>
        </w:rPr>
        <w:t xml:space="preserve"> obuhvaća tvari navedene u </w:t>
      </w:r>
      <w:proofErr w:type="spellStart"/>
      <w:r w:rsidRPr="00D84719">
        <w:rPr>
          <w:rFonts w:ascii="Times New Roman" w:eastAsia="Times New Roman" w:hAnsi="Times New Roman" w:cs="Times New Roman"/>
          <w:color w:val="000000"/>
          <w:sz w:val="24"/>
          <w:szCs w:val="24"/>
          <w:lang w:bidi="en-US"/>
        </w:rPr>
        <w:t>Stockholmskoj</w:t>
      </w:r>
      <w:proofErr w:type="spellEnd"/>
      <w:r w:rsidRPr="00D84719">
        <w:rPr>
          <w:rFonts w:ascii="Times New Roman" w:eastAsia="Times New Roman" w:hAnsi="Times New Roman" w:cs="Times New Roman"/>
          <w:color w:val="000000"/>
          <w:sz w:val="24"/>
          <w:szCs w:val="24"/>
          <w:lang w:bidi="en-US"/>
        </w:rPr>
        <w:t xml:space="preserve"> konvenciji</w:t>
      </w:r>
      <w:r w:rsidR="00612979">
        <w:rPr>
          <w:rFonts w:ascii="Times New Roman" w:eastAsia="Times New Roman" w:hAnsi="Times New Roman" w:cs="Times New Roman"/>
          <w:color w:val="000000"/>
          <w:sz w:val="24"/>
          <w:szCs w:val="24"/>
          <w:lang w:bidi="en-US"/>
        </w:rPr>
        <w:t xml:space="preserve"> </w:t>
      </w:r>
      <w:r w:rsidR="00760922">
        <w:rPr>
          <w:rFonts w:ascii="Times New Roman" w:eastAsia="Times New Roman" w:hAnsi="Times New Roman" w:cs="Times New Roman"/>
          <w:color w:val="000000"/>
          <w:sz w:val="24"/>
          <w:szCs w:val="24"/>
          <w:lang w:bidi="en-US"/>
        </w:rPr>
        <w:t>usvojene prije COP-4 te</w:t>
      </w:r>
      <w:r w:rsidR="00760922" w:rsidRPr="00D84719">
        <w:rPr>
          <w:rFonts w:ascii="Times New Roman" w:eastAsia="Times New Roman" w:hAnsi="Times New Roman" w:cs="Times New Roman"/>
          <w:color w:val="000000"/>
          <w:sz w:val="24"/>
          <w:szCs w:val="24"/>
          <w:lang w:bidi="en-US"/>
        </w:rPr>
        <w:t xml:space="preserve"> </w:t>
      </w:r>
      <w:r w:rsidRPr="00D84719">
        <w:rPr>
          <w:rFonts w:ascii="Times New Roman" w:eastAsia="Times New Roman" w:hAnsi="Times New Roman" w:cs="Times New Roman"/>
          <w:color w:val="000000"/>
          <w:sz w:val="24"/>
          <w:szCs w:val="24"/>
          <w:lang w:bidi="en-US"/>
        </w:rPr>
        <w:t>regulirane</w:t>
      </w:r>
      <w:r w:rsidR="00760922">
        <w:rPr>
          <w:rFonts w:ascii="Times New Roman" w:eastAsia="Times New Roman" w:hAnsi="Times New Roman" w:cs="Times New Roman"/>
          <w:color w:val="000000"/>
          <w:sz w:val="24"/>
          <w:szCs w:val="24"/>
          <w:lang w:bidi="en-US"/>
        </w:rPr>
        <w:t xml:space="preserve"> </w:t>
      </w:r>
      <w:r w:rsidR="000860FC">
        <w:rPr>
          <w:rFonts w:ascii="Times New Roman" w:eastAsia="Times New Roman" w:hAnsi="Times New Roman" w:cs="Times New Roman"/>
          <w:sz w:val="24"/>
          <w:szCs w:val="24"/>
        </w:rPr>
        <w:t>POPs Uredbom</w:t>
      </w:r>
      <w:r w:rsidRPr="00D84719">
        <w:rPr>
          <w:rFonts w:ascii="Times New Roman" w:eastAsia="Times New Roman" w:hAnsi="Times New Roman" w:cs="Times New Roman"/>
          <w:color w:val="000000"/>
          <w:sz w:val="24"/>
          <w:szCs w:val="24"/>
          <w:lang w:bidi="en-US"/>
        </w:rPr>
        <w:t>. Izrazom „stari“ POPs pesticidi, industrijske kemikalije i nenamjerno proizvedene tvari (</w:t>
      </w:r>
      <w:proofErr w:type="spellStart"/>
      <w:r w:rsidRPr="00D84719">
        <w:rPr>
          <w:rFonts w:ascii="Times New Roman" w:eastAsia="Times New Roman" w:hAnsi="Times New Roman" w:cs="Times New Roman"/>
          <w:color w:val="000000"/>
          <w:sz w:val="24"/>
          <w:szCs w:val="24"/>
          <w:lang w:bidi="en-US"/>
        </w:rPr>
        <w:t>eng</w:t>
      </w:r>
      <w:proofErr w:type="spellEnd"/>
      <w:r w:rsidRPr="00D84719">
        <w:rPr>
          <w:rFonts w:ascii="Times New Roman" w:eastAsia="Times New Roman" w:hAnsi="Times New Roman" w:cs="Times New Roman"/>
          <w:color w:val="000000"/>
          <w:sz w:val="24"/>
          <w:szCs w:val="24"/>
          <w:lang w:bidi="en-US"/>
        </w:rPr>
        <w:t xml:space="preserve">. </w:t>
      </w:r>
      <w:proofErr w:type="spellStart"/>
      <w:r w:rsidRPr="00D84719">
        <w:rPr>
          <w:rFonts w:ascii="Times New Roman" w:eastAsia="Times New Roman" w:hAnsi="Times New Roman" w:cs="Times New Roman"/>
          <w:color w:val="000000"/>
          <w:sz w:val="24"/>
          <w:szCs w:val="24"/>
          <w:lang w:bidi="en-US"/>
        </w:rPr>
        <w:t>Unintentionally</w:t>
      </w:r>
      <w:proofErr w:type="spellEnd"/>
      <w:r w:rsidRPr="00D84719">
        <w:rPr>
          <w:rFonts w:ascii="Times New Roman" w:eastAsia="Times New Roman" w:hAnsi="Times New Roman" w:cs="Times New Roman"/>
          <w:color w:val="000000"/>
          <w:sz w:val="24"/>
          <w:szCs w:val="24"/>
          <w:lang w:bidi="en-US"/>
        </w:rPr>
        <w:t xml:space="preserve"> </w:t>
      </w:r>
      <w:proofErr w:type="spellStart"/>
      <w:r w:rsidRPr="00D84719">
        <w:rPr>
          <w:rFonts w:ascii="Times New Roman" w:eastAsia="Times New Roman" w:hAnsi="Times New Roman" w:cs="Times New Roman"/>
          <w:color w:val="000000"/>
          <w:sz w:val="24"/>
          <w:szCs w:val="24"/>
          <w:lang w:bidi="en-US"/>
        </w:rPr>
        <w:t>produced</w:t>
      </w:r>
      <w:proofErr w:type="spellEnd"/>
      <w:r w:rsidRPr="00D84719">
        <w:rPr>
          <w:rFonts w:ascii="Times New Roman" w:eastAsia="Times New Roman" w:hAnsi="Times New Roman" w:cs="Times New Roman"/>
          <w:color w:val="000000"/>
          <w:sz w:val="24"/>
          <w:szCs w:val="24"/>
          <w:lang w:bidi="en-US"/>
        </w:rPr>
        <w:t xml:space="preserve"> POPs; </w:t>
      </w:r>
      <w:r w:rsidRPr="00D848EB">
        <w:rPr>
          <w:rFonts w:ascii="Times New Roman" w:eastAsia="Times New Roman" w:hAnsi="Times New Roman" w:cs="Times New Roman"/>
          <w:iCs/>
          <w:color w:val="000000"/>
          <w:sz w:val="24"/>
          <w:szCs w:val="24"/>
          <w:lang w:bidi="en-US"/>
        </w:rPr>
        <w:t>u daljnjem tekstu</w:t>
      </w:r>
      <w:r w:rsidRPr="00D84719">
        <w:rPr>
          <w:rFonts w:ascii="Times New Roman" w:eastAsia="Times New Roman" w:hAnsi="Times New Roman" w:cs="Times New Roman"/>
          <w:color w:val="000000"/>
          <w:sz w:val="24"/>
          <w:szCs w:val="24"/>
          <w:lang w:bidi="en-US"/>
        </w:rPr>
        <w:t xml:space="preserve">: </w:t>
      </w:r>
      <w:proofErr w:type="spellStart"/>
      <w:r w:rsidRPr="00D84719">
        <w:rPr>
          <w:rFonts w:ascii="Times New Roman" w:eastAsia="Times New Roman" w:hAnsi="Times New Roman" w:cs="Times New Roman"/>
          <w:color w:val="000000"/>
          <w:sz w:val="24"/>
          <w:szCs w:val="24"/>
          <w:lang w:bidi="en-US"/>
        </w:rPr>
        <w:t>UPOPs</w:t>
      </w:r>
      <w:proofErr w:type="spellEnd"/>
      <w:r w:rsidRPr="00D84719">
        <w:rPr>
          <w:rFonts w:ascii="Times New Roman" w:eastAsia="Times New Roman" w:hAnsi="Times New Roman" w:cs="Times New Roman"/>
          <w:color w:val="000000"/>
          <w:sz w:val="24"/>
          <w:szCs w:val="24"/>
          <w:lang w:bidi="en-US"/>
        </w:rPr>
        <w:t>) obuhvaćene su sljedeće tvari:</w:t>
      </w:r>
    </w:p>
    <w:p w14:paraId="01D5A51C" w14:textId="77777777" w:rsidR="00D84719" w:rsidRPr="00D84719" w:rsidRDefault="00D84719" w:rsidP="00F61CE7">
      <w:pPr>
        <w:numPr>
          <w:ilvl w:val="0"/>
          <w:numId w:val="13"/>
        </w:numPr>
        <w:tabs>
          <w:tab w:val="left" w:pos="1755"/>
        </w:tabs>
        <w:autoSpaceDE w:val="0"/>
        <w:autoSpaceDN w:val="0"/>
        <w:adjustRightInd w:val="0"/>
        <w:spacing w:before="80" w:after="0" w:line="240" w:lineRule="auto"/>
        <w:jc w:val="both"/>
        <w:rPr>
          <w:rFonts w:ascii="Times New Roman" w:eastAsia="Calibri" w:hAnsi="Times New Roman" w:cs="Times New Roman"/>
          <w:sz w:val="24"/>
          <w:szCs w:val="24"/>
          <w:lang w:bidi="en-US"/>
        </w:rPr>
      </w:pPr>
      <w:r w:rsidRPr="00D84719">
        <w:rPr>
          <w:rFonts w:ascii="Times New Roman" w:eastAsia="Calibri" w:hAnsi="Times New Roman" w:cs="Times New Roman"/>
          <w:sz w:val="24"/>
          <w:szCs w:val="24"/>
          <w:lang w:bidi="en-US"/>
        </w:rPr>
        <w:t xml:space="preserve">pesticidi navedeni u Dodatku </w:t>
      </w:r>
      <w:r w:rsidR="00A64981">
        <w:rPr>
          <w:rFonts w:ascii="Times New Roman" w:eastAsia="Calibri" w:hAnsi="Times New Roman" w:cs="Times New Roman"/>
          <w:sz w:val="24"/>
          <w:szCs w:val="24"/>
          <w:lang w:bidi="en-US"/>
        </w:rPr>
        <w:t>A</w:t>
      </w:r>
      <w:r w:rsidRPr="00D84719">
        <w:rPr>
          <w:rFonts w:ascii="Times New Roman" w:eastAsia="Calibri" w:hAnsi="Times New Roman" w:cs="Times New Roman"/>
          <w:sz w:val="24"/>
          <w:szCs w:val="24"/>
          <w:lang w:bidi="en-US"/>
        </w:rPr>
        <w:t xml:space="preserve"> Stockholmske konvencije: aldrin, klordan, dieldrin, eldrin, heptaklor, heksaklorobenzen (HCB), mireks i toksafen</w:t>
      </w:r>
    </w:p>
    <w:p w14:paraId="7C2BCB1B" w14:textId="77777777" w:rsidR="00D84719" w:rsidRPr="00D84719" w:rsidRDefault="00D84719" w:rsidP="00F61CE7">
      <w:pPr>
        <w:numPr>
          <w:ilvl w:val="0"/>
          <w:numId w:val="13"/>
        </w:numPr>
        <w:tabs>
          <w:tab w:val="left" w:pos="1755"/>
        </w:tabs>
        <w:autoSpaceDE w:val="0"/>
        <w:autoSpaceDN w:val="0"/>
        <w:adjustRightInd w:val="0"/>
        <w:spacing w:before="80" w:after="0" w:line="240" w:lineRule="auto"/>
        <w:jc w:val="both"/>
        <w:rPr>
          <w:rFonts w:ascii="Times New Roman" w:eastAsia="Calibri" w:hAnsi="Times New Roman" w:cs="Times New Roman"/>
          <w:sz w:val="24"/>
          <w:szCs w:val="24"/>
          <w:lang w:bidi="en-US"/>
        </w:rPr>
      </w:pPr>
      <w:r w:rsidRPr="00D84719">
        <w:rPr>
          <w:rFonts w:ascii="Times New Roman" w:eastAsia="Calibri" w:hAnsi="Times New Roman" w:cs="Times New Roman"/>
          <w:sz w:val="24"/>
          <w:szCs w:val="24"/>
          <w:lang w:bidi="en-US"/>
        </w:rPr>
        <w:t xml:space="preserve">pesticidi navedeni u Dodatku </w:t>
      </w:r>
      <w:r w:rsidR="00A64981">
        <w:rPr>
          <w:rFonts w:ascii="Times New Roman" w:eastAsia="Calibri" w:hAnsi="Times New Roman" w:cs="Times New Roman"/>
          <w:sz w:val="24"/>
          <w:szCs w:val="24"/>
          <w:lang w:bidi="en-US"/>
        </w:rPr>
        <w:t>B</w:t>
      </w:r>
      <w:r w:rsidRPr="00D84719">
        <w:rPr>
          <w:rFonts w:ascii="Times New Roman" w:eastAsia="Calibri" w:hAnsi="Times New Roman" w:cs="Times New Roman"/>
          <w:sz w:val="24"/>
          <w:szCs w:val="24"/>
          <w:lang w:bidi="en-US"/>
        </w:rPr>
        <w:t xml:space="preserve"> Stockholmske konvencije: </w:t>
      </w:r>
      <w:r w:rsidRPr="00D84719">
        <w:rPr>
          <w:rFonts w:ascii="Times New Roman" w:eastAsia="Calibri" w:hAnsi="Times New Roman" w:cs="Times New Roman"/>
          <w:b/>
          <w:bCs/>
          <w:sz w:val="24"/>
          <w:szCs w:val="24"/>
          <w:lang w:bidi="en-US"/>
        </w:rPr>
        <w:t>dikloro-difenil-trikloroetan (DDT)</w:t>
      </w:r>
    </w:p>
    <w:p w14:paraId="371BC3E5" w14:textId="77777777" w:rsidR="00D84719" w:rsidRPr="00D84719" w:rsidRDefault="00D84719" w:rsidP="00F61CE7">
      <w:pPr>
        <w:numPr>
          <w:ilvl w:val="0"/>
          <w:numId w:val="13"/>
        </w:numPr>
        <w:tabs>
          <w:tab w:val="left" w:pos="1755"/>
        </w:tabs>
        <w:autoSpaceDE w:val="0"/>
        <w:autoSpaceDN w:val="0"/>
        <w:adjustRightInd w:val="0"/>
        <w:spacing w:before="80" w:after="0" w:line="240" w:lineRule="auto"/>
        <w:jc w:val="both"/>
        <w:rPr>
          <w:rFonts w:ascii="Times New Roman" w:eastAsia="Calibri" w:hAnsi="Times New Roman" w:cs="Times New Roman"/>
          <w:b/>
          <w:bCs/>
          <w:sz w:val="24"/>
          <w:szCs w:val="24"/>
          <w:lang w:bidi="en-US"/>
        </w:rPr>
      </w:pPr>
      <w:r w:rsidRPr="00D84719">
        <w:rPr>
          <w:rFonts w:ascii="Times New Roman" w:eastAsia="Calibri" w:hAnsi="Times New Roman" w:cs="Times New Roman"/>
          <w:sz w:val="24"/>
          <w:szCs w:val="24"/>
          <w:lang w:bidi="en-US"/>
        </w:rPr>
        <w:lastRenderedPageBreak/>
        <w:t xml:space="preserve">industrijske kemikalije navedene u Dodatku </w:t>
      </w:r>
      <w:r w:rsidR="00A64981">
        <w:rPr>
          <w:rFonts w:ascii="Times New Roman" w:eastAsia="Calibri" w:hAnsi="Times New Roman" w:cs="Times New Roman"/>
          <w:sz w:val="24"/>
          <w:szCs w:val="24"/>
          <w:lang w:bidi="en-US"/>
        </w:rPr>
        <w:t>A</w:t>
      </w:r>
      <w:r w:rsidRPr="00D84719">
        <w:rPr>
          <w:rFonts w:ascii="Times New Roman" w:eastAsia="Calibri" w:hAnsi="Times New Roman" w:cs="Times New Roman"/>
          <w:sz w:val="24"/>
          <w:szCs w:val="24"/>
          <w:lang w:bidi="en-US"/>
        </w:rPr>
        <w:t xml:space="preserve"> Stockholmske konvencije: </w:t>
      </w:r>
      <w:r w:rsidRPr="00D84719">
        <w:rPr>
          <w:rFonts w:ascii="Times New Roman" w:eastAsia="Calibri" w:hAnsi="Times New Roman" w:cs="Times New Roman"/>
          <w:b/>
          <w:bCs/>
          <w:sz w:val="24"/>
          <w:szCs w:val="24"/>
          <w:lang w:bidi="en-US"/>
        </w:rPr>
        <w:t xml:space="preserve">heksaklorobenzen (HCB) </w:t>
      </w:r>
      <w:r w:rsidRPr="00D84719">
        <w:rPr>
          <w:rFonts w:ascii="Times New Roman" w:eastAsia="Calibri" w:hAnsi="Times New Roman" w:cs="Times New Roman"/>
          <w:sz w:val="24"/>
          <w:szCs w:val="24"/>
          <w:lang w:bidi="en-US"/>
        </w:rPr>
        <w:t>i</w:t>
      </w:r>
      <w:r w:rsidRPr="00D84719">
        <w:rPr>
          <w:rFonts w:ascii="Times New Roman" w:eastAsia="Calibri" w:hAnsi="Times New Roman" w:cs="Times New Roman"/>
          <w:b/>
          <w:bCs/>
          <w:sz w:val="24"/>
          <w:szCs w:val="24"/>
          <w:lang w:bidi="en-US"/>
        </w:rPr>
        <w:t xml:space="preserve"> poliklorirani bifenili (PCB) </w:t>
      </w:r>
      <w:r w:rsidRPr="00D84719">
        <w:rPr>
          <w:rFonts w:ascii="Times New Roman" w:eastAsia="Calibri" w:hAnsi="Times New Roman" w:cs="Times New Roman"/>
          <w:sz w:val="24"/>
          <w:szCs w:val="24"/>
          <w:lang w:bidi="en-US"/>
        </w:rPr>
        <w:t>te</w:t>
      </w:r>
    </w:p>
    <w:p w14:paraId="3F370720" w14:textId="77777777" w:rsidR="00D84719" w:rsidRPr="00D84719" w:rsidRDefault="00D84719" w:rsidP="00F61CE7">
      <w:pPr>
        <w:numPr>
          <w:ilvl w:val="0"/>
          <w:numId w:val="13"/>
        </w:numPr>
        <w:tabs>
          <w:tab w:val="left" w:pos="1755"/>
        </w:tabs>
        <w:autoSpaceDE w:val="0"/>
        <w:autoSpaceDN w:val="0"/>
        <w:adjustRightInd w:val="0"/>
        <w:spacing w:before="80" w:after="0" w:line="240" w:lineRule="auto"/>
        <w:jc w:val="both"/>
        <w:rPr>
          <w:rFonts w:ascii="Times New Roman" w:eastAsia="Calibri" w:hAnsi="Times New Roman" w:cs="Times New Roman"/>
          <w:sz w:val="24"/>
          <w:szCs w:val="24"/>
          <w:lang w:bidi="en-US"/>
        </w:rPr>
      </w:pPr>
      <w:r w:rsidRPr="00D84719">
        <w:rPr>
          <w:rFonts w:ascii="Times New Roman" w:eastAsia="Calibri" w:hAnsi="Times New Roman" w:cs="Times New Roman"/>
          <w:sz w:val="24"/>
          <w:szCs w:val="24"/>
          <w:lang w:bidi="en-US"/>
        </w:rPr>
        <w:t xml:space="preserve">tvari navedene u Dodatku </w:t>
      </w:r>
      <w:r w:rsidR="00A64981">
        <w:rPr>
          <w:rFonts w:ascii="Times New Roman" w:eastAsia="Calibri" w:hAnsi="Times New Roman" w:cs="Times New Roman"/>
          <w:sz w:val="24"/>
          <w:szCs w:val="24"/>
          <w:lang w:bidi="en-US"/>
        </w:rPr>
        <w:t>C</w:t>
      </w:r>
      <w:r w:rsidRPr="00D84719">
        <w:rPr>
          <w:rFonts w:ascii="Times New Roman" w:eastAsia="Calibri" w:hAnsi="Times New Roman" w:cs="Times New Roman"/>
          <w:sz w:val="24"/>
          <w:szCs w:val="24"/>
          <w:lang w:bidi="en-US"/>
        </w:rPr>
        <w:t xml:space="preserve"> Stockholmske konvencije: poliklorirani dibenzo-p-dioksini (PCDD) / poliklorirani dibenzofurani (PCDF), heksaklorobenzen (HCB) i poliklorirani bifenili (PCB)</w:t>
      </w:r>
      <w:r w:rsidRPr="00D84719">
        <w:rPr>
          <w:rFonts w:ascii="Times New Roman" w:eastAsia="Calibri" w:hAnsi="Times New Roman" w:cs="Times New Roman"/>
          <w:sz w:val="24"/>
          <w:szCs w:val="24"/>
          <w:vertAlign w:val="superscript"/>
          <w:lang w:bidi="en-US"/>
        </w:rPr>
        <w:footnoteReference w:id="3"/>
      </w:r>
      <w:r w:rsidRPr="00D84719">
        <w:rPr>
          <w:rFonts w:ascii="Times New Roman" w:eastAsia="Calibri" w:hAnsi="Times New Roman" w:cs="Times New Roman"/>
          <w:sz w:val="24"/>
          <w:szCs w:val="24"/>
          <w:lang w:bidi="en-US"/>
        </w:rPr>
        <w:t>.</w:t>
      </w:r>
    </w:p>
    <w:p w14:paraId="3D1935C9"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 xml:space="preserve">Tzv. „stari“ POPs-ovi ne proizvode se, ne uvoze i ne koriste na području Republike Hrvatske. </w:t>
      </w:r>
    </w:p>
    <w:p w14:paraId="0B312DB9" w14:textId="77777777" w:rsidR="00D84719" w:rsidRPr="00D84719" w:rsidRDefault="00D84719" w:rsidP="00D84719">
      <w:pPr>
        <w:spacing w:before="80" w:line="276" w:lineRule="auto"/>
        <w:jc w:val="both"/>
        <w:rPr>
          <w:rFonts w:ascii="Times New Roman" w:eastAsia="Times New Roman" w:hAnsi="Times New Roman" w:cs="Times New Roman"/>
          <w:color w:val="000000"/>
          <w:szCs w:val="24"/>
          <w:lang w:bidi="en-US"/>
        </w:rPr>
      </w:pPr>
    </w:p>
    <w:p w14:paraId="78B3D38B" w14:textId="77777777" w:rsidR="00D84719" w:rsidRPr="00D84719" w:rsidRDefault="00D84719" w:rsidP="008A290D">
      <w:pPr>
        <w:pStyle w:val="Naslov4"/>
      </w:pPr>
      <w:bookmarkStart w:id="50" w:name="_Toc64460682"/>
      <w:r w:rsidRPr="00D84719">
        <w:t>Pesticidi sa značajkama POPs-ova</w:t>
      </w:r>
      <w:bookmarkEnd w:id="50"/>
    </w:p>
    <w:p w14:paraId="25C76453"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 xml:space="preserve">Za grupu pesticida sa značajkama POPs-ova navedenih u Dodatku </w:t>
      </w:r>
      <w:r w:rsidR="00A64981">
        <w:rPr>
          <w:rFonts w:ascii="Times New Roman" w:eastAsia="Times New Roman" w:hAnsi="Times New Roman" w:cs="Times New Roman"/>
          <w:color w:val="000000"/>
          <w:sz w:val="24"/>
          <w:szCs w:val="24"/>
          <w:lang w:bidi="en-US"/>
        </w:rPr>
        <w:t>A</w:t>
      </w:r>
      <w:r w:rsidRPr="00D84719">
        <w:rPr>
          <w:rFonts w:ascii="Times New Roman" w:eastAsia="Times New Roman" w:hAnsi="Times New Roman" w:cs="Times New Roman"/>
          <w:color w:val="000000"/>
          <w:sz w:val="24"/>
          <w:szCs w:val="24"/>
          <w:lang w:bidi="en-US"/>
        </w:rPr>
        <w:t xml:space="preserve"> (dio 1.) Stockholmske konvencije postoje osnovni institucionalni i zakonski okviri potrebni za provedbu i primjenu Stockholmske konvencije. Proizvodnja i uporaba ovih spojeva zabranjena je u Republici Hrvatskoj.</w:t>
      </w:r>
    </w:p>
    <w:p w14:paraId="6D607C1F" w14:textId="6FE625E0"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 xml:space="preserve">U razdoblju dok su POPs pesticidi imali dozvolu za primjenu bilo je nekoliko proizvođača koji su stavljali pesticide različitih formulacija na tržište. Potrebno je naglasiti da su količine koje su se proizvodile u Hrvatskoj </w:t>
      </w:r>
      <w:r w:rsidR="002441B2">
        <w:rPr>
          <w:rFonts w:ascii="Times New Roman" w:eastAsia="Times New Roman" w:hAnsi="Times New Roman" w:cs="Times New Roman"/>
          <w:color w:val="000000"/>
          <w:sz w:val="24"/>
          <w:szCs w:val="24"/>
          <w:lang w:bidi="en-US"/>
        </w:rPr>
        <w:t>dok je bila u sklopu</w:t>
      </w:r>
      <w:r w:rsidRPr="00D84719">
        <w:rPr>
          <w:rFonts w:ascii="Times New Roman" w:eastAsia="Times New Roman" w:hAnsi="Times New Roman" w:cs="Times New Roman"/>
          <w:color w:val="000000"/>
          <w:sz w:val="24"/>
          <w:szCs w:val="24"/>
          <w:lang w:bidi="en-US"/>
        </w:rPr>
        <w:t xml:space="preserve"> bivše Jugoslavije bile namijenjene za korištenje u cijeloj bivšoj državi. INA Kutina proizvodila je od 1969. do 1972. NPK gnojivo (12:12:12) s 1</w:t>
      </w:r>
      <w:r w:rsidR="00D4589D">
        <w:rPr>
          <w:rFonts w:ascii="Times New Roman" w:eastAsia="Times New Roman" w:hAnsi="Times New Roman" w:cs="Times New Roman"/>
          <w:color w:val="000000"/>
          <w:sz w:val="24"/>
          <w:szCs w:val="24"/>
          <w:lang w:bidi="en-US"/>
        </w:rPr>
        <w:t xml:space="preserve"> %</w:t>
      </w:r>
      <w:r w:rsidRPr="00D84719">
        <w:rPr>
          <w:rFonts w:ascii="Times New Roman" w:eastAsia="Times New Roman" w:hAnsi="Times New Roman" w:cs="Times New Roman"/>
          <w:color w:val="000000"/>
          <w:sz w:val="24"/>
          <w:szCs w:val="24"/>
          <w:lang w:bidi="en-US"/>
        </w:rPr>
        <w:t xml:space="preserve"> aldrina, koji je ubrzo zabranjen, a od 1975. do 2005. proizvodila je volatonizirano gnojivo (</w:t>
      </w:r>
      <w:proofErr w:type="spellStart"/>
      <w:r w:rsidRPr="00D84719">
        <w:rPr>
          <w:rFonts w:ascii="Times New Roman" w:eastAsia="Times New Roman" w:hAnsi="Times New Roman" w:cs="Times New Roman"/>
          <w:color w:val="000000"/>
          <w:sz w:val="24"/>
          <w:szCs w:val="24"/>
          <w:lang w:bidi="en-US"/>
        </w:rPr>
        <w:t>Florina</w:t>
      </w:r>
      <w:proofErr w:type="spellEnd"/>
      <w:r w:rsidRPr="00D84719">
        <w:rPr>
          <w:rFonts w:ascii="Times New Roman" w:eastAsia="Times New Roman" w:hAnsi="Times New Roman" w:cs="Times New Roman"/>
          <w:color w:val="000000"/>
          <w:sz w:val="24"/>
          <w:szCs w:val="24"/>
          <w:lang w:bidi="en-US"/>
        </w:rPr>
        <w:t xml:space="preserve"> 3). Iako je endrin u početku prvih primjena 1959. bio korišten kao i dieldrin (prve primjene od 1958.), zbog visoke opasnosti za primjenitelje i okoliš koristio se u malim količinama samo kao rodenticid u obliku koncentrirane emulzije. Endrin se u detaljnim izvještajima o primjeni insekticida u šećernoj repi ne navodi već od 1959., tj. već tada nije korišten.</w:t>
      </w:r>
    </w:p>
    <w:p w14:paraId="2986A567"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U Republici Hrvatskoj se ne proizvode POPs pesticidi niti se uvoze aktivne tvari od kojih bi se proizvodile gotove formulacije POPs pesticida za promet. Danas su u Republici Hrvatskoj registrirani brojni preparati koji su postupno zamijenili toksikološki nepovoljne analogne pesticide, među kojima su i POPs-ovi.</w:t>
      </w:r>
    </w:p>
    <w:p w14:paraId="2D8428E0"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 xml:space="preserve">Pesticid dikloro-difenil-trikloroetan (DDT) sa značajkama POPs-a, naveden u Dodatku </w:t>
      </w:r>
      <w:r w:rsidR="00A64981">
        <w:rPr>
          <w:rFonts w:ascii="Times New Roman" w:eastAsia="Times New Roman" w:hAnsi="Times New Roman" w:cs="Times New Roman"/>
          <w:color w:val="000000"/>
          <w:sz w:val="24"/>
          <w:szCs w:val="24"/>
          <w:lang w:bidi="en-US"/>
        </w:rPr>
        <w:t>B</w:t>
      </w:r>
      <w:r w:rsidRPr="00D84719">
        <w:rPr>
          <w:rFonts w:ascii="Times New Roman" w:eastAsia="Times New Roman" w:hAnsi="Times New Roman" w:cs="Times New Roman"/>
          <w:color w:val="000000"/>
          <w:sz w:val="24"/>
          <w:szCs w:val="24"/>
          <w:lang w:bidi="en-US"/>
        </w:rPr>
        <w:t xml:space="preserve"> Stockholmske konvencije, za uporabu u poljoprivredi u Republici Hrvatskoj zabranjen je 1972.. </w:t>
      </w:r>
    </w:p>
    <w:p w14:paraId="4220E5A7" w14:textId="77777777" w:rsidR="00D84719" w:rsidRPr="00D84719" w:rsidRDefault="00D84719" w:rsidP="00D84719">
      <w:pPr>
        <w:keepNext/>
        <w:spacing w:before="80" w:after="0" w:line="276" w:lineRule="auto"/>
        <w:jc w:val="both"/>
        <w:rPr>
          <w:rFonts w:ascii="Times New Roman" w:eastAsia="Times New Roman" w:hAnsi="Times New Roman" w:cs="Times New Roman"/>
          <w:b/>
          <w:bCs/>
          <w:i/>
          <w:sz w:val="20"/>
          <w:szCs w:val="20"/>
        </w:rPr>
      </w:pPr>
      <w:r w:rsidRPr="00D84719">
        <w:rPr>
          <w:rFonts w:ascii="Times New Roman" w:eastAsia="Times New Roman" w:hAnsi="Times New Roman" w:cs="Times New Roman"/>
          <w:b/>
          <w:bCs/>
          <w:i/>
          <w:sz w:val="20"/>
          <w:szCs w:val="20"/>
        </w:rPr>
        <w:lastRenderedPageBreak/>
        <w:t xml:space="preserve">Tablica </w:t>
      </w:r>
      <w:r w:rsidRPr="00D84719">
        <w:rPr>
          <w:rFonts w:ascii="Times New Roman" w:eastAsia="Times New Roman" w:hAnsi="Times New Roman" w:cs="Times New Roman"/>
          <w:b/>
          <w:bCs/>
          <w:i/>
          <w:sz w:val="20"/>
          <w:szCs w:val="20"/>
        </w:rPr>
        <w:fldChar w:fldCharType="begin"/>
      </w:r>
      <w:r w:rsidRPr="00D84719">
        <w:rPr>
          <w:rFonts w:ascii="Times New Roman" w:eastAsia="Times New Roman" w:hAnsi="Times New Roman" w:cs="Times New Roman"/>
          <w:b/>
          <w:bCs/>
          <w:i/>
          <w:sz w:val="20"/>
          <w:szCs w:val="20"/>
        </w:rPr>
        <w:instrText xml:space="preserve"> STYLEREF 2 \s </w:instrText>
      </w:r>
      <w:r w:rsidRPr="00D84719">
        <w:rPr>
          <w:rFonts w:ascii="Times New Roman" w:eastAsia="Times New Roman" w:hAnsi="Times New Roman" w:cs="Times New Roman"/>
          <w:b/>
          <w:bCs/>
          <w:i/>
          <w:sz w:val="20"/>
          <w:szCs w:val="20"/>
        </w:rPr>
        <w:fldChar w:fldCharType="separate"/>
      </w:r>
      <w:r w:rsidRPr="00D84719">
        <w:rPr>
          <w:rFonts w:ascii="Times New Roman" w:eastAsia="Times New Roman" w:hAnsi="Times New Roman" w:cs="Times New Roman"/>
          <w:b/>
          <w:bCs/>
          <w:i/>
          <w:sz w:val="20"/>
          <w:szCs w:val="20"/>
        </w:rPr>
        <w:t>3.1</w:t>
      </w:r>
      <w:r w:rsidRPr="00D84719">
        <w:rPr>
          <w:rFonts w:ascii="Times New Roman" w:eastAsia="Times New Roman" w:hAnsi="Times New Roman" w:cs="Times New Roman"/>
          <w:b/>
          <w:bCs/>
          <w:i/>
          <w:sz w:val="20"/>
          <w:szCs w:val="20"/>
        </w:rPr>
        <w:fldChar w:fldCharType="end"/>
      </w:r>
      <w:r w:rsidRPr="00D84719">
        <w:rPr>
          <w:rFonts w:ascii="Times New Roman" w:eastAsia="Times New Roman" w:hAnsi="Times New Roman" w:cs="Times New Roman"/>
          <w:b/>
          <w:bCs/>
          <w:i/>
          <w:sz w:val="20"/>
          <w:szCs w:val="20"/>
        </w:rPr>
        <w:noBreakHyphen/>
      </w:r>
      <w:r w:rsidRPr="00D84719">
        <w:rPr>
          <w:rFonts w:ascii="Times New Roman" w:eastAsia="Times New Roman" w:hAnsi="Times New Roman" w:cs="Times New Roman"/>
          <w:b/>
          <w:bCs/>
          <w:i/>
          <w:sz w:val="20"/>
          <w:szCs w:val="20"/>
        </w:rPr>
        <w:fldChar w:fldCharType="begin"/>
      </w:r>
      <w:r w:rsidRPr="00D84719">
        <w:rPr>
          <w:rFonts w:ascii="Times New Roman" w:eastAsia="Times New Roman" w:hAnsi="Times New Roman" w:cs="Times New Roman"/>
          <w:b/>
          <w:bCs/>
          <w:i/>
          <w:sz w:val="20"/>
          <w:szCs w:val="20"/>
        </w:rPr>
        <w:instrText xml:space="preserve"> SEQ Tablica \* ARABIC \s 2 </w:instrText>
      </w:r>
      <w:r w:rsidRPr="00D84719">
        <w:rPr>
          <w:rFonts w:ascii="Times New Roman" w:eastAsia="Times New Roman" w:hAnsi="Times New Roman" w:cs="Times New Roman"/>
          <w:b/>
          <w:bCs/>
          <w:i/>
          <w:sz w:val="20"/>
          <w:szCs w:val="20"/>
        </w:rPr>
        <w:fldChar w:fldCharType="separate"/>
      </w:r>
      <w:r w:rsidRPr="00D84719">
        <w:rPr>
          <w:rFonts w:ascii="Times New Roman" w:eastAsia="Times New Roman" w:hAnsi="Times New Roman" w:cs="Times New Roman"/>
          <w:b/>
          <w:bCs/>
          <w:i/>
          <w:sz w:val="20"/>
          <w:szCs w:val="20"/>
        </w:rPr>
        <w:t>1</w:t>
      </w:r>
      <w:r w:rsidRPr="00D84719">
        <w:rPr>
          <w:rFonts w:ascii="Times New Roman" w:eastAsia="Times New Roman" w:hAnsi="Times New Roman" w:cs="Times New Roman"/>
          <w:b/>
          <w:bCs/>
          <w:i/>
          <w:sz w:val="20"/>
          <w:szCs w:val="20"/>
        </w:rPr>
        <w:fldChar w:fldCharType="end"/>
      </w:r>
      <w:r w:rsidRPr="00D84719">
        <w:rPr>
          <w:rFonts w:ascii="Times New Roman" w:eastAsia="Times New Roman" w:hAnsi="Times New Roman" w:cs="Times New Roman"/>
          <w:b/>
          <w:bCs/>
          <w:i/>
          <w:sz w:val="20"/>
          <w:szCs w:val="20"/>
        </w:rPr>
        <w:t xml:space="preserve"> Popis aktivnih tvari iz skupine pesticida koji su svrstani u POPs-ove i godine zabrane njihove primjene</w:t>
      </w:r>
    </w:p>
    <w:tbl>
      <w:tblPr>
        <w:tblW w:w="5000" w:type="pct"/>
        <w:tblLook w:val="04A0" w:firstRow="1" w:lastRow="0" w:firstColumn="1" w:lastColumn="0" w:noHBand="0" w:noVBand="1"/>
      </w:tblPr>
      <w:tblGrid>
        <w:gridCol w:w="1840"/>
        <w:gridCol w:w="3690"/>
        <w:gridCol w:w="3542"/>
      </w:tblGrid>
      <w:tr w:rsidR="00D84719" w:rsidRPr="00D84719" w14:paraId="59BDD0D0" w14:textId="77777777" w:rsidTr="008A290D">
        <w:trPr>
          <w:trHeight w:val="466"/>
          <w:tblHeader/>
        </w:trPr>
        <w:tc>
          <w:tcPr>
            <w:tcW w:w="1014" w:type="pct"/>
            <w:tcBorders>
              <w:top w:val="single" w:sz="4" w:space="0" w:color="auto"/>
              <w:bottom w:val="single" w:sz="4" w:space="0" w:color="auto"/>
            </w:tcBorders>
            <w:vAlign w:val="center"/>
          </w:tcPr>
          <w:p w14:paraId="03170E10" w14:textId="77777777" w:rsidR="00D84719" w:rsidRPr="00D84719" w:rsidRDefault="00D84719" w:rsidP="00D84719">
            <w:pPr>
              <w:spacing w:after="0" w:line="276" w:lineRule="auto"/>
              <w:jc w:val="center"/>
              <w:rPr>
                <w:rFonts w:ascii="Times New Roman" w:eastAsia="Times New Roman" w:hAnsi="Times New Roman" w:cs="Times New Roman"/>
                <w:b/>
                <w:bCs/>
                <w:smallCaps/>
                <w:color w:val="000000"/>
                <w:sz w:val="20"/>
                <w:szCs w:val="20"/>
              </w:rPr>
            </w:pPr>
            <w:r w:rsidRPr="00D84719">
              <w:rPr>
                <w:rFonts w:ascii="Times New Roman" w:eastAsia="Times New Roman" w:hAnsi="Times New Roman" w:cs="Times New Roman"/>
                <w:b/>
                <w:bCs/>
                <w:smallCaps/>
                <w:color w:val="000000"/>
                <w:sz w:val="20"/>
                <w:szCs w:val="20"/>
              </w:rPr>
              <w:t>Aktivna tvar</w:t>
            </w:r>
          </w:p>
        </w:tc>
        <w:tc>
          <w:tcPr>
            <w:tcW w:w="2034" w:type="pct"/>
            <w:tcBorders>
              <w:top w:val="single" w:sz="4" w:space="0" w:color="auto"/>
              <w:bottom w:val="single" w:sz="4" w:space="0" w:color="auto"/>
            </w:tcBorders>
            <w:vAlign w:val="center"/>
          </w:tcPr>
          <w:p w14:paraId="26833FD9" w14:textId="77777777" w:rsidR="00D84719" w:rsidRPr="00D84719" w:rsidRDefault="00D84719" w:rsidP="00D84719">
            <w:pPr>
              <w:spacing w:after="0" w:line="276" w:lineRule="auto"/>
              <w:jc w:val="center"/>
              <w:rPr>
                <w:rFonts w:ascii="Times New Roman" w:eastAsia="Times New Roman" w:hAnsi="Times New Roman" w:cs="Times New Roman"/>
                <w:b/>
                <w:bCs/>
                <w:smallCaps/>
                <w:color w:val="000000"/>
                <w:sz w:val="20"/>
                <w:szCs w:val="20"/>
              </w:rPr>
            </w:pPr>
            <w:r w:rsidRPr="00D84719">
              <w:rPr>
                <w:rFonts w:ascii="Times New Roman" w:eastAsia="Times New Roman" w:hAnsi="Times New Roman" w:cs="Times New Roman"/>
                <w:b/>
                <w:bCs/>
                <w:smallCaps/>
                <w:color w:val="000000"/>
                <w:sz w:val="20"/>
                <w:szCs w:val="20"/>
              </w:rPr>
              <w:t>Dozvoljen od godine</w:t>
            </w:r>
          </w:p>
        </w:tc>
        <w:tc>
          <w:tcPr>
            <w:tcW w:w="1952" w:type="pct"/>
            <w:tcBorders>
              <w:top w:val="single" w:sz="4" w:space="0" w:color="auto"/>
              <w:bottom w:val="single" w:sz="4" w:space="0" w:color="auto"/>
            </w:tcBorders>
            <w:vAlign w:val="center"/>
          </w:tcPr>
          <w:p w14:paraId="14353EFB" w14:textId="77777777" w:rsidR="00D84719" w:rsidRPr="00D84719" w:rsidRDefault="00D84719" w:rsidP="00D84719">
            <w:pPr>
              <w:spacing w:after="0" w:line="276" w:lineRule="auto"/>
              <w:jc w:val="center"/>
              <w:rPr>
                <w:rFonts w:ascii="Times New Roman" w:eastAsia="Times New Roman" w:hAnsi="Times New Roman" w:cs="Times New Roman"/>
                <w:b/>
                <w:bCs/>
                <w:smallCaps/>
                <w:color w:val="000000"/>
                <w:sz w:val="20"/>
                <w:szCs w:val="20"/>
              </w:rPr>
            </w:pPr>
            <w:r w:rsidRPr="00D84719">
              <w:rPr>
                <w:rFonts w:ascii="Times New Roman" w:eastAsia="Times New Roman" w:hAnsi="Times New Roman" w:cs="Times New Roman"/>
                <w:b/>
                <w:bCs/>
                <w:smallCaps/>
                <w:color w:val="000000"/>
                <w:sz w:val="20"/>
                <w:szCs w:val="20"/>
              </w:rPr>
              <w:t>Zabranjen od godine</w:t>
            </w:r>
          </w:p>
        </w:tc>
      </w:tr>
      <w:tr w:rsidR="00D84719" w:rsidRPr="00D84719" w14:paraId="424CEEE4" w14:textId="77777777" w:rsidTr="008A290D">
        <w:trPr>
          <w:trHeight w:val="70"/>
          <w:tblHeader/>
        </w:trPr>
        <w:tc>
          <w:tcPr>
            <w:tcW w:w="1014" w:type="pct"/>
            <w:tcBorders>
              <w:top w:val="single" w:sz="4" w:space="0" w:color="auto"/>
              <w:bottom w:val="dotted" w:sz="4" w:space="0" w:color="auto"/>
            </w:tcBorders>
            <w:vAlign w:val="center"/>
          </w:tcPr>
          <w:p w14:paraId="6200AD27" w14:textId="77777777" w:rsidR="00D84719" w:rsidRPr="00D84719" w:rsidRDefault="00D84719" w:rsidP="00D84719">
            <w:pPr>
              <w:spacing w:after="0" w:line="276" w:lineRule="auto"/>
              <w:jc w:val="center"/>
              <w:rPr>
                <w:rFonts w:ascii="Times New Roman" w:eastAsia="Times New Roman" w:hAnsi="Times New Roman" w:cs="Times New Roman"/>
                <w:smallCaps/>
                <w:color w:val="000000"/>
              </w:rPr>
            </w:pPr>
            <w:r w:rsidRPr="00D84719">
              <w:rPr>
                <w:rFonts w:ascii="Times New Roman" w:eastAsia="Times New Roman" w:hAnsi="Times New Roman" w:cs="Times New Roman"/>
                <w:b/>
                <w:bCs/>
                <w:smallCaps/>
                <w:color w:val="000000"/>
                <w:lang w:bidi="en-US"/>
              </w:rPr>
              <w:t>aldrin</w:t>
            </w:r>
          </w:p>
        </w:tc>
        <w:tc>
          <w:tcPr>
            <w:tcW w:w="2034" w:type="pct"/>
            <w:tcBorders>
              <w:top w:val="single" w:sz="4" w:space="0" w:color="auto"/>
              <w:bottom w:val="dotted" w:sz="4" w:space="0" w:color="auto"/>
            </w:tcBorders>
            <w:vAlign w:val="center"/>
          </w:tcPr>
          <w:p w14:paraId="4EFF9918" w14:textId="77777777" w:rsidR="00D84719" w:rsidRPr="00D84719" w:rsidRDefault="00D84719" w:rsidP="00D84719">
            <w:pPr>
              <w:spacing w:before="80" w:line="276" w:lineRule="auto"/>
              <w:jc w:val="center"/>
              <w:rPr>
                <w:rFonts w:ascii="Times New Roman" w:eastAsia="Times New Roman" w:hAnsi="Times New Roman" w:cs="Times New Roman"/>
                <w:color w:val="000000"/>
                <w:sz w:val="16"/>
                <w:szCs w:val="16"/>
              </w:rPr>
            </w:pPr>
            <w:r w:rsidRPr="00D84719">
              <w:rPr>
                <w:rFonts w:ascii="Times New Roman" w:eastAsia="Times New Roman" w:hAnsi="Times New Roman" w:cs="Times New Roman"/>
                <w:color w:val="000000"/>
                <w:sz w:val="16"/>
                <w:szCs w:val="16"/>
              </w:rPr>
              <w:t>1958.</w:t>
            </w:r>
          </w:p>
        </w:tc>
        <w:tc>
          <w:tcPr>
            <w:tcW w:w="1952" w:type="pct"/>
            <w:tcBorders>
              <w:top w:val="single" w:sz="4" w:space="0" w:color="auto"/>
              <w:bottom w:val="dotted" w:sz="4" w:space="0" w:color="auto"/>
            </w:tcBorders>
            <w:vAlign w:val="center"/>
          </w:tcPr>
          <w:p w14:paraId="3EA10516" w14:textId="77777777" w:rsidR="00D84719" w:rsidRPr="00D84719" w:rsidRDefault="00D84719" w:rsidP="00D84719">
            <w:pPr>
              <w:spacing w:before="80" w:line="276" w:lineRule="auto"/>
              <w:jc w:val="center"/>
              <w:rPr>
                <w:rFonts w:ascii="Times New Roman" w:eastAsia="Times New Roman" w:hAnsi="Times New Roman" w:cs="Times New Roman"/>
                <w:color w:val="000000"/>
                <w:sz w:val="16"/>
                <w:szCs w:val="16"/>
              </w:rPr>
            </w:pPr>
            <w:r w:rsidRPr="00D84719">
              <w:rPr>
                <w:rFonts w:ascii="Times New Roman" w:eastAsia="Times New Roman" w:hAnsi="Times New Roman" w:cs="Times New Roman"/>
                <w:color w:val="000000"/>
                <w:sz w:val="16"/>
                <w:szCs w:val="16"/>
              </w:rPr>
              <w:t>1972.</w:t>
            </w:r>
          </w:p>
        </w:tc>
      </w:tr>
      <w:tr w:rsidR="00D84719" w:rsidRPr="00D84719" w14:paraId="3700587B" w14:textId="77777777" w:rsidTr="008A290D">
        <w:trPr>
          <w:tblHeader/>
        </w:trPr>
        <w:tc>
          <w:tcPr>
            <w:tcW w:w="1014" w:type="pct"/>
            <w:tcBorders>
              <w:top w:val="dotted" w:sz="4" w:space="0" w:color="auto"/>
              <w:bottom w:val="dotted" w:sz="4" w:space="0" w:color="auto"/>
            </w:tcBorders>
            <w:vAlign w:val="center"/>
          </w:tcPr>
          <w:p w14:paraId="1C7568C3" w14:textId="77777777" w:rsidR="00D84719" w:rsidRPr="00D84719" w:rsidRDefault="00D84719" w:rsidP="00D84719">
            <w:pPr>
              <w:spacing w:after="0" w:line="276" w:lineRule="auto"/>
              <w:jc w:val="center"/>
              <w:rPr>
                <w:rFonts w:ascii="Times New Roman" w:eastAsia="Times New Roman" w:hAnsi="Times New Roman" w:cs="Times New Roman"/>
                <w:smallCaps/>
                <w:color w:val="000000"/>
              </w:rPr>
            </w:pPr>
            <w:r w:rsidRPr="00D84719">
              <w:rPr>
                <w:rFonts w:ascii="Times New Roman" w:eastAsia="Times New Roman" w:hAnsi="Times New Roman" w:cs="Times New Roman"/>
                <w:b/>
                <w:bCs/>
                <w:smallCaps/>
                <w:color w:val="000000"/>
                <w:lang w:bidi="en-US"/>
              </w:rPr>
              <w:t>klordan</w:t>
            </w:r>
          </w:p>
        </w:tc>
        <w:tc>
          <w:tcPr>
            <w:tcW w:w="2034" w:type="pct"/>
            <w:tcBorders>
              <w:top w:val="dotted" w:sz="4" w:space="0" w:color="auto"/>
              <w:bottom w:val="dotted" w:sz="4" w:space="0" w:color="auto"/>
            </w:tcBorders>
            <w:vAlign w:val="center"/>
          </w:tcPr>
          <w:p w14:paraId="5F40C2B3" w14:textId="77777777" w:rsidR="00D84719" w:rsidRPr="00D84719" w:rsidRDefault="00D84719" w:rsidP="00D84719">
            <w:pPr>
              <w:spacing w:before="80" w:line="276" w:lineRule="auto"/>
              <w:jc w:val="center"/>
              <w:rPr>
                <w:rFonts w:ascii="Times New Roman" w:eastAsia="Times New Roman" w:hAnsi="Times New Roman" w:cs="Times New Roman"/>
                <w:color w:val="000000"/>
                <w:sz w:val="16"/>
                <w:szCs w:val="16"/>
              </w:rPr>
            </w:pPr>
            <w:r w:rsidRPr="00D84719">
              <w:rPr>
                <w:rFonts w:ascii="Times New Roman" w:eastAsia="Times New Roman" w:hAnsi="Times New Roman" w:cs="Times New Roman"/>
                <w:color w:val="000000"/>
                <w:sz w:val="16"/>
                <w:szCs w:val="16"/>
              </w:rPr>
              <w:t>Nisu poznati podaci prije 1955.</w:t>
            </w:r>
          </w:p>
        </w:tc>
        <w:tc>
          <w:tcPr>
            <w:tcW w:w="1952" w:type="pct"/>
            <w:tcBorders>
              <w:top w:val="dotted" w:sz="4" w:space="0" w:color="auto"/>
              <w:bottom w:val="dotted" w:sz="4" w:space="0" w:color="auto"/>
            </w:tcBorders>
            <w:vAlign w:val="center"/>
          </w:tcPr>
          <w:p w14:paraId="527A4044" w14:textId="77777777" w:rsidR="00D84719" w:rsidRPr="00D84719" w:rsidRDefault="00D84719" w:rsidP="00D84719">
            <w:pPr>
              <w:spacing w:before="80" w:line="276" w:lineRule="auto"/>
              <w:jc w:val="center"/>
              <w:rPr>
                <w:rFonts w:ascii="Times New Roman" w:eastAsia="Times New Roman" w:hAnsi="Times New Roman" w:cs="Times New Roman"/>
                <w:color w:val="000000"/>
                <w:sz w:val="16"/>
                <w:szCs w:val="16"/>
              </w:rPr>
            </w:pPr>
            <w:r w:rsidRPr="00D84719">
              <w:rPr>
                <w:rFonts w:ascii="Times New Roman" w:eastAsia="Times New Roman" w:hAnsi="Times New Roman" w:cs="Times New Roman"/>
                <w:color w:val="000000"/>
                <w:sz w:val="16"/>
                <w:szCs w:val="16"/>
              </w:rPr>
              <w:t>1971.</w:t>
            </w:r>
          </w:p>
        </w:tc>
      </w:tr>
      <w:tr w:rsidR="00D84719" w:rsidRPr="00D84719" w14:paraId="154B91D0" w14:textId="77777777" w:rsidTr="008A290D">
        <w:trPr>
          <w:tblHeader/>
        </w:trPr>
        <w:tc>
          <w:tcPr>
            <w:tcW w:w="1014" w:type="pct"/>
            <w:tcBorders>
              <w:top w:val="dotted" w:sz="4" w:space="0" w:color="auto"/>
              <w:bottom w:val="dotted" w:sz="4" w:space="0" w:color="auto"/>
            </w:tcBorders>
            <w:vAlign w:val="center"/>
          </w:tcPr>
          <w:p w14:paraId="234F301E" w14:textId="77777777" w:rsidR="00D84719" w:rsidRPr="00D84719" w:rsidRDefault="00D84719" w:rsidP="00D84719">
            <w:pPr>
              <w:spacing w:after="0" w:line="276" w:lineRule="auto"/>
              <w:jc w:val="center"/>
              <w:rPr>
                <w:rFonts w:ascii="Times New Roman" w:eastAsia="Times New Roman" w:hAnsi="Times New Roman" w:cs="Times New Roman"/>
                <w:smallCaps/>
                <w:color w:val="000000"/>
              </w:rPr>
            </w:pPr>
            <w:r w:rsidRPr="00D84719">
              <w:rPr>
                <w:rFonts w:ascii="Times New Roman" w:eastAsia="Times New Roman" w:hAnsi="Times New Roman" w:cs="Times New Roman"/>
                <w:b/>
                <w:bCs/>
                <w:smallCaps/>
                <w:color w:val="000000"/>
                <w:lang w:bidi="en-US"/>
              </w:rPr>
              <w:t>dieldrin</w:t>
            </w:r>
          </w:p>
        </w:tc>
        <w:tc>
          <w:tcPr>
            <w:tcW w:w="2034" w:type="pct"/>
            <w:tcBorders>
              <w:top w:val="dotted" w:sz="4" w:space="0" w:color="auto"/>
              <w:bottom w:val="dotted" w:sz="4" w:space="0" w:color="auto"/>
            </w:tcBorders>
            <w:vAlign w:val="center"/>
          </w:tcPr>
          <w:p w14:paraId="2FF5A2AD" w14:textId="77777777" w:rsidR="00D84719" w:rsidRPr="00D84719" w:rsidRDefault="00D84719" w:rsidP="00D84719">
            <w:pPr>
              <w:spacing w:before="80" w:line="276" w:lineRule="auto"/>
              <w:jc w:val="center"/>
              <w:rPr>
                <w:rFonts w:ascii="Times New Roman" w:eastAsia="Times New Roman" w:hAnsi="Times New Roman" w:cs="Times New Roman"/>
                <w:color w:val="000000"/>
                <w:sz w:val="16"/>
                <w:szCs w:val="16"/>
              </w:rPr>
            </w:pPr>
            <w:r w:rsidRPr="00D84719">
              <w:rPr>
                <w:rFonts w:ascii="Times New Roman" w:eastAsia="Times New Roman" w:hAnsi="Times New Roman" w:cs="Times New Roman"/>
                <w:color w:val="000000"/>
                <w:sz w:val="16"/>
                <w:szCs w:val="16"/>
              </w:rPr>
              <w:t>1958.</w:t>
            </w:r>
          </w:p>
        </w:tc>
        <w:tc>
          <w:tcPr>
            <w:tcW w:w="1952" w:type="pct"/>
            <w:tcBorders>
              <w:top w:val="dotted" w:sz="4" w:space="0" w:color="auto"/>
              <w:bottom w:val="dotted" w:sz="4" w:space="0" w:color="auto"/>
            </w:tcBorders>
            <w:vAlign w:val="center"/>
          </w:tcPr>
          <w:p w14:paraId="7D6E8E07" w14:textId="77777777" w:rsidR="00D84719" w:rsidRPr="00D84719" w:rsidRDefault="00D84719" w:rsidP="00D84719">
            <w:pPr>
              <w:spacing w:before="80" w:line="276" w:lineRule="auto"/>
              <w:jc w:val="center"/>
              <w:rPr>
                <w:rFonts w:ascii="Times New Roman" w:eastAsia="Times New Roman" w:hAnsi="Times New Roman" w:cs="Times New Roman"/>
                <w:color w:val="000000"/>
                <w:sz w:val="16"/>
                <w:szCs w:val="16"/>
              </w:rPr>
            </w:pPr>
            <w:r w:rsidRPr="00D84719">
              <w:rPr>
                <w:rFonts w:ascii="Times New Roman" w:eastAsia="Times New Roman" w:hAnsi="Times New Roman" w:cs="Times New Roman"/>
                <w:color w:val="000000"/>
                <w:sz w:val="16"/>
                <w:szCs w:val="16"/>
              </w:rPr>
              <w:t>1972.</w:t>
            </w:r>
          </w:p>
        </w:tc>
      </w:tr>
      <w:tr w:rsidR="00D84719" w:rsidRPr="00D84719" w14:paraId="3A3D3471" w14:textId="77777777" w:rsidTr="008A290D">
        <w:trPr>
          <w:tblHeader/>
        </w:trPr>
        <w:tc>
          <w:tcPr>
            <w:tcW w:w="1014" w:type="pct"/>
            <w:tcBorders>
              <w:top w:val="dotted" w:sz="4" w:space="0" w:color="auto"/>
              <w:bottom w:val="dotted" w:sz="4" w:space="0" w:color="auto"/>
            </w:tcBorders>
            <w:vAlign w:val="center"/>
          </w:tcPr>
          <w:p w14:paraId="0F25A85D" w14:textId="77777777" w:rsidR="00D84719" w:rsidRPr="00D84719" w:rsidRDefault="00D84719" w:rsidP="00D84719">
            <w:pPr>
              <w:spacing w:after="0" w:line="276" w:lineRule="auto"/>
              <w:jc w:val="center"/>
              <w:rPr>
                <w:rFonts w:ascii="Times New Roman" w:eastAsia="Times New Roman" w:hAnsi="Times New Roman" w:cs="Times New Roman"/>
                <w:b/>
                <w:bCs/>
                <w:smallCaps/>
                <w:color w:val="000000"/>
                <w:lang w:bidi="en-US"/>
              </w:rPr>
            </w:pPr>
            <w:r w:rsidRPr="00D84719">
              <w:rPr>
                <w:rFonts w:ascii="Times New Roman" w:eastAsia="Times New Roman" w:hAnsi="Times New Roman" w:cs="Times New Roman"/>
                <w:b/>
                <w:bCs/>
                <w:smallCaps/>
                <w:color w:val="000000"/>
                <w:lang w:bidi="en-US"/>
              </w:rPr>
              <w:t>eldrin</w:t>
            </w:r>
          </w:p>
        </w:tc>
        <w:tc>
          <w:tcPr>
            <w:tcW w:w="2034" w:type="pct"/>
            <w:tcBorders>
              <w:top w:val="dotted" w:sz="4" w:space="0" w:color="auto"/>
              <w:bottom w:val="dotted" w:sz="4" w:space="0" w:color="auto"/>
            </w:tcBorders>
            <w:vAlign w:val="center"/>
          </w:tcPr>
          <w:p w14:paraId="32B8BC6C" w14:textId="77777777" w:rsidR="00D84719" w:rsidRPr="00D84719" w:rsidRDefault="00D84719" w:rsidP="00D84719">
            <w:pPr>
              <w:spacing w:before="80" w:line="276" w:lineRule="auto"/>
              <w:jc w:val="center"/>
              <w:rPr>
                <w:rFonts w:ascii="Times New Roman" w:eastAsia="Times New Roman" w:hAnsi="Times New Roman" w:cs="Times New Roman"/>
                <w:color w:val="000000"/>
                <w:sz w:val="16"/>
                <w:szCs w:val="16"/>
              </w:rPr>
            </w:pPr>
            <w:r w:rsidRPr="00D84719">
              <w:rPr>
                <w:rFonts w:ascii="Times New Roman" w:eastAsia="Times New Roman" w:hAnsi="Times New Roman" w:cs="Times New Roman"/>
                <w:color w:val="000000"/>
                <w:sz w:val="16"/>
                <w:szCs w:val="16"/>
              </w:rPr>
              <w:t>1958.</w:t>
            </w:r>
          </w:p>
        </w:tc>
        <w:tc>
          <w:tcPr>
            <w:tcW w:w="1952" w:type="pct"/>
            <w:tcBorders>
              <w:top w:val="dotted" w:sz="4" w:space="0" w:color="auto"/>
              <w:bottom w:val="dotted" w:sz="4" w:space="0" w:color="auto"/>
            </w:tcBorders>
            <w:vAlign w:val="center"/>
          </w:tcPr>
          <w:p w14:paraId="74213D65" w14:textId="77777777" w:rsidR="00D84719" w:rsidRPr="00D84719" w:rsidRDefault="00D84719" w:rsidP="00D84719">
            <w:pPr>
              <w:spacing w:before="80" w:line="276" w:lineRule="auto"/>
              <w:jc w:val="center"/>
              <w:rPr>
                <w:rFonts w:ascii="Times New Roman" w:eastAsia="Times New Roman" w:hAnsi="Times New Roman" w:cs="Times New Roman"/>
                <w:color w:val="000000"/>
                <w:sz w:val="16"/>
                <w:szCs w:val="16"/>
              </w:rPr>
            </w:pPr>
            <w:r w:rsidRPr="00D84719">
              <w:rPr>
                <w:rFonts w:ascii="Times New Roman" w:eastAsia="Times New Roman" w:hAnsi="Times New Roman" w:cs="Times New Roman"/>
                <w:color w:val="000000"/>
                <w:sz w:val="16"/>
                <w:szCs w:val="16"/>
              </w:rPr>
              <w:t>1972.</w:t>
            </w:r>
          </w:p>
        </w:tc>
      </w:tr>
      <w:tr w:rsidR="00D84719" w:rsidRPr="00D84719" w14:paraId="28F9B591" w14:textId="77777777" w:rsidTr="008A290D">
        <w:trPr>
          <w:tblHeader/>
        </w:trPr>
        <w:tc>
          <w:tcPr>
            <w:tcW w:w="1014" w:type="pct"/>
            <w:tcBorders>
              <w:top w:val="dotted" w:sz="4" w:space="0" w:color="auto"/>
              <w:bottom w:val="dotted" w:sz="4" w:space="0" w:color="auto"/>
            </w:tcBorders>
            <w:vAlign w:val="center"/>
          </w:tcPr>
          <w:p w14:paraId="5911AA7E" w14:textId="77777777" w:rsidR="00D84719" w:rsidRPr="00D84719" w:rsidRDefault="00D84719" w:rsidP="00D84719">
            <w:pPr>
              <w:spacing w:after="0" w:line="276" w:lineRule="auto"/>
              <w:jc w:val="center"/>
              <w:rPr>
                <w:rFonts w:ascii="Times New Roman" w:eastAsia="Times New Roman" w:hAnsi="Times New Roman" w:cs="Times New Roman"/>
                <w:b/>
                <w:bCs/>
                <w:smallCaps/>
                <w:color w:val="000000"/>
                <w:lang w:bidi="en-US"/>
              </w:rPr>
            </w:pPr>
            <w:r w:rsidRPr="00D84719">
              <w:rPr>
                <w:rFonts w:ascii="Times New Roman" w:eastAsia="Times New Roman" w:hAnsi="Times New Roman" w:cs="Times New Roman"/>
                <w:b/>
                <w:bCs/>
                <w:smallCaps/>
                <w:color w:val="000000"/>
                <w:lang w:bidi="en-US"/>
              </w:rPr>
              <w:t>heptaklor</w:t>
            </w:r>
          </w:p>
        </w:tc>
        <w:tc>
          <w:tcPr>
            <w:tcW w:w="2034" w:type="pct"/>
            <w:tcBorders>
              <w:top w:val="dotted" w:sz="4" w:space="0" w:color="auto"/>
              <w:bottom w:val="dotted" w:sz="4" w:space="0" w:color="auto"/>
            </w:tcBorders>
            <w:vAlign w:val="center"/>
          </w:tcPr>
          <w:p w14:paraId="15C67CA4" w14:textId="77777777" w:rsidR="00D84719" w:rsidRPr="00D84719" w:rsidRDefault="00D84719" w:rsidP="00D84719">
            <w:pPr>
              <w:spacing w:before="80" w:line="276" w:lineRule="auto"/>
              <w:jc w:val="center"/>
              <w:rPr>
                <w:rFonts w:ascii="Times New Roman" w:eastAsia="Times New Roman" w:hAnsi="Times New Roman" w:cs="Times New Roman"/>
                <w:color w:val="000000"/>
                <w:sz w:val="16"/>
                <w:szCs w:val="16"/>
              </w:rPr>
            </w:pPr>
            <w:r w:rsidRPr="00D84719">
              <w:rPr>
                <w:rFonts w:ascii="Times New Roman" w:eastAsia="Times New Roman" w:hAnsi="Times New Roman" w:cs="Times New Roman"/>
                <w:color w:val="000000"/>
                <w:sz w:val="16"/>
                <w:szCs w:val="16"/>
              </w:rPr>
              <w:t>1957. (od 1971. samo kao rodenticide)</w:t>
            </w:r>
          </w:p>
        </w:tc>
        <w:tc>
          <w:tcPr>
            <w:tcW w:w="1952" w:type="pct"/>
            <w:tcBorders>
              <w:top w:val="dotted" w:sz="4" w:space="0" w:color="auto"/>
              <w:bottom w:val="dotted" w:sz="4" w:space="0" w:color="auto"/>
            </w:tcBorders>
            <w:vAlign w:val="center"/>
          </w:tcPr>
          <w:p w14:paraId="7AA86363" w14:textId="77777777" w:rsidR="00D84719" w:rsidRPr="00D84719" w:rsidRDefault="00D84719" w:rsidP="00D84719">
            <w:pPr>
              <w:spacing w:before="80" w:line="276" w:lineRule="auto"/>
              <w:jc w:val="center"/>
              <w:rPr>
                <w:rFonts w:ascii="Times New Roman" w:eastAsia="Times New Roman" w:hAnsi="Times New Roman" w:cs="Times New Roman"/>
                <w:color w:val="000000"/>
                <w:sz w:val="16"/>
                <w:szCs w:val="16"/>
              </w:rPr>
            </w:pPr>
            <w:r w:rsidRPr="00D84719">
              <w:rPr>
                <w:rFonts w:ascii="Times New Roman" w:eastAsia="Times New Roman" w:hAnsi="Times New Roman" w:cs="Times New Roman"/>
                <w:color w:val="000000"/>
                <w:sz w:val="16"/>
                <w:szCs w:val="16"/>
              </w:rPr>
              <w:t>1989.</w:t>
            </w:r>
          </w:p>
        </w:tc>
      </w:tr>
      <w:tr w:rsidR="00D84719" w:rsidRPr="00D84719" w14:paraId="30C81A92" w14:textId="77777777" w:rsidTr="008A290D">
        <w:trPr>
          <w:tblHeader/>
        </w:trPr>
        <w:tc>
          <w:tcPr>
            <w:tcW w:w="1014" w:type="pct"/>
            <w:tcBorders>
              <w:top w:val="dotted" w:sz="4" w:space="0" w:color="auto"/>
              <w:bottom w:val="dotted" w:sz="4" w:space="0" w:color="auto"/>
            </w:tcBorders>
            <w:vAlign w:val="center"/>
          </w:tcPr>
          <w:p w14:paraId="0EB74509" w14:textId="77777777" w:rsidR="00D84719" w:rsidRPr="00D84719" w:rsidRDefault="00D84719" w:rsidP="00D84719">
            <w:pPr>
              <w:spacing w:after="0" w:line="276" w:lineRule="auto"/>
              <w:jc w:val="center"/>
              <w:rPr>
                <w:rFonts w:ascii="Times New Roman" w:eastAsia="Times New Roman" w:hAnsi="Times New Roman" w:cs="Times New Roman"/>
                <w:b/>
                <w:bCs/>
                <w:smallCaps/>
                <w:color w:val="000000"/>
                <w:lang w:bidi="en-US"/>
              </w:rPr>
            </w:pPr>
            <w:r w:rsidRPr="00D84719">
              <w:rPr>
                <w:rFonts w:ascii="Times New Roman" w:eastAsia="Times New Roman" w:hAnsi="Times New Roman" w:cs="Times New Roman"/>
                <w:b/>
                <w:bCs/>
                <w:smallCaps/>
                <w:color w:val="000000"/>
                <w:lang w:bidi="en-US"/>
              </w:rPr>
              <w:t>HCB</w:t>
            </w:r>
          </w:p>
        </w:tc>
        <w:tc>
          <w:tcPr>
            <w:tcW w:w="2034" w:type="pct"/>
            <w:tcBorders>
              <w:top w:val="dotted" w:sz="4" w:space="0" w:color="auto"/>
              <w:bottom w:val="dotted" w:sz="4" w:space="0" w:color="auto"/>
            </w:tcBorders>
            <w:vAlign w:val="center"/>
          </w:tcPr>
          <w:p w14:paraId="27E01714" w14:textId="77777777" w:rsidR="00D84719" w:rsidRPr="00D84719" w:rsidRDefault="00D84719" w:rsidP="00D84719">
            <w:pPr>
              <w:spacing w:before="80" w:line="276" w:lineRule="auto"/>
              <w:jc w:val="center"/>
              <w:rPr>
                <w:rFonts w:ascii="Times New Roman" w:eastAsia="Times New Roman" w:hAnsi="Times New Roman" w:cs="Times New Roman"/>
                <w:color w:val="000000"/>
                <w:sz w:val="16"/>
                <w:szCs w:val="16"/>
              </w:rPr>
            </w:pPr>
            <w:r w:rsidRPr="00D84719">
              <w:rPr>
                <w:rFonts w:ascii="Times New Roman" w:eastAsia="Times New Roman" w:hAnsi="Times New Roman" w:cs="Times New Roman"/>
                <w:color w:val="000000"/>
                <w:sz w:val="16"/>
                <w:szCs w:val="16"/>
              </w:rPr>
              <w:t>1962.</w:t>
            </w:r>
          </w:p>
        </w:tc>
        <w:tc>
          <w:tcPr>
            <w:tcW w:w="1952" w:type="pct"/>
            <w:tcBorders>
              <w:top w:val="dotted" w:sz="4" w:space="0" w:color="auto"/>
              <w:bottom w:val="dotted" w:sz="4" w:space="0" w:color="auto"/>
            </w:tcBorders>
            <w:vAlign w:val="center"/>
          </w:tcPr>
          <w:p w14:paraId="5AE22591" w14:textId="77777777" w:rsidR="00D84719" w:rsidRPr="00D84719" w:rsidRDefault="00D84719" w:rsidP="00D84719">
            <w:pPr>
              <w:spacing w:before="80" w:line="276" w:lineRule="auto"/>
              <w:jc w:val="center"/>
              <w:rPr>
                <w:rFonts w:ascii="Times New Roman" w:eastAsia="Times New Roman" w:hAnsi="Times New Roman" w:cs="Times New Roman"/>
                <w:color w:val="000000"/>
                <w:sz w:val="16"/>
                <w:szCs w:val="16"/>
              </w:rPr>
            </w:pPr>
            <w:r w:rsidRPr="00D84719">
              <w:rPr>
                <w:rFonts w:ascii="Times New Roman" w:eastAsia="Times New Roman" w:hAnsi="Times New Roman" w:cs="Times New Roman"/>
                <w:color w:val="000000"/>
                <w:sz w:val="16"/>
                <w:szCs w:val="16"/>
              </w:rPr>
              <w:t>1980.</w:t>
            </w:r>
          </w:p>
        </w:tc>
      </w:tr>
      <w:tr w:rsidR="00D84719" w:rsidRPr="00D84719" w14:paraId="68F48027" w14:textId="77777777" w:rsidTr="008A290D">
        <w:trPr>
          <w:tblHeader/>
        </w:trPr>
        <w:tc>
          <w:tcPr>
            <w:tcW w:w="1014" w:type="pct"/>
            <w:tcBorders>
              <w:top w:val="dotted" w:sz="4" w:space="0" w:color="auto"/>
              <w:bottom w:val="dotted" w:sz="4" w:space="0" w:color="auto"/>
            </w:tcBorders>
            <w:vAlign w:val="center"/>
          </w:tcPr>
          <w:p w14:paraId="07B0264A" w14:textId="77777777" w:rsidR="00D84719" w:rsidRPr="00D84719" w:rsidRDefault="00D84719" w:rsidP="00D84719">
            <w:pPr>
              <w:spacing w:after="0" w:line="276" w:lineRule="auto"/>
              <w:jc w:val="center"/>
              <w:rPr>
                <w:rFonts w:ascii="Times New Roman" w:eastAsia="Times New Roman" w:hAnsi="Times New Roman" w:cs="Times New Roman"/>
                <w:b/>
                <w:bCs/>
                <w:smallCaps/>
                <w:color w:val="000000"/>
                <w:lang w:bidi="en-US"/>
              </w:rPr>
            </w:pPr>
            <w:r w:rsidRPr="00D84719">
              <w:rPr>
                <w:rFonts w:ascii="Times New Roman" w:eastAsia="Times New Roman" w:hAnsi="Times New Roman" w:cs="Times New Roman"/>
                <w:b/>
                <w:bCs/>
                <w:smallCaps/>
                <w:color w:val="000000"/>
                <w:lang w:bidi="en-US"/>
              </w:rPr>
              <w:t>mireks</w:t>
            </w:r>
          </w:p>
        </w:tc>
        <w:tc>
          <w:tcPr>
            <w:tcW w:w="3986" w:type="pct"/>
            <w:gridSpan w:val="2"/>
            <w:tcBorders>
              <w:top w:val="dotted" w:sz="4" w:space="0" w:color="auto"/>
              <w:bottom w:val="dotted" w:sz="4" w:space="0" w:color="auto"/>
            </w:tcBorders>
            <w:vAlign w:val="center"/>
          </w:tcPr>
          <w:p w14:paraId="0BB990CB" w14:textId="77777777" w:rsidR="00D84719" w:rsidRPr="00D84719" w:rsidRDefault="00D84719" w:rsidP="00D84719">
            <w:pPr>
              <w:spacing w:before="80" w:line="276" w:lineRule="auto"/>
              <w:jc w:val="center"/>
              <w:rPr>
                <w:rFonts w:ascii="Times New Roman" w:eastAsia="Times New Roman" w:hAnsi="Times New Roman" w:cs="Times New Roman"/>
                <w:color w:val="000000"/>
                <w:sz w:val="16"/>
                <w:szCs w:val="16"/>
              </w:rPr>
            </w:pPr>
            <w:r w:rsidRPr="00D84719">
              <w:rPr>
                <w:rFonts w:ascii="Times New Roman" w:eastAsia="Times New Roman" w:hAnsi="Times New Roman" w:cs="Times New Roman"/>
                <w:color w:val="000000"/>
                <w:sz w:val="16"/>
                <w:szCs w:val="16"/>
              </w:rPr>
              <w:t>Nije bio dozvoljen za zaštitu bilja</w:t>
            </w:r>
          </w:p>
        </w:tc>
      </w:tr>
      <w:tr w:rsidR="00D84719" w:rsidRPr="00D84719" w14:paraId="5E412CA0" w14:textId="77777777" w:rsidTr="008A290D">
        <w:trPr>
          <w:tblHeader/>
        </w:trPr>
        <w:tc>
          <w:tcPr>
            <w:tcW w:w="1014" w:type="pct"/>
            <w:tcBorders>
              <w:top w:val="dotted" w:sz="4" w:space="0" w:color="auto"/>
              <w:bottom w:val="dotted" w:sz="4" w:space="0" w:color="auto"/>
            </w:tcBorders>
            <w:vAlign w:val="center"/>
          </w:tcPr>
          <w:p w14:paraId="06E55228" w14:textId="77777777" w:rsidR="00D84719" w:rsidRPr="00D84719" w:rsidRDefault="00D84719" w:rsidP="00D84719">
            <w:pPr>
              <w:spacing w:after="0" w:line="276" w:lineRule="auto"/>
              <w:jc w:val="center"/>
              <w:rPr>
                <w:rFonts w:ascii="Times New Roman" w:eastAsia="Times New Roman" w:hAnsi="Times New Roman" w:cs="Times New Roman"/>
                <w:b/>
                <w:bCs/>
                <w:smallCaps/>
                <w:color w:val="000000"/>
                <w:lang w:bidi="en-US"/>
              </w:rPr>
            </w:pPr>
            <w:r w:rsidRPr="00D84719">
              <w:rPr>
                <w:rFonts w:ascii="Times New Roman" w:eastAsia="Times New Roman" w:hAnsi="Times New Roman" w:cs="Times New Roman"/>
                <w:b/>
                <w:bCs/>
                <w:smallCaps/>
                <w:color w:val="000000"/>
                <w:lang w:bidi="en-US"/>
              </w:rPr>
              <w:t>toksafen</w:t>
            </w:r>
          </w:p>
        </w:tc>
        <w:tc>
          <w:tcPr>
            <w:tcW w:w="2034" w:type="pct"/>
            <w:tcBorders>
              <w:top w:val="dotted" w:sz="4" w:space="0" w:color="auto"/>
              <w:bottom w:val="dotted" w:sz="4" w:space="0" w:color="auto"/>
            </w:tcBorders>
            <w:vAlign w:val="center"/>
          </w:tcPr>
          <w:p w14:paraId="268D70EB" w14:textId="77777777" w:rsidR="00D84719" w:rsidRPr="00D84719" w:rsidRDefault="00D84719" w:rsidP="00D84719">
            <w:pPr>
              <w:spacing w:before="80" w:line="276" w:lineRule="auto"/>
              <w:jc w:val="center"/>
              <w:rPr>
                <w:rFonts w:ascii="Times New Roman" w:eastAsia="Times New Roman" w:hAnsi="Times New Roman" w:cs="Times New Roman"/>
                <w:color w:val="000000"/>
                <w:sz w:val="16"/>
                <w:szCs w:val="16"/>
              </w:rPr>
            </w:pPr>
            <w:r w:rsidRPr="00D84719">
              <w:rPr>
                <w:rFonts w:ascii="Times New Roman" w:eastAsia="Times New Roman" w:hAnsi="Times New Roman" w:cs="Times New Roman"/>
                <w:color w:val="000000"/>
                <w:sz w:val="16"/>
                <w:szCs w:val="16"/>
              </w:rPr>
              <w:t>1957.</w:t>
            </w:r>
          </w:p>
        </w:tc>
        <w:tc>
          <w:tcPr>
            <w:tcW w:w="1952" w:type="pct"/>
            <w:tcBorders>
              <w:top w:val="dotted" w:sz="4" w:space="0" w:color="auto"/>
              <w:bottom w:val="dotted" w:sz="4" w:space="0" w:color="auto"/>
            </w:tcBorders>
            <w:vAlign w:val="center"/>
          </w:tcPr>
          <w:p w14:paraId="1B31BD8B" w14:textId="77777777" w:rsidR="00D84719" w:rsidRPr="00D84719" w:rsidRDefault="00D84719" w:rsidP="00D84719">
            <w:pPr>
              <w:spacing w:before="80" w:line="276" w:lineRule="auto"/>
              <w:jc w:val="center"/>
              <w:rPr>
                <w:rFonts w:ascii="Times New Roman" w:eastAsia="Times New Roman" w:hAnsi="Times New Roman" w:cs="Times New Roman"/>
                <w:color w:val="000000"/>
                <w:sz w:val="16"/>
                <w:szCs w:val="16"/>
              </w:rPr>
            </w:pPr>
            <w:r w:rsidRPr="00D84719">
              <w:rPr>
                <w:rFonts w:ascii="Times New Roman" w:eastAsia="Times New Roman" w:hAnsi="Times New Roman" w:cs="Times New Roman"/>
                <w:color w:val="000000"/>
                <w:sz w:val="16"/>
                <w:szCs w:val="16"/>
              </w:rPr>
              <w:t>1982.</w:t>
            </w:r>
          </w:p>
        </w:tc>
      </w:tr>
      <w:tr w:rsidR="00D84719" w:rsidRPr="00D84719" w14:paraId="4170AD95" w14:textId="77777777" w:rsidTr="008A290D">
        <w:trPr>
          <w:tblHeader/>
        </w:trPr>
        <w:tc>
          <w:tcPr>
            <w:tcW w:w="1014" w:type="pct"/>
            <w:tcBorders>
              <w:top w:val="dotted" w:sz="4" w:space="0" w:color="auto"/>
              <w:bottom w:val="single" w:sz="4" w:space="0" w:color="auto"/>
            </w:tcBorders>
            <w:vAlign w:val="center"/>
          </w:tcPr>
          <w:p w14:paraId="0559D9A2" w14:textId="77777777" w:rsidR="00D84719" w:rsidRPr="00D84719" w:rsidRDefault="00D84719" w:rsidP="00D84719">
            <w:pPr>
              <w:spacing w:after="0" w:line="276" w:lineRule="auto"/>
              <w:jc w:val="center"/>
              <w:rPr>
                <w:rFonts w:ascii="Times New Roman" w:eastAsia="Times New Roman" w:hAnsi="Times New Roman" w:cs="Times New Roman"/>
                <w:b/>
                <w:bCs/>
                <w:color w:val="000000"/>
                <w:lang w:bidi="en-US"/>
              </w:rPr>
            </w:pPr>
            <w:r w:rsidRPr="00D84719">
              <w:rPr>
                <w:rFonts w:ascii="Times New Roman" w:eastAsia="Times New Roman" w:hAnsi="Times New Roman" w:cs="Times New Roman"/>
                <w:b/>
                <w:bCs/>
                <w:color w:val="000000"/>
                <w:lang w:bidi="en-US"/>
              </w:rPr>
              <w:t>DDT</w:t>
            </w:r>
          </w:p>
        </w:tc>
        <w:tc>
          <w:tcPr>
            <w:tcW w:w="2034" w:type="pct"/>
            <w:tcBorders>
              <w:top w:val="dotted" w:sz="4" w:space="0" w:color="auto"/>
              <w:bottom w:val="single" w:sz="4" w:space="0" w:color="auto"/>
            </w:tcBorders>
            <w:vAlign w:val="center"/>
          </w:tcPr>
          <w:p w14:paraId="62FED7B8" w14:textId="77777777" w:rsidR="00D84719" w:rsidRPr="00D84719" w:rsidRDefault="00D84719" w:rsidP="00D84719">
            <w:pPr>
              <w:spacing w:before="80" w:line="276" w:lineRule="auto"/>
              <w:jc w:val="center"/>
              <w:rPr>
                <w:rFonts w:ascii="Times New Roman" w:eastAsia="Times New Roman" w:hAnsi="Times New Roman" w:cs="Times New Roman"/>
                <w:color w:val="000000"/>
                <w:sz w:val="16"/>
                <w:szCs w:val="16"/>
              </w:rPr>
            </w:pPr>
            <w:r w:rsidRPr="00D84719">
              <w:rPr>
                <w:rFonts w:ascii="Times New Roman" w:eastAsia="Times New Roman" w:hAnsi="Times New Roman" w:cs="Times New Roman"/>
                <w:color w:val="000000"/>
                <w:sz w:val="16"/>
                <w:szCs w:val="16"/>
              </w:rPr>
              <w:t>1944.</w:t>
            </w:r>
          </w:p>
        </w:tc>
        <w:tc>
          <w:tcPr>
            <w:tcW w:w="1952" w:type="pct"/>
            <w:tcBorders>
              <w:top w:val="dotted" w:sz="4" w:space="0" w:color="auto"/>
              <w:bottom w:val="single" w:sz="4" w:space="0" w:color="auto"/>
            </w:tcBorders>
            <w:vAlign w:val="center"/>
          </w:tcPr>
          <w:p w14:paraId="65A68CB3" w14:textId="77777777" w:rsidR="00D84719" w:rsidRPr="00D84719" w:rsidRDefault="00D84719" w:rsidP="00D84719">
            <w:pPr>
              <w:spacing w:before="80" w:line="276" w:lineRule="auto"/>
              <w:jc w:val="center"/>
              <w:rPr>
                <w:rFonts w:ascii="Times New Roman" w:eastAsia="Times New Roman" w:hAnsi="Times New Roman" w:cs="Times New Roman"/>
                <w:color w:val="000000"/>
                <w:sz w:val="16"/>
                <w:szCs w:val="16"/>
              </w:rPr>
            </w:pPr>
            <w:r w:rsidRPr="00D84719">
              <w:rPr>
                <w:rFonts w:ascii="Times New Roman" w:eastAsia="Times New Roman" w:hAnsi="Times New Roman" w:cs="Times New Roman"/>
                <w:color w:val="000000"/>
                <w:sz w:val="16"/>
                <w:szCs w:val="16"/>
              </w:rPr>
              <w:t>1972.</w:t>
            </w:r>
          </w:p>
        </w:tc>
      </w:tr>
    </w:tbl>
    <w:p w14:paraId="1ABFFEF4" w14:textId="77777777" w:rsidR="00D84719" w:rsidRPr="00D84719" w:rsidRDefault="00D84719" w:rsidP="00D84719">
      <w:pPr>
        <w:spacing w:before="80" w:line="276" w:lineRule="auto"/>
        <w:jc w:val="both"/>
        <w:rPr>
          <w:rFonts w:ascii="Times New Roman" w:eastAsia="Times New Roman" w:hAnsi="Times New Roman" w:cs="Times New Roman"/>
          <w:color w:val="000000"/>
          <w:szCs w:val="24"/>
          <w:lang w:bidi="en-US"/>
        </w:rPr>
      </w:pPr>
    </w:p>
    <w:p w14:paraId="52A4979A" w14:textId="77777777" w:rsidR="00D84719" w:rsidRPr="008A290D" w:rsidRDefault="008A290D" w:rsidP="0080171F">
      <w:pPr>
        <w:pStyle w:val="Naslov5"/>
      </w:pPr>
      <w:bookmarkStart w:id="51" w:name="_Toc41638231"/>
      <w:bookmarkStart w:id="52" w:name="_Toc64460683"/>
      <w:r>
        <w:t>I</w:t>
      </w:r>
      <w:r w:rsidRPr="008A290D">
        <w:t>nformacije o zalihama, kontaminiranim lokacijama i otpadu</w:t>
      </w:r>
      <w:bookmarkEnd w:id="51"/>
      <w:bookmarkEnd w:id="52"/>
    </w:p>
    <w:p w14:paraId="0F58DB4B"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Do zabrane uporabe koristili su se POPs pesticidi sukladno dozvolama za primjenu. Zabrane primjene koje su uslijedile nisu uzrokovale velike probleme u svezi primjene pesticida stoga što su na tržište stavljani pesticidi manjih otrovnosti i opasnosti te bolje ekološke prihvatljivosti. Prije zabrane, POPs pesticidi su se primjenjivali za suzbijanje mnogo vrsta štetnika. S obzirom na široku primjenu protiv štetnika te na kulturama na kojima su se koristili primjenjivane su i znatne količine.</w:t>
      </w:r>
    </w:p>
    <w:p w14:paraId="5EE198BF"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Proizvodi, uključujući i pesticide, koji su danas u uporabi ne sadrže POPs-ove te nema mogućnosti nastanka otpada koji ih sadrži. Posebna odlagališta, na kojima bi se nalazio otpad s pesticidima koji sadrže POPs-ove, do sada nisu postojala. Može se pretpostaviti da su neke određene količine otpada s pesticidima koji sadrže POPs-ove odložene na neku od lokacija za odlaganje komunalnog otpada i da su prekrivene naslagama otpada tijekom tridesetak i više godina, ali ih je na takvim lokacijama teško pronaći. Iznimka može biti zaostala prazna ambalaža starih pesticida. Prema dostupnim podacima koji su šturi i često neujednačeno prikazani, do sada nisu nađene onečišćene lokacije.</w:t>
      </w:r>
    </w:p>
    <w:p w14:paraId="0FADC2B0" w14:textId="77777777" w:rsidR="00D84719" w:rsidRPr="00D84719" w:rsidRDefault="00D84719" w:rsidP="00D84719">
      <w:pPr>
        <w:spacing w:before="80" w:line="276" w:lineRule="auto"/>
        <w:jc w:val="both"/>
        <w:rPr>
          <w:rFonts w:ascii="Times New Roman" w:eastAsia="Times New Roman" w:hAnsi="Times New Roman" w:cs="Times New Roman"/>
          <w:color w:val="000000"/>
          <w:szCs w:val="24"/>
        </w:rPr>
      </w:pPr>
    </w:p>
    <w:p w14:paraId="1812919D" w14:textId="77777777" w:rsidR="00D84719" w:rsidRPr="00D84719" w:rsidRDefault="00D84719" w:rsidP="008A290D">
      <w:pPr>
        <w:pStyle w:val="Naslov4"/>
      </w:pPr>
      <w:bookmarkStart w:id="53" w:name="_Toc41638233"/>
      <w:bookmarkStart w:id="54" w:name="_Toc64460684"/>
      <w:r w:rsidRPr="00D84719">
        <w:t xml:space="preserve">Poliklorirani bifenili (PCB-i) Dodatak </w:t>
      </w:r>
      <w:r w:rsidR="00A64981">
        <w:t>A,</w:t>
      </w:r>
      <w:r w:rsidR="00612979">
        <w:t xml:space="preserve"> </w:t>
      </w:r>
      <w:r w:rsidRPr="00D84719">
        <w:t>II. dio Stockholmske konvencije</w:t>
      </w:r>
      <w:bookmarkEnd w:id="53"/>
      <w:bookmarkEnd w:id="54"/>
    </w:p>
    <w:tbl>
      <w:tblPr>
        <w:tblW w:w="0" w:type="auto"/>
        <w:tblLook w:val="04A0" w:firstRow="1" w:lastRow="0" w:firstColumn="1" w:lastColumn="0" w:noHBand="0" w:noVBand="1"/>
      </w:tblPr>
      <w:tblGrid>
        <w:gridCol w:w="2902"/>
        <w:gridCol w:w="6160"/>
      </w:tblGrid>
      <w:tr w:rsidR="00D84719" w:rsidRPr="00D84719" w14:paraId="0C145A07" w14:textId="77777777" w:rsidTr="00F831D6">
        <w:trPr>
          <w:trHeight w:val="1326"/>
        </w:trPr>
        <w:tc>
          <w:tcPr>
            <w:tcW w:w="2902" w:type="dxa"/>
          </w:tcPr>
          <w:p w14:paraId="1B68E5F1" w14:textId="77777777" w:rsidR="00D84719" w:rsidRPr="00D84719" w:rsidRDefault="00D84719" w:rsidP="00D84719">
            <w:pPr>
              <w:spacing w:after="0" w:line="276" w:lineRule="auto"/>
              <w:jc w:val="both"/>
              <w:rPr>
                <w:rFonts w:ascii="Times New Roman" w:eastAsia="Times New Roman" w:hAnsi="Times New Roman" w:cs="Times New Roman"/>
                <w:color w:val="000000"/>
              </w:rPr>
            </w:pPr>
            <w:r w:rsidRPr="00D84719">
              <w:rPr>
                <w:rFonts w:ascii="Times New Roman" w:eastAsia="Times New Roman" w:hAnsi="Times New Roman" w:cs="Times New Roman"/>
                <w:noProof/>
                <w:color w:val="000000"/>
                <w:szCs w:val="24"/>
                <w:lang w:eastAsia="hr-HR"/>
              </w:rPr>
              <w:drawing>
                <wp:inline distT="0" distB="0" distL="0" distR="0" wp14:anchorId="2407E8D5" wp14:editId="5E7BE79A">
                  <wp:extent cx="1080000" cy="917095"/>
                  <wp:effectExtent l="0" t="0" r="635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80000" cy="917095"/>
                          </a:xfrm>
                          <a:prstGeom prst="rect">
                            <a:avLst/>
                          </a:prstGeom>
                        </pic:spPr>
                      </pic:pic>
                    </a:graphicData>
                  </a:graphic>
                </wp:inline>
              </w:drawing>
            </w:r>
          </w:p>
        </w:tc>
        <w:tc>
          <w:tcPr>
            <w:tcW w:w="6160" w:type="dxa"/>
          </w:tcPr>
          <w:p w14:paraId="224A00FB" w14:textId="77777777" w:rsidR="00D84719" w:rsidRPr="00D84719" w:rsidRDefault="00D84719" w:rsidP="00D84719">
            <w:pPr>
              <w:spacing w:before="80" w:after="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Poliklorirani bifenili (PCB) predstavljaju grupu sintetskih organskih kemikalija, a sastoje se od ugljika, vodika i klora. Postoji 209 različitih PCB spojeva. Broj i raspored atoma klora u molekuli PCB-a određuje njihova fizikalna i kemijska svojstva.</w:t>
            </w:r>
          </w:p>
        </w:tc>
      </w:tr>
    </w:tbl>
    <w:p w14:paraId="03CE84E8" w14:textId="6FA280AD"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 xml:space="preserve">To su tekuća ulja ili voskovi, bezbojni ili blago žute boje, bez mirisa i okusa. Zbog svoje nezapaljivosti, kemijske stabilnosti, visokog vrelišta te svojstva električne izolacije, korišteni </w:t>
      </w:r>
      <w:r w:rsidRPr="00D84719">
        <w:rPr>
          <w:rFonts w:ascii="Times New Roman" w:eastAsia="Times New Roman" w:hAnsi="Times New Roman" w:cs="Times New Roman"/>
          <w:color w:val="000000"/>
          <w:sz w:val="24"/>
          <w:szCs w:val="24"/>
        </w:rPr>
        <w:lastRenderedPageBreak/>
        <w:t xml:space="preserve">su široko u komercijalne svrhe u proizvodnji električnih i toplinskih vodiča i hidrauličke opreme, kao plastifikatori u bojama, proizvodnji plastike i proizvoda od gume, u proizvodnji pigmenata i boja i drugim industrijskim aplikacijama. Primjena im je bila široka sredinom 20. stoljeća. Međutim, zbog visoke toksičnosti, postojanosti u okolišu (vrlo su stabilni spojevi) te sposobnosti bioakumulacije i biomagnifikacije, prepoznati su kao </w:t>
      </w:r>
      <w:r w:rsidR="008E551C">
        <w:rPr>
          <w:rFonts w:ascii="Times New Roman" w:eastAsia="Times New Roman" w:hAnsi="Times New Roman" w:cs="Times New Roman"/>
          <w:color w:val="000000"/>
          <w:sz w:val="24"/>
          <w:szCs w:val="24"/>
        </w:rPr>
        <w:t>POPs-</w:t>
      </w:r>
      <w:proofErr w:type="spellStart"/>
      <w:r w:rsidR="008E551C">
        <w:rPr>
          <w:rFonts w:ascii="Times New Roman" w:eastAsia="Times New Roman" w:hAnsi="Times New Roman" w:cs="Times New Roman"/>
          <w:color w:val="000000"/>
          <w:sz w:val="24"/>
          <w:szCs w:val="24"/>
        </w:rPr>
        <w:t>evi</w:t>
      </w:r>
      <w:proofErr w:type="spellEnd"/>
      <w:r w:rsidRPr="00D84719">
        <w:rPr>
          <w:rFonts w:ascii="Times New Roman" w:eastAsia="Times New Roman" w:hAnsi="Times New Roman" w:cs="Times New Roman"/>
          <w:color w:val="000000"/>
          <w:sz w:val="24"/>
          <w:szCs w:val="24"/>
        </w:rPr>
        <w:t xml:space="preserve"> i zabranjene u SAD-u odlukom kongresa 1979. te u svijetu </w:t>
      </w:r>
      <w:proofErr w:type="spellStart"/>
      <w:r w:rsidRPr="00D84719">
        <w:rPr>
          <w:rFonts w:ascii="Times New Roman" w:eastAsia="Times New Roman" w:hAnsi="Times New Roman" w:cs="Times New Roman"/>
          <w:color w:val="000000"/>
          <w:sz w:val="24"/>
          <w:szCs w:val="24"/>
        </w:rPr>
        <w:t>Stockholmskom</w:t>
      </w:r>
      <w:proofErr w:type="spellEnd"/>
      <w:r w:rsidRPr="00D84719">
        <w:rPr>
          <w:rFonts w:ascii="Times New Roman" w:eastAsia="Times New Roman" w:hAnsi="Times New Roman" w:cs="Times New Roman"/>
          <w:color w:val="000000"/>
          <w:sz w:val="24"/>
          <w:szCs w:val="24"/>
        </w:rPr>
        <w:t xml:space="preserve"> konvencijom o postojanim organskim onečišćujućim tvarima 2001</w:t>
      </w:r>
      <w:r w:rsidR="005C26BD">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w:t>
      </w:r>
    </w:p>
    <w:p w14:paraId="24CD5AE6"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Postoje razni proizvodi koji mogu sadržavati PCB-e: izolacijski materijali (u transformatorima i kondenzatorima), elektronička oprema (regulatori napona, prekidači, elektromagneti i izolatori), motorna ulja te ulja koja se koriste u hidrauličkim sistemima, kabelske izolacije, razni toplinski izolatori (pjena, stakloplastika, filc, pluto), ljepljive trake, boje na bazi ulja, plastični materijali, brtve, lakovi za parket.</w:t>
      </w:r>
    </w:p>
    <w:p w14:paraId="7525003E"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PCB-i mogu dospjeti u okoliš iz slabo održavanih odlagališta otpada, u slučajevima i neodgovarajućeg odlaganja otpada koji sadrže PCB-e, curenjem iz električnih transformatora, odlaganjem otpada koji sadrže PCB-e na gradska i druga odlagališta otpada koja nisu namijenjena obradi opasnog otpada te spaljivanjem otpada koji sadrži PCB-e.</w:t>
      </w:r>
    </w:p>
    <w:p w14:paraId="278750CC" w14:textId="7CA571EE"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 xml:space="preserve">Uz neke izuzetke, PCB-i korišteni u tim proizvodima predstavljaju komercijalne mješavine pojedinih PCB-a, poznate pod raznim trgovačkim imenima, od kojih su najpoznatiji </w:t>
      </w:r>
      <w:proofErr w:type="spellStart"/>
      <w:r w:rsidRPr="00D84719">
        <w:rPr>
          <w:rFonts w:ascii="Times New Roman" w:eastAsia="Times New Roman" w:hAnsi="Times New Roman" w:cs="Times New Roman"/>
          <w:color w:val="000000"/>
          <w:sz w:val="24"/>
          <w:szCs w:val="24"/>
        </w:rPr>
        <w:t>Aroklorovi</w:t>
      </w:r>
      <w:proofErr w:type="spellEnd"/>
      <w:r w:rsidRPr="00D84719">
        <w:rPr>
          <w:rFonts w:ascii="Times New Roman" w:eastAsia="Times New Roman" w:hAnsi="Times New Roman" w:cs="Times New Roman"/>
          <w:color w:val="000000"/>
          <w:sz w:val="24"/>
          <w:szCs w:val="24"/>
        </w:rPr>
        <w:t xml:space="preserve">. Postoje razne vrste </w:t>
      </w:r>
      <w:proofErr w:type="spellStart"/>
      <w:r w:rsidRPr="00D84719">
        <w:rPr>
          <w:rFonts w:ascii="Times New Roman" w:eastAsia="Times New Roman" w:hAnsi="Times New Roman" w:cs="Times New Roman"/>
          <w:color w:val="000000"/>
          <w:sz w:val="24"/>
          <w:szCs w:val="24"/>
        </w:rPr>
        <w:t>Aroklora</w:t>
      </w:r>
      <w:proofErr w:type="spellEnd"/>
      <w:r w:rsidRPr="00D84719">
        <w:rPr>
          <w:rFonts w:ascii="Times New Roman" w:eastAsia="Times New Roman" w:hAnsi="Times New Roman" w:cs="Times New Roman"/>
          <w:color w:val="000000"/>
          <w:sz w:val="24"/>
          <w:szCs w:val="24"/>
        </w:rPr>
        <w:t xml:space="preserve"> koje se razlikuju prema stupnju kloriranja. </w:t>
      </w:r>
      <w:proofErr w:type="spellStart"/>
      <w:r w:rsidRPr="00D84719">
        <w:rPr>
          <w:rFonts w:ascii="Times New Roman" w:eastAsia="Times New Roman" w:hAnsi="Times New Roman" w:cs="Times New Roman"/>
          <w:color w:val="000000"/>
          <w:sz w:val="24"/>
          <w:szCs w:val="24"/>
        </w:rPr>
        <w:t>Aroklor</w:t>
      </w:r>
      <w:proofErr w:type="spellEnd"/>
      <w:r w:rsidRPr="00D84719">
        <w:rPr>
          <w:rFonts w:ascii="Times New Roman" w:eastAsia="Times New Roman" w:hAnsi="Times New Roman" w:cs="Times New Roman"/>
          <w:color w:val="000000"/>
          <w:sz w:val="24"/>
          <w:szCs w:val="24"/>
        </w:rPr>
        <w:t xml:space="preserve"> mješavine označavaju se brojevima s četiri znamenke, od kojih prve dvije predstavljaju broj ugljikovih atoma u fenil prstenu (za PCB-e to je broj 12), a druge dvije predstavljaju postotak klora u odnosu na masu mješavine (npr. </w:t>
      </w:r>
      <w:proofErr w:type="spellStart"/>
      <w:r w:rsidRPr="00D84719">
        <w:rPr>
          <w:rFonts w:ascii="Times New Roman" w:eastAsia="Times New Roman" w:hAnsi="Times New Roman" w:cs="Times New Roman"/>
          <w:color w:val="000000"/>
          <w:sz w:val="24"/>
          <w:szCs w:val="24"/>
        </w:rPr>
        <w:t>aroklor</w:t>
      </w:r>
      <w:proofErr w:type="spellEnd"/>
      <w:r w:rsidRPr="00D84719">
        <w:rPr>
          <w:rFonts w:ascii="Times New Roman" w:eastAsia="Times New Roman" w:hAnsi="Times New Roman" w:cs="Times New Roman"/>
          <w:color w:val="000000"/>
          <w:sz w:val="24"/>
          <w:szCs w:val="24"/>
        </w:rPr>
        <w:t xml:space="preserve"> 1254 predstavlja mješavinu s 54</w:t>
      </w:r>
      <w:r w:rsidR="00D4589D">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xml:space="preserve"> klora).</w:t>
      </w:r>
    </w:p>
    <w:p w14:paraId="0D3368C5"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 xml:space="preserve">PCB-i mogu uzrokovati razne negativne učinke na zdravlje, mogu uzrokovati karcinome (u većim koncentracijama) te mogu utjecati na imunitet, reproduktivne organe, živčani sustav, endokrini sustav i ostale organe. U organizam se mogu unijeti konzumacijom kontaminirane hrane (meso, riba, mlijeko i mliječni proizvodi), preko onečišćenog zraka te kroz kožu. Lako se apsorbiraju u tijelu te se pohranjuju i akumuliraju u masnom tkivu. Međutim, negativni učinci na zdravlje nisu trenutni, nego se mogu pojaviti </w:t>
      </w:r>
      <w:r w:rsidR="002441B2">
        <w:rPr>
          <w:rFonts w:ascii="Times New Roman" w:eastAsia="Times New Roman" w:hAnsi="Times New Roman" w:cs="Times New Roman"/>
          <w:color w:val="000000"/>
          <w:sz w:val="24"/>
          <w:szCs w:val="24"/>
        </w:rPr>
        <w:t>naknadno</w:t>
      </w:r>
      <w:r w:rsidR="002441B2" w:rsidRPr="00D84719">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zbog njihove akumulacije u organizmu, a ovise o količini PCB-a unesenoj u organizam, osjetljivosti organizma te o vremenskom periodu izloženosti.</w:t>
      </w:r>
    </w:p>
    <w:p w14:paraId="08470C0F" w14:textId="77777777" w:rsidR="00D84719" w:rsidRPr="00D84719" w:rsidRDefault="00D84719" w:rsidP="00D84719">
      <w:pPr>
        <w:spacing w:before="80" w:line="276" w:lineRule="auto"/>
        <w:jc w:val="both"/>
        <w:rPr>
          <w:rFonts w:ascii="Times New Roman" w:eastAsia="Times New Roman" w:hAnsi="Times New Roman" w:cs="Times New Roman"/>
          <w:color w:val="000000"/>
          <w:szCs w:val="24"/>
        </w:rPr>
      </w:pPr>
    </w:p>
    <w:p w14:paraId="28A661A9" w14:textId="77777777" w:rsidR="00D84719" w:rsidRPr="00D84719" w:rsidRDefault="00D84719" w:rsidP="0080171F">
      <w:pPr>
        <w:pStyle w:val="Naslov5"/>
      </w:pPr>
      <w:bookmarkStart w:id="55" w:name="_Toc41638234"/>
      <w:bookmarkStart w:id="56" w:name="_Toc64460685"/>
      <w:r w:rsidRPr="00D84719">
        <w:t>Prošla, sadašnja i buduća proizvodnja, uporaba, zalihe i zbrinjavanje PCB-a</w:t>
      </w:r>
      <w:bookmarkEnd w:id="55"/>
      <w:bookmarkEnd w:id="56"/>
    </w:p>
    <w:p w14:paraId="11FD4B71" w14:textId="1EE19A5C" w:rsidR="00D84719" w:rsidRPr="00D84719" w:rsidRDefault="00D84719" w:rsidP="00D84719">
      <w:pPr>
        <w:spacing w:before="80" w:line="276" w:lineRule="auto"/>
        <w:jc w:val="both"/>
        <w:rPr>
          <w:rFonts w:ascii="Times New Roman" w:eastAsia="Times New Roman" w:hAnsi="Times New Roman" w:cs="Times New Roman"/>
          <w:color w:val="000000"/>
          <w:sz w:val="24"/>
          <w:szCs w:val="24"/>
          <w:shd w:val="clear" w:color="auto" w:fill="FFFFFF"/>
        </w:rPr>
      </w:pPr>
      <w:r w:rsidRPr="00D84719">
        <w:rPr>
          <w:rFonts w:ascii="Times New Roman" w:eastAsia="Times New Roman" w:hAnsi="Times New Roman" w:cs="Times New Roman"/>
          <w:color w:val="000000"/>
          <w:sz w:val="24"/>
          <w:szCs w:val="24"/>
        </w:rPr>
        <w:t>Temeljem Direktiva Vijeća 96/59/EZ o odlaganju polikloriranih bifenila i polikloriranih terfenila (PCB/PCT) i Pravilnika o gospodarenju polikloriranim bifenilima i polikloriranim terfenilima („Narodne novine“, broj 103/14) oprema s volumenom PCB-a većim od 5 dm</w:t>
      </w:r>
      <w:r w:rsidRPr="00D84719">
        <w:rPr>
          <w:rFonts w:ascii="Times New Roman" w:eastAsia="Times New Roman" w:hAnsi="Times New Roman" w:cs="Times New Roman"/>
          <w:color w:val="000000"/>
          <w:sz w:val="24"/>
          <w:szCs w:val="24"/>
          <w:vertAlign w:val="superscript"/>
        </w:rPr>
        <w:t>3</w:t>
      </w:r>
      <w:r w:rsidRPr="00D84719">
        <w:rPr>
          <w:rFonts w:ascii="Times New Roman" w:eastAsia="Times New Roman" w:hAnsi="Times New Roman" w:cs="Times New Roman"/>
          <w:color w:val="000000"/>
          <w:sz w:val="24"/>
          <w:szCs w:val="24"/>
        </w:rPr>
        <w:t xml:space="preserve"> morala je biti dekontaminirana do 31. prosinca</w:t>
      </w:r>
      <w:r w:rsidR="001B5C46">
        <w:rPr>
          <w:rFonts w:ascii="Times New Roman" w:eastAsia="Times New Roman" w:hAnsi="Times New Roman" w:cs="Times New Roman"/>
          <w:color w:val="000000"/>
          <w:sz w:val="24"/>
          <w:szCs w:val="24"/>
        </w:rPr>
        <w:t xml:space="preserve"> 20</w:t>
      </w:r>
      <w:r w:rsidRPr="00D84719">
        <w:rPr>
          <w:rFonts w:ascii="Times New Roman" w:eastAsia="Times New Roman" w:hAnsi="Times New Roman" w:cs="Times New Roman"/>
          <w:color w:val="000000"/>
          <w:sz w:val="24"/>
          <w:szCs w:val="24"/>
        </w:rPr>
        <w:t>10</w:t>
      </w:r>
      <w:r w:rsidR="005C26BD">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 xml:space="preserve">. Ostalu opremu, nakon što su uređaji čiji je bila sastavni dio povučeni iz uporabe, potrebno je zasebno sakupiti te predati ovlaštenoj osobi na dekontaminaciju i/ili zbrinjavanje u najkraćem mogućem roku u skladu s odredbama Pravilnika i Zakona o održivom gospodarenju otpadom („Narodne novine“, br. 94/13, 73/17, 14/19 i 98/19). POPs Uredbom </w:t>
      </w:r>
      <w:r w:rsidRPr="00D84719">
        <w:rPr>
          <w:rFonts w:ascii="Times New Roman" w:eastAsia="Times New Roman" w:hAnsi="Times New Roman" w:cs="Times New Roman"/>
          <w:color w:val="000000"/>
          <w:sz w:val="24"/>
          <w:szCs w:val="24"/>
          <w:shd w:val="clear" w:color="auto" w:fill="FFFFFF"/>
        </w:rPr>
        <w:t xml:space="preserve">obvezuje se države članice da utvrđuju i uklanjaju iz uporabe opremu (npr. transformatore, kondenzatore ili druge spremnike koji sadržavaju tekućine) koja </w:t>
      </w:r>
      <w:r w:rsidRPr="00D84719">
        <w:rPr>
          <w:rFonts w:ascii="Times New Roman" w:eastAsia="Times New Roman" w:hAnsi="Times New Roman" w:cs="Times New Roman"/>
          <w:color w:val="000000"/>
          <w:sz w:val="24"/>
          <w:szCs w:val="24"/>
          <w:shd w:val="clear" w:color="auto" w:fill="FFFFFF"/>
        </w:rPr>
        <w:lastRenderedPageBreak/>
        <w:t>sadržava više od 0</w:t>
      </w:r>
      <w:r w:rsidR="00765FA2">
        <w:rPr>
          <w:rFonts w:ascii="Times New Roman" w:eastAsia="Times New Roman" w:hAnsi="Times New Roman" w:cs="Times New Roman"/>
          <w:color w:val="000000"/>
          <w:sz w:val="24"/>
          <w:szCs w:val="24"/>
          <w:shd w:val="clear" w:color="auto" w:fill="FFFFFF"/>
        </w:rPr>
        <w:t>,</w:t>
      </w:r>
      <w:r w:rsidRPr="00D84719">
        <w:rPr>
          <w:rFonts w:ascii="Times New Roman" w:eastAsia="Times New Roman" w:hAnsi="Times New Roman" w:cs="Times New Roman"/>
          <w:color w:val="000000"/>
          <w:sz w:val="24"/>
          <w:szCs w:val="24"/>
          <w:shd w:val="clear" w:color="auto" w:fill="FFFFFF"/>
        </w:rPr>
        <w:t>005</w:t>
      </w:r>
      <w:r w:rsidR="00D4589D">
        <w:rPr>
          <w:rFonts w:ascii="Times New Roman" w:eastAsia="Times New Roman" w:hAnsi="Times New Roman" w:cs="Times New Roman"/>
          <w:color w:val="000000"/>
          <w:sz w:val="24"/>
          <w:szCs w:val="24"/>
          <w:shd w:val="clear" w:color="auto" w:fill="FFFFFF"/>
        </w:rPr>
        <w:t xml:space="preserve"> %</w:t>
      </w:r>
      <w:r w:rsidRPr="00D84719">
        <w:rPr>
          <w:rFonts w:ascii="Times New Roman" w:eastAsia="Times New Roman" w:hAnsi="Times New Roman" w:cs="Times New Roman"/>
          <w:color w:val="000000"/>
          <w:sz w:val="24"/>
          <w:szCs w:val="24"/>
          <w:shd w:val="clear" w:color="auto" w:fill="FFFFFF"/>
        </w:rPr>
        <w:t xml:space="preserve"> PCB-ova i količine veće od 0</w:t>
      </w:r>
      <w:r w:rsidR="00765FA2">
        <w:rPr>
          <w:rFonts w:ascii="Times New Roman" w:eastAsia="Times New Roman" w:hAnsi="Times New Roman" w:cs="Times New Roman"/>
          <w:color w:val="000000"/>
          <w:sz w:val="24"/>
          <w:szCs w:val="24"/>
          <w:shd w:val="clear" w:color="auto" w:fill="FFFFFF"/>
        </w:rPr>
        <w:t>,</w:t>
      </w:r>
      <w:r w:rsidRPr="00D84719">
        <w:rPr>
          <w:rFonts w:ascii="Times New Roman" w:eastAsia="Times New Roman" w:hAnsi="Times New Roman" w:cs="Times New Roman"/>
          <w:color w:val="000000"/>
          <w:sz w:val="24"/>
          <w:szCs w:val="24"/>
          <w:shd w:val="clear" w:color="auto" w:fill="FFFFFF"/>
        </w:rPr>
        <w:t>05 dm</w:t>
      </w:r>
      <w:r w:rsidRPr="00D84719">
        <w:rPr>
          <w:rFonts w:ascii="Times New Roman" w:eastAsia="Times New Roman" w:hAnsi="Times New Roman" w:cs="Times New Roman"/>
          <w:color w:val="000000"/>
          <w:sz w:val="24"/>
          <w:szCs w:val="24"/>
          <w:shd w:val="clear" w:color="auto" w:fill="FFFFFF"/>
          <w:vertAlign w:val="superscript"/>
        </w:rPr>
        <w:t>3</w:t>
      </w:r>
      <w:r w:rsidRPr="00D84719">
        <w:rPr>
          <w:rFonts w:ascii="Times New Roman" w:eastAsia="Times New Roman" w:hAnsi="Times New Roman" w:cs="Times New Roman"/>
          <w:color w:val="000000"/>
          <w:sz w:val="24"/>
          <w:szCs w:val="24"/>
          <w:shd w:val="clear" w:color="auto" w:fill="FFFFFF"/>
        </w:rPr>
        <w:t>, što je prije moguće, ali najkasnije do 31. prosinca</w:t>
      </w:r>
      <w:r w:rsidR="001B5C46">
        <w:rPr>
          <w:rFonts w:ascii="Times New Roman" w:eastAsia="Times New Roman" w:hAnsi="Times New Roman" w:cs="Times New Roman"/>
          <w:color w:val="000000"/>
          <w:sz w:val="24"/>
          <w:szCs w:val="24"/>
          <w:shd w:val="clear" w:color="auto" w:fill="FFFFFF"/>
        </w:rPr>
        <w:t xml:space="preserve"> 20</w:t>
      </w:r>
      <w:r w:rsidRPr="00D84719">
        <w:rPr>
          <w:rFonts w:ascii="Times New Roman" w:eastAsia="Times New Roman" w:hAnsi="Times New Roman" w:cs="Times New Roman"/>
          <w:color w:val="000000"/>
          <w:sz w:val="24"/>
          <w:szCs w:val="24"/>
          <w:shd w:val="clear" w:color="auto" w:fill="FFFFFF"/>
        </w:rPr>
        <w:t>25</w:t>
      </w:r>
      <w:r w:rsidR="005C26BD">
        <w:rPr>
          <w:rFonts w:ascii="Times New Roman" w:eastAsia="Times New Roman" w:hAnsi="Times New Roman" w:cs="Times New Roman"/>
          <w:color w:val="000000"/>
          <w:sz w:val="24"/>
          <w:szCs w:val="24"/>
          <w:shd w:val="clear" w:color="auto" w:fill="FFFFFF"/>
        </w:rPr>
        <w:t>.</w:t>
      </w:r>
      <w:r w:rsidRPr="00D84719">
        <w:rPr>
          <w:rFonts w:ascii="Times New Roman" w:eastAsia="Times New Roman" w:hAnsi="Times New Roman" w:cs="Times New Roman"/>
          <w:color w:val="000000"/>
          <w:sz w:val="24"/>
          <w:szCs w:val="24"/>
          <w:shd w:val="clear" w:color="auto" w:fill="FFFFFF"/>
        </w:rPr>
        <w:t xml:space="preserve">. </w:t>
      </w:r>
    </w:p>
    <w:p w14:paraId="3D43E69F"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PCB-i se nisu nikad proizvodili na području Republike Hrvatske, ali je postojala proizvodnja opreme u kojoj su korištene tekućine (ulja) koje su sadržavale PCB, koja su se za te potrebe uvozila.</w:t>
      </w:r>
    </w:p>
    <w:p w14:paraId="70F340EB"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 xml:space="preserve">Uređaji koji sadrže PCB-e i tekućine s PCB-om spaljuju se isključivo u spalionicama opasnog otpada. Budući da u Republici Hrvatskoj nema odgovarajućih spalionica za ovu vrstu otpada, isti se mora isporučivati na zbrinjavanje izvan države. Na prekogranični promet otpada primjenjuju se odredbe Uredbe (EZ) broj 1013/2006 Europskog parlamenta i Vijeća o pošiljkama otpada (SL L 190, 12. 7. 2006.). Kako se radi o opasnom otpadu, prekogranični promet se odvija postupkom prethodne pisane obavijesti i odobrenja, tzv. notifikacijskim postupkom. Odobrenja za prekogranični promet otpada izdaje MINGOR. </w:t>
      </w:r>
    </w:p>
    <w:p w14:paraId="3F0E6B6F" w14:textId="77777777" w:rsidR="00D84719" w:rsidRPr="00D84719" w:rsidRDefault="00D84719" w:rsidP="00D84719">
      <w:pPr>
        <w:spacing w:before="80" w:after="120" w:line="276" w:lineRule="auto"/>
        <w:jc w:val="both"/>
        <w:rPr>
          <w:rFonts w:ascii="Times New Roman" w:eastAsia="Calibri" w:hAnsi="Times New Roman" w:cs="Times New Roman"/>
          <w:bCs/>
          <w:color w:val="000000"/>
          <w:sz w:val="24"/>
          <w:szCs w:val="24"/>
        </w:rPr>
      </w:pPr>
      <w:r w:rsidRPr="00D84719">
        <w:rPr>
          <w:rFonts w:ascii="Times New Roman" w:eastAsia="Calibri" w:hAnsi="Times New Roman" w:cs="Times New Roman"/>
          <w:color w:val="000000"/>
          <w:sz w:val="24"/>
          <w:szCs w:val="24"/>
        </w:rPr>
        <w:t>Zadnje raspoložive podatke MINGOR je izradio kori</w:t>
      </w:r>
      <w:r w:rsidRPr="00D84719">
        <w:rPr>
          <w:rFonts w:ascii="Times New Roman" w:eastAsia="Calibri" w:hAnsi="Times New Roman" w:cs="Times New Roman"/>
          <w:bCs/>
          <w:color w:val="000000"/>
          <w:sz w:val="24"/>
          <w:szCs w:val="24"/>
        </w:rPr>
        <w:t>štenjem više izvora podataka: Godišnje izvješće o dekontaminiranom/zbrinutom PCB-u, Registar onečišćavanja okoliša (ROO), Izvješće o prekograničnom prometu otpada i podaci prikupljeni/dostavljeni od evidentiranih posjednika PCB opreme. Temeljem navedenih izvora MINGOR je ažurirao podatke o posjednicima i PCB opremi (transformatori i kondenzatori) koja nije zbrinuta i PCB opremi koja je predana na zbrinjavanje (otpad koji sadrži PCB pod KB 16 02 09*) te podatke o ostalim zbrinutim otpadnim predmetima, materijalima ili tekućinama koje sadrže ili su onečišćene PCB-om (ostali otpad koji sadrži PCB pod KB 13 01 01*, KB 13 03 01*, KB 16 01 09*, KB 16 02 10* i 17 09 02*).</w:t>
      </w:r>
    </w:p>
    <w:p w14:paraId="273C691A" w14:textId="2AB85471" w:rsidR="00D84719" w:rsidRPr="00D84719" w:rsidRDefault="00D84719" w:rsidP="00D84719">
      <w:pPr>
        <w:spacing w:before="80" w:after="120" w:line="276" w:lineRule="auto"/>
        <w:jc w:val="both"/>
        <w:rPr>
          <w:rFonts w:ascii="Times New Roman" w:eastAsia="Calibri" w:hAnsi="Times New Roman" w:cs="Times New Roman"/>
          <w:color w:val="000000"/>
          <w:sz w:val="24"/>
          <w:szCs w:val="24"/>
        </w:rPr>
      </w:pPr>
      <w:r w:rsidRPr="00D84719">
        <w:rPr>
          <w:rFonts w:ascii="Times New Roman" w:eastAsia="Calibri" w:hAnsi="Times New Roman" w:cs="Times New Roman"/>
          <w:color w:val="000000"/>
          <w:sz w:val="24"/>
          <w:szCs w:val="24"/>
        </w:rPr>
        <w:t>Izvršenje obveza od siječnja</w:t>
      </w:r>
      <w:r w:rsidR="001B5C46">
        <w:rPr>
          <w:rFonts w:ascii="Times New Roman" w:eastAsia="Calibri" w:hAnsi="Times New Roman" w:cs="Times New Roman"/>
          <w:color w:val="000000"/>
          <w:sz w:val="24"/>
          <w:szCs w:val="24"/>
        </w:rPr>
        <w:t xml:space="preserve"> 20</w:t>
      </w:r>
      <w:r w:rsidRPr="00D84719">
        <w:rPr>
          <w:rFonts w:ascii="Times New Roman" w:eastAsia="Calibri" w:hAnsi="Times New Roman" w:cs="Times New Roman"/>
          <w:color w:val="000000"/>
          <w:sz w:val="24"/>
          <w:szCs w:val="24"/>
        </w:rPr>
        <w:t>08. do prosinca</w:t>
      </w:r>
      <w:r w:rsidR="001B5C46">
        <w:rPr>
          <w:rFonts w:ascii="Times New Roman" w:eastAsia="Calibri" w:hAnsi="Times New Roman" w:cs="Times New Roman"/>
          <w:color w:val="000000"/>
          <w:sz w:val="24"/>
          <w:szCs w:val="24"/>
        </w:rPr>
        <w:t xml:space="preserve"> 20</w:t>
      </w:r>
      <w:r w:rsidRPr="00D84719">
        <w:rPr>
          <w:rFonts w:ascii="Times New Roman" w:eastAsia="Calibri" w:hAnsi="Times New Roman" w:cs="Times New Roman"/>
          <w:color w:val="000000"/>
          <w:sz w:val="24"/>
          <w:szCs w:val="24"/>
        </w:rPr>
        <w:t>19</w:t>
      </w:r>
      <w:r w:rsidR="005C26BD">
        <w:rPr>
          <w:rFonts w:ascii="Times New Roman" w:eastAsia="Calibri" w:hAnsi="Times New Roman" w:cs="Times New Roman"/>
          <w:color w:val="000000"/>
          <w:sz w:val="24"/>
          <w:szCs w:val="24"/>
        </w:rPr>
        <w:t>.</w:t>
      </w:r>
      <w:r w:rsidRPr="00D84719">
        <w:rPr>
          <w:rFonts w:ascii="Times New Roman" w:eastAsia="Calibri" w:hAnsi="Times New Roman" w:cs="Times New Roman"/>
          <w:color w:val="000000"/>
          <w:sz w:val="24"/>
          <w:szCs w:val="24"/>
        </w:rPr>
        <w:t>:</w:t>
      </w:r>
    </w:p>
    <w:p w14:paraId="5398D3E0" w14:textId="6F85B7F8" w:rsidR="00D84719" w:rsidRPr="00D84719" w:rsidRDefault="00D84719" w:rsidP="00491CBA">
      <w:pPr>
        <w:numPr>
          <w:ilvl w:val="0"/>
          <w:numId w:val="27"/>
        </w:numPr>
        <w:spacing w:before="80" w:after="120" w:line="240" w:lineRule="auto"/>
        <w:contextualSpacing/>
        <w:jc w:val="both"/>
        <w:rPr>
          <w:rFonts w:ascii="Times New Roman" w:eastAsia="Calibri" w:hAnsi="Times New Roman" w:cs="Times New Roman"/>
          <w:color w:val="000000"/>
          <w:sz w:val="24"/>
          <w:szCs w:val="24"/>
        </w:rPr>
      </w:pPr>
      <w:r w:rsidRPr="00D84719">
        <w:rPr>
          <w:rFonts w:ascii="Times New Roman" w:eastAsia="Calibri" w:hAnsi="Times New Roman" w:cs="Times New Roman"/>
          <w:color w:val="000000"/>
          <w:sz w:val="24"/>
          <w:szCs w:val="24"/>
        </w:rPr>
        <w:t xml:space="preserve">od ukupno 714 t evidentirane opreme koja sadrži PCB, </w:t>
      </w:r>
      <w:r w:rsidRPr="00D84719">
        <w:rPr>
          <w:rFonts w:ascii="Times New Roman" w:eastAsia="Calibri" w:hAnsi="Times New Roman" w:cs="Times New Roman"/>
          <w:sz w:val="24"/>
          <w:szCs w:val="24"/>
        </w:rPr>
        <w:t>do prosinca</w:t>
      </w:r>
      <w:r w:rsidR="001B5C46">
        <w:rPr>
          <w:rFonts w:ascii="Times New Roman" w:eastAsia="Calibri" w:hAnsi="Times New Roman" w:cs="Times New Roman"/>
          <w:sz w:val="24"/>
          <w:szCs w:val="24"/>
        </w:rPr>
        <w:t xml:space="preserve"> 20</w:t>
      </w:r>
      <w:r w:rsidRPr="00D84719">
        <w:rPr>
          <w:rFonts w:ascii="Times New Roman" w:eastAsia="Calibri" w:hAnsi="Times New Roman" w:cs="Times New Roman"/>
          <w:sz w:val="24"/>
          <w:szCs w:val="24"/>
        </w:rPr>
        <w:t>18</w:t>
      </w:r>
      <w:r w:rsidR="005C26BD">
        <w:rPr>
          <w:rFonts w:ascii="Times New Roman" w:eastAsia="Calibri" w:hAnsi="Times New Roman" w:cs="Times New Roman"/>
          <w:sz w:val="24"/>
          <w:szCs w:val="24"/>
        </w:rPr>
        <w:t>.</w:t>
      </w:r>
      <w:r w:rsidRPr="00D84719">
        <w:rPr>
          <w:rFonts w:ascii="Times New Roman" w:eastAsia="Calibri" w:hAnsi="Times New Roman" w:cs="Times New Roman"/>
          <w:sz w:val="24"/>
          <w:szCs w:val="24"/>
        </w:rPr>
        <w:t xml:space="preserve"> zbrinuto je 538 t (75</w:t>
      </w:r>
      <w:r w:rsidR="00D4589D">
        <w:rPr>
          <w:rFonts w:ascii="Times New Roman" w:eastAsia="Calibri" w:hAnsi="Times New Roman" w:cs="Times New Roman"/>
          <w:sz w:val="24"/>
          <w:szCs w:val="24"/>
        </w:rPr>
        <w:t xml:space="preserve"> %</w:t>
      </w:r>
      <w:r w:rsidRPr="00D84719">
        <w:rPr>
          <w:rFonts w:ascii="Times New Roman" w:eastAsia="Calibri" w:hAnsi="Times New Roman" w:cs="Times New Roman"/>
          <w:sz w:val="24"/>
          <w:szCs w:val="24"/>
        </w:rPr>
        <w:t>), a preostalo je za zbrinuti 176 t (25</w:t>
      </w:r>
      <w:r w:rsidR="00D4589D">
        <w:rPr>
          <w:rFonts w:ascii="Times New Roman" w:eastAsia="Calibri" w:hAnsi="Times New Roman" w:cs="Times New Roman"/>
          <w:sz w:val="24"/>
          <w:szCs w:val="24"/>
        </w:rPr>
        <w:t xml:space="preserve"> %</w:t>
      </w:r>
      <w:r w:rsidRPr="00D84719">
        <w:rPr>
          <w:rFonts w:ascii="Times New Roman" w:eastAsia="Calibri" w:hAnsi="Times New Roman" w:cs="Times New Roman"/>
          <w:sz w:val="24"/>
          <w:szCs w:val="24"/>
        </w:rPr>
        <w:t xml:space="preserve">) dok je </w:t>
      </w:r>
      <w:r w:rsidRPr="00D84719">
        <w:rPr>
          <w:rFonts w:ascii="Times New Roman" w:eastAsia="Calibri" w:hAnsi="Times New Roman" w:cs="Times New Roman"/>
          <w:color w:val="000000"/>
          <w:sz w:val="24"/>
          <w:szCs w:val="24"/>
        </w:rPr>
        <w:t>do prosinca</w:t>
      </w:r>
      <w:r w:rsidR="001B5C46">
        <w:rPr>
          <w:rFonts w:ascii="Times New Roman" w:eastAsia="Calibri" w:hAnsi="Times New Roman" w:cs="Times New Roman"/>
          <w:color w:val="000000"/>
          <w:sz w:val="24"/>
          <w:szCs w:val="24"/>
        </w:rPr>
        <w:t xml:space="preserve"> 20</w:t>
      </w:r>
      <w:r w:rsidRPr="00D84719">
        <w:rPr>
          <w:rFonts w:ascii="Times New Roman" w:eastAsia="Calibri" w:hAnsi="Times New Roman" w:cs="Times New Roman"/>
          <w:color w:val="000000"/>
          <w:sz w:val="24"/>
          <w:szCs w:val="24"/>
        </w:rPr>
        <w:t>19</w:t>
      </w:r>
      <w:r w:rsidR="005C26BD">
        <w:rPr>
          <w:rFonts w:ascii="Times New Roman" w:eastAsia="Calibri" w:hAnsi="Times New Roman" w:cs="Times New Roman"/>
          <w:color w:val="000000"/>
          <w:sz w:val="24"/>
          <w:szCs w:val="24"/>
        </w:rPr>
        <w:t>.</w:t>
      </w:r>
      <w:r w:rsidRPr="00D84719">
        <w:rPr>
          <w:rFonts w:ascii="Times New Roman" w:eastAsia="Calibri" w:hAnsi="Times New Roman" w:cs="Times New Roman"/>
          <w:color w:val="000000"/>
          <w:sz w:val="24"/>
          <w:szCs w:val="24"/>
        </w:rPr>
        <w:t xml:space="preserve"> zbrinuto 550 t (77</w:t>
      </w:r>
      <w:r w:rsidR="00D4589D">
        <w:rPr>
          <w:rFonts w:ascii="Times New Roman" w:eastAsia="Calibri" w:hAnsi="Times New Roman" w:cs="Times New Roman"/>
          <w:color w:val="000000"/>
          <w:sz w:val="24"/>
          <w:szCs w:val="24"/>
        </w:rPr>
        <w:t xml:space="preserve"> %</w:t>
      </w:r>
      <w:r w:rsidRPr="00D84719">
        <w:rPr>
          <w:rFonts w:ascii="Times New Roman" w:eastAsia="Calibri" w:hAnsi="Times New Roman" w:cs="Times New Roman"/>
          <w:color w:val="000000"/>
          <w:sz w:val="24"/>
          <w:szCs w:val="24"/>
        </w:rPr>
        <w:t>), a preostale su za zbrinuti 164 t (23</w:t>
      </w:r>
      <w:r w:rsidR="00D4589D">
        <w:rPr>
          <w:rFonts w:ascii="Times New Roman" w:eastAsia="Calibri" w:hAnsi="Times New Roman" w:cs="Times New Roman"/>
          <w:color w:val="000000"/>
          <w:sz w:val="24"/>
          <w:szCs w:val="24"/>
        </w:rPr>
        <w:t xml:space="preserve"> %</w:t>
      </w:r>
      <w:r w:rsidRPr="00D84719">
        <w:rPr>
          <w:rFonts w:ascii="Times New Roman" w:eastAsia="Calibri" w:hAnsi="Times New Roman" w:cs="Times New Roman"/>
          <w:color w:val="000000"/>
          <w:sz w:val="24"/>
          <w:szCs w:val="24"/>
        </w:rPr>
        <w:t>) opreme koja sadrži PCB (63 transformatora i 1.623 kondenzatora), Slika 3.1-1.</w:t>
      </w:r>
    </w:p>
    <w:p w14:paraId="29051284" w14:textId="77777777" w:rsidR="00D84719" w:rsidRPr="00D84719" w:rsidRDefault="00D84719" w:rsidP="00D84719">
      <w:pPr>
        <w:spacing w:after="120" w:line="240" w:lineRule="auto"/>
        <w:contextualSpacing/>
        <w:jc w:val="both"/>
        <w:rPr>
          <w:rFonts w:ascii="Times New Roman" w:eastAsia="Calibri" w:hAnsi="Times New Roman" w:cs="Times New Roman"/>
          <w:color w:val="000000"/>
          <w:szCs w:val="24"/>
        </w:rPr>
      </w:pPr>
    </w:p>
    <w:p w14:paraId="42A41923" w14:textId="77777777" w:rsidR="00D84719" w:rsidRPr="00D84719" w:rsidRDefault="00D84719" w:rsidP="00D84719">
      <w:pPr>
        <w:spacing w:after="120" w:line="240" w:lineRule="auto"/>
        <w:contextualSpacing/>
        <w:jc w:val="both"/>
        <w:rPr>
          <w:rFonts w:ascii="Times New Roman" w:eastAsia="Calibri" w:hAnsi="Times New Roman" w:cs="Times New Roman"/>
          <w:color w:val="000000"/>
          <w:szCs w:val="24"/>
        </w:rPr>
      </w:pPr>
      <w:r w:rsidRPr="00D84719">
        <w:rPr>
          <w:rFonts w:ascii="Times New Roman" w:eastAsia="Calibri" w:hAnsi="Times New Roman" w:cs="Times New Roman"/>
          <w:noProof/>
          <w:color w:val="000000"/>
          <w:szCs w:val="24"/>
          <w:lang w:eastAsia="hr-HR"/>
        </w:rPr>
        <w:drawing>
          <wp:inline distT="0" distB="0" distL="0" distR="0" wp14:anchorId="5270EFF0" wp14:editId="51B1A0BB">
            <wp:extent cx="5151755" cy="3011805"/>
            <wp:effectExtent l="0" t="0" r="0" b="0"/>
            <wp:docPr id="5"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51755" cy="3011805"/>
                    </a:xfrm>
                    <a:prstGeom prst="rect">
                      <a:avLst/>
                    </a:prstGeom>
                    <a:noFill/>
                  </pic:spPr>
                </pic:pic>
              </a:graphicData>
            </a:graphic>
          </wp:inline>
        </w:drawing>
      </w:r>
    </w:p>
    <w:p w14:paraId="2C651C9F" w14:textId="59CCB012" w:rsidR="00D84719" w:rsidRPr="00D84719" w:rsidRDefault="00D84719" w:rsidP="00D84719">
      <w:pPr>
        <w:keepNext/>
        <w:spacing w:before="80" w:after="0" w:line="276" w:lineRule="auto"/>
        <w:jc w:val="both"/>
        <w:rPr>
          <w:rFonts w:ascii="Times New Roman" w:eastAsia="Times New Roman" w:hAnsi="Times New Roman" w:cs="Times New Roman"/>
          <w:b/>
          <w:bCs/>
          <w:i/>
          <w:sz w:val="20"/>
          <w:szCs w:val="20"/>
        </w:rPr>
      </w:pPr>
      <w:r w:rsidRPr="00D84719">
        <w:rPr>
          <w:rFonts w:ascii="Times New Roman" w:eastAsia="Times New Roman" w:hAnsi="Times New Roman" w:cs="Times New Roman"/>
          <w:b/>
          <w:bCs/>
          <w:i/>
          <w:sz w:val="20"/>
          <w:szCs w:val="20"/>
        </w:rPr>
        <w:lastRenderedPageBreak/>
        <w:t>Slika 3.1-1 Količina opreme koja sadrži PCB, evidentirana / zbrinuta / preostala za zbrinuti, po godinama, od 2008.-2019</w:t>
      </w:r>
      <w:r w:rsidR="005C26BD">
        <w:rPr>
          <w:rFonts w:ascii="Times New Roman" w:eastAsia="Times New Roman" w:hAnsi="Times New Roman" w:cs="Times New Roman"/>
          <w:b/>
          <w:bCs/>
          <w:i/>
          <w:sz w:val="20"/>
          <w:szCs w:val="20"/>
        </w:rPr>
        <w:t>.</w:t>
      </w:r>
      <w:r w:rsidRPr="00D84719">
        <w:rPr>
          <w:rFonts w:ascii="Times New Roman" w:eastAsia="Times New Roman" w:hAnsi="Times New Roman" w:cs="Times New Roman"/>
          <w:b/>
          <w:bCs/>
          <w:i/>
          <w:sz w:val="20"/>
          <w:szCs w:val="20"/>
        </w:rPr>
        <w:t xml:space="preserve"> (Izvor MINGOR 2020.)</w:t>
      </w:r>
    </w:p>
    <w:p w14:paraId="3E07CF7C" w14:textId="77777777" w:rsidR="00D84719" w:rsidRPr="00D84719" w:rsidRDefault="00D84719" w:rsidP="00D84719">
      <w:pPr>
        <w:spacing w:after="120" w:line="240" w:lineRule="auto"/>
        <w:contextualSpacing/>
        <w:jc w:val="both"/>
        <w:rPr>
          <w:rFonts w:ascii="Times New Roman" w:eastAsia="Calibri" w:hAnsi="Times New Roman" w:cs="Times New Roman"/>
          <w:color w:val="000000"/>
          <w:szCs w:val="24"/>
        </w:rPr>
      </w:pPr>
    </w:p>
    <w:p w14:paraId="4CAFAC13" w14:textId="5E9F691E" w:rsidR="00D84719" w:rsidRPr="00D84719" w:rsidRDefault="00D84719" w:rsidP="00491CBA">
      <w:pPr>
        <w:numPr>
          <w:ilvl w:val="0"/>
          <w:numId w:val="28"/>
        </w:numPr>
        <w:tabs>
          <w:tab w:val="left" w:pos="1755"/>
        </w:tabs>
        <w:autoSpaceDE w:val="0"/>
        <w:autoSpaceDN w:val="0"/>
        <w:adjustRightInd w:val="0"/>
        <w:spacing w:before="80" w:after="0" w:line="240" w:lineRule="auto"/>
        <w:jc w:val="both"/>
        <w:rPr>
          <w:rFonts w:ascii="Times New Roman" w:eastAsia="Calibri" w:hAnsi="Times New Roman" w:cs="Times New Roman"/>
          <w:sz w:val="24"/>
          <w:szCs w:val="24"/>
        </w:rPr>
      </w:pPr>
      <w:r w:rsidRPr="00D84719">
        <w:rPr>
          <w:rFonts w:ascii="Times New Roman" w:eastAsia="Calibri" w:hAnsi="Times New Roman" w:cs="Times New Roman"/>
          <w:sz w:val="24"/>
          <w:szCs w:val="24"/>
        </w:rPr>
        <w:t>od siječnja</w:t>
      </w:r>
      <w:r w:rsidR="001B5C46">
        <w:rPr>
          <w:rFonts w:ascii="Times New Roman" w:eastAsia="Calibri" w:hAnsi="Times New Roman" w:cs="Times New Roman"/>
          <w:sz w:val="24"/>
          <w:szCs w:val="24"/>
        </w:rPr>
        <w:t xml:space="preserve"> 20</w:t>
      </w:r>
      <w:r w:rsidRPr="00D84719">
        <w:rPr>
          <w:rFonts w:ascii="Times New Roman" w:eastAsia="Calibri" w:hAnsi="Times New Roman" w:cs="Times New Roman"/>
          <w:sz w:val="24"/>
          <w:szCs w:val="24"/>
        </w:rPr>
        <w:t>08</w:t>
      </w:r>
      <w:r w:rsidR="005C26BD">
        <w:rPr>
          <w:rFonts w:ascii="Times New Roman" w:eastAsia="Calibri" w:hAnsi="Times New Roman" w:cs="Times New Roman"/>
          <w:sz w:val="24"/>
          <w:szCs w:val="24"/>
        </w:rPr>
        <w:t>.</w:t>
      </w:r>
      <w:r w:rsidRPr="00D84719">
        <w:rPr>
          <w:rFonts w:ascii="Times New Roman" w:eastAsia="Calibri" w:hAnsi="Times New Roman" w:cs="Times New Roman"/>
          <w:sz w:val="24"/>
          <w:szCs w:val="24"/>
        </w:rPr>
        <w:t xml:space="preserve"> do prosinca</w:t>
      </w:r>
      <w:r w:rsidR="001B5C46">
        <w:rPr>
          <w:rFonts w:ascii="Times New Roman" w:eastAsia="Calibri" w:hAnsi="Times New Roman" w:cs="Times New Roman"/>
          <w:sz w:val="24"/>
          <w:szCs w:val="24"/>
        </w:rPr>
        <w:t xml:space="preserve"> 20</w:t>
      </w:r>
      <w:r w:rsidRPr="00D84719">
        <w:rPr>
          <w:rFonts w:ascii="Times New Roman" w:eastAsia="Calibri" w:hAnsi="Times New Roman" w:cs="Times New Roman"/>
          <w:sz w:val="24"/>
          <w:szCs w:val="24"/>
        </w:rPr>
        <w:t>18</w:t>
      </w:r>
      <w:r w:rsidR="005C26BD">
        <w:rPr>
          <w:rFonts w:ascii="Times New Roman" w:eastAsia="Calibri" w:hAnsi="Times New Roman" w:cs="Times New Roman"/>
          <w:sz w:val="24"/>
          <w:szCs w:val="24"/>
        </w:rPr>
        <w:t>.</w:t>
      </w:r>
      <w:r w:rsidRPr="00D84719">
        <w:rPr>
          <w:rFonts w:ascii="Times New Roman" w:eastAsia="Calibri" w:hAnsi="Times New Roman" w:cs="Times New Roman"/>
          <w:sz w:val="24"/>
          <w:szCs w:val="24"/>
        </w:rPr>
        <w:t xml:space="preserve"> zbrinuto je ukupno 73,90 t, a do prosinca</w:t>
      </w:r>
      <w:r w:rsidR="001B5C46">
        <w:rPr>
          <w:rFonts w:ascii="Times New Roman" w:eastAsia="Calibri" w:hAnsi="Times New Roman" w:cs="Times New Roman"/>
          <w:sz w:val="24"/>
          <w:szCs w:val="24"/>
        </w:rPr>
        <w:t xml:space="preserve"> 20</w:t>
      </w:r>
      <w:r w:rsidRPr="00D84719">
        <w:rPr>
          <w:rFonts w:ascii="Times New Roman" w:eastAsia="Calibri" w:hAnsi="Times New Roman" w:cs="Times New Roman"/>
          <w:sz w:val="24"/>
          <w:szCs w:val="24"/>
        </w:rPr>
        <w:t>19</w:t>
      </w:r>
      <w:r w:rsidR="005C26BD">
        <w:rPr>
          <w:rFonts w:ascii="Times New Roman" w:eastAsia="Calibri" w:hAnsi="Times New Roman" w:cs="Times New Roman"/>
          <w:sz w:val="24"/>
          <w:szCs w:val="24"/>
        </w:rPr>
        <w:t>.</w:t>
      </w:r>
      <w:r w:rsidRPr="00D84719">
        <w:rPr>
          <w:rFonts w:ascii="Times New Roman" w:eastAsia="Calibri" w:hAnsi="Times New Roman" w:cs="Times New Roman"/>
          <w:sz w:val="24"/>
          <w:szCs w:val="24"/>
        </w:rPr>
        <w:t xml:space="preserve"> 74,10 t ostalog otpada koji sadrži PCB (KB 13 01 01*, KB 13 03 01*, KB 16 01 09*, KB 16 02 10* i KB 17 09 02*).</w:t>
      </w:r>
    </w:p>
    <w:p w14:paraId="0A69418D" w14:textId="77777777" w:rsidR="00D84719" w:rsidRPr="00D84719" w:rsidRDefault="00D84719" w:rsidP="00D84719">
      <w:pPr>
        <w:spacing w:before="80" w:after="120" w:line="276" w:lineRule="auto"/>
        <w:jc w:val="both"/>
        <w:rPr>
          <w:rFonts w:ascii="Times New Roman" w:eastAsia="Times New Roman" w:hAnsi="Times New Roman" w:cs="Times New Roman"/>
          <w:bCs/>
          <w:color w:val="000000"/>
          <w:sz w:val="24"/>
          <w:szCs w:val="24"/>
        </w:rPr>
      </w:pPr>
      <w:r w:rsidRPr="00D84719">
        <w:rPr>
          <w:rFonts w:ascii="Times New Roman" w:eastAsia="Times New Roman" w:hAnsi="Times New Roman" w:cs="Times New Roman"/>
          <w:bCs/>
          <w:color w:val="000000"/>
          <w:sz w:val="24"/>
          <w:szCs w:val="24"/>
        </w:rPr>
        <w:t>Od ukupno 164 t opreme koja sadrži PCB preostale za zbrinuti:</w:t>
      </w:r>
    </w:p>
    <w:p w14:paraId="0304803D" w14:textId="720AD2C0" w:rsidR="00D84719" w:rsidRPr="00D84719" w:rsidRDefault="00D84719" w:rsidP="00F61CE7">
      <w:pPr>
        <w:numPr>
          <w:ilvl w:val="0"/>
          <w:numId w:val="16"/>
        </w:numPr>
        <w:tabs>
          <w:tab w:val="left" w:pos="1755"/>
        </w:tabs>
        <w:autoSpaceDE w:val="0"/>
        <w:autoSpaceDN w:val="0"/>
        <w:adjustRightInd w:val="0"/>
        <w:spacing w:before="80" w:after="0" w:line="240" w:lineRule="auto"/>
        <w:jc w:val="both"/>
        <w:rPr>
          <w:rFonts w:ascii="Times New Roman" w:eastAsia="Calibri" w:hAnsi="Times New Roman" w:cs="Times New Roman"/>
          <w:sz w:val="24"/>
          <w:szCs w:val="24"/>
        </w:rPr>
      </w:pPr>
      <w:r w:rsidRPr="00D84719">
        <w:rPr>
          <w:rFonts w:ascii="Times New Roman" w:eastAsia="Calibri" w:hAnsi="Times New Roman" w:cs="Times New Roman"/>
          <w:sz w:val="24"/>
          <w:szCs w:val="24"/>
        </w:rPr>
        <w:t>97 t (59</w:t>
      </w:r>
      <w:r w:rsidR="00D4589D">
        <w:rPr>
          <w:rFonts w:ascii="Times New Roman" w:eastAsia="Calibri" w:hAnsi="Times New Roman" w:cs="Times New Roman"/>
          <w:sz w:val="24"/>
          <w:szCs w:val="24"/>
        </w:rPr>
        <w:t xml:space="preserve"> %</w:t>
      </w:r>
      <w:r w:rsidRPr="00D84719">
        <w:rPr>
          <w:rFonts w:ascii="Times New Roman" w:eastAsia="Calibri" w:hAnsi="Times New Roman" w:cs="Times New Roman"/>
          <w:sz w:val="24"/>
          <w:szCs w:val="24"/>
        </w:rPr>
        <w:t xml:space="preserve">) opreme u posjedu je 4 tvrtke od kojih svaka ima pojedinačni udio veći od 10 t (49 t </w:t>
      </w:r>
      <w:proofErr w:type="spellStart"/>
      <w:r w:rsidRPr="00D84719">
        <w:rPr>
          <w:rFonts w:ascii="Times New Roman" w:eastAsia="Calibri" w:hAnsi="Times New Roman" w:cs="Times New Roman"/>
          <w:sz w:val="24"/>
          <w:szCs w:val="24"/>
        </w:rPr>
        <w:t>Dalit</w:t>
      </w:r>
      <w:proofErr w:type="spellEnd"/>
      <w:r w:rsidRPr="00D84719">
        <w:rPr>
          <w:rFonts w:ascii="Times New Roman" w:eastAsia="Calibri" w:hAnsi="Times New Roman" w:cs="Times New Roman"/>
          <w:sz w:val="24"/>
          <w:szCs w:val="24"/>
        </w:rPr>
        <w:t xml:space="preserve"> CORP d.d. – u stečaju; 23 t Industrogradnja-</w:t>
      </w:r>
      <w:proofErr w:type="spellStart"/>
      <w:r w:rsidRPr="00D84719">
        <w:rPr>
          <w:rFonts w:ascii="Times New Roman" w:eastAsia="Calibri" w:hAnsi="Times New Roman" w:cs="Times New Roman"/>
          <w:sz w:val="24"/>
          <w:szCs w:val="24"/>
        </w:rPr>
        <w:t>Izoind</w:t>
      </w:r>
      <w:proofErr w:type="spellEnd"/>
      <w:r w:rsidRPr="00D84719">
        <w:rPr>
          <w:rFonts w:ascii="Times New Roman" w:eastAsia="Calibri" w:hAnsi="Times New Roman" w:cs="Times New Roman"/>
          <w:sz w:val="24"/>
          <w:szCs w:val="24"/>
        </w:rPr>
        <w:t xml:space="preserve"> d.o.o. u stečaju – brisan iz popisa poslovnih subjekata; 14 t </w:t>
      </w:r>
      <w:proofErr w:type="spellStart"/>
      <w:r w:rsidRPr="00D84719">
        <w:rPr>
          <w:rFonts w:ascii="Times New Roman" w:eastAsia="Calibri" w:hAnsi="Times New Roman" w:cs="Times New Roman"/>
          <w:sz w:val="24"/>
          <w:szCs w:val="24"/>
        </w:rPr>
        <w:t>Impol</w:t>
      </w:r>
      <w:proofErr w:type="spellEnd"/>
      <w:r w:rsidRPr="00D84719">
        <w:rPr>
          <w:rFonts w:ascii="Times New Roman" w:eastAsia="Calibri" w:hAnsi="Times New Roman" w:cs="Times New Roman"/>
          <w:sz w:val="24"/>
          <w:szCs w:val="24"/>
        </w:rPr>
        <w:t xml:space="preserve">-TLM d.o.o. i 11 t </w:t>
      </w:r>
      <w:proofErr w:type="spellStart"/>
      <w:r w:rsidRPr="00D84719">
        <w:rPr>
          <w:rFonts w:ascii="Times New Roman" w:eastAsia="Calibri" w:hAnsi="Times New Roman" w:cs="Times New Roman"/>
          <w:sz w:val="24"/>
          <w:szCs w:val="24"/>
        </w:rPr>
        <w:t>Sojara</w:t>
      </w:r>
      <w:proofErr w:type="spellEnd"/>
      <w:r w:rsidRPr="00D84719">
        <w:rPr>
          <w:rFonts w:ascii="Times New Roman" w:eastAsia="Calibri" w:hAnsi="Times New Roman" w:cs="Times New Roman"/>
          <w:sz w:val="24"/>
          <w:szCs w:val="24"/>
        </w:rPr>
        <w:t xml:space="preserve"> d.o.o.)</w:t>
      </w:r>
    </w:p>
    <w:p w14:paraId="5EB8589C" w14:textId="2DC39080" w:rsidR="00D84719" w:rsidRPr="00D84719" w:rsidRDefault="00D84719" w:rsidP="00F61CE7">
      <w:pPr>
        <w:numPr>
          <w:ilvl w:val="0"/>
          <w:numId w:val="16"/>
        </w:numPr>
        <w:tabs>
          <w:tab w:val="left" w:pos="1755"/>
        </w:tabs>
        <w:autoSpaceDE w:val="0"/>
        <w:autoSpaceDN w:val="0"/>
        <w:adjustRightInd w:val="0"/>
        <w:spacing w:before="80" w:after="0" w:line="240" w:lineRule="auto"/>
        <w:jc w:val="both"/>
        <w:rPr>
          <w:rFonts w:ascii="Times New Roman" w:eastAsia="Calibri" w:hAnsi="Times New Roman" w:cs="Times New Roman"/>
          <w:sz w:val="24"/>
          <w:szCs w:val="24"/>
        </w:rPr>
      </w:pPr>
      <w:r w:rsidRPr="00D84719">
        <w:rPr>
          <w:rFonts w:ascii="Times New Roman" w:eastAsia="Calibri" w:hAnsi="Times New Roman" w:cs="Times New Roman"/>
          <w:sz w:val="24"/>
          <w:szCs w:val="24"/>
        </w:rPr>
        <w:t>67 t (41</w:t>
      </w:r>
      <w:r w:rsidR="00D4589D">
        <w:rPr>
          <w:rFonts w:ascii="Times New Roman" w:eastAsia="Calibri" w:hAnsi="Times New Roman" w:cs="Times New Roman"/>
          <w:sz w:val="24"/>
          <w:szCs w:val="24"/>
        </w:rPr>
        <w:t xml:space="preserve"> %</w:t>
      </w:r>
      <w:r w:rsidRPr="00D84719">
        <w:rPr>
          <w:rFonts w:ascii="Times New Roman" w:eastAsia="Calibri" w:hAnsi="Times New Roman" w:cs="Times New Roman"/>
          <w:sz w:val="24"/>
          <w:szCs w:val="24"/>
        </w:rPr>
        <w:t>) opreme u posjedu je 29 posjednika od kojih svaki ima pojedinačni udio manji od 10 t.</w:t>
      </w:r>
    </w:p>
    <w:p w14:paraId="612C3835" w14:textId="561AF0E7" w:rsidR="00D84719" w:rsidRPr="00D84719" w:rsidRDefault="00D84719" w:rsidP="00D84719">
      <w:pPr>
        <w:spacing w:before="80" w:line="276" w:lineRule="auto"/>
        <w:jc w:val="both"/>
        <w:rPr>
          <w:rFonts w:ascii="Times New Roman" w:eastAsia="Times New Roman" w:hAnsi="Times New Roman" w:cs="Times New Roman"/>
          <w:bCs/>
          <w:color w:val="000000"/>
          <w:sz w:val="24"/>
          <w:szCs w:val="24"/>
        </w:rPr>
      </w:pPr>
      <w:r w:rsidRPr="00D84719">
        <w:rPr>
          <w:rFonts w:ascii="Times New Roman" w:eastAsia="Times New Roman" w:hAnsi="Times New Roman" w:cs="Times New Roman"/>
          <w:color w:val="000000"/>
          <w:sz w:val="24"/>
          <w:szCs w:val="24"/>
        </w:rPr>
        <w:t>U 2018</w:t>
      </w:r>
      <w:r w:rsidR="004C449C">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 xml:space="preserve"> posjednici su predali na zbrinjavanje ukupno 4,91 t otpada koji sadrži PCB od čega 4,58 t opreme koja sadrži PCB – transformatora i kondenzatora (KB 16 02 09*) i 0,33 t ostalog otpada koji sadrži PCB (KB 13 03 01*). </w:t>
      </w:r>
      <w:r w:rsidRPr="00D84719">
        <w:rPr>
          <w:rFonts w:ascii="Times New Roman" w:eastAsia="Times New Roman" w:hAnsi="Times New Roman" w:cs="Times New Roman"/>
          <w:bCs/>
          <w:color w:val="000000"/>
          <w:sz w:val="24"/>
          <w:szCs w:val="24"/>
        </w:rPr>
        <w:t xml:space="preserve">Sukladno godišnjim izvješćima o dekontaminiranom/zbrinutom PCB-u dostavljenima </w:t>
      </w:r>
      <w:r w:rsidRPr="00D84719">
        <w:rPr>
          <w:rFonts w:ascii="Times New Roman" w:eastAsia="Times New Roman" w:hAnsi="Times New Roman" w:cs="Times New Roman"/>
          <w:color w:val="000000"/>
          <w:sz w:val="24"/>
          <w:szCs w:val="24"/>
        </w:rPr>
        <w:t>u</w:t>
      </w:r>
      <w:r w:rsidRPr="00D84719">
        <w:rPr>
          <w:rFonts w:ascii="Times New Roman" w:eastAsia="Times New Roman" w:hAnsi="Times New Roman" w:cs="Times New Roman"/>
          <w:bCs/>
          <w:color w:val="000000"/>
          <w:sz w:val="24"/>
          <w:szCs w:val="24"/>
        </w:rPr>
        <w:t xml:space="preserve"> MINGOR, evidentirano je da je u Republici Hrvatskoj u 2018</w:t>
      </w:r>
      <w:r w:rsidR="004C449C">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 xml:space="preserve"> u svrhu zbrinjavanja od posjednika preuzeto ukupno 4,91 t otpada koji sadrži PCB. Prema podacima iz Izvješća o prekograničnom prometu otpada u 2018</w:t>
      </w:r>
      <w:r w:rsidR="004C449C">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bCs/>
          <w:color w:val="000000"/>
          <w:sz w:val="24"/>
          <w:szCs w:val="24"/>
        </w:rPr>
        <w:t>izvezeno je ukupno 13,00 t otpada koji sadrži PCB.</w:t>
      </w:r>
      <w:r w:rsidRPr="00D84719">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bCs/>
          <w:color w:val="000000"/>
          <w:sz w:val="24"/>
          <w:szCs w:val="24"/>
        </w:rPr>
        <w:t>U 2018</w:t>
      </w:r>
      <w:r w:rsidR="004C449C">
        <w:rPr>
          <w:rFonts w:ascii="Times New Roman" w:eastAsia="Times New Roman" w:hAnsi="Times New Roman" w:cs="Times New Roman"/>
          <w:bCs/>
          <w:color w:val="000000"/>
          <w:sz w:val="24"/>
          <w:szCs w:val="24"/>
        </w:rPr>
        <w:t>.</w:t>
      </w:r>
      <w:r w:rsidRPr="00D84719">
        <w:rPr>
          <w:rFonts w:ascii="Times New Roman" w:eastAsia="Times New Roman" w:hAnsi="Times New Roman" w:cs="Times New Roman"/>
          <w:bCs/>
          <w:color w:val="000000"/>
          <w:sz w:val="24"/>
          <w:szCs w:val="24"/>
        </w:rPr>
        <w:t xml:space="preserve"> izvezen je i PCB otpad preuzet prethodnih godina te je iz tog razloga više PCB otpada izvezeno nego što je preuzeto od posjednika.</w:t>
      </w:r>
    </w:p>
    <w:p w14:paraId="78752A6F" w14:textId="063EC5F2" w:rsidR="00D84719" w:rsidRPr="00A166B2" w:rsidRDefault="00D84719" w:rsidP="00D84719">
      <w:pPr>
        <w:spacing w:before="80" w:line="276" w:lineRule="auto"/>
        <w:jc w:val="both"/>
        <w:rPr>
          <w:rFonts w:ascii="Times New Roman" w:eastAsia="Times New Roman" w:hAnsi="Times New Roman" w:cs="Times New Roman"/>
          <w:bCs/>
          <w:sz w:val="24"/>
          <w:szCs w:val="24"/>
        </w:rPr>
      </w:pPr>
      <w:r w:rsidRPr="00D84719">
        <w:rPr>
          <w:rFonts w:ascii="Times New Roman" w:eastAsia="Times New Roman" w:hAnsi="Times New Roman" w:cs="Times New Roman"/>
          <w:color w:val="000000"/>
          <w:sz w:val="24"/>
          <w:szCs w:val="24"/>
        </w:rPr>
        <w:t>U 2019</w:t>
      </w:r>
      <w:r w:rsidR="004C449C">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 xml:space="preserve"> posjednici su predali na zbrinjavanje ukupno 12,09 t otpada koji sadrži PCB od čega 11,89 t opreme koja sadrži PCB – transformatora i kondenzatora (KB 16 02 09*) i 0,20 t ostalog otpada koji sadrži PCB (KB 13 03 01*). </w:t>
      </w:r>
      <w:r w:rsidRPr="00D84719">
        <w:rPr>
          <w:rFonts w:ascii="Times New Roman" w:eastAsia="Times New Roman" w:hAnsi="Times New Roman" w:cs="Times New Roman"/>
          <w:bCs/>
          <w:color w:val="000000"/>
          <w:sz w:val="24"/>
          <w:szCs w:val="24"/>
        </w:rPr>
        <w:t>Sukladno godišnjim izvješćima o dekontaminiranom/zbrinutom PCB-u dostavljenima u MINGOR, evidentirano je da je u Republici Hrvatskoj u 2019</w:t>
      </w:r>
      <w:r w:rsidR="004C449C">
        <w:rPr>
          <w:rFonts w:ascii="Times New Roman" w:eastAsia="Times New Roman" w:hAnsi="Times New Roman" w:cs="Times New Roman"/>
          <w:bCs/>
          <w:color w:val="000000"/>
          <w:sz w:val="24"/>
          <w:szCs w:val="24"/>
        </w:rPr>
        <w:t>.</w:t>
      </w:r>
      <w:r w:rsidRPr="00D84719">
        <w:rPr>
          <w:rFonts w:ascii="Times New Roman" w:eastAsia="Times New Roman" w:hAnsi="Times New Roman" w:cs="Times New Roman"/>
          <w:bCs/>
          <w:color w:val="000000"/>
          <w:sz w:val="24"/>
          <w:szCs w:val="24"/>
        </w:rPr>
        <w:t xml:space="preserve"> u svrhu zbrinjavanja od posjednika preuzeto ukupno 12,09 t otpada koji sadrži PCB.</w:t>
      </w:r>
      <w:r w:rsidRPr="00D84719">
        <w:rPr>
          <w:rFonts w:ascii="Times New Roman" w:eastAsia="Times New Roman" w:hAnsi="Times New Roman" w:cs="Times New Roman"/>
          <w:color w:val="000000"/>
          <w:sz w:val="24"/>
          <w:szCs w:val="24"/>
        </w:rPr>
        <w:t xml:space="preserve"> </w:t>
      </w:r>
      <w:r w:rsidRPr="00A166B2">
        <w:rPr>
          <w:rFonts w:ascii="Times New Roman" w:eastAsia="Times New Roman" w:hAnsi="Times New Roman" w:cs="Times New Roman"/>
          <w:sz w:val="24"/>
          <w:szCs w:val="24"/>
        </w:rPr>
        <w:t>U</w:t>
      </w:r>
      <w:r w:rsidR="00D848EB" w:rsidRPr="00A166B2">
        <w:rPr>
          <w:rFonts w:ascii="Times New Roman" w:eastAsia="Times New Roman" w:hAnsi="Times New Roman" w:cs="Times New Roman"/>
          <w:sz w:val="24"/>
          <w:szCs w:val="24"/>
        </w:rPr>
        <w:t xml:space="preserve"> 2019. </w:t>
      </w:r>
      <w:r w:rsidR="00D848EB" w:rsidRPr="00A166B2">
        <w:rPr>
          <w:rFonts w:ascii="Times New Roman" w:eastAsia="Times New Roman" w:hAnsi="Times New Roman" w:cs="Times New Roman"/>
          <w:bCs/>
          <w:sz w:val="24"/>
          <w:szCs w:val="24"/>
        </w:rPr>
        <w:t xml:space="preserve">prekograničnog prometa </w:t>
      </w:r>
      <w:r w:rsidRPr="00A166B2">
        <w:rPr>
          <w:rFonts w:ascii="Times New Roman" w:eastAsia="Times New Roman" w:hAnsi="Times New Roman" w:cs="Times New Roman"/>
          <w:bCs/>
          <w:sz w:val="24"/>
          <w:szCs w:val="24"/>
        </w:rPr>
        <w:t xml:space="preserve">otpada </w:t>
      </w:r>
      <w:r w:rsidR="00D848EB" w:rsidRPr="00A166B2">
        <w:rPr>
          <w:rFonts w:ascii="Times New Roman" w:eastAsia="Times New Roman" w:hAnsi="Times New Roman" w:cs="Times New Roman"/>
          <w:bCs/>
          <w:sz w:val="24"/>
          <w:szCs w:val="24"/>
        </w:rPr>
        <w:t>nije bilo</w:t>
      </w:r>
      <w:r w:rsidRPr="00A166B2">
        <w:rPr>
          <w:rFonts w:ascii="Times New Roman" w:eastAsia="Times New Roman" w:hAnsi="Times New Roman" w:cs="Times New Roman"/>
          <w:bCs/>
          <w:sz w:val="24"/>
          <w:szCs w:val="24"/>
        </w:rPr>
        <w:t>.</w:t>
      </w:r>
    </w:p>
    <w:p w14:paraId="41E9D4B8"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Uređaji koji sadrže PCB i tekućine s PCB-om spaljuju se isključivo u spalionicama opasnog otpada. Budući da u Republici Hrvatskoj nema odgovarajućih spalionica za ovu vrstu otpada, isti se mora izvoziti na zbrinjavanje u inozemstvo. Sakupljeni otpad tvrtke izvoze po dobivanju odobrenja od MINGOR-a, u skladu s odredbama Uredbe (EZ) broj 1013/2006 Europskog parlamenta i Vijeća o pošiljkama otpada i odredbama Glave VII. Zakona o održivom gospodarenju otpadom (Narodne novine, br. 94/13, 73/17, 14/19 i 98/19).</w:t>
      </w:r>
    </w:p>
    <w:p w14:paraId="42925C01" w14:textId="6D412281"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U narednom razdoblju moguće je otežano ispunjavanje obveza dijela posjednika iz razloga što je evidentirano da su 53 t, odnosno 32</w:t>
      </w:r>
      <w:r w:rsidR="00D4589D">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PCB opreme preostale za zbrinuti u posjedu tvrtki koje su u stečaju te da je 45 t, odnosno 28</w:t>
      </w:r>
      <w:r w:rsidR="00D4589D">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u posjedu tvrtki kojima je brisan status poslovnog subjekta.</w:t>
      </w:r>
    </w:p>
    <w:p w14:paraId="03E05EF2"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S obzirom na to da se svake godine evidentira određeni broj novih posjednika PCB opreme, vjerojatnost je da i dalje postoji određeni broj tvrtki koje nisu prepoznale vlastite odgovornosti i obveze sukladno Pravilniku te se još ne nalaze na popisu posjednika.</w:t>
      </w:r>
    </w:p>
    <w:p w14:paraId="51A70F74" w14:textId="77777777" w:rsidR="00D84719" w:rsidRPr="00D84719" w:rsidRDefault="00D84719" w:rsidP="00D84719">
      <w:pPr>
        <w:spacing w:before="80" w:line="276" w:lineRule="auto"/>
        <w:jc w:val="both"/>
        <w:rPr>
          <w:rFonts w:ascii="Times New Roman" w:eastAsia="Times New Roman" w:hAnsi="Times New Roman" w:cs="Times New Roman"/>
          <w:color w:val="0000FF"/>
          <w:sz w:val="24"/>
          <w:szCs w:val="24"/>
          <w:u w:val="single"/>
        </w:rPr>
      </w:pPr>
      <w:r w:rsidRPr="00D84719">
        <w:rPr>
          <w:rFonts w:ascii="Times New Roman" w:eastAsia="Times New Roman" w:hAnsi="Times New Roman" w:cs="Times New Roman"/>
          <w:color w:val="000000"/>
          <w:sz w:val="24"/>
          <w:szCs w:val="24"/>
        </w:rPr>
        <w:lastRenderedPageBreak/>
        <w:t xml:space="preserve">Pregled podataka o izvršenju obveza sukladno Pravilniku, koja izrađuje MINGOR dostupni na mrežnim stranicama MINGOR: </w:t>
      </w:r>
      <w:hyperlink r:id="rId17" w:history="1">
        <w:r w:rsidRPr="00D84719">
          <w:rPr>
            <w:rFonts w:ascii="Times New Roman" w:eastAsia="Times New Roman" w:hAnsi="Times New Roman" w:cs="Times New Roman"/>
            <w:color w:val="0000FF"/>
            <w:sz w:val="24"/>
            <w:szCs w:val="24"/>
            <w:u w:val="single"/>
          </w:rPr>
          <w:t>http://www.haop.hr/hr/tematska-podrucja/otpad-registri-oneciscavanja-i-ostali-sektorski-pritisci/gospodarenje-otpadom-0</w:t>
        </w:r>
      </w:hyperlink>
    </w:p>
    <w:p w14:paraId="1108AF0F"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p>
    <w:p w14:paraId="153084BB" w14:textId="77777777" w:rsidR="00D84719" w:rsidRPr="00D84719" w:rsidRDefault="00D84719" w:rsidP="0080171F">
      <w:pPr>
        <w:pStyle w:val="Naslov5"/>
      </w:pPr>
      <w:bookmarkStart w:id="57" w:name="_Toc41638236"/>
      <w:bookmarkStart w:id="58" w:name="_Toc64460686"/>
      <w:r w:rsidRPr="00D84719">
        <w:t>Prostori za skladištenje i dekontaminaciju PCB-a</w:t>
      </w:r>
      <w:bookmarkEnd w:id="57"/>
      <w:bookmarkEnd w:id="58"/>
    </w:p>
    <w:p w14:paraId="0160A8D8"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U Republici Hrvatskoj postoji zakonska osnova koja određuje uvjete opremanja lokacija za skladištenje i dekontaminaciju odnosno obradu opasnog otpada pa tako i otpada s PCB-om.</w:t>
      </w:r>
    </w:p>
    <w:p w14:paraId="743A0EB4"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Privremeno skladištenje PCB-a, otpadnog PCB-a ili opreme koja sadrži PCB duže od 12 mjeseci prije postupka dekontaminacije ili postupka zbrinjavanja je zabranjeno. Mjesta na kojima se trenutno privremeno skladišti otpad su prostori unutar tvorničkog kruga diljem Republike Hrvatske ili u skladištima tvrtki koje imaju dozvolu za gospodarenjem otpadom koji sadrži PCB.</w:t>
      </w:r>
    </w:p>
    <w:p w14:paraId="7252FDFC" w14:textId="77777777" w:rsidR="00D84719" w:rsidRPr="00D84719" w:rsidRDefault="00D84719" w:rsidP="0080171F">
      <w:pPr>
        <w:pStyle w:val="Naslov5"/>
      </w:pPr>
      <w:bookmarkStart w:id="59" w:name="_Toc41638237"/>
      <w:bookmarkStart w:id="60" w:name="_Toc64460687"/>
      <w:r w:rsidRPr="00D84719">
        <w:t>Lokacije onečišćene PCB-om</w:t>
      </w:r>
      <w:bookmarkEnd w:id="59"/>
      <w:bookmarkEnd w:id="60"/>
    </w:p>
    <w:p w14:paraId="74E695D1"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Detaljniji pregled do sada utvrđenih lokacija onečišćenih PCB-om, kao i dosadašnja iskustva sanacije objekata onečišćenih PCB-om, dani su u Prvom NIP-u.</w:t>
      </w:r>
    </w:p>
    <w:p w14:paraId="4D0E7B12"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Da bi se mogla dobiti kompletna slika stanja onečišćenja tla u Republici Hrvatskoj, trebalo bi provesti sustavnu analizu svih područja za koje se sumnja da su onečišćena PCB-om.</w:t>
      </w:r>
    </w:p>
    <w:p w14:paraId="3F943D07" w14:textId="77777777" w:rsidR="00D84719" w:rsidRPr="00D84719" w:rsidRDefault="00D84719" w:rsidP="00D84719">
      <w:pPr>
        <w:spacing w:before="80" w:line="276" w:lineRule="auto"/>
        <w:jc w:val="both"/>
        <w:rPr>
          <w:rFonts w:ascii="Times New Roman" w:eastAsia="Times New Roman" w:hAnsi="Times New Roman" w:cs="Times New Roman"/>
          <w:sz w:val="24"/>
          <w:szCs w:val="24"/>
        </w:rPr>
      </w:pPr>
      <w:r w:rsidRPr="00D84719">
        <w:rPr>
          <w:rFonts w:ascii="Times New Roman" w:eastAsia="Times New Roman" w:hAnsi="Times New Roman" w:cs="Times New Roman"/>
          <w:color w:val="000000"/>
          <w:sz w:val="24"/>
          <w:szCs w:val="24"/>
        </w:rPr>
        <w:t>Na osnovi do sada provedenih istraživanja postoji sumnja u značajnije onečišćenje dvije lokacije krša PCB spojevima (</w:t>
      </w:r>
      <w:proofErr w:type="spellStart"/>
      <w:r w:rsidRPr="00D84719">
        <w:rPr>
          <w:rFonts w:ascii="Times New Roman" w:eastAsia="Times New Roman" w:hAnsi="Times New Roman" w:cs="Times New Roman"/>
          <w:color w:val="000000"/>
          <w:sz w:val="24"/>
          <w:szCs w:val="24"/>
        </w:rPr>
        <w:t>Bilice</w:t>
      </w:r>
      <w:proofErr w:type="spellEnd"/>
      <w:r w:rsidRPr="00D84719">
        <w:rPr>
          <w:rFonts w:ascii="Times New Roman" w:eastAsia="Times New Roman" w:hAnsi="Times New Roman" w:cs="Times New Roman"/>
          <w:color w:val="000000"/>
          <w:sz w:val="24"/>
          <w:szCs w:val="24"/>
        </w:rPr>
        <w:t xml:space="preserve"> i Zadar) (Izvor: Prvi NIP). U Drugom se NIP-u, kao i u ovom dokumentu, </w:t>
      </w:r>
      <w:r w:rsidRPr="00D84719">
        <w:rPr>
          <w:rFonts w:ascii="Times New Roman" w:eastAsia="Times New Roman" w:hAnsi="Times New Roman" w:cs="Times New Roman"/>
          <w:sz w:val="24"/>
          <w:szCs w:val="24"/>
        </w:rPr>
        <w:t xml:space="preserve">predlaže provedba istraživanja stvarne ugroženosti izvorišta voda i vodotoka, </w:t>
      </w:r>
      <w:proofErr w:type="spellStart"/>
      <w:r w:rsidRPr="00D84719">
        <w:rPr>
          <w:rFonts w:ascii="Times New Roman" w:eastAsia="Times New Roman" w:hAnsi="Times New Roman" w:cs="Times New Roman"/>
          <w:sz w:val="24"/>
          <w:szCs w:val="24"/>
        </w:rPr>
        <w:t>sorpcijske</w:t>
      </w:r>
      <w:proofErr w:type="spellEnd"/>
      <w:r w:rsidRPr="00D84719">
        <w:rPr>
          <w:rFonts w:ascii="Times New Roman" w:eastAsia="Times New Roman" w:hAnsi="Times New Roman" w:cs="Times New Roman"/>
          <w:sz w:val="24"/>
          <w:szCs w:val="24"/>
        </w:rPr>
        <w:t xml:space="preserve"> osobine zemljišta i mogućnosti uklanjanja PCB-a iz zemljišta i vode. </w:t>
      </w:r>
    </w:p>
    <w:p w14:paraId="34F60711" w14:textId="77777777" w:rsidR="00D84719" w:rsidRPr="00D84719" w:rsidRDefault="00D84719" w:rsidP="00D84719">
      <w:pPr>
        <w:spacing w:before="80" w:line="276" w:lineRule="auto"/>
        <w:jc w:val="both"/>
        <w:rPr>
          <w:rFonts w:ascii="Times New Roman" w:eastAsia="Times New Roman" w:hAnsi="Times New Roman" w:cs="Times New Roman"/>
          <w:color w:val="000000"/>
          <w:szCs w:val="24"/>
        </w:rPr>
      </w:pPr>
    </w:p>
    <w:p w14:paraId="5D79E2A1" w14:textId="77777777" w:rsidR="00D84719" w:rsidRPr="00D84719" w:rsidRDefault="00D84719" w:rsidP="0080171F">
      <w:pPr>
        <w:pStyle w:val="Naslov3"/>
      </w:pPr>
      <w:bookmarkStart w:id="61" w:name="_Toc41638232"/>
      <w:bookmarkStart w:id="62" w:name="_Toc64460688"/>
      <w:r w:rsidRPr="00D84719">
        <w:t>SAŽETAK BUDUĆE PROIZVODNJE, UPORABE I ISPUŠTANJA „STARIH“ POPS-OVA</w:t>
      </w:r>
      <w:bookmarkEnd w:id="61"/>
      <w:bookmarkEnd w:id="62"/>
      <w:r w:rsidRPr="00D84719">
        <w:t xml:space="preserve"> </w:t>
      </w:r>
    </w:p>
    <w:p w14:paraId="27F810F5" w14:textId="77777777" w:rsidR="00D84719" w:rsidRPr="00D84719" w:rsidRDefault="00D84719" w:rsidP="00D84719">
      <w:pPr>
        <w:spacing w:before="80" w:line="276" w:lineRule="auto"/>
        <w:jc w:val="both"/>
        <w:rPr>
          <w:rFonts w:ascii="Times New Roman" w:eastAsia="Times New Roman" w:hAnsi="Times New Roman" w:cs="Times New Roman"/>
          <w:sz w:val="24"/>
          <w:szCs w:val="24"/>
          <w:lang w:bidi="en-US"/>
        </w:rPr>
      </w:pPr>
      <w:r w:rsidRPr="00D84719">
        <w:rPr>
          <w:rFonts w:ascii="Times New Roman" w:eastAsia="Times New Roman" w:hAnsi="Times New Roman" w:cs="Times New Roman"/>
          <w:sz w:val="24"/>
          <w:szCs w:val="24"/>
          <w:lang w:bidi="en-US"/>
        </w:rPr>
        <w:t xml:space="preserve">Buduća proizvodnja se ne predviđa niti je moguća s osnove da je proizvodnja „starih“ POPs- ova zabranjena u </w:t>
      </w:r>
      <w:r w:rsidRPr="00D84719">
        <w:rPr>
          <w:rFonts w:ascii="Times New Roman" w:eastAsia="Times New Roman" w:hAnsi="Times New Roman" w:cs="Times New Roman"/>
          <w:sz w:val="24"/>
          <w:szCs w:val="24"/>
        </w:rPr>
        <w:t>Republici Hrvatskoj</w:t>
      </w:r>
      <w:r w:rsidRPr="00D84719">
        <w:rPr>
          <w:rFonts w:ascii="Times New Roman" w:eastAsia="Times New Roman" w:hAnsi="Times New Roman" w:cs="Times New Roman"/>
          <w:sz w:val="24"/>
          <w:szCs w:val="24"/>
          <w:lang w:bidi="en-US"/>
        </w:rPr>
        <w:t>.</w:t>
      </w:r>
    </w:p>
    <w:p w14:paraId="72AF5201" w14:textId="77777777" w:rsidR="00D84719" w:rsidRPr="00D84719" w:rsidRDefault="00D84719" w:rsidP="00D84719">
      <w:pPr>
        <w:keepNext/>
        <w:spacing w:before="80" w:after="0" w:line="276" w:lineRule="auto"/>
        <w:jc w:val="both"/>
        <w:rPr>
          <w:rFonts w:ascii="Times New Roman" w:eastAsia="Times New Roman" w:hAnsi="Times New Roman" w:cs="Times New Roman"/>
          <w:b/>
          <w:bCs/>
          <w:i/>
          <w:sz w:val="20"/>
          <w:szCs w:val="20"/>
        </w:rPr>
      </w:pPr>
      <w:r w:rsidRPr="00D84719">
        <w:rPr>
          <w:rFonts w:ascii="Times New Roman" w:eastAsia="Times New Roman" w:hAnsi="Times New Roman" w:cs="Times New Roman"/>
          <w:b/>
          <w:bCs/>
          <w:i/>
          <w:sz w:val="20"/>
          <w:szCs w:val="20"/>
        </w:rPr>
        <w:t xml:space="preserve">Tablica </w:t>
      </w:r>
      <w:r w:rsidRPr="00D84719">
        <w:rPr>
          <w:rFonts w:ascii="Times New Roman" w:eastAsia="Times New Roman" w:hAnsi="Times New Roman" w:cs="Times New Roman"/>
          <w:b/>
          <w:bCs/>
          <w:i/>
          <w:sz w:val="20"/>
          <w:szCs w:val="20"/>
        </w:rPr>
        <w:fldChar w:fldCharType="begin"/>
      </w:r>
      <w:r w:rsidRPr="00D84719">
        <w:rPr>
          <w:rFonts w:ascii="Times New Roman" w:eastAsia="Times New Roman" w:hAnsi="Times New Roman" w:cs="Times New Roman"/>
          <w:b/>
          <w:bCs/>
          <w:i/>
          <w:sz w:val="20"/>
          <w:szCs w:val="20"/>
        </w:rPr>
        <w:instrText xml:space="preserve"> STYLEREF 2 \s </w:instrText>
      </w:r>
      <w:r w:rsidRPr="00D84719">
        <w:rPr>
          <w:rFonts w:ascii="Times New Roman" w:eastAsia="Times New Roman" w:hAnsi="Times New Roman" w:cs="Times New Roman"/>
          <w:b/>
          <w:bCs/>
          <w:i/>
          <w:sz w:val="20"/>
          <w:szCs w:val="20"/>
        </w:rPr>
        <w:fldChar w:fldCharType="separate"/>
      </w:r>
      <w:r w:rsidRPr="00D84719">
        <w:rPr>
          <w:rFonts w:ascii="Times New Roman" w:eastAsia="Times New Roman" w:hAnsi="Times New Roman" w:cs="Times New Roman"/>
          <w:b/>
          <w:bCs/>
          <w:i/>
          <w:sz w:val="20"/>
          <w:szCs w:val="20"/>
        </w:rPr>
        <w:t>3.1</w:t>
      </w:r>
      <w:r w:rsidRPr="00D84719">
        <w:rPr>
          <w:rFonts w:ascii="Times New Roman" w:eastAsia="Times New Roman" w:hAnsi="Times New Roman" w:cs="Times New Roman"/>
          <w:b/>
          <w:bCs/>
          <w:i/>
          <w:sz w:val="20"/>
          <w:szCs w:val="20"/>
        </w:rPr>
        <w:fldChar w:fldCharType="end"/>
      </w:r>
      <w:r w:rsidRPr="00D84719">
        <w:rPr>
          <w:rFonts w:ascii="Times New Roman" w:eastAsia="Times New Roman" w:hAnsi="Times New Roman" w:cs="Times New Roman"/>
          <w:b/>
          <w:bCs/>
          <w:i/>
          <w:sz w:val="20"/>
          <w:szCs w:val="20"/>
        </w:rPr>
        <w:noBreakHyphen/>
      </w:r>
      <w:r w:rsidRPr="00D84719">
        <w:rPr>
          <w:rFonts w:ascii="Times New Roman" w:eastAsia="Times New Roman" w:hAnsi="Times New Roman" w:cs="Times New Roman"/>
          <w:b/>
          <w:bCs/>
          <w:i/>
          <w:sz w:val="20"/>
          <w:szCs w:val="20"/>
        </w:rPr>
        <w:fldChar w:fldCharType="begin"/>
      </w:r>
      <w:r w:rsidRPr="00D84719">
        <w:rPr>
          <w:rFonts w:ascii="Times New Roman" w:eastAsia="Times New Roman" w:hAnsi="Times New Roman" w:cs="Times New Roman"/>
          <w:b/>
          <w:bCs/>
          <w:i/>
          <w:sz w:val="20"/>
          <w:szCs w:val="20"/>
        </w:rPr>
        <w:instrText xml:space="preserve"> SEQ Tablica \* ARABIC \s 2 </w:instrText>
      </w:r>
      <w:r w:rsidRPr="00D84719">
        <w:rPr>
          <w:rFonts w:ascii="Times New Roman" w:eastAsia="Times New Roman" w:hAnsi="Times New Roman" w:cs="Times New Roman"/>
          <w:b/>
          <w:bCs/>
          <w:i/>
          <w:sz w:val="20"/>
          <w:szCs w:val="20"/>
        </w:rPr>
        <w:fldChar w:fldCharType="separate"/>
      </w:r>
      <w:r w:rsidRPr="00D84719">
        <w:rPr>
          <w:rFonts w:ascii="Times New Roman" w:eastAsia="Times New Roman" w:hAnsi="Times New Roman" w:cs="Times New Roman"/>
          <w:b/>
          <w:bCs/>
          <w:i/>
          <w:sz w:val="20"/>
          <w:szCs w:val="20"/>
        </w:rPr>
        <w:t>2</w:t>
      </w:r>
      <w:r w:rsidRPr="00D84719">
        <w:rPr>
          <w:rFonts w:ascii="Times New Roman" w:eastAsia="Times New Roman" w:hAnsi="Times New Roman" w:cs="Times New Roman"/>
          <w:b/>
          <w:bCs/>
          <w:i/>
          <w:sz w:val="20"/>
          <w:szCs w:val="20"/>
        </w:rPr>
        <w:fldChar w:fldCharType="end"/>
      </w:r>
      <w:r w:rsidRPr="00D84719">
        <w:rPr>
          <w:rFonts w:ascii="Times New Roman" w:eastAsia="Times New Roman" w:hAnsi="Times New Roman" w:cs="Times New Roman"/>
          <w:b/>
          <w:bCs/>
          <w:i/>
          <w:sz w:val="20"/>
          <w:szCs w:val="20"/>
        </w:rPr>
        <w:t>. Trenutna i procijenjena proizvodnja, uporaba i ispuštanje „starih“ POPs-ova</w:t>
      </w:r>
    </w:p>
    <w:tbl>
      <w:tblPr>
        <w:tblW w:w="5000" w:type="pct"/>
        <w:jc w:val="center"/>
        <w:tblLook w:val="04A0" w:firstRow="1" w:lastRow="0" w:firstColumn="1" w:lastColumn="0" w:noHBand="0" w:noVBand="1"/>
      </w:tblPr>
      <w:tblGrid>
        <w:gridCol w:w="2118"/>
        <w:gridCol w:w="665"/>
        <w:gridCol w:w="623"/>
        <w:gridCol w:w="623"/>
        <w:gridCol w:w="627"/>
        <w:gridCol w:w="626"/>
        <w:gridCol w:w="626"/>
        <w:gridCol w:w="626"/>
        <w:gridCol w:w="711"/>
        <w:gridCol w:w="1203"/>
        <w:gridCol w:w="624"/>
      </w:tblGrid>
      <w:tr w:rsidR="00D84719" w:rsidRPr="00D84719" w14:paraId="008F7D94" w14:textId="77777777" w:rsidTr="00900566">
        <w:trPr>
          <w:jc w:val="center"/>
        </w:trPr>
        <w:tc>
          <w:tcPr>
            <w:tcW w:w="1543" w:type="pct"/>
            <w:gridSpan w:val="2"/>
            <w:vMerge w:val="restart"/>
            <w:tcBorders>
              <w:top w:val="single" w:sz="4" w:space="0" w:color="auto"/>
            </w:tcBorders>
            <w:vAlign w:val="center"/>
          </w:tcPr>
          <w:p w14:paraId="4AE9E9BF" w14:textId="77777777" w:rsidR="00D84719" w:rsidRPr="00D84719" w:rsidRDefault="00D84719" w:rsidP="00D84719">
            <w:pPr>
              <w:spacing w:before="80" w:line="276" w:lineRule="auto"/>
              <w:jc w:val="center"/>
              <w:rPr>
                <w:rFonts w:ascii="Times New Roman" w:eastAsia="Times New Roman" w:hAnsi="Times New Roman" w:cs="Times New Roman"/>
                <w:b/>
                <w:bCs/>
                <w:smallCaps/>
                <w:color w:val="000000"/>
                <w:sz w:val="18"/>
                <w:szCs w:val="20"/>
              </w:rPr>
            </w:pPr>
            <w:r w:rsidRPr="00D84719">
              <w:rPr>
                <w:rFonts w:ascii="Times New Roman" w:eastAsia="Times New Roman" w:hAnsi="Times New Roman" w:cs="Times New Roman"/>
                <w:b/>
                <w:bCs/>
                <w:smallCaps/>
                <w:color w:val="000000"/>
                <w:sz w:val="18"/>
                <w:szCs w:val="20"/>
              </w:rPr>
              <w:t>Tvari</w:t>
            </w:r>
          </w:p>
        </w:tc>
        <w:tc>
          <w:tcPr>
            <w:tcW w:w="1046" w:type="pct"/>
            <w:gridSpan w:val="3"/>
            <w:tcBorders>
              <w:top w:val="single" w:sz="4" w:space="0" w:color="auto"/>
              <w:bottom w:val="dashSmallGap" w:sz="4" w:space="0" w:color="auto"/>
            </w:tcBorders>
            <w:vAlign w:val="center"/>
          </w:tcPr>
          <w:p w14:paraId="0AB9281F" w14:textId="77777777" w:rsidR="00D84719" w:rsidRPr="00D84719" w:rsidRDefault="00D84719" w:rsidP="00D84719">
            <w:pPr>
              <w:spacing w:before="80" w:line="276" w:lineRule="auto"/>
              <w:jc w:val="center"/>
              <w:rPr>
                <w:rFonts w:ascii="Times New Roman" w:eastAsia="Times New Roman" w:hAnsi="Times New Roman" w:cs="Times New Roman"/>
                <w:b/>
                <w:bCs/>
                <w:smallCaps/>
                <w:color w:val="000000"/>
                <w:sz w:val="18"/>
                <w:szCs w:val="20"/>
              </w:rPr>
            </w:pPr>
            <w:r w:rsidRPr="00D84719">
              <w:rPr>
                <w:rFonts w:ascii="Times New Roman" w:eastAsia="Times New Roman" w:hAnsi="Times New Roman" w:cs="Times New Roman"/>
                <w:b/>
                <w:bCs/>
                <w:smallCaps/>
                <w:color w:val="000000"/>
                <w:sz w:val="18"/>
                <w:szCs w:val="20"/>
              </w:rPr>
              <w:t>Proizvodnja (tona)</w:t>
            </w:r>
          </w:p>
        </w:tc>
        <w:tc>
          <w:tcPr>
            <w:tcW w:w="1047" w:type="pct"/>
            <w:gridSpan w:val="3"/>
            <w:tcBorders>
              <w:top w:val="single" w:sz="4" w:space="0" w:color="auto"/>
              <w:bottom w:val="dashSmallGap" w:sz="4" w:space="0" w:color="auto"/>
            </w:tcBorders>
            <w:vAlign w:val="center"/>
          </w:tcPr>
          <w:p w14:paraId="7C44D7AB" w14:textId="77777777" w:rsidR="00D84719" w:rsidRPr="00D84719" w:rsidRDefault="00D84719" w:rsidP="00D84719">
            <w:pPr>
              <w:spacing w:before="80" w:line="276" w:lineRule="auto"/>
              <w:jc w:val="center"/>
              <w:rPr>
                <w:rFonts w:ascii="Times New Roman" w:eastAsia="Times New Roman" w:hAnsi="Times New Roman" w:cs="Times New Roman"/>
                <w:b/>
                <w:bCs/>
                <w:smallCaps/>
                <w:color w:val="000000"/>
                <w:sz w:val="18"/>
                <w:szCs w:val="20"/>
              </w:rPr>
            </w:pPr>
            <w:r w:rsidRPr="00D84719">
              <w:rPr>
                <w:rFonts w:ascii="Times New Roman" w:eastAsia="Times New Roman" w:hAnsi="Times New Roman" w:cs="Times New Roman"/>
                <w:b/>
                <w:bCs/>
                <w:smallCaps/>
                <w:color w:val="000000"/>
                <w:sz w:val="18"/>
                <w:szCs w:val="20"/>
              </w:rPr>
              <w:t>Uporaba (tona)</w:t>
            </w:r>
          </w:p>
        </w:tc>
        <w:tc>
          <w:tcPr>
            <w:tcW w:w="1365" w:type="pct"/>
            <w:gridSpan w:val="3"/>
            <w:tcBorders>
              <w:top w:val="single" w:sz="4" w:space="0" w:color="auto"/>
              <w:bottom w:val="dashSmallGap" w:sz="4" w:space="0" w:color="auto"/>
            </w:tcBorders>
            <w:vAlign w:val="center"/>
          </w:tcPr>
          <w:p w14:paraId="7812B3FA" w14:textId="77777777" w:rsidR="00D84719" w:rsidRPr="00D84719" w:rsidRDefault="00D84719" w:rsidP="00D84719">
            <w:pPr>
              <w:spacing w:before="80" w:line="276" w:lineRule="auto"/>
              <w:jc w:val="center"/>
              <w:rPr>
                <w:rFonts w:ascii="Times New Roman" w:eastAsia="Times New Roman" w:hAnsi="Times New Roman" w:cs="Times New Roman"/>
                <w:b/>
                <w:bCs/>
                <w:smallCaps/>
                <w:color w:val="000000"/>
                <w:sz w:val="18"/>
                <w:szCs w:val="20"/>
              </w:rPr>
            </w:pPr>
            <w:r w:rsidRPr="00D84719">
              <w:rPr>
                <w:rFonts w:ascii="Times New Roman" w:eastAsia="Times New Roman" w:hAnsi="Times New Roman" w:cs="Times New Roman"/>
                <w:b/>
                <w:bCs/>
                <w:smallCaps/>
                <w:color w:val="000000"/>
                <w:sz w:val="18"/>
                <w:szCs w:val="20"/>
              </w:rPr>
              <w:t>Zalihe (tona)</w:t>
            </w:r>
          </w:p>
        </w:tc>
      </w:tr>
      <w:tr w:rsidR="00D84719" w:rsidRPr="00D84719" w14:paraId="196DDE3C" w14:textId="77777777" w:rsidTr="00900566">
        <w:trPr>
          <w:jc w:val="center"/>
        </w:trPr>
        <w:tc>
          <w:tcPr>
            <w:tcW w:w="1543" w:type="pct"/>
            <w:gridSpan w:val="2"/>
            <w:vMerge/>
            <w:tcBorders>
              <w:bottom w:val="single" w:sz="4" w:space="0" w:color="auto"/>
            </w:tcBorders>
            <w:vAlign w:val="center"/>
          </w:tcPr>
          <w:p w14:paraId="1BD13EB4" w14:textId="77777777" w:rsidR="00D84719" w:rsidRPr="00D84719" w:rsidRDefault="00D84719" w:rsidP="00D84719">
            <w:pPr>
              <w:spacing w:before="80" w:line="276" w:lineRule="auto"/>
              <w:jc w:val="both"/>
              <w:rPr>
                <w:rFonts w:ascii="Times New Roman" w:eastAsia="Times New Roman" w:hAnsi="Times New Roman" w:cs="Times New Roman"/>
                <w:b/>
                <w:bCs/>
                <w:smallCaps/>
                <w:color w:val="000000"/>
                <w:sz w:val="18"/>
                <w:szCs w:val="20"/>
              </w:rPr>
            </w:pPr>
          </w:p>
        </w:tc>
        <w:tc>
          <w:tcPr>
            <w:tcW w:w="348" w:type="pct"/>
            <w:tcBorders>
              <w:top w:val="dashSmallGap" w:sz="4" w:space="0" w:color="auto"/>
              <w:bottom w:val="single" w:sz="4" w:space="0" w:color="auto"/>
            </w:tcBorders>
            <w:vAlign w:val="center"/>
          </w:tcPr>
          <w:p w14:paraId="455F521D" w14:textId="77777777" w:rsidR="00D84719" w:rsidRPr="00D84719" w:rsidRDefault="00D84719" w:rsidP="00D84719">
            <w:pPr>
              <w:spacing w:before="80" w:line="276" w:lineRule="auto"/>
              <w:jc w:val="center"/>
              <w:rPr>
                <w:rFonts w:ascii="Times New Roman" w:eastAsia="Times New Roman" w:hAnsi="Times New Roman" w:cs="Times New Roman"/>
                <w:b/>
                <w:bCs/>
                <w:smallCaps/>
                <w:color w:val="000000"/>
                <w:sz w:val="18"/>
                <w:szCs w:val="18"/>
              </w:rPr>
            </w:pPr>
            <w:r w:rsidRPr="00D84719">
              <w:rPr>
                <w:rFonts w:ascii="Times New Roman" w:eastAsia="Times New Roman" w:hAnsi="Times New Roman" w:cs="Times New Roman"/>
                <w:b/>
                <w:bCs/>
                <w:smallCaps/>
                <w:color w:val="000000"/>
                <w:sz w:val="18"/>
                <w:szCs w:val="18"/>
              </w:rPr>
              <w:t>2005.</w:t>
            </w:r>
          </w:p>
        </w:tc>
        <w:tc>
          <w:tcPr>
            <w:tcW w:w="348" w:type="pct"/>
            <w:tcBorders>
              <w:top w:val="dashSmallGap" w:sz="4" w:space="0" w:color="auto"/>
              <w:bottom w:val="single" w:sz="4" w:space="0" w:color="auto"/>
            </w:tcBorders>
            <w:vAlign w:val="center"/>
          </w:tcPr>
          <w:p w14:paraId="74DDF5E4" w14:textId="77777777" w:rsidR="00D84719" w:rsidRPr="00D84719" w:rsidRDefault="00D84719" w:rsidP="00D84719">
            <w:pPr>
              <w:spacing w:before="80" w:line="276" w:lineRule="auto"/>
              <w:jc w:val="center"/>
              <w:rPr>
                <w:rFonts w:ascii="Times New Roman" w:eastAsia="Times New Roman" w:hAnsi="Times New Roman" w:cs="Times New Roman"/>
                <w:b/>
                <w:bCs/>
                <w:smallCaps/>
                <w:color w:val="000000"/>
                <w:sz w:val="18"/>
                <w:szCs w:val="18"/>
              </w:rPr>
            </w:pPr>
            <w:r w:rsidRPr="00D84719">
              <w:rPr>
                <w:rFonts w:ascii="Times New Roman" w:eastAsia="Times New Roman" w:hAnsi="Times New Roman" w:cs="Times New Roman"/>
                <w:b/>
                <w:bCs/>
                <w:smallCaps/>
                <w:color w:val="000000"/>
                <w:sz w:val="18"/>
                <w:szCs w:val="18"/>
              </w:rPr>
              <w:t>2019.</w:t>
            </w:r>
          </w:p>
        </w:tc>
        <w:tc>
          <w:tcPr>
            <w:tcW w:w="349" w:type="pct"/>
            <w:tcBorders>
              <w:top w:val="dashSmallGap" w:sz="4" w:space="0" w:color="auto"/>
              <w:bottom w:val="single" w:sz="4" w:space="0" w:color="auto"/>
            </w:tcBorders>
            <w:vAlign w:val="center"/>
          </w:tcPr>
          <w:p w14:paraId="022F1BC6" w14:textId="77777777" w:rsidR="00D84719" w:rsidRPr="00D84719" w:rsidRDefault="00D84719" w:rsidP="00D84719">
            <w:pPr>
              <w:spacing w:before="80" w:line="276" w:lineRule="auto"/>
              <w:jc w:val="center"/>
              <w:rPr>
                <w:rFonts w:ascii="Times New Roman" w:eastAsia="Times New Roman" w:hAnsi="Times New Roman" w:cs="Times New Roman"/>
                <w:b/>
                <w:bCs/>
                <w:smallCaps/>
                <w:color w:val="000000"/>
                <w:sz w:val="18"/>
                <w:szCs w:val="18"/>
              </w:rPr>
            </w:pPr>
            <w:r w:rsidRPr="00D84719">
              <w:rPr>
                <w:rFonts w:ascii="Times New Roman" w:eastAsia="Times New Roman" w:hAnsi="Times New Roman" w:cs="Times New Roman"/>
                <w:b/>
                <w:bCs/>
                <w:smallCaps/>
                <w:color w:val="000000"/>
                <w:sz w:val="18"/>
                <w:szCs w:val="18"/>
              </w:rPr>
              <w:t>2030.</w:t>
            </w:r>
          </w:p>
        </w:tc>
        <w:tc>
          <w:tcPr>
            <w:tcW w:w="349" w:type="pct"/>
            <w:tcBorders>
              <w:top w:val="dashSmallGap" w:sz="4" w:space="0" w:color="auto"/>
              <w:bottom w:val="single" w:sz="4" w:space="0" w:color="auto"/>
            </w:tcBorders>
            <w:vAlign w:val="center"/>
          </w:tcPr>
          <w:p w14:paraId="64493CCA" w14:textId="77777777" w:rsidR="00D84719" w:rsidRPr="00D84719" w:rsidRDefault="00D84719" w:rsidP="00D84719">
            <w:pPr>
              <w:spacing w:before="80" w:line="276" w:lineRule="auto"/>
              <w:jc w:val="center"/>
              <w:rPr>
                <w:rFonts w:ascii="Times New Roman" w:eastAsia="Times New Roman" w:hAnsi="Times New Roman" w:cs="Times New Roman"/>
                <w:b/>
                <w:bCs/>
                <w:smallCaps/>
                <w:color w:val="000000"/>
                <w:sz w:val="18"/>
                <w:szCs w:val="18"/>
              </w:rPr>
            </w:pPr>
            <w:r w:rsidRPr="00D84719">
              <w:rPr>
                <w:rFonts w:ascii="Times New Roman" w:eastAsia="Times New Roman" w:hAnsi="Times New Roman" w:cs="Times New Roman"/>
                <w:b/>
                <w:bCs/>
                <w:smallCaps/>
                <w:color w:val="000000"/>
                <w:sz w:val="18"/>
                <w:szCs w:val="18"/>
              </w:rPr>
              <w:t>2005.</w:t>
            </w:r>
          </w:p>
        </w:tc>
        <w:tc>
          <w:tcPr>
            <w:tcW w:w="349" w:type="pct"/>
            <w:tcBorders>
              <w:top w:val="dashSmallGap" w:sz="4" w:space="0" w:color="auto"/>
              <w:bottom w:val="single" w:sz="4" w:space="0" w:color="auto"/>
            </w:tcBorders>
            <w:vAlign w:val="center"/>
          </w:tcPr>
          <w:p w14:paraId="68AE049F" w14:textId="77777777" w:rsidR="00D84719" w:rsidRPr="00D84719" w:rsidRDefault="00D84719" w:rsidP="00D84719">
            <w:pPr>
              <w:spacing w:before="80" w:line="276" w:lineRule="auto"/>
              <w:jc w:val="center"/>
              <w:rPr>
                <w:rFonts w:ascii="Times New Roman" w:eastAsia="Times New Roman" w:hAnsi="Times New Roman" w:cs="Times New Roman"/>
                <w:b/>
                <w:bCs/>
                <w:smallCaps/>
                <w:color w:val="000000"/>
                <w:sz w:val="18"/>
                <w:szCs w:val="18"/>
              </w:rPr>
            </w:pPr>
            <w:r w:rsidRPr="00D84719">
              <w:rPr>
                <w:rFonts w:ascii="Times New Roman" w:eastAsia="Times New Roman" w:hAnsi="Times New Roman" w:cs="Times New Roman"/>
                <w:b/>
                <w:bCs/>
                <w:smallCaps/>
                <w:color w:val="000000"/>
                <w:sz w:val="18"/>
                <w:szCs w:val="18"/>
              </w:rPr>
              <w:t>2019.</w:t>
            </w:r>
          </w:p>
        </w:tc>
        <w:tc>
          <w:tcPr>
            <w:tcW w:w="349" w:type="pct"/>
            <w:tcBorders>
              <w:top w:val="dashSmallGap" w:sz="4" w:space="0" w:color="auto"/>
              <w:bottom w:val="single" w:sz="4" w:space="0" w:color="auto"/>
            </w:tcBorders>
            <w:vAlign w:val="center"/>
          </w:tcPr>
          <w:p w14:paraId="76F4468A" w14:textId="77777777" w:rsidR="00D84719" w:rsidRPr="00D84719" w:rsidRDefault="00D84719" w:rsidP="00D84719">
            <w:pPr>
              <w:spacing w:before="80" w:line="276" w:lineRule="auto"/>
              <w:jc w:val="center"/>
              <w:rPr>
                <w:rFonts w:ascii="Times New Roman" w:eastAsia="Times New Roman" w:hAnsi="Times New Roman" w:cs="Times New Roman"/>
                <w:b/>
                <w:bCs/>
                <w:smallCaps/>
                <w:color w:val="000000"/>
                <w:sz w:val="18"/>
                <w:szCs w:val="18"/>
              </w:rPr>
            </w:pPr>
            <w:r w:rsidRPr="00D84719">
              <w:rPr>
                <w:rFonts w:ascii="Times New Roman" w:eastAsia="Times New Roman" w:hAnsi="Times New Roman" w:cs="Times New Roman"/>
                <w:b/>
                <w:bCs/>
                <w:smallCaps/>
                <w:color w:val="000000"/>
                <w:sz w:val="18"/>
                <w:szCs w:val="18"/>
              </w:rPr>
              <w:t>2030.</w:t>
            </w:r>
          </w:p>
        </w:tc>
        <w:tc>
          <w:tcPr>
            <w:tcW w:w="349" w:type="pct"/>
            <w:tcBorders>
              <w:top w:val="dashSmallGap" w:sz="4" w:space="0" w:color="auto"/>
              <w:bottom w:val="single" w:sz="4" w:space="0" w:color="auto"/>
            </w:tcBorders>
            <w:vAlign w:val="center"/>
          </w:tcPr>
          <w:p w14:paraId="144302DD" w14:textId="77777777" w:rsidR="00D84719" w:rsidRPr="00D84719" w:rsidRDefault="00D84719" w:rsidP="00D84719">
            <w:pPr>
              <w:spacing w:before="80" w:line="276" w:lineRule="auto"/>
              <w:jc w:val="center"/>
              <w:rPr>
                <w:rFonts w:ascii="Times New Roman" w:eastAsia="Times New Roman" w:hAnsi="Times New Roman" w:cs="Times New Roman"/>
                <w:b/>
                <w:bCs/>
                <w:smallCaps/>
                <w:color w:val="000000"/>
                <w:sz w:val="18"/>
                <w:szCs w:val="18"/>
              </w:rPr>
            </w:pPr>
            <w:r w:rsidRPr="00D84719">
              <w:rPr>
                <w:rFonts w:ascii="Times New Roman" w:eastAsia="Times New Roman" w:hAnsi="Times New Roman" w:cs="Times New Roman"/>
                <w:b/>
                <w:bCs/>
                <w:smallCaps/>
                <w:color w:val="000000"/>
                <w:sz w:val="18"/>
                <w:szCs w:val="18"/>
              </w:rPr>
              <w:t>2005.</w:t>
            </w:r>
          </w:p>
        </w:tc>
        <w:tc>
          <w:tcPr>
            <w:tcW w:w="667" w:type="pct"/>
            <w:tcBorders>
              <w:top w:val="dashSmallGap" w:sz="4" w:space="0" w:color="auto"/>
              <w:bottom w:val="single" w:sz="4" w:space="0" w:color="auto"/>
            </w:tcBorders>
            <w:vAlign w:val="center"/>
          </w:tcPr>
          <w:p w14:paraId="69D18CF5" w14:textId="77777777" w:rsidR="00D84719" w:rsidRPr="00D84719" w:rsidRDefault="00D84719" w:rsidP="00D84719">
            <w:pPr>
              <w:spacing w:before="80" w:line="276" w:lineRule="auto"/>
              <w:jc w:val="center"/>
              <w:rPr>
                <w:rFonts w:ascii="Times New Roman" w:eastAsia="Times New Roman" w:hAnsi="Times New Roman" w:cs="Times New Roman"/>
                <w:b/>
                <w:bCs/>
                <w:smallCaps/>
                <w:color w:val="000000"/>
                <w:sz w:val="18"/>
                <w:szCs w:val="18"/>
              </w:rPr>
            </w:pPr>
            <w:r w:rsidRPr="00D84719">
              <w:rPr>
                <w:rFonts w:ascii="Times New Roman" w:eastAsia="Times New Roman" w:hAnsi="Times New Roman" w:cs="Times New Roman"/>
                <w:b/>
                <w:bCs/>
                <w:smallCaps/>
                <w:color w:val="000000"/>
                <w:sz w:val="18"/>
                <w:szCs w:val="18"/>
              </w:rPr>
              <w:t>2019.</w:t>
            </w:r>
          </w:p>
        </w:tc>
        <w:tc>
          <w:tcPr>
            <w:tcW w:w="348" w:type="pct"/>
            <w:tcBorders>
              <w:top w:val="dashSmallGap" w:sz="4" w:space="0" w:color="auto"/>
              <w:bottom w:val="single" w:sz="4" w:space="0" w:color="auto"/>
            </w:tcBorders>
            <w:vAlign w:val="center"/>
          </w:tcPr>
          <w:p w14:paraId="27198772" w14:textId="77777777" w:rsidR="00D84719" w:rsidRPr="00D84719" w:rsidRDefault="00D84719" w:rsidP="00D84719">
            <w:pPr>
              <w:spacing w:before="80" w:line="276" w:lineRule="auto"/>
              <w:jc w:val="center"/>
              <w:rPr>
                <w:rFonts w:ascii="Times New Roman" w:eastAsia="Times New Roman" w:hAnsi="Times New Roman" w:cs="Times New Roman"/>
                <w:b/>
                <w:bCs/>
                <w:smallCaps/>
                <w:color w:val="000000"/>
                <w:sz w:val="18"/>
                <w:szCs w:val="18"/>
              </w:rPr>
            </w:pPr>
            <w:r w:rsidRPr="00D84719">
              <w:rPr>
                <w:rFonts w:ascii="Times New Roman" w:eastAsia="Times New Roman" w:hAnsi="Times New Roman" w:cs="Times New Roman"/>
                <w:b/>
                <w:bCs/>
                <w:smallCaps/>
                <w:color w:val="000000"/>
                <w:sz w:val="18"/>
                <w:szCs w:val="18"/>
              </w:rPr>
              <w:t>2030.</w:t>
            </w:r>
          </w:p>
        </w:tc>
      </w:tr>
      <w:tr w:rsidR="00D84719" w:rsidRPr="00D84719" w14:paraId="76E048E3" w14:textId="77777777" w:rsidTr="00900566">
        <w:trPr>
          <w:jc w:val="center"/>
        </w:trPr>
        <w:tc>
          <w:tcPr>
            <w:tcW w:w="1543" w:type="pct"/>
            <w:gridSpan w:val="2"/>
            <w:tcBorders>
              <w:top w:val="single" w:sz="4" w:space="0" w:color="auto"/>
              <w:bottom w:val="dotted" w:sz="4" w:space="0" w:color="auto"/>
            </w:tcBorders>
            <w:vAlign w:val="center"/>
          </w:tcPr>
          <w:p w14:paraId="26F351A8" w14:textId="77777777" w:rsidR="00D84719" w:rsidRPr="00900566" w:rsidRDefault="00900566" w:rsidP="00900566">
            <w:pPr>
              <w:spacing w:after="0" w:line="240" w:lineRule="auto"/>
              <w:rPr>
                <w:rFonts w:ascii="Times New Roman" w:eastAsia="Times New Roman" w:hAnsi="Times New Roman" w:cs="Times New Roman"/>
                <w:b/>
                <w:bCs/>
                <w:color w:val="000000"/>
                <w:sz w:val="14"/>
                <w:szCs w:val="20"/>
              </w:rPr>
            </w:pPr>
            <w:r w:rsidRPr="00900566">
              <w:rPr>
                <w:rFonts w:ascii="Times New Roman" w:eastAsia="Times New Roman" w:hAnsi="Times New Roman" w:cs="Times New Roman"/>
                <w:b/>
                <w:bCs/>
                <w:color w:val="000000"/>
                <w:sz w:val="14"/>
                <w:szCs w:val="20"/>
              </w:rPr>
              <w:t xml:space="preserve">PESTICIDI NAVEDENI U DODATKU </w:t>
            </w:r>
            <w:r w:rsidR="00A64981">
              <w:rPr>
                <w:rFonts w:ascii="Times New Roman" w:eastAsia="Times New Roman" w:hAnsi="Times New Roman" w:cs="Times New Roman"/>
                <w:b/>
                <w:bCs/>
                <w:color w:val="000000"/>
                <w:sz w:val="14"/>
                <w:szCs w:val="20"/>
              </w:rPr>
              <w:t>A</w:t>
            </w:r>
            <w:r w:rsidRPr="00900566">
              <w:rPr>
                <w:rFonts w:ascii="Times New Roman" w:eastAsia="Times New Roman" w:hAnsi="Times New Roman" w:cs="Times New Roman"/>
                <w:b/>
                <w:bCs/>
                <w:color w:val="000000"/>
                <w:sz w:val="14"/>
                <w:szCs w:val="20"/>
              </w:rPr>
              <w:t xml:space="preserve"> STOCKHOLMSKE KONVENCIJE</w:t>
            </w:r>
          </w:p>
        </w:tc>
        <w:tc>
          <w:tcPr>
            <w:tcW w:w="348" w:type="pct"/>
            <w:tcBorders>
              <w:top w:val="single" w:sz="4" w:space="0" w:color="auto"/>
              <w:bottom w:val="dotted" w:sz="4" w:space="0" w:color="auto"/>
            </w:tcBorders>
            <w:vAlign w:val="center"/>
          </w:tcPr>
          <w:p w14:paraId="5F9053CD" w14:textId="77777777" w:rsidR="00D84719" w:rsidRPr="00D84719" w:rsidRDefault="00D84719" w:rsidP="00D84719">
            <w:pPr>
              <w:spacing w:after="0" w:line="276" w:lineRule="auto"/>
              <w:jc w:val="center"/>
              <w:rPr>
                <w:rFonts w:ascii="Times New Roman" w:eastAsia="Times New Roman" w:hAnsi="Times New Roman" w:cs="Times New Roman"/>
                <w:b/>
                <w:bCs/>
                <w:smallCaps/>
                <w:color w:val="000000"/>
                <w:sz w:val="18"/>
                <w:szCs w:val="20"/>
              </w:rPr>
            </w:pPr>
            <w:r w:rsidRPr="00D84719">
              <w:rPr>
                <w:rFonts w:ascii="Times New Roman" w:eastAsia="Times New Roman" w:hAnsi="Times New Roman" w:cs="Times New Roman"/>
                <w:b/>
                <w:bCs/>
                <w:smallCaps/>
                <w:color w:val="000000"/>
                <w:sz w:val="18"/>
                <w:szCs w:val="20"/>
              </w:rPr>
              <w:t>0</w:t>
            </w:r>
          </w:p>
        </w:tc>
        <w:tc>
          <w:tcPr>
            <w:tcW w:w="348" w:type="pct"/>
            <w:tcBorders>
              <w:top w:val="single" w:sz="4" w:space="0" w:color="auto"/>
              <w:bottom w:val="dotted" w:sz="4" w:space="0" w:color="auto"/>
            </w:tcBorders>
            <w:vAlign w:val="center"/>
          </w:tcPr>
          <w:p w14:paraId="3EEBBB09" w14:textId="77777777" w:rsidR="00D84719" w:rsidRPr="00D84719" w:rsidRDefault="00D84719" w:rsidP="00D84719">
            <w:pPr>
              <w:spacing w:after="0" w:line="276" w:lineRule="auto"/>
              <w:jc w:val="center"/>
              <w:rPr>
                <w:rFonts w:ascii="Times New Roman" w:eastAsia="Times New Roman" w:hAnsi="Times New Roman" w:cs="Times New Roman"/>
                <w:b/>
                <w:bCs/>
                <w:smallCaps/>
                <w:color w:val="000000"/>
                <w:sz w:val="18"/>
                <w:szCs w:val="20"/>
              </w:rPr>
            </w:pPr>
            <w:r w:rsidRPr="00D84719">
              <w:rPr>
                <w:rFonts w:ascii="Times New Roman" w:eastAsia="Times New Roman" w:hAnsi="Times New Roman" w:cs="Times New Roman"/>
                <w:b/>
                <w:bCs/>
                <w:smallCaps/>
                <w:color w:val="000000"/>
                <w:sz w:val="18"/>
                <w:szCs w:val="20"/>
              </w:rPr>
              <w:t>0</w:t>
            </w:r>
          </w:p>
        </w:tc>
        <w:tc>
          <w:tcPr>
            <w:tcW w:w="349" w:type="pct"/>
            <w:tcBorders>
              <w:top w:val="single" w:sz="4" w:space="0" w:color="auto"/>
              <w:bottom w:val="dotted" w:sz="4" w:space="0" w:color="auto"/>
            </w:tcBorders>
            <w:vAlign w:val="center"/>
          </w:tcPr>
          <w:p w14:paraId="747320C2" w14:textId="77777777" w:rsidR="00D84719" w:rsidRPr="00D84719" w:rsidRDefault="00D84719" w:rsidP="00D84719">
            <w:pPr>
              <w:spacing w:after="0" w:line="276" w:lineRule="auto"/>
              <w:jc w:val="center"/>
              <w:rPr>
                <w:rFonts w:ascii="Times New Roman" w:eastAsia="Times New Roman" w:hAnsi="Times New Roman" w:cs="Times New Roman"/>
                <w:b/>
                <w:bCs/>
                <w:smallCaps/>
                <w:color w:val="000000"/>
                <w:sz w:val="18"/>
                <w:szCs w:val="20"/>
              </w:rPr>
            </w:pPr>
            <w:r w:rsidRPr="00D84719">
              <w:rPr>
                <w:rFonts w:ascii="Times New Roman" w:eastAsia="Times New Roman" w:hAnsi="Times New Roman" w:cs="Times New Roman"/>
                <w:b/>
                <w:bCs/>
                <w:smallCaps/>
                <w:color w:val="000000"/>
                <w:sz w:val="18"/>
                <w:szCs w:val="20"/>
              </w:rPr>
              <w:t>0</w:t>
            </w:r>
          </w:p>
        </w:tc>
        <w:tc>
          <w:tcPr>
            <w:tcW w:w="349" w:type="pct"/>
            <w:tcBorders>
              <w:top w:val="single" w:sz="4" w:space="0" w:color="auto"/>
              <w:bottom w:val="dotted" w:sz="4" w:space="0" w:color="auto"/>
            </w:tcBorders>
            <w:vAlign w:val="center"/>
          </w:tcPr>
          <w:p w14:paraId="7FBCA02B" w14:textId="77777777" w:rsidR="00D84719" w:rsidRPr="00D84719" w:rsidRDefault="00D84719" w:rsidP="00D84719">
            <w:pPr>
              <w:spacing w:after="0" w:line="276" w:lineRule="auto"/>
              <w:jc w:val="center"/>
              <w:rPr>
                <w:rFonts w:ascii="Times New Roman" w:eastAsia="Times New Roman" w:hAnsi="Times New Roman" w:cs="Times New Roman"/>
                <w:b/>
                <w:bCs/>
                <w:smallCaps/>
                <w:color w:val="000000"/>
                <w:sz w:val="18"/>
                <w:szCs w:val="20"/>
              </w:rPr>
            </w:pPr>
            <w:r w:rsidRPr="00D84719">
              <w:rPr>
                <w:rFonts w:ascii="Times New Roman" w:eastAsia="Times New Roman" w:hAnsi="Times New Roman" w:cs="Times New Roman"/>
                <w:b/>
                <w:bCs/>
                <w:smallCaps/>
                <w:color w:val="000000"/>
                <w:sz w:val="18"/>
                <w:szCs w:val="20"/>
              </w:rPr>
              <w:t>0</w:t>
            </w:r>
          </w:p>
        </w:tc>
        <w:tc>
          <w:tcPr>
            <w:tcW w:w="349" w:type="pct"/>
            <w:tcBorders>
              <w:top w:val="single" w:sz="4" w:space="0" w:color="auto"/>
              <w:bottom w:val="dotted" w:sz="4" w:space="0" w:color="auto"/>
            </w:tcBorders>
            <w:vAlign w:val="center"/>
          </w:tcPr>
          <w:p w14:paraId="02598ED5" w14:textId="77777777" w:rsidR="00D84719" w:rsidRPr="00D84719" w:rsidRDefault="00D84719" w:rsidP="00D84719">
            <w:pPr>
              <w:spacing w:after="0" w:line="276" w:lineRule="auto"/>
              <w:jc w:val="center"/>
              <w:rPr>
                <w:rFonts w:ascii="Times New Roman" w:eastAsia="Times New Roman" w:hAnsi="Times New Roman" w:cs="Times New Roman"/>
                <w:b/>
                <w:bCs/>
                <w:smallCaps/>
                <w:color w:val="000000"/>
                <w:sz w:val="18"/>
                <w:szCs w:val="20"/>
              </w:rPr>
            </w:pPr>
            <w:r w:rsidRPr="00D84719">
              <w:rPr>
                <w:rFonts w:ascii="Times New Roman" w:eastAsia="Times New Roman" w:hAnsi="Times New Roman" w:cs="Times New Roman"/>
                <w:b/>
                <w:bCs/>
                <w:smallCaps/>
                <w:color w:val="000000"/>
                <w:sz w:val="18"/>
                <w:szCs w:val="20"/>
              </w:rPr>
              <w:t>0</w:t>
            </w:r>
          </w:p>
        </w:tc>
        <w:tc>
          <w:tcPr>
            <w:tcW w:w="349" w:type="pct"/>
            <w:tcBorders>
              <w:top w:val="single" w:sz="4" w:space="0" w:color="auto"/>
              <w:bottom w:val="dotted" w:sz="4" w:space="0" w:color="auto"/>
            </w:tcBorders>
            <w:vAlign w:val="center"/>
          </w:tcPr>
          <w:p w14:paraId="40C92293" w14:textId="77777777" w:rsidR="00D84719" w:rsidRPr="00D84719" w:rsidRDefault="00D84719" w:rsidP="00D84719">
            <w:pPr>
              <w:spacing w:after="0" w:line="276" w:lineRule="auto"/>
              <w:jc w:val="center"/>
              <w:rPr>
                <w:rFonts w:ascii="Times New Roman" w:eastAsia="Times New Roman" w:hAnsi="Times New Roman" w:cs="Times New Roman"/>
                <w:b/>
                <w:bCs/>
                <w:smallCaps/>
                <w:color w:val="000000"/>
                <w:sz w:val="18"/>
                <w:szCs w:val="20"/>
              </w:rPr>
            </w:pPr>
            <w:r w:rsidRPr="00D84719">
              <w:rPr>
                <w:rFonts w:ascii="Times New Roman" w:eastAsia="Times New Roman" w:hAnsi="Times New Roman" w:cs="Times New Roman"/>
                <w:b/>
                <w:bCs/>
                <w:smallCaps/>
                <w:color w:val="000000"/>
                <w:sz w:val="18"/>
                <w:szCs w:val="20"/>
              </w:rPr>
              <w:t>0</w:t>
            </w:r>
          </w:p>
        </w:tc>
        <w:tc>
          <w:tcPr>
            <w:tcW w:w="349" w:type="pct"/>
            <w:tcBorders>
              <w:top w:val="single" w:sz="4" w:space="0" w:color="auto"/>
              <w:bottom w:val="dotted" w:sz="4" w:space="0" w:color="auto"/>
            </w:tcBorders>
            <w:vAlign w:val="center"/>
          </w:tcPr>
          <w:p w14:paraId="7F4026C9" w14:textId="77777777" w:rsidR="00D84719" w:rsidRPr="00D84719" w:rsidRDefault="00D84719" w:rsidP="00D84719">
            <w:pPr>
              <w:spacing w:after="0" w:line="276" w:lineRule="auto"/>
              <w:jc w:val="center"/>
              <w:rPr>
                <w:rFonts w:ascii="Times New Roman" w:eastAsia="Times New Roman" w:hAnsi="Times New Roman" w:cs="Times New Roman"/>
                <w:b/>
                <w:bCs/>
                <w:smallCaps/>
                <w:color w:val="000000"/>
                <w:sz w:val="18"/>
                <w:szCs w:val="20"/>
              </w:rPr>
            </w:pPr>
            <w:r w:rsidRPr="00D84719">
              <w:rPr>
                <w:rFonts w:ascii="Times New Roman" w:eastAsia="Times New Roman" w:hAnsi="Times New Roman" w:cs="Times New Roman"/>
                <w:b/>
                <w:bCs/>
                <w:smallCaps/>
                <w:color w:val="000000"/>
                <w:sz w:val="18"/>
                <w:szCs w:val="20"/>
              </w:rPr>
              <w:t>0</w:t>
            </w:r>
          </w:p>
        </w:tc>
        <w:tc>
          <w:tcPr>
            <w:tcW w:w="667" w:type="pct"/>
            <w:tcBorders>
              <w:top w:val="single" w:sz="4" w:space="0" w:color="auto"/>
              <w:bottom w:val="dotted" w:sz="4" w:space="0" w:color="auto"/>
            </w:tcBorders>
            <w:vAlign w:val="center"/>
          </w:tcPr>
          <w:p w14:paraId="5B1CE581" w14:textId="77777777" w:rsidR="00D84719" w:rsidRPr="00D84719" w:rsidRDefault="00D84719" w:rsidP="00D84719">
            <w:pPr>
              <w:spacing w:after="0" w:line="276" w:lineRule="auto"/>
              <w:jc w:val="center"/>
              <w:rPr>
                <w:rFonts w:ascii="Times New Roman" w:eastAsia="Times New Roman" w:hAnsi="Times New Roman" w:cs="Times New Roman"/>
                <w:b/>
                <w:bCs/>
                <w:smallCaps/>
                <w:color w:val="000000"/>
                <w:sz w:val="18"/>
                <w:szCs w:val="20"/>
              </w:rPr>
            </w:pPr>
            <w:r w:rsidRPr="00D84719">
              <w:rPr>
                <w:rFonts w:ascii="Times New Roman" w:eastAsia="Times New Roman" w:hAnsi="Times New Roman" w:cs="Times New Roman"/>
                <w:b/>
                <w:bCs/>
                <w:smallCaps/>
                <w:color w:val="000000"/>
                <w:sz w:val="18"/>
                <w:szCs w:val="20"/>
              </w:rPr>
              <w:t>0</w:t>
            </w:r>
          </w:p>
        </w:tc>
        <w:tc>
          <w:tcPr>
            <w:tcW w:w="348" w:type="pct"/>
            <w:tcBorders>
              <w:top w:val="single" w:sz="4" w:space="0" w:color="auto"/>
              <w:bottom w:val="dotted" w:sz="4" w:space="0" w:color="auto"/>
            </w:tcBorders>
            <w:vAlign w:val="center"/>
          </w:tcPr>
          <w:p w14:paraId="7E9D62B2" w14:textId="77777777" w:rsidR="00D84719" w:rsidRPr="00D84719" w:rsidRDefault="00D84719" w:rsidP="00D84719">
            <w:pPr>
              <w:spacing w:after="0" w:line="276" w:lineRule="auto"/>
              <w:jc w:val="center"/>
              <w:rPr>
                <w:rFonts w:ascii="Times New Roman" w:eastAsia="Times New Roman" w:hAnsi="Times New Roman" w:cs="Times New Roman"/>
                <w:b/>
                <w:bCs/>
                <w:smallCaps/>
                <w:color w:val="000000"/>
                <w:sz w:val="18"/>
                <w:szCs w:val="20"/>
              </w:rPr>
            </w:pPr>
            <w:r w:rsidRPr="00D84719">
              <w:rPr>
                <w:rFonts w:ascii="Times New Roman" w:eastAsia="Times New Roman" w:hAnsi="Times New Roman" w:cs="Times New Roman"/>
                <w:b/>
                <w:bCs/>
                <w:smallCaps/>
                <w:color w:val="000000"/>
                <w:sz w:val="18"/>
                <w:szCs w:val="20"/>
              </w:rPr>
              <w:t>0</w:t>
            </w:r>
          </w:p>
        </w:tc>
      </w:tr>
      <w:tr w:rsidR="00D84719" w:rsidRPr="00D84719" w14:paraId="34FCE762" w14:textId="77777777" w:rsidTr="00900566">
        <w:trPr>
          <w:jc w:val="center"/>
        </w:trPr>
        <w:tc>
          <w:tcPr>
            <w:tcW w:w="1543" w:type="pct"/>
            <w:gridSpan w:val="2"/>
            <w:tcBorders>
              <w:top w:val="dotted" w:sz="4" w:space="0" w:color="auto"/>
              <w:bottom w:val="dotted" w:sz="4" w:space="0" w:color="auto"/>
            </w:tcBorders>
            <w:vAlign w:val="center"/>
          </w:tcPr>
          <w:p w14:paraId="155920FB" w14:textId="77777777" w:rsidR="00D84719" w:rsidRPr="00900566" w:rsidRDefault="00900566" w:rsidP="00900566">
            <w:pPr>
              <w:spacing w:after="0" w:line="240" w:lineRule="auto"/>
              <w:rPr>
                <w:rFonts w:ascii="Times New Roman" w:eastAsia="Times New Roman" w:hAnsi="Times New Roman" w:cs="Times New Roman"/>
                <w:b/>
                <w:bCs/>
                <w:color w:val="000000"/>
                <w:sz w:val="14"/>
                <w:szCs w:val="20"/>
              </w:rPr>
            </w:pPr>
            <w:r w:rsidRPr="00900566">
              <w:rPr>
                <w:rFonts w:ascii="Times New Roman" w:eastAsia="Times New Roman" w:hAnsi="Times New Roman" w:cs="Times New Roman"/>
                <w:b/>
                <w:bCs/>
                <w:color w:val="000000"/>
                <w:sz w:val="14"/>
                <w:szCs w:val="20"/>
                <w:lang w:bidi="en-US"/>
              </w:rPr>
              <w:t xml:space="preserve">PESTICIDI NAVEDENI U DODATKU </w:t>
            </w:r>
            <w:r w:rsidR="00A64981">
              <w:rPr>
                <w:rFonts w:ascii="Times New Roman" w:eastAsia="Times New Roman" w:hAnsi="Times New Roman" w:cs="Times New Roman"/>
                <w:b/>
                <w:bCs/>
                <w:color w:val="000000"/>
                <w:sz w:val="14"/>
                <w:szCs w:val="20"/>
                <w:lang w:bidi="en-US"/>
              </w:rPr>
              <w:t>B</w:t>
            </w:r>
            <w:r w:rsidRPr="00900566">
              <w:rPr>
                <w:rFonts w:ascii="Times New Roman" w:eastAsia="Times New Roman" w:hAnsi="Times New Roman" w:cs="Times New Roman"/>
                <w:b/>
                <w:bCs/>
                <w:color w:val="000000"/>
                <w:sz w:val="14"/>
                <w:szCs w:val="20"/>
                <w:lang w:bidi="en-US"/>
              </w:rPr>
              <w:t xml:space="preserve"> STOCKHOLMSKE KONVENCIJE</w:t>
            </w:r>
          </w:p>
        </w:tc>
        <w:tc>
          <w:tcPr>
            <w:tcW w:w="348" w:type="pct"/>
            <w:tcBorders>
              <w:top w:val="dotted" w:sz="4" w:space="0" w:color="auto"/>
              <w:bottom w:val="dotted" w:sz="4" w:space="0" w:color="auto"/>
            </w:tcBorders>
            <w:vAlign w:val="center"/>
          </w:tcPr>
          <w:p w14:paraId="1753020C" w14:textId="77777777" w:rsidR="00D84719" w:rsidRPr="00D84719" w:rsidRDefault="00D84719" w:rsidP="00D84719">
            <w:pPr>
              <w:spacing w:after="0" w:line="276" w:lineRule="auto"/>
              <w:jc w:val="center"/>
              <w:rPr>
                <w:rFonts w:ascii="Times New Roman" w:eastAsia="Times New Roman" w:hAnsi="Times New Roman" w:cs="Times New Roman"/>
                <w:b/>
                <w:bCs/>
                <w:smallCaps/>
                <w:color w:val="000000"/>
                <w:sz w:val="18"/>
                <w:szCs w:val="20"/>
              </w:rPr>
            </w:pPr>
            <w:r w:rsidRPr="00D84719">
              <w:rPr>
                <w:rFonts w:ascii="Times New Roman" w:eastAsia="Times New Roman" w:hAnsi="Times New Roman" w:cs="Times New Roman"/>
                <w:b/>
                <w:bCs/>
                <w:smallCaps/>
                <w:color w:val="000000"/>
                <w:sz w:val="18"/>
                <w:szCs w:val="20"/>
              </w:rPr>
              <w:t>0</w:t>
            </w:r>
          </w:p>
        </w:tc>
        <w:tc>
          <w:tcPr>
            <w:tcW w:w="348" w:type="pct"/>
            <w:tcBorders>
              <w:top w:val="dotted" w:sz="4" w:space="0" w:color="auto"/>
              <w:bottom w:val="dotted" w:sz="4" w:space="0" w:color="auto"/>
            </w:tcBorders>
            <w:vAlign w:val="center"/>
          </w:tcPr>
          <w:p w14:paraId="66823710" w14:textId="77777777" w:rsidR="00D84719" w:rsidRPr="00D84719" w:rsidRDefault="00D84719" w:rsidP="00D84719">
            <w:pPr>
              <w:spacing w:after="0" w:line="276" w:lineRule="auto"/>
              <w:jc w:val="center"/>
              <w:rPr>
                <w:rFonts w:ascii="Times New Roman" w:eastAsia="Times New Roman" w:hAnsi="Times New Roman" w:cs="Times New Roman"/>
                <w:b/>
                <w:bCs/>
                <w:smallCaps/>
                <w:color w:val="000000"/>
                <w:sz w:val="18"/>
                <w:szCs w:val="20"/>
              </w:rPr>
            </w:pPr>
            <w:r w:rsidRPr="00D84719">
              <w:rPr>
                <w:rFonts w:ascii="Times New Roman" w:eastAsia="Times New Roman" w:hAnsi="Times New Roman" w:cs="Times New Roman"/>
                <w:b/>
                <w:bCs/>
                <w:smallCaps/>
                <w:color w:val="000000"/>
                <w:sz w:val="18"/>
                <w:szCs w:val="20"/>
              </w:rPr>
              <w:t>0</w:t>
            </w:r>
          </w:p>
        </w:tc>
        <w:tc>
          <w:tcPr>
            <w:tcW w:w="349" w:type="pct"/>
            <w:tcBorders>
              <w:top w:val="dotted" w:sz="4" w:space="0" w:color="auto"/>
              <w:bottom w:val="dotted" w:sz="4" w:space="0" w:color="auto"/>
            </w:tcBorders>
            <w:vAlign w:val="center"/>
          </w:tcPr>
          <w:p w14:paraId="2C873D33" w14:textId="77777777" w:rsidR="00D84719" w:rsidRPr="00D84719" w:rsidRDefault="00D84719" w:rsidP="00D84719">
            <w:pPr>
              <w:spacing w:after="0" w:line="276" w:lineRule="auto"/>
              <w:jc w:val="center"/>
              <w:rPr>
                <w:rFonts w:ascii="Times New Roman" w:eastAsia="Times New Roman" w:hAnsi="Times New Roman" w:cs="Times New Roman"/>
                <w:b/>
                <w:bCs/>
                <w:smallCaps/>
                <w:color w:val="000000"/>
                <w:sz w:val="18"/>
                <w:szCs w:val="20"/>
              </w:rPr>
            </w:pPr>
            <w:r w:rsidRPr="00D84719">
              <w:rPr>
                <w:rFonts w:ascii="Times New Roman" w:eastAsia="Times New Roman" w:hAnsi="Times New Roman" w:cs="Times New Roman"/>
                <w:b/>
                <w:bCs/>
                <w:smallCaps/>
                <w:color w:val="000000"/>
                <w:sz w:val="18"/>
                <w:szCs w:val="20"/>
              </w:rPr>
              <w:t>0</w:t>
            </w:r>
          </w:p>
        </w:tc>
        <w:tc>
          <w:tcPr>
            <w:tcW w:w="349" w:type="pct"/>
            <w:tcBorders>
              <w:top w:val="dotted" w:sz="4" w:space="0" w:color="auto"/>
              <w:bottom w:val="dotted" w:sz="4" w:space="0" w:color="auto"/>
            </w:tcBorders>
            <w:vAlign w:val="center"/>
          </w:tcPr>
          <w:p w14:paraId="5B43A5F1" w14:textId="77777777" w:rsidR="00D84719" w:rsidRPr="00D84719" w:rsidRDefault="00D84719" w:rsidP="00D84719">
            <w:pPr>
              <w:spacing w:after="0" w:line="276" w:lineRule="auto"/>
              <w:jc w:val="center"/>
              <w:rPr>
                <w:rFonts w:ascii="Times New Roman" w:eastAsia="Times New Roman" w:hAnsi="Times New Roman" w:cs="Times New Roman"/>
                <w:b/>
                <w:bCs/>
                <w:smallCaps/>
                <w:color w:val="000000"/>
                <w:sz w:val="18"/>
                <w:szCs w:val="20"/>
              </w:rPr>
            </w:pPr>
            <w:r w:rsidRPr="00D84719">
              <w:rPr>
                <w:rFonts w:ascii="Times New Roman" w:eastAsia="Times New Roman" w:hAnsi="Times New Roman" w:cs="Times New Roman"/>
                <w:b/>
                <w:bCs/>
                <w:smallCaps/>
                <w:color w:val="000000"/>
                <w:sz w:val="18"/>
                <w:szCs w:val="20"/>
              </w:rPr>
              <w:t>0</w:t>
            </w:r>
          </w:p>
        </w:tc>
        <w:tc>
          <w:tcPr>
            <w:tcW w:w="349" w:type="pct"/>
            <w:tcBorders>
              <w:top w:val="dotted" w:sz="4" w:space="0" w:color="auto"/>
              <w:bottom w:val="dotted" w:sz="4" w:space="0" w:color="auto"/>
            </w:tcBorders>
            <w:vAlign w:val="center"/>
          </w:tcPr>
          <w:p w14:paraId="4D41F547" w14:textId="77777777" w:rsidR="00D84719" w:rsidRPr="00D84719" w:rsidRDefault="00D84719" w:rsidP="00D84719">
            <w:pPr>
              <w:spacing w:after="0" w:line="276" w:lineRule="auto"/>
              <w:jc w:val="center"/>
              <w:rPr>
                <w:rFonts w:ascii="Times New Roman" w:eastAsia="Times New Roman" w:hAnsi="Times New Roman" w:cs="Times New Roman"/>
                <w:b/>
                <w:bCs/>
                <w:smallCaps/>
                <w:color w:val="000000"/>
                <w:sz w:val="18"/>
                <w:szCs w:val="20"/>
              </w:rPr>
            </w:pPr>
            <w:r w:rsidRPr="00D84719">
              <w:rPr>
                <w:rFonts w:ascii="Times New Roman" w:eastAsia="Times New Roman" w:hAnsi="Times New Roman" w:cs="Times New Roman"/>
                <w:b/>
                <w:bCs/>
                <w:smallCaps/>
                <w:color w:val="000000"/>
                <w:sz w:val="18"/>
                <w:szCs w:val="20"/>
              </w:rPr>
              <w:t>0</w:t>
            </w:r>
          </w:p>
        </w:tc>
        <w:tc>
          <w:tcPr>
            <w:tcW w:w="349" w:type="pct"/>
            <w:tcBorders>
              <w:top w:val="dotted" w:sz="4" w:space="0" w:color="auto"/>
              <w:bottom w:val="dotted" w:sz="4" w:space="0" w:color="auto"/>
            </w:tcBorders>
            <w:vAlign w:val="center"/>
          </w:tcPr>
          <w:p w14:paraId="766B7FC1" w14:textId="77777777" w:rsidR="00D84719" w:rsidRPr="00D84719" w:rsidRDefault="00D84719" w:rsidP="00D84719">
            <w:pPr>
              <w:spacing w:after="0" w:line="276" w:lineRule="auto"/>
              <w:jc w:val="center"/>
              <w:rPr>
                <w:rFonts w:ascii="Times New Roman" w:eastAsia="Times New Roman" w:hAnsi="Times New Roman" w:cs="Times New Roman"/>
                <w:b/>
                <w:bCs/>
                <w:smallCaps/>
                <w:color w:val="000000"/>
                <w:sz w:val="18"/>
                <w:szCs w:val="20"/>
              </w:rPr>
            </w:pPr>
            <w:r w:rsidRPr="00D84719">
              <w:rPr>
                <w:rFonts w:ascii="Times New Roman" w:eastAsia="Times New Roman" w:hAnsi="Times New Roman" w:cs="Times New Roman"/>
                <w:b/>
                <w:bCs/>
                <w:smallCaps/>
                <w:color w:val="000000"/>
                <w:sz w:val="18"/>
                <w:szCs w:val="20"/>
              </w:rPr>
              <w:t>0</w:t>
            </w:r>
          </w:p>
        </w:tc>
        <w:tc>
          <w:tcPr>
            <w:tcW w:w="349" w:type="pct"/>
            <w:tcBorders>
              <w:top w:val="dotted" w:sz="4" w:space="0" w:color="auto"/>
              <w:bottom w:val="dotted" w:sz="4" w:space="0" w:color="auto"/>
            </w:tcBorders>
            <w:vAlign w:val="center"/>
          </w:tcPr>
          <w:p w14:paraId="1510FC96" w14:textId="77777777" w:rsidR="00D84719" w:rsidRPr="00D84719" w:rsidRDefault="00D84719" w:rsidP="00D84719">
            <w:pPr>
              <w:spacing w:after="0" w:line="276" w:lineRule="auto"/>
              <w:jc w:val="center"/>
              <w:rPr>
                <w:rFonts w:ascii="Times New Roman" w:eastAsia="Times New Roman" w:hAnsi="Times New Roman" w:cs="Times New Roman"/>
                <w:b/>
                <w:bCs/>
                <w:smallCaps/>
                <w:color w:val="000000"/>
                <w:sz w:val="18"/>
                <w:szCs w:val="20"/>
              </w:rPr>
            </w:pPr>
            <w:r w:rsidRPr="00D84719">
              <w:rPr>
                <w:rFonts w:ascii="Times New Roman" w:eastAsia="Times New Roman" w:hAnsi="Times New Roman" w:cs="Times New Roman"/>
                <w:b/>
                <w:bCs/>
                <w:smallCaps/>
                <w:color w:val="000000"/>
                <w:sz w:val="18"/>
                <w:szCs w:val="20"/>
              </w:rPr>
              <w:t>0</w:t>
            </w:r>
          </w:p>
        </w:tc>
        <w:tc>
          <w:tcPr>
            <w:tcW w:w="667" w:type="pct"/>
            <w:tcBorders>
              <w:top w:val="dotted" w:sz="4" w:space="0" w:color="auto"/>
              <w:bottom w:val="dotted" w:sz="4" w:space="0" w:color="auto"/>
            </w:tcBorders>
            <w:vAlign w:val="center"/>
          </w:tcPr>
          <w:p w14:paraId="47B6C881" w14:textId="77777777" w:rsidR="00D84719" w:rsidRPr="00D84719" w:rsidRDefault="00D84719" w:rsidP="00D84719">
            <w:pPr>
              <w:spacing w:after="0" w:line="276" w:lineRule="auto"/>
              <w:jc w:val="center"/>
              <w:rPr>
                <w:rFonts w:ascii="Times New Roman" w:eastAsia="Times New Roman" w:hAnsi="Times New Roman" w:cs="Times New Roman"/>
                <w:b/>
                <w:bCs/>
                <w:smallCaps/>
                <w:color w:val="000000"/>
                <w:sz w:val="18"/>
                <w:szCs w:val="20"/>
              </w:rPr>
            </w:pPr>
            <w:r w:rsidRPr="00D84719">
              <w:rPr>
                <w:rFonts w:ascii="Times New Roman" w:eastAsia="Times New Roman" w:hAnsi="Times New Roman" w:cs="Times New Roman"/>
                <w:b/>
                <w:bCs/>
                <w:smallCaps/>
                <w:color w:val="000000"/>
                <w:sz w:val="18"/>
                <w:szCs w:val="20"/>
              </w:rPr>
              <w:t>0</w:t>
            </w:r>
          </w:p>
        </w:tc>
        <w:tc>
          <w:tcPr>
            <w:tcW w:w="348" w:type="pct"/>
            <w:tcBorders>
              <w:top w:val="dotted" w:sz="4" w:space="0" w:color="auto"/>
              <w:bottom w:val="dotted" w:sz="4" w:space="0" w:color="auto"/>
            </w:tcBorders>
            <w:vAlign w:val="center"/>
          </w:tcPr>
          <w:p w14:paraId="4A36D7AD" w14:textId="77777777" w:rsidR="00D84719" w:rsidRPr="00D84719" w:rsidRDefault="00D84719" w:rsidP="00D84719">
            <w:pPr>
              <w:spacing w:after="0" w:line="276" w:lineRule="auto"/>
              <w:jc w:val="center"/>
              <w:rPr>
                <w:rFonts w:ascii="Times New Roman" w:eastAsia="Times New Roman" w:hAnsi="Times New Roman" w:cs="Times New Roman"/>
                <w:b/>
                <w:bCs/>
                <w:smallCaps/>
                <w:color w:val="000000"/>
                <w:sz w:val="18"/>
                <w:szCs w:val="20"/>
              </w:rPr>
            </w:pPr>
            <w:r w:rsidRPr="00D84719">
              <w:rPr>
                <w:rFonts w:ascii="Times New Roman" w:eastAsia="Times New Roman" w:hAnsi="Times New Roman" w:cs="Times New Roman"/>
                <w:b/>
                <w:bCs/>
                <w:smallCaps/>
                <w:color w:val="000000"/>
                <w:sz w:val="18"/>
                <w:szCs w:val="20"/>
              </w:rPr>
              <w:t>0</w:t>
            </w:r>
          </w:p>
        </w:tc>
      </w:tr>
      <w:tr w:rsidR="00D84719" w:rsidRPr="00D84719" w14:paraId="1E93373F" w14:textId="77777777" w:rsidTr="00900566">
        <w:trPr>
          <w:trHeight w:val="679"/>
          <w:jc w:val="center"/>
        </w:trPr>
        <w:tc>
          <w:tcPr>
            <w:tcW w:w="1172" w:type="pct"/>
            <w:vMerge w:val="restart"/>
            <w:tcBorders>
              <w:top w:val="dotted" w:sz="4" w:space="0" w:color="auto"/>
            </w:tcBorders>
            <w:vAlign w:val="center"/>
          </w:tcPr>
          <w:p w14:paraId="654564C7" w14:textId="77777777" w:rsidR="00D84719" w:rsidRPr="00900566" w:rsidRDefault="00900566" w:rsidP="00900566">
            <w:pPr>
              <w:spacing w:after="0" w:line="240" w:lineRule="auto"/>
              <w:rPr>
                <w:rFonts w:ascii="Times New Roman" w:eastAsia="Times New Roman" w:hAnsi="Times New Roman" w:cs="Times New Roman"/>
                <w:b/>
                <w:bCs/>
                <w:color w:val="000000"/>
                <w:sz w:val="18"/>
                <w:szCs w:val="20"/>
              </w:rPr>
            </w:pPr>
            <w:r w:rsidRPr="00900566">
              <w:rPr>
                <w:rFonts w:ascii="Times New Roman" w:eastAsia="Times New Roman" w:hAnsi="Times New Roman" w:cs="Times New Roman"/>
                <w:b/>
                <w:bCs/>
                <w:color w:val="000000"/>
                <w:sz w:val="14"/>
                <w:szCs w:val="20"/>
                <w:lang w:bidi="en-US"/>
              </w:rPr>
              <w:t>INDUSTRIJSK</w:t>
            </w:r>
            <w:r>
              <w:rPr>
                <w:rFonts w:ascii="Times New Roman" w:eastAsia="Times New Roman" w:hAnsi="Times New Roman" w:cs="Times New Roman"/>
                <w:b/>
                <w:bCs/>
                <w:color w:val="000000"/>
                <w:sz w:val="14"/>
                <w:szCs w:val="20"/>
                <w:lang w:bidi="en-US"/>
              </w:rPr>
              <w:t xml:space="preserve">E KEMIKALIJE NAVEDENE U DODATKU </w:t>
            </w:r>
            <w:r w:rsidR="00A64981">
              <w:rPr>
                <w:rFonts w:ascii="Times New Roman" w:eastAsia="Times New Roman" w:hAnsi="Times New Roman" w:cs="Times New Roman"/>
                <w:b/>
                <w:bCs/>
                <w:color w:val="000000"/>
                <w:sz w:val="14"/>
                <w:szCs w:val="20"/>
                <w:lang w:bidi="en-US"/>
              </w:rPr>
              <w:t>A</w:t>
            </w:r>
            <w:r w:rsidR="00612979">
              <w:rPr>
                <w:rFonts w:ascii="Times New Roman" w:eastAsia="Times New Roman" w:hAnsi="Times New Roman" w:cs="Times New Roman"/>
                <w:b/>
                <w:bCs/>
                <w:color w:val="000000"/>
                <w:sz w:val="14"/>
                <w:szCs w:val="20"/>
                <w:lang w:bidi="en-US"/>
              </w:rPr>
              <w:t xml:space="preserve"> </w:t>
            </w:r>
            <w:r w:rsidRPr="00900566">
              <w:rPr>
                <w:rFonts w:ascii="Times New Roman" w:eastAsia="Times New Roman" w:hAnsi="Times New Roman" w:cs="Times New Roman"/>
                <w:b/>
                <w:bCs/>
                <w:color w:val="000000"/>
                <w:sz w:val="14"/>
                <w:szCs w:val="20"/>
                <w:lang w:bidi="en-US"/>
              </w:rPr>
              <w:t>STOCKHOLMSKE KONVENCIJE</w:t>
            </w:r>
          </w:p>
        </w:tc>
        <w:tc>
          <w:tcPr>
            <w:tcW w:w="371" w:type="pct"/>
            <w:tcBorders>
              <w:top w:val="dotted" w:sz="4" w:space="0" w:color="auto"/>
            </w:tcBorders>
            <w:vAlign w:val="center"/>
          </w:tcPr>
          <w:p w14:paraId="32381FC1" w14:textId="77777777" w:rsidR="00D84719" w:rsidRPr="00D84719" w:rsidRDefault="00D84719" w:rsidP="00D84719">
            <w:pPr>
              <w:spacing w:after="0" w:line="276" w:lineRule="auto"/>
              <w:jc w:val="center"/>
              <w:rPr>
                <w:rFonts w:ascii="Times New Roman" w:eastAsia="Times New Roman" w:hAnsi="Times New Roman" w:cs="Times New Roman"/>
                <w:b/>
                <w:bCs/>
                <w:smallCaps/>
                <w:color w:val="000000"/>
                <w:sz w:val="18"/>
                <w:szCs w:val="14"/>
              </w:rPr>
            </w:pPr>
            <w:r w:rsidRPr="00D84719">
              <w:rPr>
                <w:rFonts w:ascii="Times New Roman" w:eastAsia="Times New Roman" w:hAnsi="Times New Roman" w:cs="Times New Roman"/>
                <w:b/>
                <w:bCs/>
                <w:smallCaps/>
                <w:color w:val="000000"/>
                <w:sz w:val="18"/>
                <w:szCs w:val="14"/>
              </w:rPr>
              <w:t>HCB</w:t>
            </w:r>
          </w:p>
        </w:tc>
        <w:tc>
          <w:tcPr>
            <w:tcW w:w="348" w:type="pct"/>
            <w:tcBorders>
              <w:top w:val="dotted" w:sz="4" w:space="0" w:color="auto"/>
            </w:tcBorders>
            <w:vAlign w:val="center"/>
          </w:tcPr>
          <w:p w14:paraId="2E26F373" w14:textId="77777777" w:rsidR="00D84719" w:rsidRPr="00D84719" w:rsidRDefault="00D84719" w:rsidP="00D84719">
            <w:pPr>
              <w:spacing w:after="0" w:line="276" w:lineRule="auto"/>
              <w:jc w:val="center"/>
              <w:rPr>
                <w:rFonts w:ascii="Times New Roman" w:eastAsia="Times New Roman" w:hAnsi="Times New Roman" w:cs="Times New Roman"/>
                <w:b/>
                <w:bCs/>
                <w:smallCaps/>
                <w:color w:val="000000"/>
                <w:sz w:val="18"/>
                <w:szCs w:val="20"/>
              </w:rPr>
            </w:pPr>
            <w:r w:rsidRPr="00D84719">
              <w:rPr>
                <w:rFonts w:ascii="Times New Roman" w:eastAsia="Times New Roman" w:hAnsi="Times New Roman" w:cs="Times New Roman"/>
                <w:b/>
                <w:bCs/>
                <w:smallCaps/>
                <w:color w:val="000000"/>
                <w:sz w:val="18"/>
                <w:szCs w:val="20"/>
              </w:rPr>
              <w:t>0</w:t>
            </w:r>
          </w:p>
        </w:tc>
        <w:tc>
          <w:tcPr>
            <w:tcW w:w="348" w:type="pct"/>
            <w:tcBorders>
              <w:top w:val="dotted" w:sz="4" w:space="0" w:color="auto"/>
            </w:tcBorders>
            <w:vAlign w:val="center"/>
          </w:tcPr>
          <w:p w14:paraId="27564F6E" w14:textId="77777777" w:rsidR="00D84719" w:rsidRPr="00D84719" w:rsidRDefault="00D84719" w:rsidP="00D84719">
            <w:pPr>
              <w:spacing w:after="0" w:line="276" w:lineRule="auto"/>
              <w:jc w:val="center"/>
              <w:rPr>
                <w:rFonts w:ascii="Times New Roman" w:eastAsia="Times New Roman" w:hAnsi="Times New Roman" w:cs="Times New Roman"/>
                <w:b/>
                <w:bCs/>
                <w:smallCaps/>
                <w:color w:val="000000"/>
                <w:sz w:val="18"/>
                <w:szCs w:val="20"/>
              </w:rPr>
            </w:pPr>
            <w:r w:rsidRPr="00D84719">
              <w:rPr>
                <w:rFonts w:ascii="Times New Roman" w:eastAsia="Times New Roman" w:hAnsi="Times New Roman" w:cs="Times New Roman"/>
                <w:b/>
                <w:bCs/>
                <w:smallCaps/>
                <w:color w:val="000000"/>
                <w:sz w:val="18"/>
                <w:szCs w:val="20"/>
              </w:rPr>
              <w:t>0</w:t>
            </w:r>
          </w:p>
        </w:tc>
        <w:tc>
          <w:tcPr>
            <w:tcW w:w="349" w:type="pct"/>
            <w:tcBorders>
              <w:top w:val="dotted" w:sz="4" w:space="0" w:color="auto"/>
            </w:tcBorders>
            <w:vAlign w:val="center"/>
          </w:tcPr>
          <w:p w14:paraId="353201D5" w14:textId="77777777" w:rsidR="00D84719" w:rsidRPr="00D84719" w:rsidRDefault="00D84719" w:rsidP="00D84719">
            <w:pPr>
              <w:spacing w:after="0" w:line="276" w:lineRule="auto"/>
              <w:jc w:val="center"/>
              <w:rPr>
                <w:rFonts w:ascii="Times New Roman" w:eastAsia="Times New Roman" w:hAnsi="Times New Roman" w:cs="Times New Roman"/>
                <w:b/>
                <w:bCs/>
                <w:smallCaps/>
                <w:color w:val="000000"/>
                <w:sz w:val="18"/>
                <w:szCs w:val="20"/>
              </w:rPr>
            </w:pPr>
            <w:r w:rsidRPr="00D84719">
              <w:rPr>
                <w:rFonts w:ascii="Times New Roman" w:eastAsia="Times New Roman" w:hAnsi="Times New Roman" w:cs="Times New Roman"/>
                <w:b/>
                <w:bCs/>
                <w:smallCaps/>
                <w:color w:val="000000"/>
                <w:sz w:val="18"/>
                <w:szCs w:val="20"/>
              </w:rPr>
              <w:t>0</w:t>
            </w:r>
          </w:p>
        </w:tc>
        <w:tc>
          <w:tcPr>
            <w:tcW w:w="349" w:type="pct"/>
            <w:tcBorders>
              <w:top w:val="dotted" w:sz="4" w:space="0" w:color="auto"/>
            </w:tcBorders>
            <w:vAlign w:val="center"/>
          </w:tcPr>
          <w:p w14:paraId="5A7D1E2C" w14:textId="77777777" w:rsidR="00D84719" w:rsidRPr="00D84719" w:rsidRDefault="00D84719" w:rsidP="00D84719">
            <w:pPr>
              <w:spacing w:after="0" w:line="276" w:lineRule="auto"/>
              <w:jc w:val="center"/>
              <w:rPr>
                <w:rFonts w:ascii="Times New Roman" w:eastAsia="Times New Roman" w:hAnsi="Times New Roman" w:cs="Times New Roman"/>
                <w:b/>
                <w:bCs/>
                <w:smallCaps/>
                <w:color w:val="000000"/>
                <w:sz w:val="18"/>
                <w:szCs w:val="20"/>
              </w:rPr>
            </w:pPr>
            <w:r w:rsidRPr="00D84719">
              <w:rPr>
                <w:rFonts w:ascii="Times New Roman" w:eastAsia="Times New Roman" w:hAnsi="Times New Roman" w:cs="Times New Roman"/>
                <w:b/>
                <w:bCs/>
                <w:smallCaps/>
                <w:color w:val="000000"/>
                <w:sz w:val="18"/>
                <w:szCs w:val="20"/>
              </w:rPr>
              <w:t>0</w:t>
            </w:r>
          </w:p>
        </w:tc>
        <w:tc>
          <w:tcPr>
            <w:tcW w:w="349" w:type="pct"/>
            <w:tcBorders>
              <w:top w:val="dotted" w:sz="4" w:space="0" w:color="auto"/>
            </w:tcBorders>
            <w:vAlign w:val="center"/>
          </w:tcPr>
          <w:p w14:paraId="0CFB5701" w14:textId="77777777" w:rsidR="00D84719" w:rsidRPr="00D84719" w:rsidRDefault="00D84719" w:rsidP="00D84719">
            <w:pPr>
              <w:spacing w:after="0" w:line="276" w:lineRule="auto"/>
              <w:jc w:val="center"/>
              <w:rPr>
                <w:rFonts w:ascii="Times New Roman" w:eastAsia="Times New Roman" w:hAnsi="Times New Roman" w:cs="Times New Roman"/>
                <w:b/>
                <w:bCs/>
                <w:smallCaps/>
                <w:color w:val="000000"/>
                <w:sz w:val="18"/>
                <w:szCs w:val="20"/>
              </w:rPr>
            </w:pPr>
            <w:r w:rsidRPr="00D84719">
              <w:rPr>
                <w:rFonts w:ascii="Times New Roman" w:eastAsia="Times New Roman" w:hAnsi="Times New Roman" w:cs="Times New Roman"/>
                <w:b/>
                <w:bCs/>
                <w:smallCaps/>
                <w:color w:val="000000"/>
                <w:sz w:val="18"/>
                <w:szCs w:val="20"/>
              </w:rPr>
              <w:t>0</w:t>
            </w:r>
          </w:p>
        </w:tc>
        <w:tc>
          <w:tcPr>
            <w:tcW w:w="349" w:type="pct"/>
            <w:tcBorders>
              <w:top w:val="dotted" w:sz="4" w:space="0" w:color="auto"/>
            </w:tcBorders>
            <w:vAlign w:val="center"/>
          </w:tcPr>
          <w:p w14:paraId="21456CC0" w14:textId="77777777" w:rsidR="00D84719" w:rsidRPr="00D84719" w:rsidRDefault="00D84719" w:rsidP="00D84719">
            <w:pPr>
              <w:spacing w:after="0" w:line="276" w:lineRule="auto"/>
              <w:jc w:val="center"/>
              <w:rPr>
                <w:rFonts w:ascii="Times New Roman" w:eastAsia="Times New Roman" w:hAnsi="Times New Roman" w:cs="Times New Roman"/>
                <w:b/>
                <w:bCs/>
                <w:smallCaps/>
                <w:color w:val="000000"/>
                <w:sz w:val="18"/>
                <w:szCs w:val="20"/>
              </w:rPr>
            </w:pPr>
            <w:r w:rsidRPr="00D84719">
              <w:rPr>
                <w:rFonts w:ascii="Times New Roman" w:eastAsia="Times New Roman" w:hAnsi="Times New Roman" w:cs="Times New Roman"/>
                <w:b/>
                <w:bCs/>
                <w:smallCaps/>
                <w:color w:val="000000"/>
                <w:sz w:val="18"/>
                <w:szCs w:val="20"/>
              </w:rPr>
              <w:t>0</w:t>
            </w:r>
          </w:p>
        </w:tc>
        <w:tc>
          <w:tcPr>
            <w:tcW w:w="349" w:type="pct"/>
            <w:tcBorders>
              <w:top w:val="dotted" w:sz="4" w:space="0" w:color="auto"/>
            </w:tcBorders>
            <w:vAlign w:val="center"/>
          </w:tcPr>
          <w:p w14:paraId="7F69BBBE" w14:textId="77777777" w:rsidR="00D84719" w:rsidRPr="00D84719" w:rsidRDefault="00D84719" w:rsidP="00D84719">
            <w:pPr>
              <w:spacing w:after="0" w:line="276" w:lineRule="auto"/>
              <w:jc w:val="center"/>
              <w:rPr>
                <w:rFonts w:ascii="Times New Roman" w:eastAsia="Times New Roman" w:hAnsi="Times New Roman" w:cs="Times New Roman"/>
                <w:b/>
                <w:bCs/>
                <w:smallCaps/>
                <w:color w:val="000000"/>
                <w:sz w:val="18"/>
                <w:szCs w:val="20"/>
              </w:rPr>
            </w:pPr>
            <w:r w:rsidRPr="00D84719">
              <w:rPr>
                <w:rFonts w:ascii="Times New Roman" w:eastAsia="Times New Roman" w:hAnsi="Times New Roman" w:cs="Times New Roman"/>
                <w:b/>
                <w:bCs/>
                <w:smallCaps/>
                <w:color w:val="000000"/>
                <w:sz w:val="18"/>
                <w:szCs w:val="20"/>
              </w:rPr>
              <w:t>0</w:t>
            </w:r>
          </w:p>
        </w:tc>
        <w:tc>
          <w:tcPr>
            <w:tcW w:w="667" w:type="pct"/>
            <w:tcBorders>
              <w:top w:val="dotted" w:sz="4" w:space="0" w:color="auto"/>
            </w:tcBorders>
            <w:vAlign w:val="center"/>
          </w:tcPr>
          <w:p w14:paraId="1654587E" w14:textId="77777777" w:rsidR="00D84719" w:rsidRPr="00D84719" w:rsidRDefault="00D84719" w:rsidP="00D84719">
            <w:pPr>
              <w:spacing w:after="0" w:line="276" w:lineRule="auto"/>
              <w:jc w:val="center"/>
              <w:rPr>
                <w:rFonts w:ascii="Times New Roman" w:eastAsia="Times New Roman" w:hAnsi="Times New Roman" w:cs="Times New Roman"/>
                <w:b/>
                <w:bCs/>
                <w:smallCaps/>
                <w:color w:val="000000"/>
                <w:sz w:val="18"/>
                <w:szCs w:val="20"/>
              </w:rPr>
            </w:pPr>
            <w:r w:rsidRPr="00D84719">
              <w:rPr>
                <w:rFonts w:ascii="Times New Roman" w:eastAsia="Times New Roman" w:hAnsi="Times New Roman" w:cs="Times New Roman"/>
                <w:b/>
                <w:bCs/>
                <w:smallCaps/>
                <w:color w:val="000000"/>
                <w:sz w:val="18"/>
                <w:szCs w:val="20"/>
              </w:rPr>
              <w:t>0</w:t>
            </w:r>
          </w:p>
        </w:tc>
        <w:tc>
          <w:tcPr>
            <w:tcW w:w="348" w:type="pct"/>
            <w:tcBorders>
              <w:top w:val="dotted" w:sz="4" w:space="0" w:color="auto"/>
            </w:tcBorders>
            <w:vAlign w:val="center"/>
          </w:tcPr>
          <w:p w14:paraId="3CD3A5FA" w14:textId="77777777" w:rsidR="00D84719" w:rsidRPr="00D84719" w:rsidRDefault="00D84719" w:rsidP="00D84719">
            <w:pPr>
              <w:spacing w:after="0" w:line="276" w:lineRule="auto"/>
              <w:jc w:val="center"/>
              <w:rPr>
                <w:rFonts w:ascii="Times New Roman" w:eastAsia="Times New Roman" w:hAnsi="Times New Roman" w:cs="Times New Roman"/>
                <w:b/>
                <w:bCs/>
                <w:smallCaps/>
                <w:color w:val="000000"/>
                <w:sz w:val="18"/>
                <w:szCs w:val="20"/>
              </w:rPr>
            </w:pPr>
            <w:r w:rsidRPr="00D84719">
              <w:rPr>
                <w:rFonts w:ascii="Times New Roman" w:eastAsia="Times New Roman" w:hAnsi="Times New Roman" w:cs="Times New Roman"/>
                <w:b/>
                <w:bCs/>
                <w:smallCaps/>
                <w:color w:val="000000"/>
                <w:sz w:val="18"/>
                <w:szCs w:val="20"/>
              </w:rPr>
              <w:t>0</w:t>
            </w:r>
          </w:p>
        </w:tc>
      </w:tr>
      <w:tr w:rsidR="00D84719" w:rsidRPr="00D84719" w14:paraId="215EBE40" w14:textId="77777777" w:rsidTr="00900566">
        <w:trPr>
          <w:trHeight w:val="278"/>
          <w:jc w:val="center"/>
        </w:trPr>
        <w:tc>
          <w:tcPr>
            <w:tcW w:w="1172" w:type="pct"/>
            <w:vMerge/>
            <w:tcBorders>
              <w:bottom w:val="single" w:sz="4" w:space="0" w:color="auto"/>
            </w:tcBorders>
            <w:vAlign w:val="center"/>
          </w:tcPr>
          <w:p w14:paraId="10BB340C" w14:textId="77777777" w:rsidR="00D84719" w:rsidRPr="00D84719" w:rsidRDefault="00D84719" w:rsidP="00D84719">
            <w:pPr>
              <w:spacing w:after="0" w:line="276" w:lineRule="auto"/>
              <w:jc w:val="center"/>
              <w:rPr>
                <w:rFonts w:ascii="Times New Roman" w:eastAsia="Times New Roman" w:hAnsi="Times New Roman" w:cs="Times New Roman"/>
                <w:b/>
                <w:bCs/>
                <w:smallCaps/>
                <w:color w:val="000000"/>
                <w:sz w:val="18"/>
                <w:szCs w:val="20"/>
                <w:lang w:bidi="en-US"/>
              </w:rPr>
            </w:pPr>
          </w:p>
        </w:tc>
        <w:tc>
          <w:tcPr>
            <w:tcW w:w="371" w:type="pct"/>
            <w:tcBorders>
              <w:bottom w:val="single" w:sz="4" w:space="0" w:color="auto"/>
            </w:tcBorders>
            <w:vAlign w:val="center"/>
          </w:tcPr>
          <w:p w14:paraId="78C860C3" w14:textId="77777777" w:rsidR="00D84719" w:rsidRPr="00D84719" w:rsidRDefault="00D84719" w:rsidP="00D84719">
            <w:pPr>
              <w:spacing w:after="0" w:line="276" w:lineRule="auto"/>
              <w:jc w:val="center"/>
              <w:rPr>
                <w:rFonts w:ascii="Times New Roman" w:eastAsia="Times New Roman" w:hAnsi="Times New Roman" w:cs="Times New Roman"/>
                <w:b/>
                <w:bCs/>
                <w:smallCaps/>
                <w:color w:val="000000"/>
                <w:sz w:val="18"/>
                <w:szCs w:val="14"/>
              </w:rPr>
            </w:pPr>
            <w:r w:rsidRPr="00D84719">
              <w:rPr>
                <w:rFonts w:ascii="Times New Roman" w:eastAsia="Times New Roman" w:hAnsi="Times New Roman" w:cs="Times New Roman"/>
                <w:b/>
                <w:bCs/>
                <w:smallCaps/>
                <w:color w:val="000000"/>
                <w:sz w:val="18"/>
                <w:szCs w:val="14"/>
              </w:rPr>
              <w:t>PCB</w:t>
            </w:r>
          </w:p>
        </w:tc>
        <w:tc>
          <w:tcPr>
            <w:tcW w:w="348" w:type="pct"/>
            <w:tcBorders>
              <w:bottom w:val="single" w:sz="4" w:space="0" w:color="auto"/>
            </w:tcBorders>
            <w:vAlign w:val="center"/>
          </w:tcPr>
          <w:p w14:paraId="3A34FFB8" w14:textId="77777777" w:rsidR="00D84719" w:rsidRPr="00D84719" w:rsidRDefault="00D84719" w:rsidP="00D84719">
            <w:pPr>
              <w:spacing w:after="0" w:line="276" w:lineRule="auto"/>
              <w:jc w:val="center"/>
              <w:rPr>
                <w:rFonts w:ascii="Times New Roman" w:eastAsia="Times New Roman" w:hAnsi="Times New Roman" w:cs="Times New Roman"/>
                <w:b/>
                <w:bCs/>
                <w:smallCaps/>
                <w:color w:val="000000"/>
                <w:sz w:val="18"/>
                <w:szCs w:val="20"/>
              </w:rPr>
            </w:pPr>
            <w:r w:rsidRPr="00D84719">
              <w:rPr>
                <w:rFonts w:ascii="Times New Roman" w:eastAsia="Times New Roman" w:hAnsi="Times New Roman" w:cs="Times New Roman"/>
                <w:b/>
                <w:bCs/>
                <w:smallCaps/>
                <w:color w:val="000000"/>
                <w:sz w:val="18"/>
                <w:szCs w:val="20"/>
              </w:rPr>
              <w:t>0</w:t>
            </w:r>
          </w:p>
        </w:tc>
        <w:tc>
          <w:tcPr>
            <w:tcW w:w="348" w:type="pct"/>
            <w:tcBorders>
              <w:bottom w:val="single" w:sz="4" w:space="0" w:color="auto"/>
            </w:tcBorders>
            <w:vAlign w:val="center"/>
          </w:tcPr>
          <w:p w14:paraId="1E42F875" w14:textId="77777777" w:rsidR="00D84719" w:rsidRPr="00D84719" w:rsidRDefault="00D84719" w:rsidP="00D84719">
            <w:pPr>
              <w:spacing w:after="0" w:line="276" w:lineRule="auto"/>
              <w:jc w:val="center"/>
              <w:rPr>
                <w:rFonts w:ascii="Times New Roman" w:eastAsia="Times New Roman" w:hAnsi="Times New Roman" w:cs="Times New Roman"/>
                <w:b/>
                <w:bCs/>
                <w:smallCaps/>
                <w:color w:val="000000"/>
                <w:sz w:val="18"/>
                <w:szCs w:val="20"/>
              </w:rPr>
            </w:pPr>
            <w:r w:rsidRPr="00D84719">
              <w:rPr>
                <w:rFonts w:ascii="Times New Roman" w:eastAsia="Times New Roman" w:hAnsi="Times New Roman" w:cs="Times New Roman"/>
                <w:b/>
                <w:bCs/>
                <w:smallCaps/>
                <w:color w:val="000000"/>
                <w:sz w:val="18"/>
                <w:szCs w:val="20"/>
              </w:rPr>
              <w:t>0</w:t>
            </w:r>
          </w:p>
        </w:tc>
        <w:tc>
          <w:tcPr>
            <w:tcW w:w="349" w:type="pct"/>
            <w:tcBorders>
              <w:bottom w:val="single" w:sz="4" w:space="0" w:color="auto"/>
            </w:tcBorders>
            <w:vAlign w:val="center"/>
          </w:tcPr>
          <w:p w14:paraId="0A426657" w14:textId="77777777" w:rsidR="00D84719" w:rsidRPr="00D84719" w:rsidRDefault="00D84719" w:rsidP="00D84719">
            <w:pPr>
              <w:spacing w:after="0" w:line="276" w:lineRule="auto"/>
              <w:jc w:val="center"/>
              <w:rPr>
                <w:rFonts w:ascii="Times New Roman" w:eastAsia="Times New Roman" w:hAnsi="Times New Roman" w:cs="Times New Roman"/>
                <w:b/>
                <w:bCs/>
                <w:smallCaps/>
                <w:color w:val="000000"/>
                <w:sz w:val="18"/>
                <w:szCs w:val="20"/>
              </w:rPr>
            </w:pPr>
            <w:r w:rsidRPr="00D84719">
              <w:rPr>
                <w:rFonts w:ascii="Times New Roman" w:eastAsia="Times New Roman" w:hAnsi="Times New Roman" w:cs="Times New Roman"/>
                <w:b/>
                <w:bCs/>
                <w:smallCaps/>
                <w:color w:val="000000"/>
                <w:sz w:val="18"/>
                <w:szCs w:val="20"/>
              </w:rPr>
              <w:t>0</w:t>
            </w:r>
          </w:p>
        </w:tc>
        <w:tc>
          <w:tcPr>
            <w:tcW w:w="349" w:type="pct"/>
            <w:tcBorders>
              <w:bottom w:val="single" w:sz="4" w:space="0" w:color="auto"/>
            </w:tcBorders>
            <w:vAlign w:val="center"/>
          </w:tcPr>
          <w:p w14:paraId="305CD62C" w14:textId="77777777" w:rsidR="00D84719" w:rsidRPr="00D84719" w:rsidRDefault="00D84719" w:rsidP="00D84719">
            <w:pPr>
              <w:spacing w:after="0" w:line="276" w:lineRule="auto"/>
              <w:jc w:val="center"/>
              <w:rPr>
                <w:rFonts w:ascii="Times New Roman" w:eastAsia="Times New Roman" w:hAnsi="Times New Roman" w:cs="Times New Roman"/>
                <w:b/>
                <w:bCs/>
                <w:smallCaps/>
                <w:color w:val="000000"/>
                <w:sz w:val="18"/>
                <w:szCs w:val="20"/>
              </w:rPr>
            </w:pPr>
            <w:r w:rsidRPr="00D84719">
              <w:rPr>
                <w:rFonts w:ascii="Times New Roman" w:eastAsia="Times New Roman" w:hAnsi="Times New Roman" w:cs="Times New Roman"/>
                <w:b/>
                <w:bCs/>
                <w:smallCaps/>
                <w:color w:val="000000"/>
                <w:sz w:val="18"/>
                <w:szCs w:val="20"/>
              </w:rPr>
              <w:t>0</w:t>
            </w:r>
          </w:p>
        </w:tc>
        <w:tc>
          <w:tcPr>
            <w:tcW w:w="349" w:type="pct"/>
            <w:tcBorders>
              <w:bottom w:val="single" w:sz="4" w:space="0" w:color="auto"/>
            </w:tcBorders>
            <w:vAlign w:val="center"/>
          </w:tcPr>
          <w:p w14:paraId="74912328" w14:textId="77777777" w:rsidR="00D84719" w:rsidRPr="00D84719" w:rsidRDefault="00D84719" w:rsidP="00D84719">
            <w:pPr>
              <w:spacing w:after="0" w:line="276" w:lineRule="auto"/>
              <w:jc w:val="center"/>
              <w:rPr>
                <w:rFonts w:ascii="Times New Roman" w:eastAsia="Times New Roman" w:hAnsi="Times New Roman" w:cs="Times New Roman"/>
                <w:b/>
                <w:bCs/>
                <w:smallCaps/>
                <w:color w:val="000000"/>
                <w:sz w:val="18"/>
                <w:szCs w:val="20"/>
              </w:rPr>
            </w:pPr>
            <w:r w:rsidRPr="00D84719">
              <w:rPr>
                <w:rFonts w:ascii="Times New Roman" w:eastAsia="Times New Roman" w:hAnsi="Times New Roman" w:cs="Times New Roman"/>
                <w:b/>
                <w:bCs/>
                <w:smallCaps/>
                <w:color w:val="000000"/>
                <w:sz w:val="18"/>
                <w:szCs w:val="20"/>
              </w:rPr>
              <w:t>0</w:t>
            </w:r>
          </w:p>
        </w:tc>
        <w:tc>
          <w:tcPr>
            <w:tcW w:w="349" w:type="pct"/>
            <w:tcBorders>
              <w:bottom w:val="single" w:sz="4" w:space="0" w:color="auto"/>
            </w:tcBorders>
            <w:vAlign w:val="center"/>
          </w:tcPr>
          <w:p w14:paraId="7EFEB92D" w14:textId="77777777" w:rsidR="00D84719" w:rsidRPr="00D84719" w:rsidRDefault="00D84719" w:rsidP="00D84719">
            <w:pPr>
              <w:spacing w:after="0" w:line="276" w:lineRule="auto"/>
              <w:jc w:val="center"/>
              <w:rPr>
                <w:rFonts w:ascii="Times New Roman" w:eastAsia="Times New Roman" w:hAnsi="Times New Roman" w:cs="Times New Roman"/>
                <w:b/>
                <w:bCs/>
                <w:smallCaps/>
                <w:color w:val="000000"/>
                <w:sz w:val="18"/>
                <w:szCs w:val="20"/>
              </w:rPr>
            </w:pPr>
            <w:r w:rsidRPr="00D84719">
              <w:rPr>
                <w:rFonts w:ascii="Times New Roman" w:eastAsia="Times New Roman" w:hAnsi="Times New Roman" w:cs="Times New Roman"/>
                <w:b/>
                <w:bCs/>
                <w:smallCaps/>
                <w:color w:val="000000"/>
                <w:sz w:val="18"/>
                <w:szCs w:val="20"/>
              </w:rPr>
              <w:t>0</w:t>
            </w:r>
          </w:p>
        </w:tc>
        <w:tc>
          <w:tcPr>
            <w:tcW w:w="349" w:type="pct"/>
            <w:tcBorders>
              <w:bottom w:val="single" w:sz="4" w:space="0" w:color="auto"/>
            </w:tcBorders>
            <w:vAlign w:val="center"/>
          </w:tcPr>
          <w:p w14:paraId="0D12F919" w14:textId="77777777" w:rsidR="00D84719" w:rsidRPr="00D84719" w:rsidRDefault="00F17579" w:rsidP="00D84719">
            <w:pPr>
              <w:spacing w:after="0" w:line="276" w:lineRule="auto"/>
              <w:jc w:val="center"/>
              <w:rPr>
                <w:rFonts w:ascii="Times New Roman" w:eastAsia="Times New Roman" w:hAnsi="Times New Roman" w:cs="Times New Roman"/>
                <w:b/>
                <w:bCs/>
                <w:smallCaps/>
                <w:color w:val="000000"/>
                <w:sz w:val="18"/>
                <w:szCs w:val="20"/>
              </w:rPr>
            </w:pPr>
            <w:r>
              <w:rPr>
                <w:rFonts w:ascii="Times New Roman" w:eastAsia="Times New Roman" w:hAnsi="Times New Roman" w:cs="Times New Roman"/>
                <w:b/>
                <w:bCs/>
                <w:smallCaps/>
                <w:color w:val="000000"/>
                <w:sz w:val="18"/>
                <w:szCs w:val="20"/>
              </w:rPr>
              <w:t>662,47</w:t>
            </w:r>
          </w:p>
        </w:tc>
        <w:tc>
          <w:tcPr>
            <w:tcW w:w="667" w:type="pct"/>
            <w:tcBorders>
              <w:bottom w:val="single" w:sz="4" w:space="0" w:color="auto"/>
            </w:tcBorders>
            <w:vAlign w:val="center"/>
          </w:tcPr>
          <w:p w14:paraId="2BEAF067" w14:textId="77777777" w:rsidR="00D84719" w:rsidRPr="00D84719" w:rsidRDefault="00F17579" w:rsidP="00D84719">
            <w:pPr>
              <w:spacing w:after="0" w:line="276" w:lineRule="auto"/>
              <w:jc w:val="center"/>
              <w:rPr>
                <w:rFonts w:ascii="Times New Roman" w:eastAsia="Times New Roman" w:hAnsi="Times New Roman" w:cs="Times New Roman"/>
                <w:b/>
                <w:bCs/>
                <w:smallCaps/>
                <w:color w:val="000000"/>
                <w:sz w:val="18"/>
                <w:szCs w:val="20"/>
              </w:rPr>
            </w:pPr>
            <w:r>
              <w:rPr>
                <w:rFonts w:ascii="Times New Roman" w:eastAsia="Times New Roman" w:hAnsi="Times New Roman" w:cs="Times New Roman"/>
                <w:b/>
                <w:bCs/>
                <w:smallCaps/>
                <w:color w:val="000000"/>
                <w:sz w:val="18"/>
                <w:szCs w:val="20"/>
              </w:rPr>
              <w:t>164</w:t>
            </w:r>
          </w:p>
        </w:tc>
        <w:tc>
          <w:tcPr>
            <w:tcW w:w="348" w:type="pct"/>
            <w:tcBorders>
              <w:bottom w:val="single" w:sz="4" w:space="0" w:color="auto"/>
            </w:tcBorders>
            <w:vAlign w:val="center"/>
          </w:tcPr>
          <w:p w14:paraId="6F155B5C" w14:textId="77777777" w:rsidR="00D84719" w:rsidRPr="00D84719" w:rsidRDefault="00D84719" w:rsidP="00D84719">
            <w:pPr>
              <w:spacing w:after="0" w:line="276" w:lineRule="auto"/>
              <w:jc w:val="center"/>
              <w:rPr>
                <w:rFonts w:ascii="Times New Roman" w:eastAsia="Times New Roman" w:hAnsi="Times New Roman" w:cs="Times New Roman"/>
                <w:b/>
                <w:bCs/>
                <w:smallCaps/>
                <w:color w:val="000000"/>
                <w:sz w:val="18"/>
                <w:szCs w:val="20"/>
              </w:rPr>
            </w:pPr>
            <w:r w:rsidRPr="00D84719">
              <w:rPr>
                <w:rFonts w:ascii="Times New Roman" w:eastAsia="Times New Roman" w:hAnsi="Times New Roman" w:cs="Times New Roman"/>
                <w:b/>
                <w:bCs/>
                <w:smallCaps/>
                <w:color w:val="000000"/>
                <w:sz w:val="18"/>
                <w:szCs w:val="20"/>
              </w:rPr>
              <w:t>0</w:t>
            </w:r>
            <w:r w:rsidRPr="00D84719">
              <w:rPr>
                <w:rFonts w:ascii="Times New Roman" w:eastAsia="Times New Roman" w:hAnsi="Times New Roman" w:cs="Times New Roman"/>
                <w:smallCaps/>
                <w:color w:val="000000"/>
                <w:sz w:val="18"/>
                <w:szCs w:val="20"/>
                <w:vertAlign w:val="superscript"/>
              </w:rPr>
              <w:footnoteReference w:id="4"/>
            </w:r>
          </w:p>
        </w:tc>
      </w:tr>
    </w:tbl>
    <w:p w14:paraId="4AB57165" w14:textId="77777777" w:rsidR="00D84719" w:rsidRPr="00D84719" w:rsidRDefault="00D84719" w:rsidP="00CB2221">
      <w:pPr>
        <w:pStyle w:val="Naslov3"/>
      </w:pPr>
      <w:bookmarkStart w:id="63" w:name="_Toc41638238"/>
      <w:bookmarkStart w:id="64" w:name="_Toc64460689"/>
      <w:r w:rsidRPr="00D84719">
        <w:lastRenderedPageBreak/>
        <w:t>„STARI“ UPOPS</w:t>
      </w:r>
      <w:bookmarkEnd w:id="63"/>
      <w:r w:rsidRPr="00D84719">
        <w:t>-ovi</w:t>
      </w:r>
      <w:bookmarkEnd w:id="64"/>
      <w:r w:rsidRPr="00D84719">
        <w:t xml:space="preserve"> </w:t>
      </w:r>
    </w:p>
    <w:p w14:paraId="2DCC08DC"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 xml:space="preserve">Inventar </w:t>
      </w:r>
      <w:proofErr w:type="spellStart"/>
      <w:r w:rsidRPr="00D84719">
        <w:rPr>
          <w:rFonts w:ascii="Times New Roman" w:eastAsia="Times New Roman" w:hAnsi="Times New Roman" w:cs="Times New Roman"/>
          <w:color w:val="000000"/>
          <w:sz w:val="24"/>
          <w:szCs w:val="24"/>
        </w:rPr>
        <w:t>UPOPs</w:t>
      </w:r>
      <w:proofErr w:type="spellEnd"/>
      <w:r w:rsidRPr="00D84719">
        <w:rPr>
          <w:rFonts w:ascii="Times New Roman" w:eastAsia="Times New Roman" w:hAnsi="Times New Roman" w:cs="Times New Roman"/>
          <w:color w:val="000000"/>
          <w:sz w:val="24"/>
          <w:szCs w:val="24"/>
        </w:rPr>
        <w:t>-ova PCDD, PCDF, HCB, PCB obrađen je u poglavlju „Procjena i inventar nenamjerne proizvodnje i ispuštanja kemikalija“ ovog dokumenta.</w:t>
      </w:r>
    </w:p>
    <w:p w14:paraId="077C993F" w14:textId="77777777" w:rsidR="00D84719" w:rsidRPr="00D84719" w:rsidRDefault="00D84719" w:rsidP="00D84719">
      <w:pPr>
        <w:spacing w:after="200" w:line="276" w:lineRule="auto"/>
        <w:rPr>
          <w:rFonts w:ascii="Times New Roman" w:eastAsia="Times New Roman" w:hAnsi="Times New Roman" w:cs="Times New Roman"/>
          <w:color w:val="000000"/>
          <w:szCs w:val="24"/>
        </w:rPr>
      </w:pPr>
    </w:p>
    <w:p w14:paraId="520FB7A3" w14:textId="77777777" w:rsidR="00D84719" w:rsidRPr="00D84719" w:rsidRDefault="00D84719" w:rsidP="00CB2221">
      <w:pPr>
        <w:pStyle w:val="Naslov2"/>
      </w:pPr>
      <w:bookmarkStart w:id="65" w:name="_Toc41638239"/>
      <w:bookmarkStart w:id="66" w:name="_Toc64460690"/>
      <w:r w:rsidRPr="00D84719">
        <w:t>„Novi“ POPs-ovi usvojeni na COP-4, COP-5 i COP-6</w:t>
      </w:r>
      <w:bookmarkEnd w:id="65"/>
      <w:bookmarkEnd w:id="66"/>
    </w:p>
    <w:p w14:paraId="4004D96F"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 xml:space="preserve">Izraz </w:t>
      </w:r>
      <w:r w:rsidR="00AC66AA">
        <w:rPr>
          <w:rFonts w:ascii="Times New Roman" w:eastAsia="Times New Roman" w:hAnsi="Times New Roman" w:cs="Times New Roman"/>
          <w:color w:val="000000"/>
          <w:sz w:val="24"/>
          <w:szCs w:val="24"/>
          <w:lang w:bidi="en-US"/>
        </w:rPr>
        <w:t>„</w:t>
      </w:r>
      <w:r w:rsidRPr="00D84719">
        <w:rPr>
          <w:rFonts w:ascii="Times New Roman" w:eastAsia="Times New Roman" w:hAnsi="Times New Roman" w:cs="Times New Roman"/>
          <w:color w:val="000000"/>
          <w:sz w:val="24"/>
          <w:szCs w:val="24"/>
          <w:lang w:bidi="en-US"/>
        </w:rPr>
        <w:t>novi POPs-ovi</w:t>
      </w:r>
      <w:r w:rsidR="00AC66AA">
        <w:rPr>
          <w:rFonts w:ascii="Times New Roman" w:eastAsia="Times New Roman" w:hAnsi="Times New Roman" w:cs="Times New Roman"/>
          <w:color w:val="000000"/>
          <w:sz w:val="24"/>
          <w:szCs w:val="24"/>
          <w:lang w:bidi="en-US"/>
        </w:rPr>
        <w:t>“</w:t>
      </w:r>
      <w:r w:rsidRPr="00D84719">
        <w:rPr>
          <w:rFonts w:ascii="Times New Roman" w:eastAsia="Times New Roman" w:hAnsi="Times New Roman" w:cs="Times New Roman"/>
          <w:color w:val="000000"/>
          <w:sz w:val="24"/>
          <w:szCs w:val="24"/>
          <w:lang w:bidi="en-US"/>
        </w:rPr>
        <w:t xml:space="preserve"> obuhvaća tvari navedene u </w:t>
      </w:r>
      <w:proofErr w:type="spellStart"/>
      <w:r w:rsidRPr="00D84719">
        <w:rPr>
          <w:rFonts w:ascii="Times New Roman" w:eastAsia="Times New Roman" w:hAnsi="Times New Roman" w:cs="Times New Roman"/>
          <w:color w:val="000000"/>
          <w:sz w:val="24"/>
          <w:szCs w:val="24"/>
          <w:lang w:bidi="en-US"/>
        </w:rPr>
        <w:t>Stockholmskoj</w:t>
      </w:r>
      <w:proofErr w:type="spellEnd"/>
      <w:r w:rsidRPr="00D84719">
        <w:rPr>
          <w:rFonts w:ascii="Times New Roman" w:eastAsia="Times New Roman" w:hAnsi="Times New Roman" w:cs="Times New Roman"/>
          <w:color w:val="000000"/>
          <w:sz w:val="24"/>
          <w:szCs w:val="24"/>
          <w:lang w:bidi="en-US"/>
        </w:rPr>
        <w:t xml:space="preserve"> konvenciji </w:t>
      </w:r>
      <w:r w:rsidR="00FA4AF3" w:rsidRPr="00FA4AF3">
        <w:rPr>
          <w:rFonts w:ascii="Times New Roman" w:eastAsia="Times New Roman" w:hAnsi="Times New Roman" w:cs="Times New Roman"/>
          <w:color w:val="000000"/>
          <w:sz w:val="24"/>
          <w:szCs w:val="24"/>
          <w:lang w:bidi="en-US"/>
        </w:rPr>
        <w:t xml:space="preserve">te regulirane </w:t>
      </w:r>
      <w:r w:rsidR="000860FC">
        <w:rPr>
          <w:rFonts w:ascii="Times New Roman" w:eastAsia="Times New Roman" w:hAnsi="Times New Roman" w:cs="Times New Roman"/>
          <w:sz w:val="24"/>
          <w:szCs w:val="24"/>
        </w:rPr>
        <w:t>POPs Uredbom</w:t>
      </w:r>
      <w:r w:rsidRPr="00D84719">
        <w:rPr>
          <w:rFonts w:ascii="Times New Roman" w:eastAsia="Times New Roman" w:hAnsi="Times New Roman" w:cs="Times New Roman"/>
          <w:color w:val="000000"/>
          <w:sz w:val="24"/>
          <w:szCs w:val="24"/>
          <w:lang w:bidi="en-US"/>
        </w:rPr>
        <w:t xml:space="preserve">. Izrazom „novi“ POPs pesticidi, industrijske kemikalije i </w:t>
      </w:r>
      <w:proofErr w:type="spellStart"/>
      <w:r w:rsidRPr="00D84719">
        <w:rPr>
          <w:rFonts w:ascii="Times New Roman" w:eastAsia="Times New Roman" w:hAnsi="Times New Roman" w:cs="Times New Roman"/>
          <w:color w:val="000000"/>
          <w:sz w:val="24"/>
          <w:szCs w:val="24"/>
          <w:lang w:bidi="en-US"/>
        </w:rPr>
        <w:t>UPOPs</w:t>
      </w:r>
      <w:proofErr w:type="spellEnd"/>
      <w:r w:rsidRPr="00D84719">
        <w:rPr>
          <w:rFonts w:ascii="Times New Roman" w:eastAsia="Times New Roman" w:hAnsi="Times New Roman" w:cs="Times New Roman"/>
          <w:color w:val="000000"/>
          <w:sz w:val="24"/>
          <w:szCs w:val="24"/>
          <w:lang w:bidi="en-US"/>
        </w:rPr>
        <w:t xml:space="preserve"> obuhvaćene su sljedeće tvari:</w:t>
      </w:r>
    </w:p>
    <w:p w14:paraId="15163C69" w14:textId="77777777" w:rsidR="00D84719" w:rsidRPr="00D84719" w:rsidRDefault="00D84719" w:rsidP="00F61CE7">
      <w:pPr>
        <w:numPr>
          <w:ilvl w:val="0"/>
          <w:numId w:val="14"/>
        </w:numPr>
        <w:tabs>
          <w:tab w:val="left" w:pos="1755"/>
        </w:tabs>
        <w:autoSpaceDE w:val="0"/>
        <w:autoSpaceDN w:val="0"/>
        <w:adjustRightInd w:val="0"/>
        <w:spacing w:before="80" w:after="0" w:line="240" w:lineRule="auto"/>
        <w:jc w:val="both"/>
        <w:rPr>
          <w:rFonts w:ascii="Times New Roman" w:eastAsia="Calibri" w:hAnsi="Times New Roman" w:cs="Times New Roman"/>
          <w:b/>
          <w:bCs/>
          <w:sz w:val="24"/>
          <w:szCs w:val="24"/>
          <w:lang w:bidi="en-US"/>
        </w:rPr>
      </w:pPr>
      <w:r w:rsidRPr="00D84719">
        <w:rPr>
          <w:rFonts w:ascii="Times New Roman" w:eastAsia="Calibri" w:hAnsi="Times New Roman" w:cs="Times New Roman"/>
          <w:sz w:val="24"/>
          <w:szCs w:val="24"/>
          <w:lang w:bidi="en-US"/>
        </w:rPr>
        <w:t xml:space="preserve">pesticidi navedeni u Dodatku </w:t>
      </w:r>
      <w:r w:rsidR="00A64981">
        <w:rPr>
          <w:rFonts w:ascii="Times New Roman" w:eastAsia="Calibri" w:hAnsi="Times New Roman" w:cs="Times New Roman"/>
          <w:sz w:val="24"/>
          <w:szCs w:val="24"/>
          <w:lang w:bidi="en-US"/>
        </w:rPr>
        <w:t>A</w:t>
      </w:r>
      <w:r w:rsidRPr="00D84719">
        <w:rPr>
          <w:rFonts w:ascii="Times New Roman" w:eastAsia="Calibri" w:hAnsi="Times New Roman" w:cs="Times New Roman"/>
          <w:sz w:val="24"/>
          <w:szCs w:val="24"/>
          <w:lang w:bidi="en-US"/>
        </w:rPr>
        <w:t xml:space="preserve"> Stockholmske konvencije: </w:t>
      </w:r>
      <w:r w:rsidRPr="00D84719">
        <w:rPr>
          <w:rFonts w:ascii="Times New Roman" w:eastAsia="Calibri" w:hAnsi="Times New Roman" w:cs="Times New Roman"/>
          <w:b/>
          <w:bCs/>
          <w:sz w:val="24"/>
          <w:szCs w:val="24"/>
          <w:lang w:bidi="en-US"/>
        </w:rPr>
        <w:t>klordekon,</w:t>
      </w:r>
      <w:r w:rsidRPr="00D84719">
        <w:rPr>
          <w:rFonts w:ascii="Times New Roman" w:eastAsia="Calibri" w:hAnsi="Times New Roman" w:cs="Times New Roman"/>
          <w:sz w:val="24"/>
          <w:szCs w:val="24"/>
        </w:rPr>
        <w:t xml:space="preserve"> </w:t>
      </w:r>
      <w:r w:rsidRPr="00D84719">
        <w:rPr>
          <w:rFonts w:ascii="Times New Roman" w:eastAsia="Calibri" w:hAnsi="Times New Roman" w:cs="Times New Roman"/>
          <w:b/>
          <w:bCs/>
          <w:sz w:val="24"/>
          <w:szCs w:val="24"/>
          <w:lang w:bidi="en-US"/>
        </w:rPr>
        <w:t xml:space="preserve">alfa/beta/gama heksaklorocikloheksan, pentaklorobenzen </w:t>
      </w:r>
      <w:r w:rsidRPr="00D84719">
        <w:rPr>
          <w:rFonts w:ascii="Times New Roman" w:eastAsia="Calibri" w:hAnsi="Times New Roman" w:cs="Times New Roman"/>
          <w:sz w:val="24"/>
          <w:szCs w:val="24"/>
          <w:lang w:bidi="en-US"/>
        </w:rPr>
        <w:t>i</w:t>
      </w:r>
      <w:r w:rsidRPr="00D84719">
        <w:rPr>
          <w:rFonts w:ascii="Times New Roman" w:eastAsia="Calibri" w:hAnsi="Times New Roman" w:cs="Times New Roman"/>
          <w:b/>
          <w:bCs/>
          <w:sz w:val="24"/>
          <w:szCs w:val="24"/>
          <w:lang w:bidi="en-US"/>
        </w:rPr>
        <w:t xml:space="preserve"> </w:t>
      </w:r>
      <w:r w:rsidRPr="00D84719">
        <w:rPr>
          <w:rFonts w:ascii="Times New Roman" w:eastAsia="Calibri" w:hAnsi="Times New Roman" w:cs="Times New Roman"/>
          <w:sz w:val="24"/>
          <w:szCs w:val="24"/>
          <w:lang w:bidi="en-US"/>
        </w:rPr>
        <w:t>tehnički</w:t>
      </w:r>
      <w:r w:rsidRPr="00D84719">
        <w:rPr>
          <w:rFonts w:ascii="Times New Roman" w:eastAsia="Calibri" w:hAnsi="Times New Roman" w:cs="Times New Roman"/>
          <w:b/>
          <w:bCs/>
          <w:sz w:val="24"/>
          <w:szCs w:val="24"/>
          <w:lang w:bidi="en-US"/>
        </w:rPr>
        <w:t xml:space="preserve"> endosulfan </w:t>
      </w:r>
      <w:r w:rsidRPr="00D84719">
        <w:rPr>
          <w:rFonts w:ascii="Times New Roman" w:eastAsia="Calibri" w:hAnsi="Times New Roman" w:cs="Times New Roman"/>
          <w:sz w:val="24"/>
          <w:szCs w:val="24"/>
          <w:lang w:bidi="en-US"/>
        </w:rPr>
        <w:t>i njegovi izomeri;</w:t>
      </w:r>
    </w:p>
    <w:p w14:paraId="11184DC2" w14:textId="77777777" w:rsidR="00D84719" w:rsidRPr="00D84719" w:rsidRDefault="00D84719" w:rsidP="00F61CE7">
      <w:pPr>
        <w:numPr>
          <w:ilvl w:val="0"/>
          <w:numId w:val="14"/>
        </w:numPr>
        <w:tabs>
          <w:tab w:val="left" w:pos="1755"/>
        </w:tabs>
        <w:autoSpaceDE w:val="0"/>
        <w:autoSpaceDN w:val="0"/>
        <w:adjustRightInd w:val="0"/>
        <w:spacing w:before="80" w:after="0" w:line="240" w:lineRule="auto"/>
        <w:jc w:val="both"/>
        <w:rPr>
          <w:rFonts w:ascii="Times New Roman" w:eastAsia="Calibri" w:hAnsi="Times New Roman" w:cs="Times New Roman"/>
          <w:sz w:val="24"/>
          <w:szCs w:val="24"/>
          <w:lang w:bidi="en-US"/>
        </w:rPr>
      </w:pPr>
      <w:r w:rsidRPr="00D84719">
        <w:rPr>
          <w:rFonts w:ascii="Times New Roman" w:eastAsia="Calibri" w:hAnsi="Times New Roman" w:cs="Times New Roman"/>
          <w:sz w:val="24"/>
          <w:szCs w:val="24"/>
          <w:lang w:bidi="en-US"/>
        </w:rPr>
        <w:t xml:space="preserve">industrijske kemikalije navedene u Dodatku </w:t>
      </w:r>
      <w:r w:rsidR="00A64981">
        <w:rPr>
          <w:rFonts w:ascii="Times New Roman" w:eastAsia="Calibri" w:hAnsi="Times New Roman" w:cs="Times New Roman"/>
          <w:sz w:val="24"/>
          <w:szCs w:val="24"/>
          <w:lang w:bidi="en-US"/>
        </w:rPr>
        <w:t>A</w:t>
      </w:r>
      <w:r w:rsidRPr="00D84719">
        <w:rPr>
          <w:rFonts w:ascii="Times New Roman" w:eastAsia="Calibri" w:hAnsi="Times New Roman" w:cs="Times New Roman"/>
          <w:sz w:val="24"/>
          <w:szCs w:val="24"/>
          <w:lang w:bidi="en-US"/>
        </w:rPr>
        <w:t xml:space="preserve"> Stockholmske konvencije: </w:t>
      </w:r>
      <w:r w:rsidRPr="00D84719">
        <w:rPr>
          <w:rFonts w:ascii="Times New Roman" w:eastAsia="Calibri" w:hAnsi="Times New Roman" w:cs="Times New Roman"/>
          <w:sz w:val="24"/>
          <w:szCs w:val="24"/>
        </w:rPr>
        <w:t>heksabromobifenil (HBB), heksabromodifenil eter (</w:t>
      </w:r>
      <w:proofErr w:type="spellStart"/>
      <w:r w:rsidR="00CB6789">
        <w:rPr>
          <w:rFonts w:ascii="Times New Roman" w:eastAsia="Calibri" w:hAnsi="Times New Roman" w:cs="Times New Roman"/>
          <w:sz w:val="24"/>
          <w:szCs w:val="24"/>
        </w:rPr>
        <w:t>h</w:t>
      </w:r>
      <w:r w:rsidRPr="00D84719">
        <w:rPr>
          <w:rFonts w:ascii="Times New Roman" w:eastAsia="Calibri" w:hAnsi="Times New Roman" w:cs="Times New Roman"/>
          <w:sz w:val="24"/>
          <w:szCs w:val="24"/>
        </w:rPr>
        <w:t>e</w:t>
      </w:r>
      <w:r w:rsidRPr="00B54E38">
        <w:rPr>
          <w:rFonts w:ascii="Times New Roman" w:eastAsia="Calibri" w:hAnsi="Times New Roman" w:cs="Times New Roman"/>
          <w:sz w:val="24"/>
          <w:szCs w:val="24"/>
        </w:rPr>
        <w:t>ks</w:t>
      </w:r>
      <w:r w:rsidRPr="00D84719">
        <w:rPr>
          <w:rFonts w:ascii="Times New Roman" w:eastAsia="Calibri" w:hAnsi="Times New Roman" w:cs="Times New Roman"/>
          <w:sz w:val="24"/>
          <w:szCs w:val="24"/>
        </w:rPr>
        <w:t>aBDE</w:t>
      </w:r>
      <w:proofErr w:type="spellEnd"/>
      <w:r w:rsidRPr="00D84719">
        <w:rPr>
          <w:rFonts w:ascii="Times New Roman" w:eastAsia="Calibri" w:hAnsi="Times New Roman" w:cs="Times New Roman"/>
          <w:sz w:val="24"/>
          <w:szCs w:val="24"/>
        </w:rPr>
        <w:t>) i heptabromodifenil eter (</w:t>
      </w:r>
      <w:r w:rsidR="00CB6789">
        <w:rPr>
          <w:rFonts w:ascii="Times New Roman" w:eastAsia="Calibri" w:hAnsi="Times New Roman" w:cs="Times New Roman"/>
          <w:sz w:val="24"/>
          <w:szCs w:val="24"/>
        </w:rPr>
        <w:t>h</w:t>
      </w:r>
      <w:r w:rsidRPr="00D84719">
        <w:rPr>
          <w:rFonts w:ascii="Times New Roman" w:eastAsia="Calibri" w:hAnsi="Times New Roman" w:cs="Times New Roman"/>
          <w:sz w:val="24"/>
          <w:szCs w:val="24"/>
        </w:rPr>
        <w:t>eptaBDE), pentaklorobenzen, tetrabromodifenil eter i pentabromodifenil eter</w:t>
      </w:r>
      <w:r w:rsidRPr="00D84719">
        <w:rPr>
          <w:rFonts w:ascii="Times New Roman" w:eastAsia="Calibri" w:hAnsi="Times New Roman" w:cs="Times New Roman"/>
          <w:sz w:val="24"/>
          <w:szCs w:val="24"/>
          <w:lang w:bidi="en-US"/>
        </w:rPr>
        <w:t xml:space="preserve"> i </w:t>
      </w:r>
      <w:r w:rsidRPr="00D84719">
        <w:rPr>
          <w:rFonts w:ascii="Times New Roman" w:eastAsia="Calibri" w:hAnsi="Times New Roman" w:cs="Times New Roman"/>
          <w:sz w:val="24"/>
          <w:szCs w:val="24"/>
        </w:rPr>
        <w:t>heksabromociklododekan (HBCD)</w:t>
      </w:r>
    </w:p>
    <w:p w14:paraId="6C6BB522" w14:textId="77777777" w:rsidR="00D84719" w:rsidRPr="00D84719" w:rsidRDefault="00D84719" w:rsidP="00F61CE7">
      <w:pPr>
        <w:numPr>
          <w:ilvl w:val="0"/>
          <w:numId w:val="14"/>
        </w:numPr>
        <w:tabs>
          <w:tab w:val="left" w:pos="1755"/>
        </w:tabs>
        <w:autoSpaceDE w:val="0"/>
        <w:autoSpaceDN w:val="0"/>
        <w:adjustRightInd w:val="0"/>
        <w:spacing w:before="80" w:after="0" w:line="240" w:lineRule="auto"/>
        <w:jc w:val="both"/>
        <w:rPr>
          <w:rFonts w:ascii="Times New Roman" w:eastAsia="Calibri" w:hAnsi="Times New Roman" w:cs="Times New Roman"/>
          <w:sz w:val="24"/>
          <w:szCs w:val="24"/>
          <w:lang w:bidi="en-US"/>
        </w:rPr>
      </w:pPr>
      <w:r w:rsidRPr="00D84719">
        <w:rPr>
          <w:rFonts w:ascii="Times New Roman" w:eastAsia="Calibri" w:hAnsi="Times New Roman" w:cs="Times New Roman"/>
          <w:sz w:val="24"/>
          <w:szCs w:val="24"/>
          <w:lang w:bidi="en-US"/>
        </w:rPr>
        <w:t xml:space="preserve">industrijske kemikalije navedene u Dodatku </w:t>
      </w:r>
      <w:r w:rsidR="00A64981">
        <w:rPr>
          <w:rFonts w:ascii="Times New Roman" w:eastAsia="Calibri" w:hAnsi="Times New Roman" w:cs="Times New Roman"/>
          <w:sz w:val="24"/>
          <w:szCs w:val="24"/>
          <w:lang w:bidi="en-US"/>
        </w:rPr>
        <w:t>B</w:t>
      </w:r>
      <w:r w:rsidRPr="00D84719">
        <w:rPr>
          <w:rFonts w:ascii="Times New Roman" w:eastAsia="Calibri" w:hAnsi="Times New Roman" w:cs="Times New Roman"/>
          <w:sz w:val="24"/>
          <w:szCs w:val="24"/>
          <w:lang w:bidi="en-US"/>
        </w:rPr>
        <w:t xml:space="preserve"> Stockholmske konvencije: </w:t>
      </w:r>
      <w:r w:rsidRPr="00D84719">
        <w:rPr>
          <w:rFonts w:ascii="Times New Roman" w:eastAsia="Calibri" w:hAnsi="Times New Roman" w:cs="Times New Roman"/>
          <w:sz w:val="24"/>
          <w:szCs w:val="24"/>
        </w:rPr>
        <w:t>perfluorooktan sulfonska kiselina (PFOS), njezine soli i perfluorooktan sulfonil fluorid (PFOSF)</w:t>
      </w:r>
    </w:p>
    <w:p w14:paraId="7B10D940" w14:textId="77777777" w:rsidR="00D84719" w:rsidRPr="00D84719" w:rsidRDefault="00D84719" w:rsidP="00F61CE7">
      <w:pPr>
        <w:numPr>
          <w:ilvl w:val="0"/>
          <w:numId w:val="14"/>
        </w:numPr>
        <w:tabs>
          <w:tab w:val="left" w:pos="1755"/>
        </w:tabs>
        <w:autoSpaceDE w:val="0"/>
        <w:autoSpaceDN w:val="0"/>
        <w:adjustRightInd w:val="0"/>
        <w:spacing w:before="80" w:after="0" w:line="240" w:lineRule="auto"/>
        <w:jc w:val="both"/>
        <w:rPr>
          <w:rFonts w:ascii="Times New Roman" w:eastAsia="Calibri" w:hAnsi="Times New Roman" w:cs="Times New Roman"/>
          <w:b/>
          <w:bCs/>
          <w:sz w:val="24"/>
          <w:szCs w:val="24"/>
          <w:lang w:bidi="en-US"/>
        </w:rPr>
      </w:pPr>
      <w:r w:rsidRPr="00D84719">
        <w:rPr>
          <w:rFonts w:ascii="Times New Roman" w:eastAsia="Calibri" w:hAnsi="Times New Roman" w:cs="Times New Roman"/>
          <w:sz w:val="24"/>
          <w:szCs w:val="24"/>
          <w:lang w:bidi="en-US"/>
        </w:rPr>
        <w:t xml:space="preserve">tvar navedena u Dodatku </w:t>
      </w:r>
      <w:r w:rsidR="00A64981">
        <w:rPr>
          <w:rFonts w:ascii="Times New Roman" w:eastAsia="Calibri" w:hAnsi="Times New Roman" w:cs="Times New Roman"/>
          <w:sz w:val="24"/>
          <w:szCs w:val="24"/>
          <w:lang w:bidi="en-US"/>
        </w:rPr>
        <w:t>C</w:t>
      </w:r>
      <w:r w:rsidRPr="00D84719">
        <w:rPr>
          <w:rFonts w:ascii="Times New Roman" w:eastAsia="Calibri" w:hAnsi="Times New Roman" w:cs="Times New Roman"/>
          <w:sz w:val="24"/>
          <w:szCs w:val="24"/>
          <w:lang w:bidi="en-US"/>
        </w:rPr>
        <w:t xml:space="preserve"> Stockholmske konvencije: </w:t>
      </w:r>
      <w:r w:rsidRPr="00D84719">
        <w:rPr>
          <w:rFonts w:ascii="Times New Roman" w:eastAsia="Calibri" w:hAnsi="Times New Roman" w:cs="Times New Roman"/>
          <w:b/>
          <w:bCs/>
          <w:sz w:val="24"/>
          <w:szCs w:val="24"/>
          <w:lang w:bidi="en-US"/>
        </w:rPr>
        <w:t>pentaklorobenzen (PeCB).</w:t>
      </w:r>
    </w:p>
    <w:p w14:paraId="506B6ED9" w14:textId="77777777" w:rsidR="00D84719" w:rsidRPr="00D84719" w:rsidRDefault="00D84719" w:rsidP="00D84719">
      <w:pPr>
        <w:spacing w:before="80" w:line="276" w:lineRule="auto"/>
        <w:jc w:val="both"/>
        <w:rPr>
          <w:rFonts w:ascii="Times New Roman" w:eastAsia="Times New Roman" w:hAnsi="Times New Roman" w:cs="Times New Roman"/>
          <w:color w:val="000000"/>
          <w:szCs w:val="24"/>
        </w:rPr>
      </w:pPr>
    </w:p>
    <w:p w14:paraId="44886BC0" w14:textId="77777777" w:rsidR="00D84719" w:rsidRPr="00D84719" w:rsidRDefault="00D84719" w:rsidP="00CB2221">
      <w:pPr>
        <w:pStyle w:val="Naslov3"/>
      </w:pPr>
      <w:bookmarkStart w:id="67" w:name="_Toc64460691"/>
      <w:r w:rsidRPr="00D84719">
        <w:t>Pesticidi sa značajkama POPs-ova</w:t>
      </w:r>
      <w:bookmarkEnd w:id="67"/>
    </w:p>
    <w:p w14:paraId="409A7453" w14:textId="77777777" w:rsidR="00D84719" w:rsidRPr="00D84719" w:rsidRDefault="00D84719" w:rsidP="00D84719">
      <w:pPr>
        <w:keepNext/>
        <w:spacing w:before="80" w:after="0" w:line="276" w:lineRule="auto"/>
        <w:jc w:val="both"/>
        <w:rPr>
          <w:rFonts w:ascii="Times New Roman" w:eastAsia="Times New Roman" w:hAnsi="Times New Roman" w:cs="Times New Roman"/>
          <w:b/>
          <w:bCs/>
          <w:i/>
          <w:sz w:val="20"/>
          <w:szCs w:val="20"/>
        </w:rPr>
      </w:pPr>
      <w:r w:rsidRPr="00D84719">
        <w:rPr>
          <w:rFonts w:ascii="Times New Roman" w:eastAsia="Times New Roman" w:hAnsi="Times New Roman" w:cs="Times New Roman"/>
          <w:b/>
          <w:bCs/>
          <w:i/>
          <w:sz w:val="20"/>
          <w:szCs w:val="20"/>
        </w:rPr>
        <w:t xml:space="preserve">Tablica </w:t>
      </w:r>
      <w:r w:rsidRPr="00D84719">
        <w:rPr>
          <w:rFonts w:ascii="Times New Roman" w:eastAsia="Times New Roman" w:hAnsi="Times New Roman" w:cs="Times New Roman"/>
          <w:b/>
          <w:bCs/>
          <w:i/>
          <w:sz w:val="20"/>
          <w:szCs w:val="20"/>
        </w:rPr>
        <w:fldChar w:fldCharType="begin"/>
      </w:r>
      <w:r w:rsidRPr="00D84719">
        <w:rPr>
          <w:rFonts w:ascii="Times New Roman" w:eastAsia="Times New Roman" w:hAnsi="Times New Roman" w:cs="Times New Roman"/>
          <w:b/>
          <w:bCs/>
          <w:i/>
          <w:sz w:val="20"/>
          <w:szCs w:val="20"/>
        </w:rPr>
        <w:instrText xml:space="preserve"> STYLEREF 2 \s </w:instrText>
      </w:r>
      <w:r w:rsidRPr="00D84719">
        <w:rPr>
          <w:rFonts w:ascii="Times New Roman" w:eastAsia="Times New Roman" w:hAnsi="Times New Roman" w:cs="Times New Roman"/>
          <w:b/>
          <w:bCs/>
          <w:i/>
          <w:sz w:val="20"/>
          <w:szCs w:val="20"/>
        </w:rPr>
        <w:fldChar w:fldCharType="separate"/>
      </w:r>
      <w:r w:rsidRPr="00D84719">
        <w:rPr>
          <w:rFonts w:ascii="Times New Roman" w:eastAsia="Times New Roman" w:hAnsi="Times New Roman" w:cs="Times New Roman"/>
          <w:b/>
          <w:bCs/>
          <w:i/>
          <w:sz w:val="20"/>
          <w:szCs w:val="20"/>
        </w:rPr>
        <w:t>3.2</w:t>
      </w:r>
      <w:r w:rsidRPr="00D84719">
        <w:rPr>
          <w:rFonts w:ascii="Times New Roman" w:eastAsia="Times New Roman" w:hAnsi="Times New Roman" w:cs="Times New Roman"/>
          <w:b/>
          <w:bCs/>
          <w:i/>
          <w:sz w:val="20"/>
          <w:szCs w:val="20"/>
        </w:rPr>
        <w:fldChar w:fldCharType="end"/>
      </w:r>
      <w:r w:rsidRPr="00D84719">
        <w:rPr>
          <w:rFonts w:ascii="Times New Roman" w:eastAsia="Times New Roman" w:hAnsi="Times New Roman" w:cs="Times New Roman"/>
          <w:b/>
          <w:bCs/>
          <w:i/>
          <w:sz w:val="20"/>
          <w:szCs w:val="20"/>
        </w:rPr>
        <w:noBreakHyphen/>
      </w:r>
      <w:r w:rsidRPr="00D84719">
        <w:rPr>
          <w:rFonts w:ascii="Times New Roman" w:eastAsia="Times New Roman" w:hAnsi="Times New Roman" w:cs="Times New Roman"/>
          <w:b/>
          <w:bCs/>
          <w:i/>
          <w:sz w:val="20"/>
          <w:szCs w:val="20"/>
        </w:rPr>
        <w:fldChar w:fldCharType="begin"/>
      </w:r>
      <w:r w:rsidRPr="00D84719">
        <w:rPr>
          <w:rFonts w:ascii="Times New Roman" w:eastAsia="Times New Roman" w:hAnsi="Times New Roman" w:cs="Times New Roman"/>
          <w:b/>
          <w:bCs/>
          <w:i/>
          <w:sz w:val="20"/>
          <w:szCs w:val="20"/>
        </w:rPr>
        <w:instrText xml:space="preserve"> SEQ Tablica \* ARABIC \s 2 </w:instrText>
      </w:r>
      <w:r w:rsidRPr="00D84719">
        <w:rPr>
          <w:rFonts w:ascii="Times New Roman" w:eastAsia="Times New Roman" w:hAnsi="Times New Roman" w:cs="Times New Roman"/>
          <w:b/>
          <w:bCs/>
          <w:i/>
          <w:sz w:val="20"/>
          <w:szCs w:val="20"/>
        </w:rPr>
        <w:fldChar w:fldCharType="separate"/>
      </w:r>
      <w:r w:rsidRPr="00D84719">
        <w:rPr>
          <w:rFonts w:ascii="Times New Roman" w:eastAsia="Times New Roman" w:hAnsi="Times New Roman" w:cs="Times New Roman"/>
          <w:b/>
          <w:bCs/>
          <w:i/>
          <w:sz w:val="20"/>
          <w:szCs w:val="20"/>
        </w:rPr>
        <w:t>1</w:t>
      </w:r>
      <w:r w:rsidRPr="00D84719">
        <w:rPr>
          <w:rFonts w:ascii="Times New Roman" w:eastAsia="Times New Roman" w:hAnsi="Times New Roman" w:cs="Times New Roman"/>
          <w:b/>
          <w:bCs/>
          <w:i/>
          <w:sz w:val="20"/>
          <w:szCs w:val="20"/>
        </w:rPr>
        <w:fldChar w:fldCharType="end"/>
      </w:r>
      <w:r w:rsidRPr="00D84719">
        <w:rPr>
          <w:rFonts w:ascii="Times New Roman" w:eastAsia="Times New Roman" w:hAnsi="Times New Roman" w:cs="Times New Roman"/>
          <w:b/>
          <w:bCs/>
          <w:i/>
          <w:sz w:val="20"/>
          <w:szCs w:val="20"/>
        </w:rPr>
        <w:t>. Popis aktivnih tvari iz skupine pesticida koji su svrstani u POPs-ove i godine zabrane njihove primjene</w:t>
      </w:r>
    </w:p>
    <w:tbl>
      <w:tblPr>
        <w:tblW w:w="5000" w:type="pct"/>
        <w:tblLook w:val="04A0" w:firstRow="1" w:lastRow="0" w:firstColumn="1" w:lastColumn="0" w:noHBand="0" w:noVBand="1"/>
      </w:tblPr>
      <w:tblGrid>
        <w:gridCol w:w="3296"/>
        <w:gridCol w:w="2938"/>
        <w:gridCol w:w="2838"/>
      </w:tblGrid>
      <w:tr w:rsidR="00D84719" w:rsidRPr="00D84719" w14:paraId="41B132EC" w14:textId="77777777" w:rsidTr="00F831D6">
        <w:trPr>
          <w:trHeight w:val="466"/>
        </w:trPr>
        <w:tc>
          <w:tcPr>
            <w:tcW w:w="1817" w:type="pct"/>
            <w:tcBorders>
              <w:top w:val="single" w:sz="4" w:space="0" w:color="auto"/>
              <w:bottom w:val="single" w:sz="4" w:space="0" w:color="auto"/>
            </w:tcBorders>
            <w:vAlign w:val="center"/>
          </w:tcPr>
          <w:p w14:paraId="006D6A40" w14:textId="77777777" w:rsidR="00D84719" w:rsidRPr="00D84719" w:rsidRDefault="00D84719" w:rsidP="00D84719">
            <w:pPr>
              <w:spacing w:after="0" w:line="276" w:lineRule="auto"/>
              <w:jc w:val="center"/>
              <w:rPr>
                <w:rFonts w:ascii="Times New Roman" w:eastAsia="Times New Roman" w:hAnsi="Times New Roman" w:cs="Times New Roman"/>
                <w:b/>
                <w:bCs/>
                <w:smallCaps/>
                <w:color w:val="000000"/>
                <w:sz w:val="18"/>
                <w:szCs w:val="20"/>
              </w:rPr>
            </w:pPr>
            <w:r w:rsidRPr="00D84719">
              <w:rPr>
                <w:rFonts w:ascii="Times New Roman" w:eastAsia="Times New Roman" w:hAnsi="Times New Roman" w:cs="Times New Roman"/>
                <w:b/>
                <w:bCs/>
                <w:smallCaps/>
                <w:color w:val="000000"/>
                <w:sz w:val="18"/>
                <w:szCs w:val="20"/>
              </w:rPr>
              <w:t>Aktivna tvar</w:t>
            </w:r>
          </w:p>
        </w:tc>
        <w:tc>
          <w:tcPr>
            <w:tcW w:w="1619" w:type="pct"/>
            <w:tcBorders>
              <w:top w:val="single" w:sz="4" w:space="0" w:color="auto"/>
              <w:bottom w:val="single" w:sz="4" w:space="0" w:color="auto"/>
            </w:tcBorders>
            <w:vAlign w:val="center"/>
          </w:tcPr>
          <w:p w14:paraId="0091C16A" w14:textId="77777777" w:rsidR="00D84719" w:rsidRPr="00D84719" w:rsidRDefault="00D84719" w:rsidP="00D84719">
            <w:pPr>
              <w:spacing w:after="0" w:line="276" w:lineRule="auto"/>
              <w:jc w:val="center"/>
              <w:rPr>
                <w:rFonts w:ascii="Times New Roman" w:eastAsia="Times New Roman" w:hAnsi="Times New Roman" w:cs="Times New Roman"/>
                <w:b/>
                <w:bCs/>
                <w:smallCaps/>
                <w:color w:val="000000"/>
                <w:sz w:val="18"/>
                <w:szCs w:val="20"/>
              </w:rPr>
            </w:pPr>
            <w:r w:rsidRPr="00D84719">
              <w:rPr>
                <w:rFonts w:ascii="Times New Roman" w:eastAsia="Times New Roman" w:hAnsi="Times New Roman" w:cs="Times New Roman"/>
                <w:b/>
                <w:bCs/>
                <w:smallCaps/>
                <w:color w:val="000000"/>
                <w:sz w:val="18"/>
                <w:szCs w:val="20"/>
              </w:rPr>
              <w:t>Dozvoljen od godine</w:t>
            </w:r>
          </w:p>
        </w:tc>
        <w:tc>
          <w:tcPr>
            <w:tcW w:w="1564" w:type="pct"/>
            <w:tcBorders>
              <w:top w:val="single" w:sz="4" w:space="0" w:color="auto"/>
              <w:bottom w:val="single" w:sz="4" w:space="0" w:color="auto"/>
            </w:tcBorders>
            <w:vAlign w:val="center"/>
          </w:tcPr>
          <w:p w14:paraId="72B5C0C5" w14:textId="77777777" w:rsidR="00D84719" w:rsidRPr="00D84719" w:rsidRDefault="00D84719" w:rsidP="00D84719">
            <w:pPr>
              <w:spacing w:after="0" w:line="276" w:lineRule="auto"/>
              <w:jc w:val="center"/>
              <w:rPr>
                <w:rFonts w:ascii="Times New Roman" w:eastAsia="Times New Roman" w:hAnsi="Times New Roman" w:cs="Times New Roman"/>
                <w:b/>
                <w:bCs/>
                <w:smallCaps/>
                <w:color w:val="000000"/>
                <w:sz w:val="18"/>
                <w:szCs w:val="20"/>
              </w:rPr>
            </w:pPr>
            <w:r w:rsidRPr="00D84719">
              <w:rPr>
                <w:rFonts w:ascii="Times New Roman" w:eastAsia="Times New Roman" w:hAnsi="Times New Roman" w:cs="Times New Roman"/>
                <w:b/>
                <w:bCs/>
                <w:smallCaps/>
                <w:color w:val="000000"/>
                <w:sz w:val="18"/>
                <w:szCs w:val="20"/>
              </w:rPr>
              <w:t>Zabranjen od godine</w:t>
            </w:r>
          </w:p>
        </w:tc>
      </w:tr>
      <w:tr w:rsidR="00D84719" w:rsidRPr="00D84719" w14:paraId="75AB3C48" w14:textId="77777777" w:rsidTr="00F831D6">
        <w:trPr>
          <w:trHeight w:val="70"/>
        </w:trPr>
        <w:tc>
          <w:tcPr>
            <w:tcW w:w="1817" w:type="pct"/>
            <w:tcBorders>
              <w:top w:val="single" w:sz="4" w:space="0" w:color="auto"/>
              <w:bottom w:val="dotted" w:sz="4" w:space="0" w:color="auto"/>
            </w:tcBorders>
            <w:vAlign w:val="center"/>
          </w:tcPr>
          <w:p w14:paraId="45FB61E0" w14:textId="77777777" w:rsidR="00D84719" w:rsidRPr="00CB2221" w:rsidRDefault="00CB2221" w:rsidP="00D84719">
            <w:pPr>
              <w:spacing w:after="0" w:line="276" w:lineRule="auto"/>
              <w:jc w:val="center"/>
              <w:rPr>
                <w:rFonts w:ascii="Times New Roman" w:eastAsia="Times New Roman" w:hAnsi="Times New Roman" w:cs="Times New Roman"/>
                <w:b/>
                <w:bCs/>
                <w:color w:val="000000"/>
                <w:sz w:val="16"/>
                <w:szCs w:val="20"/>
              </w:rPr>
            </w:pPr>
            <w:r w:rsidRPr="00CB2221">
              <w:rPr>
                <w:rFonts w:ascii="Times New Roman" w:eastAsia="Times New Roman" w:hAnsi="Times New Roman" w:cs="Times New Roman"/>
                <w:b/>
                <w:bCs/>
                <w:color w:val="000000"/>
                <w:sz w:val="16"/>
                <w:szCs w:val="20"/>
              </w:rPr>
              <w:t>KLORDEKON</w:t>
            </w:r>
          </w:p>
        </w:tc>
        <w:tc>
          <w:tcPr>
            <w:tcW w:w="1619" w:type="pct"/>
            <w:tcBorders>
              <w:top w:val="single" w:sz="4" w:space="0" w:color="auto"/>
              <w:bottom w:val="dotted" w:sz="4" w:space="0" w:color="auto"/>
            </w:tcBorders>
            <w:vAlign w:val="center"/>
          </w:tcPr>
          <w:p w14:paraId="57E6958E" w14:textId="77777777" w:rsidR="00D84719" w:rsidRPr="00D84719" w:rsidRDefault="00D84719" w:rsidP="00D84719">
            <w:pPr>
              <w:spacing w:before="80" w:line="276" w:lineRule="auto"/>
              <w:jc w:val="center"/>
              <w:rPr>
                <w:rFonts w:ascii="Times New Roman" w:eastAsia="Times New Roman" w:hAnsi="Times New Roman" w:cs="Times New Roman"/>
                <w:color w:val="000000"/>
                <w:sz w:val="18"/>
                <w:szCs w:val="20"/>
              </w:rPr>
            </w:pPr>
            <w:r w:rsidRPr="00D84719">
              <w:rPr>
                <w:rFonts w:ascii="Times New Roman" w:eastAsia="Times New Roman" w:hAnsi="Times New Roman" w:cs="Times New Roman"/>
                <w:color w:val="000000"/>
                <w:sz w:val="18"/>
                <w:szCs w:val="20"/>
              </w:rPr>
              <w:t xml:space="preserve">1951. </w:t>
            </w:r>
          </w:p>
        </w:tc>
        <w:tc>
          <w:tcPr>
            <w:tcW w:w="1564" w:type="pct"/>
            <w:tcBorders>
              <w:top w:val="single" w:sz="4" w:space="0" w:color="auto"/>
              <w:bottom w:val="dotted" w:sz="4" w:space="0" w:color="auto"/>
            </w:tcBorders>
            <w:vAlign w:val="center"/>
          </w:tcPr>
          <w:p w14:paraId="440457DB" w14:textId="77777777" w:rsidR="00D84719" w:rsidRPr="00D84719" w:rsidRDefault="00D84719" w:rsidP="00D84719">
            <w:pPr>
              <w:spacing w:before="80" w:line="276" w:lineRule="auto"/>
              <w:jc w:val="center"/>
              <w:rPr>
                <w:rFonts w:ascii="Times New Roman" w:eastAsia="Times New Roman" w:hAnsi="Times New Roman" w:cs="Times New Roman"/>
                <w:color w:val="000000"/>
                <w:sz w:val="18"/>
                <w:szCs w:val="20"/>
              </w:rPr>
            </w:pPr>
            <w:r w:rsidRPr="00D84719">
              <w:rPr>
                <w:rFonts w:ascii="Times New Roman" w:eastAsia="Times New Roman" w:hAnsi="Times New Roman" w:cs="Times New Roman"/>
                <w:color w:val="000000"/>
                <w:sz w:val="18"/>
                <w:szCs w:val="20"/>
              </w:rPr>
              <w:t>1993.</w:t>
            </w:r>
          </w:p>
        </w:tc>
      </w:tr>
      <w:tr w:rsidR="00D84719" w:rsidRPr="00D84719" w14:paraId="19B0A90D" w14:textId="77777777" w:rsidTr="00F831D6">
        <w:tc>
          <w:tcPr>
            <w:tcW w:w="1817" w:type="pct"/>
            <w:tcBorders>
              <w:top w:val="dotted" w:sz="4" w:space="0" w:color="auto"/>
              <w:bottom w:val="dotted" w:sz="4" w:space="0" w:color="auto"/>
            </w:tcBorders>
            <w:vAlign w:val="center"/>
          </w:tcPr>
          <w:p w14:paraId="45347A2F" w14:textId="77777777" w:rsidR="00D84719" w:rsidRPr="00CB2221" w:rsidRDefault="00CB2221" w:rsidP="00D84719">
            <w:pPr>
              <w:spacing w:after="0" w:line="276" w:lineRule="auto"/>
              <w:jc w:val="center"/>
              <w:rPr>
                <w:rFonts w:ascii="Times New Roman" w:eastAsia="Times New Roman" w:hAnsi="Times New Roman" w:cs="Times New Roman"/>
                <w:b/>
                <w:bCs/>
                <w:color w:val="000000"/>
                <w:sz w:val="16"/>
                <w:szCs w:val="20"/>
              </w:rPr>
            </w:pPr>
            <w:r w:rsidRPr="00CB2221">
              <w:rPr>
                <w:rFonts w:ascii="Times New Roman" w:eastAsia="Times New Roman" w:hAnsi="Times New Roman" w:cs="Times New Roman"/>
                <w:b/>
                <w:bCs/>
                <w:color w:val="000000"/>
                <w:sz w:val="16"/>
                <w:szCs w:val="20"/>
              </w:rPr>
              <w:t>ALFA, BETA I GAMA HEKSAKLOROCIKLOHEKSAN</w:t>
            </w:r>
          </w:p>
        </w:tc>
        <w:tc>
          <w:tcPr>
            <w:tcW w:w="1619" w:type="pct"/>
            <w:tcBorders>
              <w:top w:val="dotted" w:sz="4" w:space="0" w:color="auto"/>
              <w:bottom w:val="dotted" w:sz="4" w:space="0" w:color="auto"/>
            </w:tcBorders>
          </w:tcPr>
          <w:p w14:paraId="094049CD" w14:textId="77777777" w:rsidR="00D84719" w:rsidRPr="00D84719" w:rsidRDefault="00D84719" w:rsidP="00D84719">
            <w:pPr>
              <w:spacing w:before="80" w:line="276" w:lineRule="auto"/>
              <w:jc w:val="center"/>
              <w:rPr>
                <w:rFonts w:ascii="Times New Roman" w:eastAsia="Times New Roman" w:hAnsi="Times New Roman" w:cs="Times New Roman"/>
                <w:color w:val="000000"/>
                <w:sz w:val="18"/>
                <w:szCs w:val="20"/>
              </w:rPr>
            </w:pPr>
            <w:r w:rsidRPr="00D84719">
              <w:rPr>
                <w:rFonts w:ascii="Times New Roman" w:eastAsia="Times New Roman" w:hAnsi="Times New Roman" w:cs="Times New Roman"/>
                <w:color w:val="000000"/>
                <w:sz w:val="18"/>
                <w:szCs w:val="20"/>
              </w:rPr>
              <w:t>1944.</w:t>
            </w:r>
          </w:p>
        </w:tc>
        <w:tc>
          <w:tcPr>
            <w:tcW w:w="1564" w:type="pct"/>
            <w:tcBorders>
              <w:top w:val="dotted" w:sz="4" w:space="0" w:color="auto"/>
              <w:bottom w:val="dotted" w:sz="4" w:space="0" w:color="auto"/>
            </w:tcBorders>
          </w:tcPr>
          <w:p w14:paraId="025BE018" w14:textId="77777777" w:rsidR="00D84719" w:rsidRPr="00D84719" w:rsidRDefault="00D84719" w:rsidP="00D84719">
            <w:pPr>
              <w:spacing w:before="80" w:line="276" w:lineRule="auto"/>
              <w:jc w:val="center"/>
              <w:rPr>
                <w:rFonts w:ascii="Times New Roman" w:eastAsia="Times New Roman" w:hAnsi="Times New Roman" w:cs="Times New Roman"/>
                <w:color w:val="000000"/>
                <w:sz w:val="18"/>
                <w:szCs w:val="20"/>
              </w:rPr>
            </w:pPr>
            <w:r w:rsidRPr="00D84719">
              <w:rPr>
                <w:rFonts w:ascii="Times New Roman" w:eastAsia="Times New Roman" w:hAnsi="Times New Roman" w:cs="Times New Roman"/>
                <w:color w:val="000000"/>
                <w:sz w:val="18"/>
                <w:szCs w:val="20"/>
              </w:rPr>
              <w:t>1972.*/2001.</w:t>
            </w:r>
          </w:p>
        </w:tc>
      </w:tr>
      <w:tr w:rsidR="00D84719" w:rsidRPr="00D84719" w14:paraId="2626A875" w14:textId="77777777" w:rsidTr="00F831D6">
        <w:tc>
          <w:tcPr>
            <w:tcW w:w="1817" w:type="pct"/>
            <w:tcBorders>
              <w:top w:val="dotted" w:sz="4" w:space="0" w:color="auto"/>
              <w:bottom w:val="dotted" w:sz="4" w:space="0" w:color="auto"/>
            </w:tcBorders>
            <w:vAlign w:val="center"/>
          </w:tcPr>
          <w:p w14:paraId="29521146" w14:textId="77777777" w:rsidR="00D84719" w:rsidRPr="00CB2221" w:rsidRDefault="00CB2221" w:rsidP="00D84719">
            <w:pPr>
              <w:spacing w:after="0" w:line="276" w:lineRule="auto"/>
              <w:jc w:val="center"/>
              <w:rPr>
                <w:rFonts w:ascii="Times New Roman" w:eastAsia="Times New Roman" w:hAnsi="Times New Roman" w:cs="Times New Roman"/>
                <w:b/>
                <w:bCs/>
                <w:color w:val="000000"/>
                <w:sz w:val="16"/>
                <w:szCs w:val="20"/>
                <w:lang w:bidi="en-US"/>
              </w:rPr>
            </w:pPr>
            <w:r w:rsidRPr="00CB2221">
              <w:rPr>
                <w:rFonts w:ascii="Times New Roman" w:eastAsia="Times New Roman" w:hAnsi="Times New Roman" w:cs="Times New Roman"/>
                <w:b/>
                <w:bCs/>
                <w:color w:val="000000"/>
                <w:sz w:val="16"/>
                <w:szCs w:val="20"/>
                <w:lang w:bidi="en-US"/>
              </w:rPr>
              <w:t>PENTAKLOROBENZEN</w:t>
            </w:r>
          </w:p>
        </w:tc>
        <w:tc>
          <w:tcPr>
            <w:tcW w:w="1619" w:type="pct"/>
            <w:tcBorders>
              <w:top w:val="dotted" w:sz="4" w:space="0" w:color="auto"/>
              <w:bottom w:val="dotted" w:sz="4" w:space="0" w:color="auto"/>
            </w:tcBorders>
            <w:vAlign w:val="center"/>
          </w:tcPr>
          <w:p w14:paraId="4C6D61BA" w14:textId="77777777" w:rsidR="00D84719" w:rsidRPr="00D84719" w:rsidRDefault="00D84719" w:rsidP="00D84719">
            <w:pPr>
              <w:spacing w:before="80" w:line="276" w:lineRule="auto"/>
              <w:jc w:val="center"/>
              <w:rPr>
                <w:rFonts w:ascii="Times New Roman" w:eastAsia="Times New Roman" w:hAnsi="Times New Roman" w:cs="Times New Roman"/>
                <w:color w:val="000000"/>
                <w:sz w:val="18"/>
                <w:szCs w:val="20"/>
              </w:rPr>
            </w:pPr>
            <w:r w:rsidRPr="00D84719">
              <w:rPr>
                <w:rFonts w:ascii="Times New Roman" w:eastAsia="Times New Roman" w:hAnsi="Times New Roman" w:cs="Times New Roman"/>
                <w:color w:val="000000"/>
                <w:sz w:val="18"/>
                <w:szCs w:val="20"/>
              </w:rPr>
              <w:t>/</w:t>
            </w:r>
          </w:p>
        </w:tc>
        <w:tc>
          <w:tcPr>
            <w:tcW w:w="1564" w:type="pct"/>
            <w:tcBorders>
              <w:top w:val="dotted" w:sz="4" w:space="0" w:color="auto"/>
              <w:bottom w:val="dotted" w:sz="4" w:space="0" w:color="auto"/>
            </w:tcBorders>
            <w:vAlign w:val="center"/>
          </w:tcPr>
          <w:p w14:paraId="1B4AF85C" w14:textId="77777777" w:rsidR="00D84719" w:rsidRPr="00D84719" w:rsidRDefault="00D84719" w:rsidP="00D84719">
            <w:pPr>
              <w:spacing w:before="80" w:line="276" w:lineRule="auto"/>
              <w:jc w:val="center"/>
              <w:rPr>
                <w:rFonts w:ascii="Times New Roman" w:eastAsia="Times New Roman" w:hAnsi="Times New Roman" w:cs="Times New Roman"/>
                <w:color w:val="000000"/>
                <w:sz w:val="18"/>
                <w:szCs w:val="20"/>
              </w:rPr>
            </w:pPr>
            <w:r w:rsidRPr="00D84719">
              <w:rPr>
                <w:rFonts w:ascii="Times New Roman" w:eastAsia="Times New Roman" w:hAnsi="Times New Roman" w:cs="Times New Roman"/>
                <w:color w:val="000000"/>
                <w:sz w:val="18"/>
                <w:szCs w:val="20"/>
              </w:rPr>
              <w:t>/</w:t>
            </w:r>
          </w:p>
        </w:tc>
      </w:tr>
      <w:tr w:rsidR="00D84719" w:rsidRPr="00D84719" w14:paraId="2D77FBC8" w14:textId="77777777" w:rsidTr="00F831D6">
        <w:tc>
          <w:tcPr>
            <w:tcW w:w="1817" w:type="pct"/>
            <w:tcBorders>
              <w:top w:val="dotted" w:sz="4" w:space="0" w:color="auto"/>
              <w:bottom w:val="single" w:sz="4" w:space="0" w:color="auto"/>
            </w:tcBorders>
            <w:vAlign w:val="center"/>
          </w:tcPr>
          <w:p w14:paraId="34194B79" w14:textId="77777777" w:rsidR="00D84719" w:rsidRPr="00CB2221" w:rsidRDefault="00CB2221" w:rsidP="00D84719">
            <w:pPr>
              <w:spacing w:after="0" w:line="276" w:lineRule="auto"/>
              <w:jc w:val="center"/>
              <w:rPr>
                <w:rFonts w:ascii="Times New Roman" w:eastAsia="Times New Roman" w:hAnsi="Times New Roman" w:cs="Times New Roman"/>
                <w:b/>
                <w:bCs/>
                <w:color w:val="000000"/>
                <w:sz w:val="16"/>
                <w:szCs w:val="20"/>
                <w:lang w:bidi="en-US"/>
              </w:rPr>
            </w:pPr>
            <w:r w:rsidRPr="00CB2221">
              <w:rPr>
                <w:rFonts w:ascii="Times New Roman" w:eastAsia="Times New Roman" w:hAnsi="Times New Roman" w:cs="Times New Roman"/>
                <w:b/>
                <w:bCs/>
                <w:color w:val="000000"/>
                <w:sz w:val="16"/>
                <w:szCs w:val="20"/>
                <w:lang w:bidi="en-US"/>
              </w:rPr>
              <w:t>ENDOSULFAN</w:t>
            </w:r>
          </w:p>
        </w:tc>
        <w:tc>
          <w:tcPr>
            <w:tcW w:w="1619" w:type="pct"/>
            <w:tcBorders>
              <w:top w:val="dotted" w:sz="4" w:space="0" w:color="auto"/>
              <w:bottom w:val="single" w:sz="4" w:space="0" w:color="auto"/>
            </w:tcBorders>
            <w:vAlign w:val="center"/>
          </w:tcPr>
          <w:p w14:paraId="497138EC" w14:textId="77777777" w:rsidR="00D84719" w:rsidRPr="00D84719" w:rsidRDefault="00D84719" w:rsidP="00D84719">
            <w:pPr>
              <w:spacing w:before="80" w:line="276" w:lineRule="auto"/>
              <w:jc w:val="center"/>
              <w:rPr>
                <w:rFonts w:ascii="Times New Roman" w:eastAsia="Times New Roman" w:hAnsi="Times New Roman" w:cs="Times New Roman"/>
                <w:color w:val="000000"/>
                <w:sz w:val="18"/>
                <w:szCs w:val="20"/>
              </w:rPr>
            </w:pPr>
            <w:r w:rsidRPr="00D84719">
              <w:rPr>
                <w:rFonts w:ascii="Times New Roman" w:eastAsia="Times New Roman" w:hAnsi="Times New Roman" w:cs="Times New Roman"/>
                <w:color w:val="000000"/>
                <w:sz w:val="18"/>
                <w:szCs w:val="20"/>
              </w:rPr>
              <w:t>1950.</w:t>
            </w:r>
          </w:p>
        </w:tc>
        <w:tc>
          <w:tcPr>
            <w:tcW w:w="1564" w:type="pct"/>
            <w:tcBorders>
              <w:top w:val="dotted" w:sz="4" w:space="0" w:color="auto"/>
              <w:bottom w:val="single" w:sz="4" w:space="0" w:color="auto"/>
            </w:tcBorders>
            <w:vAlign w:val="center"/>
          </w:tcPr>
          <w:p w14:paraId="17A19904" w14:textId="77777777" w:rsidR="00D84719" w:rsidRPr="00D84719" w:rsidRDefault="00D84719" w:rsidP="00D84719">
            <w:pPr>
              <w:spacing w:before="80" w:line="276" w:lineRule="auto"/>
              <w:jc w:val="center"/>
              <w:rPr>
                <w:rFonts w:ascii="Times New Roman" w:eastAsia="Times New Roman" w:hAnsi="Times New Roman" w:cs="Times New Roman"/>
                <w:color w:val="000000"/>
                <w:sz w:val="18"/>
                <w:szCs w:val="20"/>
              </w:rPr>
            </w:pPr>
            <w:r w:rsidRPr="00D84719">
              <w:rPr>
                <w:rFonts w:ascii="Times New Roman" w:eastAsia="Times New Roman" w:hAnsi="Times New Roman" w:cs="Times New Roman"/>
                <w:color w:val="000000"/>
                <w:sz w:val="18"/>
                <w:szCs w:val="20"/>
              </w:rPr>
              <w:t>1.7.2007.**</w:t>
            </w:r>
          </w:p>
        </w:tc>
      </w:tr>
    </w:tbl>
    <w:p w14:paraId="6F02EC83" w14:textId="7FE3CA22" w:rsidR="00D84719" w:rsidRPr="004D4CF0" w:rsidRDefault="00D84719" w:rsidP="008032B6">
      <w:pPr>
        <w:spacing w:before="120" w:after="120" w:line="240" w:lineRule="auto"/>
        <w:jc w:val="both"/>
        <w:rPr>
          <w:rFonts w:ascii="Times New Roman" w:eastAsia="Times New Roman" w:hAnsi="Times New Roman" w:cs="Times New Roman"/>
          <w:bCs/>
          <w:color w:val="000000"/>
          <w:sz w:val="16"/>
          <w:szCs w:val="16"/>
          <w:lang w:bidi="en-US"/>
        </w:rPr>
      </w:pPr>
      <w:r w:rsidRPr="004D4CF0">
        <w:rPr>
          <w:rFonts w:ascii="Times New Roman" w:eastAsia="Times New Roman" w:hAnsi="Times New Roman" w:cs="Times New Roman"/>
          <w:b/>
          <w:bCs/>
          <w:color w:val="000000"/>
          <w:sz w:val="16"/>
          <w:szCs w:val="16"/>
          <w:lang w:bidi="en-US"/>
        </w:rPr>
        <w:t>*</w:t>
      </w:r>
      <w:r w:rsidR="004D4CF0">
        <w:rPr>
          <w:rFonts w:ascii="Times New Roman" w:eastAsia="Times New Roman" w:hAnsi="Times New Roman" w:cs="Times New Roman"/>
          <w:b/>
          <w:bCs/>
          <w:color w:val="000000"/>
          <w:sz w:val="16"/>
          <w:szCs w:val="16"/>
          <w:lang w:bidi="en-US"/>
        </w:rPr>
        <w:t xml:space="preserve"> </w:t>
      </w:r>
      <w:r w:rsidRPr="004D4CF0">
        <w:rPr>
          <w:rFonts w:ascii="Times New Roman" w:eastAsia="Times New Roman" w:hAnsi="Times New Roman" w:cs="Times New Roman"/>
          <w:bCs/>
          <w:color w:val="000000"/>
          <w:sz w:val="16"/>
          <w:szCs w:val="16"/>
          <w:lang w:bidi="en-US"/>
        </w:rPr>
        <w:t>U propisu iz 1972</w:t>
      </w:r>
      <w:r w:rsidR="005C26BD">
        <w:rPr>
          <w:rFonts w:ascii="Times New Roman" w:eastAsia="Times New Roman" w:hAnsi="Times New Roman" w:cs="Times New Roman"/>
          <w:bCs/>
          <w:color w:val="000000"/>
          <w:sz w:val="16"/>
          <w:szCs w:val="16"/>
          <w:lang w:bidi="en-US"/>
        </w:rPr>
        <w:t>.</w:t>
      </w:r>
      <w:r w:rsidRPr="004D4CF0">
        <w:rPr>
          <w:rFonts w:ascii="Times New Roman" w:eastAsia="Times New Roman" w:hAnsi="Times New Roman" w:cs="Times New Roman"/>
          <w:bCs/>
          <w:color w:val="000000"/>
          <w:sz w:val="16"/>
          <w:szCs w:val="16"/>
          <w:lang w:bidi="en-US"/>
        </w:rPr>
        <w:t xml:space="preserve"> lindan se zabranjuje samo u određenim sredstvima za zaštitu bilja.</w:t>
      </w:r>
    </w:p>
    <w:p w14:paraId="5E385B05" w14:textId="651020F1" w:rsidR="00D84719" w:rsidRPr="004D4CF0" w:rsidRDefault="00D84719" w:rsidP="008032B6">
      <w:pPr>
        <w:spacing w:before="120" w:after="120" w:line="240" w:lineRule="auto"/>
        <w:jc w:val="both"/>
        <w:rPr>
          <w:rFonts w:ascii="Times New Roman" w:eastAsia="Times New Roman" w:hAnsi="Times New Roman" w:cs="Times New Roman"/>
          <w:bCs/>
          <w:color w:val="000000"/>
          <w:sz w:val="16"/>
          <w:szCs w:val="16"/>
          <w:lang w:bidi="en-US"/>
        </w:rPr>
      </w:pPr>
      <w:r w:rsidRPr="004D4CF0">
        <w:rPr>
          <w:rFonts w:ascii="Times New Roman" w:eastAsia="Times New Roman" w:hAnsi="Times New Roman" w:cs="Times New Roman"/>
          <w:b/>
          <w:bCs/>
          <w:color w:val="000000"/>
          <w:sz w:val="16"/>
          <w:szCs w:val="16"/>
          <w:lang w:bidi="en-US"/>
        </w:rPr>
        <w:t>**</w:t>
      </w:r>
      <w:r w:rsidRPr="004D4CF0">
        <w:rPr>
          <w:rFonts w:ascii="Times New Roman" w:eastAsia="Times New Roman" w:hAnsi="Times New Roman" w:cs="Times New Roman"/>
          <w:bCs/>
          <w:color w:val="000000"/>
          <w:sz w:val="16"/>
          <w:szCs w:val="16"/>
          <w:lang w:bidi="en-US"/>
        </w:rPr>
        <w:t xml:space="preserve"> Primjena i prodaja registriranih zaliha bila je dozvoljena do siječnja</w:t>
      </w:r>
      <w:r w:rsidR="001B5C46">
        <w:rPr>
          <w:rFonts w:ascii="Times New Roman" w:eastAsia="Times New Roman" w:hAnsi="Times New Roman" w:cs="Times New Roman"/>
          <w:bCs/>
          <w:color w:val="000000"/>
          <w:sz w:val="16"/>
          <w:szCs w:val="16"/>
          <w:lang w:bidi="en-US"/>
        </w:rPr>
        <w:t xml:space="preserve"> 20</w:t>
      </w:r>
      <w:r w:rsidRPr="004D4CF0">
        <w:rPr>
          <w:rFonts w:ascii="Times New Roman" w:eastAsia="Times New Roman" w:hAnsi="Times New Roman" w:cs="Times New Roman"/>
          <w:bCs/>
          <w:color w:val="000000"/>
          <w:sz w:val="16"/>
          <w:szCs w:val="16"/>
          <w:lang w:bidi="en-US"/>
        </w:rPr>
        <w:t>08</w:t>
      </w:r>
      <w:r w:rsidR="005C26BD">
        <w:rPr>
          <w:rFonts w:ascii="Times New Roman" w:eastAsia="Times New Roman" w:hAnsi="Times New Roman" w:cs="Times New Roman"/>
          <w:bCs/>
          <w:color w:val="000000"/>
          <w:sz w:val="16"/>
          <w:szCs w:val="16"/>
          <w:lang w:bidi="en-US"/>
        </w:rPr>
        <w:t>.</w:t>
      </w:r>
      <w:r w:rsidRPr="004D4CF0">
        <w:rPr>
          <w:rFonts w:ascii="Times New Roman" w:eastAsia="Times New Roman" w:hAnsi="Times New Roman" w:cs="Times New Roman"/>
          <w:bCs/>
          <w:color w:val="000000"/>
          <w:sz w:val="16"/>
          <w:szCs w:val="16"/>
          <w:lang w:bidi="en-US"/>
        </w:rPr>
        <w:t>. Prodaja krajnjim korisnicima i primjena od strane krajnjih korisnika bila je dozvoljena do siječnja</w:t>
      </w:r>
      <w:r w:rsidR="001B5C46">
        <w:rPr>
          <w:rFonts w:ascii="Times New Roman" w:eastAsia="Times New Roman" w:hAnsi="Times New Roman" w:cs="Times New Roman"/>
          <w:bCs/>
          <w:color w:val="000000"/>
          <w:sz w:val="16"/>
          <w:szCs w:val="16"/>
          <w:lang w:bidi="en-US"/>
        </w:rPr>
        <w:t xml:space="preserve"> 20</w:t>
      </w:r>
      <w:r w:rsidRPr="004D4CF0">
        <w:rPr>
          <w:rFonts w:ascii="Times New Roman" w:eastAsia="Times New Roman" w:hAnsi="Times New Roman" w:cs="Times New Roman"/>
          <w:bCs/>
          <w:color w:val="000000"/>
          <w:sz w:val="16"/>
          <w:szCs w:val="16"/>
          <w:lang w:bidi="en-US"/>
        </w:rPr>
        <w:t>09..</w:t>
      </w:r>
    </w:p>
    <w:p w14:paraId="3308AB5B" w14:textId="77777777" w:rsidR="00D84719" w:rsidRPr="00D84719" w:rsidRDefault="00D84719" w:rsidP="00D84719">
      <w:pPr>
        <w:spacing w:before="80" w:line="276" w:lineRule="auto"/>
        <w:jc w:val="both"/>
        <w:rPr>
          <w:rFonts w:ascii="Times New Roman" w:eastAsia="Times New Roman" w:hAnsi="Times New Roman" w:cs="Times New Roman"/>
          <w:color w:val="000000"/>
          <w:szCs w:val="24"/>
          <w:lang w:bidi="en-US"/>
        </w:rPr>
      </w:pPr>
    </w:p>
    <w:p w14:paraId="6EA2820B" w14:textId="77777777" w:rsidR="00D84719" w:rsidRPr="00D84719" w:rsidRDefault="00D84719" w:rsidP="0033398D">
      <w:pPr>
        <w:pStyle w:val="Naslov4"/>
      </w:pPr>
      <w:bookmarkStart w:id="68" w:name="_Toc41638241"/>
      <w:bookmarkStart w:id="69" w:name="_Toc64460692"/>
      <w:r w:rsidRPr="00D84719">
        <w:t>Klordekon</w:t>
      </w:r>
      <w:bookmarkEnd w:id="68"/>
      <w:bookmarkEnd w:id="69"/>
    </w:p>
    <w:p w14:paraId="6B63E4D7"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Klordekon je sintetički klorirani organski spoj koji je uglavnom bio korišten kao pesticid. Klordekon je vrlo postojan u okolišu, ima vrlo visoki bioakumulacijski i biomagnifikacijski potencijal i na osnovu fizikalno-kemijskih svojstava i modeliranja podataka može biti prenesen na velike udaljenosti. Klasificiran je kao tvar s mogućim karcinogenim djelovanjem na ljudski organizam i vrlo je otrovan za vodene organizme.</w:t>
      </w:r>
    </w:p>
    <w:p w14:paraId="724F0E41" w14:textId="0CF3ED60"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lastRenderedPageBreak/>
        <w:t>Prvi puta je proizveden 1951</w:t>
      </w:r>
      <w:r w:rsidR="005C26BD">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 xml:space="preserve"> (patent datira iz 1951.), u SAD-u pod imenom </w:t>
      </w:r>
      <w:proofErr w:type="spellStart"/>
      <w:r w:rsidRPr="00D84719">
        <w:rPr>
          <w:rFonts w:ascii="Times New Roman" w:eastAsia="Times New Roman" w:hAnsi="Times New Roman" w:cs="Times New Roman"/>
          <w:i/>
          <w:iCs/>
          <w:color w:val="000000"/>
          <w:sz w:val="24"/>
          <w:szCs w:val="24"/>
        </w:rPr>
        <w:t>Kepone</w:t>
      </w:r>
      <w:proofErr w:type="spellEnd"/>
      <w:r w:rsidRPr="00D84719">
        <w:rPr>
          <w:rFonts w:ascii="Times New Roman" w:eastAsia="Times New Roman" w:hAnsi="Times New Roman" w:cs="Times New Roman"/>
          <w:i/>
          <w:iCs/>
          <w:color w:val="000000"/>
          <w:sz w:val="24"/>
          <w:szCs w:val="24"/>
        </w:rPr>
        <w:t>,</w:t>
      </w:r>
      <w:r w:rsidRPr="00D84719">
        <w:rPr>
          <w:rFonts w:ascii="Times New Roman" w:eastAsia="Times New Roman" w:hAnsi="Times New Roman" w:cs="Times New Roman"/>
          <w:color w:val="000000"/>
          <w:sz w:val="24"/>
          <w:szCs w:val="24"/>
        </w:rPr>
        <w:t xml:space="preserve"> komercijalna primjena započela je 1958.. </w:t>
      </w:r>
      <w:proofErr w:type="spellStart"/>
      <w:r w:rsidRPr="00D84719">
        <w:rPr>
          <w:rFonts w:ascii="Times New Roman" w:eastAsia="Times New Roman" w:hAnsi="Times New Roman" w:cs="Times New Roman"/>
          <w:i/>
          <w:iCs/>
          <w:color w:val="000000"/>
          <w:sz w:val="24"/>
          <w:szCs w:val="24"/>
        </w:rPr>
        <w:t>Kepone</w:t>
      </w:r>
      <w:proofErr w:type="spellEnd"/>
      <w:r w:rsidRPr="00D84719">
        <w:rPr>
          <w:rFonts w:ascii="Times New Roman" w:eastAsia="Times New Roman" w:hAnsi="Times New Roman" w:cs="Times New Roman"/>
          <w:color w:val="000000"/>
          <w:sz w:val="24"/>
          <w:szCs w:val="24"/>
        </w:rPr>
        <w:t xml:space="preserve"> je u prosjeku sadržavao 94,5</w:t>
      </w:r>
      <w:r w:rsidR="00D4589D">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xml:space="preserve"> klordekona. Također, klordekon je bio prisutan u mirexu („starom“ POPs-u) u koncentracijama od 2</w:t>
      </w:r>
      <w:r w:rsidR="00765FA2">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58 mg/kg, odnosno u mirex mamcima u koncentracijama od 0</w:t>
      </w:r>
      <w:r w:rsidR="00765FA2">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25 mg/kg.</w:t>
      </w:r>
    </w:p>
    <w:p w14:paraId="5DE2C115" w14:textId="3616B863"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Između 1951. i 1975</w:t>
      </w:r>
      <w:r w:rsidR="005C26BD">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 xml:space="preserve"> u S</w:t>
      </w:r>
      <w:r w:rsidR="00276656">
        <w:rPr>
          <w:rFonts w:ascii="Times New Roman" w:eastAsia="Times New Roman" w:hAnsi="Times New Roman" w:cs="Times New Roman"/>
          <w:color w:val="000000"/>
          <w:sz w:val="24"/>
          <w:szCs w:val="24"/>
        </w:rPr>
        <w:t>AD-u proizvedeno je oko 1.</w:t>
      </w:r>
      <w:r w:rsidRPr="00D84719">
        <w:rPr>
          <w:rFonts w:ascii="Times New Roman" w:eastAsia="Times New Roman" w:hAnsi="Times New Roman" w:cs="Times New Roman"/>
          <w:color w:val="000000"/>
          <w:sz w:val="24"/>
          <w:szCs w:val="24"/>
        </w:rPr>
        <w:t>600 t klordekona. Proizvodnja klordekona prekinuta je 1976.. Od 1976. izvoz tehničkog klordekona (94,5</w:t>
      </w:r>
      <w:r w:rsidR="00D4589D">
        <w:rPr>
          <w:rFonts w:ascii="Times New Roman" w:eastAsia="Times New Roman" w:hAnsi="Times New Roman" w:cs="Times New Roman"/>
          <w:color w:val="000000"/>
          <w:sz w:val="24"/>
          <w:szCs w:val="24"/>
        </w:rPr>
        <w:t xml:space="preserve"> </w:t>
      </w:r>
      <w:bookmarkStart w:id="70" w:name="_GoBack"/>
      <w:r w:rsidR="00D4589D">
        <w:rPr>
          <w:rFonts w:ascii="Times New Roman" w:eastAsia="Times New Roman" w:hAnsi="Times New Roman" w:cs="Times New Roman"/>
          <w:color w:val="000000"/>
          <w:sz w:val="24"/>
          <w:szCs w:val="24"/>
        </w:rPr>
        <w:t>%</w:t>
      </w:r>
      <w:bookmarkEnd w:id="70"/>
      <w:r w:rsidRPr="00D84719">
        <w:rPr>
          <w:rFonts w:ascii="Times New Roman" w:eastAsia="Times New Roman" w:hAnsi="Times New Roman" w:cs="Times New Roman"/>
          <w:color w:val="000000"/>
          <w:sz w:val="24"/>
          <w:szCs w:val="24"/>
        </w:rPr>
        <w:t xml:space="preserve"> aktivnog sastojka) iz SAD-a nije evidentiran. Razrijeđeni klordekon (80</w:t>
      </w:r>
      <w:r w:rsidR="00D4589D">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xml:space="preserve"> aktivnog sastojka) izvozio se u Europske zemlje, posebice Njemačku od 1951. do 1975., za potrebe proizvodnje tzv. </w:t>
      </w:r>
      <w:proofErr w:type="spellStart"/>
      <w:r w:rsidRPr="00D84719">
        <w:rPr>
          <w:rFonts w:ascii="Times New Roman" w:eastAsia="Times New Roman" w:hAnsi="Times New Roman" w:cs="Times New Roman"/>
          <w:i/>
          <w:iCs/>
          <w:color w:val="000000"/>
          <w:sz w:val="24"/>
          <w:szCs w:val="24"/>
        </w:rPr>
        <w:t>Kelevan</w:t>
      </w:r>
      <w:proofErr w:type="spellEnd"/>
      <w:r w:rsidRPr="00D84719">
        <w:rPr>
          <w:rFonts w:ascii="Times New Roman" w:eastAsia="Times New Roman" w:hAnsi="Times New Roman" w:cs="Times New Roman"/>
          <w:color w:val="000000"/>
          <w:sz w:val="24"/>
          <w:szCs w:val="24"/>
        </w:rPr>
        <w:t xml:space="preserve">-a. </w:t>
      </w:r>
      <w:proofErr w:type="spellStart"/>
      <w:r w:rsidRPr="00D84719">
        <w:rPr>
          <w:rFonts w:ascii="Times New Roman" w:eastAsia="Times New Roman" w:hAnsi="Times New Roman" w:cs="Times New Roman"/>
          <w:i/>
          <w:iCs/>
          <w:color w:val="000000"/>
          <w:sz w:val="24"/>
          <w:szCs w:val="24"/>
        </w:rPr>
        <w:t>Kelevan</w:t>
      </w:r>
      <w:proofErr w:type="spellEnd"/>
      <w:r w:rsidRPr="00D84719">
        <w:rPr>
          <w:rFonts w:ascii="Times New Roman" w:eastAsia="Times New Roman" w:hAnsi="Times New Roman" w:cs="Times New Roman"/>
          <w:color w:val="000000"/>
          <w:sz w:val="24"/>
          <w:szCs w:val="24"/>
        </w:rPr>
        <w:t xml:space="preserve"> je derivat klordekona i koristi se u iste svrhe. U okolišu oksidira do klordekona. Također, klordekon je u Francuskoj plasiran kao </w:t>
      </w:r>
      <w:proofErr w:type="spellStart"/>
      <w:r w:rsidRPr="00D84719">
        <w:rPr>
          <w:rFonts w:ascii="Times New Roman" w:eastAsia="Times New Roman" w:hAnsi="Times New Roman" w:cs="Times New Roman"/>
          <w:i/>
          <w:iCs/>
          <w:color w:val="000000"/>
          <w:sz w:val="24"/>
          <w:szCs w:val="24"/>
        </w:rPr>
        <w:t>Curlone</w:t>
      </w:r>
      <w:proofErr w:type="spellEnd"/>
      <w:r w:rsidRPr="00D84719">
        <w:rPr>
          <w:rFonts w:ascii="Times New Roman" w:eastAsia="Times New Roman" w:hAnsi="Times New Roman" w:cs="Times New Roman"/>
          <w:color w:val="000000"/>
          <w:sz w:val="24"/>
          <w:szCs w:val="24"/>
        </w:rPr>
        <w:t xml:space="preserve">, od 1981. do 1993. te je korišten na </w:t>
      </w:r>
      <w:proofErr w:type="spellStart"/>
      <w:r w:rsidRPr="00D84719">
        <w:rPr>
          <w:rFonts w:ascii="Times New Roman" w:eastAsia="Times New Roman" w:hAnsi="Times New Roman" w:cs="Times New Roman"/>
          <w:color w:val="000000"/>
          <w:sz w:val="24"/>
          <w:szCs w:val="24"/>
        </w:rPr>
        <w:t>Martiniku</w:t>
      </w:r>
      <w:proofErr w:type="spellEnd"/>
      <w:r w:rsidRPr="00D84719">
        <w:rPr>
          <w:rFonts w:ascii="Times New Roman" w:eastAsia="Times New Roman" w:hAnsi="Times New Roman" w:cs="Times New Roman"/>
          <w:color w:val="000000"/>
          <w:sz w:val="24"/>
          <w:szCs w:val="24"/>
        </w:rPr>
        <w:t xml:space="preserve"> i </w:t>
      </w:r>
      <w:proofErr w:type="spellStart"/>
      <w:r w:rsidRPr="00D84719">
        <w:rPr>
          <w:rFonts w:ascii="Times New Roman" w:eastAsia="Times New Roman" w:hAnsi="Times New Roman" w:cs="Times New Roman"/>
          <w:color w:val="000000"/>
          <w:sz w:val="24"/>
          <w:szCs w:val="24"/>
        </w:rPr>
        <w:t>Guadaloupi</w:t>
      </w:r>
      <w:proofErr w:type="spellEnd"/>
      <w:r w:rsidRPr="00D84719">
        <w:rPr>
          <w:rFonts w:ascii="Times New Roman" w:eastAsia="Times New Roman" w:hAnsi="Times New Roman" w:cs="Times New Roman"/>
          <w:color w:val="000000"/>
          <w:sz w:val="24"/>
          <w:szCs w:val="24"/>
        </w:rPr>
        <w:t xml:space="preserve"> nakon uragana Allen 1979. i uragana David 1980.. </w:t>
      </w:r>
    </w:p>
    <w:p w14:paraId="5F162B01"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 xml:space="preserve">Iako je proizvodnja i uporaba klordekona prekinuta tijekom posljednjih desetljeća u razvijenim zemljama, pretpostavlja se da se još uvijek sporadično koristi kao poljoprivredni pesticid u nekim zemljama u razvoju. </w:t>
      </w:r>
    </w:p>
    <w:p w14:paraId="707CA02C" w14:textId="77777777" w:rsidR="00D84719" w:rsidRPr="00D84719" w:rsidRDefault="00D84719" w:rsidP="00D84719">
      <w:pPr>
        <w:spacing w:before="80" w:line="276" w:lineRule="auto"/>
        <w:jc w:val="both"/>
        <w:rPr>
          <w:rFonts w:ascii="Times New Roman" w:eastAsia="Times New Roman" w:hAnsi="Times New Roman" w:cs="Times New Roman"/>
          <w:color w:val="000000"/>
          <w:szCs w:val="24"/>
        </w:rPr>
      </w:pPr>
    </w:p>
    <w:p w14:paraId="7819BDE1" w14:textId="77777777" w:rsidR="00D84719" w:rsidRPr="00D84719" w:rsidRDefault="00D84719" w:rsidP="0033398D">
      <w:pPr>
        <w:pStyle w:val="Naslov4"/>
      </w:pPr>
      <w:bookmarkStart w:id="71" w:name="_Toc41638242"/>
      <w:bookmarkStart w:id="72" w:name="_Toc64460693"/>
      <w:r w:rsidRPr="00D84719">
        <w:t>Alfa, beta i gama heksaklorocikloheksan</w:t>
      </w:r>
      <w:bookmarkEnd w:id="71"/>
      <w:bookmarkEnd w:id="72"/>
      <w:r w:rsidRPr="00D84719">
        <w:t xml:space="preserve"> </w:t>
      </w:r>
    </w:p>
    <w:p w14:paraId="0E96515C"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 xml:space="preserve">Tehnička smjesa heksaklorocikloheksana (HCH) sadrži uglavnom pet oblika izomera, odnosno, alfa-, beta-, gama-, delta- i </w:t>
      </w:r>
      <w:proofErr w:type="spellStart"/>
      <w:r w:rsidRPr="00D84719">
        <w:rPr>
          <w:rFonts w:ascii="Times New Roman" w:eastAsia="Times New Roman" w:hAnsi="Times New Roman" w:cs="Times New Roman"/>
          <w:color w:val="000000"/>
          <w:sz w:val="24"/>
          <w:szCs w:val="24"/>
        </w:rPr>
        <w:t>epsilon</w:t>
      </w:r>
      <w:proofErr w:type="spellEnd"/>
      <w:r w:rsidRPr="00D84719">
        <w:rPr>
          <w:rFonts w:ascii="Times New Roman" w:eastAsia="Times New Roman" w:hAnsi="Times New Roman" w:cs="Times New Roman"/>
          <w:color w:val="000000"/>
          <w:sz w:val="24"/>
          <w:szCs w:val="24"/>
        </w:rPr>
        <w:t>-HCH. Lindan predstavlja zajednički naziv za gama izomer HCH.</w:t>
      </w:r>
    </w:p>
    <w:p w14:paraId="37BBEA33"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rPr>
        <w:t>Alfa- i beta-HCH su visoko postojani u vodi hladnijih krajeva te se mogu bioakumulirati i biomagnificirati u živom svijetu i arktičkim hranidbenim lancima. Podložni su prijenosu na velike udaljenosti, određeni su kao potencijalno karcinogeni za ljudski organizam te nepovoljno utječu na biljni i životinjski svijet i zdravlje ljudi u onečišćenim područjima. Lindan je postojan, lako se bioakumulira i brzo biokoncentrira u prehrambenom lancu. Postoje dokazi o prijenosu na velike udaljenosti te o toksičnim učincima (imunotoksični, reproduktivni i razvojni učinci) u laboratorijskih životinja i vodenih organizama.</w:t>
      </w:r>
    </w:p>
    <w:p w14:paraId="3F146DB6"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Lindan pripada skupini opasnih insekticida, ima kontaktno, želučano i fumigantno djelovanje. Koristio se za suzbijanje štetnika koji grizu i štetnika u tlu. Sredstva koja su sadržavala lindan nisu se smjela upotrebljavati na povrću, duhanu, krmnom bilju, ljekovitom bilju i vinovoj lozi. Primjena na uljanoj repici dozvoljena je bila samo prije cvatnje. Nije imao dopuštenje za korištenje u staklenicima, plastenicima i skladištima. Sredstva za zaštitu bilja koja su ga sadržavala smjela su se primijeniti samo jednom godišnje na istoj površini, a iznimka su bili šumski nasadi gdje su se smjele obaviti dvije primjene godišnje. Prašiva se nisu smjela primijeniti iz zrakoplova.</w:t>
      </w:r>
    </w:p>
    <w:p w14:paraId="0DC1A807" w14:textId="07B77F65"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lang w:bidi="en-US"/>
        </w:rPr>
        <w:t>Tehnički HCH (koji se uglavnom sastoji od α i β izomera) korišten je kao pesticid unutar Europske unije kao alternativa DDT-u od 40-tih godina prošlog stoljeća nadalje. Tehnički se HCH postupno zamjenjivao lindanom (koji sadrži 99</w:t>
      </w:r>
      <w:r w:rsidR="00D4589D">
        <w:rPr>
          <w:rFonts w:ascii="Times New Roman" w:eastAsia="Times New Roman" w:hAnsi="Times New Roman" w:cs="Times New Roman"/>
          <w:color w:val="000000"/>
          <w:sz w:val="24"/>
          <w:szCs w:val="24"/>
          <w:lang w:bidi="en-US"/>
        </w:rPr>
        <w:t xml:space="preserve"> %</w:t>
      </w:r>
      <w:r w:rsidRPr="00D84719">
        <w:rPr>
          <w:rFonts w:ascii="Times New Roman" w:eastAsia="Times New Roman" w:hAnsi="Times New Roman" w:cs="Times New Roman"/>
          <w:color w:val="000000"/>
          <w:sz w:val="24"/>
          <w:szCs w:val="24"/>
          <w:lang w:bidi="en-US"/>
        </w:rPr>
        <w:t xml:space="preserve"> </w:t>
      </w:r>
      <w:r w:rsidRPr="00D84719">
        <w:rPr>
          <w:rFonts w:ascii="Times New Roman" w:eastAsia="Times New Roman" w:hAnsi="Times New Roman" w:cs="Times New Roman"/>
          <w:color w:val="000000"/>
          <w:sz w:val="24"/>
          <w:szCs w:val="24"/>
        </w:rPr>
        <w:sym w:font="Symbol" w:char="F067"/>
      </w:r>
      <w:r w:rsidRPr="00D84719">
        <w:rPr>
          <w:rFonts w:ascii="Times New Roman" w:eastAsia="Times New Roman" w:hAnsi="Times New Roman" w:cs="Times New Roman"/>
          <w:color w:val="000000"/>
          <w:sz w:val="24"/>
          <w:szCs w:val="24"/>
          <w:lang w:bidi="en-US"/>
        </w:rPr>
        <w:t xml:space="preserve"> - izomera HCH). Međutim, IPHA je 2006. ukazala na neučinkovitost proizvodnog procesa u proizvodnji lindana, odnosno za svaku tonu komercijalnog lindana nastajalo je do deset tona opasnog otpada koji sadrži α i β izomere. Zemlje Europske unije u kojima se lindan proizvodio su redom: </w:t>
      </w:r>
      <w:r w:rsidRPr="00D84719">
        <w:rPr>
          <w:rFonts w:ascii="Times New Roman" w:eastAsia="Times New Roman" w:hAnsi="Times New Roman" w:cs="Times New Roman"/>
          <w:color w:val="000000"/>
          <w:sz w:val="24"/>
          <w:szCs w:val="24"/>
        </w:rPr>
        <w:t xml:space="preserve">Austrija, Češka, Francuska, </w:t>
      </w:r>
      <w:r w:rsidRPr="00D84719">
        <w:rPr>
          <w:rFonts w:ascii="Times New Roman" w:eastAsia="Times New Roman" w:hAnsi="Times New Roman" w:cs="Times New Roman"/>
          <w:color w:val="000000"/>
          <w:sz w:val="24"/>
          <w:szCs w:val="24"/>
        </w:rPr>
        <w:lastRenderedPageBreak/>
        <w:t>Njemačka, Mađarska, Poljska, Rumunjska, Slovačka, Španjolska, Nizozemska i Ujedinjeno Kraljevstvo.</w:t>
      </w:r>
    </w:p>
    <w:p w14:paraId="5957BDE7"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rPr>
        <w:t xml:space="preserve">U Republici Hrvatskoj proizvodnja lindana nije postojala. </w:t>
      </w:r>
      <w:r w:rsidRPr="00D84719">
        <w:rPr>
          <w:rFonts w:ascii="Times New Roman" w:eastAsia="Times New Roman" w:hAnsi="Times New Roman" w:cs="Times New Roman"/>
          <w:color w:val="000000"/>
          <w:sz w:val="24"/>
          <w:szCs w:val="24"/>
          <w:lang w:bidi="en-US"/>
        </w:rPr>
        <w:t>No, lindan se koristio niz godina kao sredstvo za zaštitu bilja za suzbijanje raznih štetnika na ječmu, zobi, kukuruzu, šećernoj repi, uljanoj repici kao i za suzbijanje zemljišnih štetnika kukuruza i šećerne repe.</w:t>
      </w:r>
    </w:p>
    <w:p w14:paraId="161D2AF3"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 xml:space="preserve">U razdoblju od 1957. do 2001. u kojem je korištena aktivna tvar lindan, dopuštenje za primjenu imale su različite formulacije sredstava za zaštitu bilja različitih proizvođača. Dva proizvoda s aktivnom tvari lindan koja su bila u uporabi su </w:t>
      </w:r>
      <w:proofErr w:type="spellStart"/>
      <w:r w:rsidRPr="00D84719">
        <w:rPr>
          <w:rFonts w:ascii="Times New Roman" w:eastAsia="Times New Roman" w:hAnsi="Times New Roman" w:cs="Times New Roman"/>
          <w:i/>
          <w:iCs/>
          <w:color w:val="000000"/>
          <w:sz w:val="24"/>
          <w:szCs w:val="24"/>
          <w:lang w:bidi="en-US"/>
        </w:rPr>
        <w:t>Gamacid</w:t>
      </w:r>
      <w:proofErr w:type="spellEnd"/>
      <w:r w:rsidRPr="00D84719">
        <w:rPr>
          <w:rFonts w:ascii="Times New Roman" w:eastAsia="Times New Roman" w:hAnsi="Times New Roman" w:cs="Times New Roman"/>
          <w:i/>
          <w:iCs/>
          <w:color w:val="000000"/>
          <w:sz w:val="24"/>
          <w:szCs w:val="24"/>
          <w:lang w:bidi="en-US"/>
        </w:rPr>
        <w:t xml:space="preserve"> T50</w:t>
      </w:r>
      <w:r w:rsidRPr="00D84719">
        <w:rPr>
          <w:rFonts w:ascii="Times New Roman" w:eastAsia="Times New Roman" w:hAnsi="Times New Roman" w:cs="Times New Roman"/>
          <w:color w:val="000000"/>
          <w:sz w:val="24"/>
          <w:szCs w:val="24"/>
          <w:lang w:bidi="en-US"/>
        </w:rPr>
        <w:t xml:space="preserve"> pripravak kojeg je proizvodila Pliva d.d. i </w:t>
      </w:r>
      <w:proofErr w:type="spellStart"/>
      <w:r w:rsidRPr="00D84719">
        <w:rPr>
          <w:rFonts w:ascii="Times New Roman" w:eastAsia="Times New Roman" w:hAnsi="Times New Roman" w:cs="Times New Roman"/>
          <w:i/>
          <w:iCs/>
          <w:color w:val="000000"/>
          <w:sz w:val="24"/>
          <w:szCs w:val="24"/>
          <w:lang w:bidi="en-US"/>
        </w:rPr>
        <w:t>Dendroline</w:t>
      </w:r>
      <w:proofErr w:type="spellEnd"/>
      <w:r w:rsidRPr="00D84719">
        <w:rPr>
          <w:rFonts w:ascii="Times New Roman" w:eastAsia="Times New Roman" w:hAnsi="Times New Roman" w:cs="Times New Roman"/>
          <w:color w:val="000000"/>
          <w:sz w:val="24"/>
          <w:szCs w:val="24"/>
          <w:lang w:bidi="en-US"/>
        </w:rPr>
        <w:t xml:space="preserve"> kojeg je proizvodio Herbos d.o.o. Dozvola za promet i primjenu </w:t>
      </w:r>
      <w:proofErr w:type="spellStart"/>
      <w:r w:rsidRPr="00D84719">
        <w:rPr>
          <w:rFonts w:ascii="Times New Roman" w:eastAsia="Times New Roman" w:hAnsi="Times New Roman" w:cs="Times New Roman"/>
          <w:color w:val="000000"/>
          <w:sz w:val="24"/>
          <w:szCs w:val="24"/>
          <w:lang w:bidi="en-US"/>
        </w:rPr>
        <w:t>Dendrolina</w:t>
      </w:r>
      <w:proofErr w:type="spellEnd"/>
      <w:r w:rsidRPr="00D84719">
        <w:rPr>
          <w:rFonts w:ascii="Times New Roman" w:eastAsia="Times New Roman" w:hAnsi="Times New Roman" w:cs="Times New Roman"/>
          <w:color w:val="000000"/>
          <w:sz w:val="24"/>
          <w:szCs w:val="24"/>
          <w:lang w:bidi="en-US"/>
        </w:rPr>
        <w:t xml:space="preserve"> istekla je 1998. i zamijenjen je </w:t>
      </w:r>
      <w:proofErr w:type="spellStart"/>
      <w:r w:rsidRPr="00D84719">
        <w:rPr>
          <w:rFonts w:ascii="Times New Roman" w:eastAsia="Times New Roman" w:hAnsi="Times New Roman" w:cs="Times New Roman"/>
          <w:i/>
          <w:iCs/>
          <w:color w:val="000000"/>
          <w:sz w:val="24"/>
          <w:szCs w:val="24"/>
          <w:lang w:bidi="en-US"/>
        </w:rPr>
        <w:t>Deltacidom</w:t>
      </w:r>
      <w:proofErr w:type="spellEnd"/>
      <w:r w:rsidRPr="00D84719">
        <w:rPr>
          <w:rFonts w:ascii="Times New Roman" w:eastAsia="Times New Roman" w:hAnsi="Times New Roman" w:cs="Times New Roman"/>
          <w:color w:val="000000"/>
          <w:sz w:val="24"/>
          <w:szCs w:val="24"/>
          <w:lang w:bidi="en-US"/>
        </w:rPr>
        <w:t xml:space="preserve">, pripravkom s aktivnom tvari </w:t>
      </w:r>
      <w:proofErr w:type="spellStart"/>
      <w:r w:rsidRPr="00D84719">
        <w:rPr>
          <w:rFonts w:ascii="Times New Roman" w:eastAsia="Times New Roman" w:hAnsi="Times New Roman" w:cs="Times New Roman"/>
          <w:color w:val="000000"/>
          <w:sz w:val="24"/>
          <w:szCs w:val="24"/>
          <w:lang w:bidi="en-US"/>
        </w:rPr>
        <w:t>deltametrin</w:t>
      </w:r>
      <w:proofErr w:type="spellEnd"/>
      <w:r w:rsidRPr="00D84719">
        <w:rPr>
          <w:rFonts w:ascii="Times New Roman" w:eastAsia="Times New Roman" w:hAnsi="Times New Roman" w:cs="Times New Roman"/>
          <w:color w:val="000000"/>
          <w:sz w:val="24"/>
          <w:szCs w:val="24"/>
          <w:lang w:bidi="en-US"/>
        </w:rPr>
        <w:t xml:space="preserve">. Nakon toga u uporabi je bio samo </w:t>
      </w:r>
      <w:proofErr w:type="spellStart"/>
      <w:r w:rsidRPr="00D84719">
        <w:rPr>
          <w:rFonts w:ascii="Times New Roman" w:eastAsia="Times New Roman" w:hAnsi="Times New Roman" w:cs="Times New Roman"/>
          <w:i/>
          <w:iCs/>
          <w:color w:val="000000"/>
          <w:sz w:val="24"/>
          <w:szCs w:val="24"/>
          <w:lang w:bidi="en-US"/>
        </w:rPr>
        <w:t>Gamacid</w:t>
      </w:r>
      <w:proofErr w:type="spellEnd"/>
      <w:r w:rsidRPr="00D84719">
        <w:rPr>
          <w:rFonts w:ascii="Times New Roman" w:eastAsia="Times New Roman" w:hAnsi="Times New Roman" w:cs="Times New Roman"/>
          <w:i/>
          <w:iCs/>
          <w:color w:val="000000"/>
          <w:sz w:val="24"/>
          <w:szCs w:val="24"/>
          <w:lang w:bidi="en-US"/>
        </w:rPr>
        <w:t xml:space="preserve"> T50</w:t>
      </w:r>
      <w:r w:rsidRPr="00D84719">
        <w:rPr>
          <w:rFonts w:ascii="Times New Roman" w:eastAsia="Times New Roman" w:hAnsi="Times New Roman" w:cs="Times New Roman"/>
          <w:color w:val="000000"/>
          <w:sz w:val="24"/>
          <w:szCs w:val="24"/>
          <w:lang w:bidi="en-US"/>
        </w:rPr>
        <w:t>. Zadnja uporaba u količini od 163 l zabilježena je 2004. (Izvor: Registar očevidnika Hrvatskog zavoda za javno zdravstvo – Službe za toksikologiju).</w:t>
      </w:r>
    </w:p>
    <w:p w14:paraId="7805728F"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proofErr w:type="spellStart"/>
      <w:r w:rsidRPr="00D84719">
        <w:rPr>
          <w:rFonts w:ascii="Times New Roman" w:eastAsia="Times New Roman" w:hAnsi="Times New Roman" w:cs="Times New Roman"/>
          <w:i/>
          <w:iCs/>
          <w:color w:val="000000"/>
          <w:sz w:val="24"/>
          <w:szCs w:val="24"/>
          <w:lang w:bidi="en-US"/>
        </w:rPr>
        <w:t>Gamacid</w:t>
      </w:r>
      <w:proofErr w:type="spellEnd"/>
      <w:r w:rsidRPr="00D84719">
        <w:rPr>
          <w:rFonts w:ascii="Times New Roman" w:eastAsia="Times New Roman" w:hAnsi="Times New Roman" w:cs="Times New Roman"/>
          <w:i/>
          <w:iCs/>
          <w:color w:val="000000"/>
          <w:sz w:val="24"/>
          <w:szCs w:val="24"/>
          <w:lang w:bidi="en-US"/>
        </w:rPr>
        <w:t xml:space="preserve"> T50</w:t>
      </w:r>
      <w:r w:rsidRPr="00D84719">
        <w:rPr>
          <w:rFonts w:ascii="Times New Roman" w:eastAsia="Times New Roman" w:hAnsi="Times New Roman" w:cs="Times New Roman"/>
          <w:color w:val="000000"/>
          <w:sz w:val="24"/>
          <w:szCs w:val="24"/>
          <w:lang w:bidi="en-US"/>
        </w:rPr>
        <w:t xml:space="preserve"> bio je na Popisu gotovih veterinarskih lijekova, medicinskih dodataka i veterinarsko-medicinskih proizvoda dozvoljenih za upotrebu („Narodne novine“, br. 75/99, 118/99, 21/00, 73/00 i 114/07). Registracija je vrijedila do 17. kolovoza 2005..</w:t>
      </w:r>
    </w:p>
    <w:p w14:paraId="0408C054"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Prema podacima iz Drugog NIP-a, najveće količine aktivne tvari lindana i na najviše površina primijenjene su u Brodsko-posavskoj, Osječko-baranjskoj i Vukovarsko-srijemskoj županiji pri suzbijanju štetnika na poljoprivrednim kulturama. Primijenjene količine ovise o vrsti organizma koji je suzbijan, a prema tome najmanja primjena po ha je bila u Koprivničko-križevačkoj, a najveća u Istarskoj županiji.</w:t>
      </w:r>
    </w:p>
    <w:p w14:paraId="5EC70B0A" w14:textId="77777777" w:rsidR="00D84719" w:rsidRPr="00D84719" w:rsidRDefault="00D84719" w:rsidP="00D84719">
      <w:pPr>
        <w:spacing w:before="80" w:line="276" w:lineRule="auto"/>
        <w:jc w:val="both"/>
        <w:rPr>
          <w:rFonts w:ascii="Times New Roman" w:eastAsia="Times New Roman" w:hAnsi="Times New Roman" w:cs="Times New Roman"/>
          <w:color w:val="000000"/>
          <w:szCs w:val="24"/>
        </w:rPr>
      </w:pPr>
    </w:p>
    <w:p w14:paraId="14FF6523" w14:textId="77777777" w:rsidR="00D84719" w:rsidRPr="00D84719" w:rsidRDefault="00D84719" w:rsidP="0033398D">
      <w:pPr>
        <w:pStyle w:val="Naslov4"/>
      </w:pPr>
      <w:bookmarkStart w:id="73" w:name="_Toc41638243"/>
      <w:bookmarkStart w:id="74" w:name="_Toc64460694"/>
      <w:r w:rsidRPr="00D84719">
        <w:t>Pentaklorobenzen (P</w:t>
      </w:r>
      <w:r w:rsidRPr="00A166B2">
        <w:rPr>
          <w:smallCaps w:val="0"/>
        </w:rPr>
        <w:t>e</w:t>
      </w:r>
      <w:r w:rsidRPr="00D84719">
        <w:t>CB</w:t>
      </w:r>
      <w:bookmarkEnd w:id="73"/>
      <w:r w:rsidRPr="00D84719">
        <w:t>)</w:t>
      </w:r>
      <w:bookmarkEnd w:id="74"/>
    </w:p>
    <w:p w14:paraId="24D7B5C6"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PeCB pripada skupini klorobenzena koji su karakteristični po benzenskom prstenu u kojemu su vodikovi atomi zamijenjeni s jednim ili više atoma klora.</w:t>
      </w:r>
    </w:p>
    <w:p w14:paraId="02654067"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PeCB je postojan u okolišu, visoko bioakumulirajući i ima potencijal prijenosa na velike udaljenosti u okolišu. Umjereno je otrovan za ljude te je vrlo otrovan za vodene organizme.</w:t>
      </w:r>
    </w:p>
    <w:p w14:paraId="0164703C"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PeCB se koristio u PCB proizvodima, nosačima bojila, kao fungicid te kao usporivač plamena. Možda se još uvijek koristi kao kemijski intermedijer (primjerice za proizvodnju kvintozena). Također, nastaje nenamjerno tijekom izgaranja, toplinskih i industrijskih procesa i prisutan je u obliku nečistoća u proizvodima poput otapala ili pesticida.</w:t>
      </w:r>
    </w:p>
    <w:p w14:paraId="053265D9"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 xml:space="preserve">Proizvodnja, uporaba, izvoz, uvoz i zalihe PeCB-a nisu zabilježene u Europskoj uniji, kao ni u </w:t>
      </w:r>
      <w:r w:rsidRPr="00D84719">
        <w:rPr>
          <w:rFonts w:ascii="Times New Roman" w:eastAsia="Times New Roman" w:hAnsi="Times New Roman" w:cs="Times New Roman"/>
          <w:color w:val="000000"/>
          <w:sz w:val="24"/>
          <w:szCs w:val="24"/>
        </w:rPr>
        <w:t>Republici Hrvatskoj</w:t>
      </w:r>
      <w:r w:rsidRPr="00D84719">
        <w:rPr>
          <w:rFonts w:ascii="Times New Roman" w:eastAsia="Times New Roman" w:hAnsi="Times New Roman" w:cs="Times New Roman"/>
          <w:color w:val="000000"/>
          <w:sz w:val="24"/>
          <w:szCs w:val="24"/>
          <w:lang w:bidi="en-US"/>
        </w:rPr>
        <w:t xml:space="preserve">. </w:t>
      </w:r>
    </w:p>
    <w:p w14:paraId="7979FB35"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p>
    <w:p w14:paraId="57A714F9" w14:textId="77777777" w:rsidR="00D84719" w:rsidRPr="00D84719" w:rsidRDefault="00D84719" w:rsidP="0033398D">
      <w:pPr>
        <w:pStyle w:val="Naslov4"/>
      </w:pPr>
      <w:bookmarkStart w:id="75" w:name="_Toc41638244"/>
      <w:bookmarkStart w:id="76" w:name="_Toc64460695"/>
      <w:r w:rsidRPr="00D84719">
        <w:t>Endosulfan</w:t>
      </w:r>
      <w:bookmarkEnd w:id="75"/>
      <w:bookmarkEnd w:id="76"/>
    </w:p>
    <w:p w14:paraId="3FDC7617"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 xml:space="preserve">Endosulfan pripada u skupinu sredstava za zaštitu bilja (insekticida) i ima kontaktno i želučano djelovanje, a u uporabi je bio od 50-tih godina prošloga stoljeća. Endosulfan je primjenjivan </w:t>
      </w:r>
      <w:r w:rsidRPr="00D84719">
        <w:rPr>
          <w:rFonts w:ascii="Times New Roman" w:eastAsia="Times New Roman" w:hAnsi="Times New Roman" w:cs="Times New Roman"/>
          <w:color w:val="000000"/>
          <w:sz w:val="24"/>
          <w:szCs w:val="24"/>
        </w:rPr>
        <w:lastRenderedPageBreak/>
        <w:t>kraće razdoblje nego lindan i primjena nije bila izravnim dodirom s tlom, tj. nije bio korišten za suzbijanje zemljišnih štetnika.</w:t>
      </w:r>
    </w:p>
    <w:p w14:paraId="07AB1DD6" w14:textId="7332266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Promet insekticida s aktivnom tvari endosulfan zabranjen je Odlukom Ministarstva poljoprivrede, šumarstva i vodnog gospodarstva, KLASE: UP/I-320-20/07-01/34, URBROJ: 525-02-07-1, od 28. svibnja</w:t>
      </w:r>
      <w:r w:rsidR="001B5C46">
        <w:rPr>
          <w:rFonts w:ascii="Times New Roman" w:eastAsia="Times New Roman" w:hAnsi="Times New Roman" w:cs="Times New Roman"/>
          <w:color w:val="000000"/>
          <w:sz w:val="24"/>
          <w:szCs w:val="24"/>
        </w:rPr>
        <w:t xml:space="preserve"> 20</w:t>
      </w:r>
      <w:r w:rsidRPr="00D84719">
        <w:rPr>
          <w:rFonts w:ascii="Times New Roman" w:eastAsia="Times New Roman" w:hAnsi="Times New Roman" w:cs="Times New Roman"/>
          <w:color w:val="000000"/>
          <w:sz w:val="24"/>
          <w:szCs w:val="24"/>
        </w:rPr>
        <w:t>07</w:t>
      </w:r>
      <w:r w:rsidR="005C26BD">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 Proizvođači i zastupnici sredstava za zaštitu bilja bili su obvezni prijaviti preostale zalihe do kraja lipnja</w:t>
      </w:r>
      <w:r w:rsidR="001B5C46">
        <w:rPr>
          <w:rFonts w:ascii="Times New Roman" w:eastAsia="Times New Roman" w:hAnsi="Times New Roman" w:cs="Times New Roman"/>
          <w:color w:val="000000"/>
          <w:sz w:val="24"/>
          <w:szCs w:val="24"/>
        </w:rPr>
        <w:t xml:space="preserve"> 20</w:t>
      </w:r>
      <w:r w:rsidRPr="00D84719">
        <w:rPr>
          <w:rFonts w:ascii="Times New Roman" w:eastAsia="Times New Roman" w:hAnsi="Times New Roman" w:cs="Times New Roman"/>
          <w:color w:val="000000"/>
          <w:sz w:val="24"/>
          <w:szCs w:val="24"/>
        </w:rPr>
        <w:t>07</w:t>
      </w:r>
      <w:r w:rsidR="005C26BD">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w:t>
      </w:r>
    </w:p>
    <w:p w14:paraId="4AA4472D"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Primjena i prodaja registriranih zaliha endosulfana bila je dozvoljena do siječnja 2006.. Prodaja krajnjim korisnicima i primjena bile su dozvoljene do siječnja</w:t>
      </w:r>
      <w:r w:rsidR="001B5C46">
        <w:rPr>
          <w:rFonts w:ascii="Times New Roman" w:eastAsia="Times New Roman" w:hAnsi="Times New Roman" w:cs="Times New Roman"/>
          <w:color w:val="000000"/>
          <w:sz w:val="24"/>
          <w:szCs w:val="24"/>
        </w:rPr>
        <w:t xml:space="preserve"> 20</w:t>
      </w:r>
      <w:r w:rsidRPr="00D84719">
        <w:rPr>
          <w:rFonts w:ascii="Times New Roman" w:eastAsia="Times New Roman" w:hAnsi="Times New Roman" w:cs="Times New Roman"/>
          <w:color w:val="000000"/>
          <w:sz w:val="24"/>
          <w:szCs w:val="24"/>
        </w:rPr>
        <w:t>09..</w:t>
      </w:r>
    </w:p>
    <w:p w14:paraId="1B4B582D" w14:textId="77777777" w:rsid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 xml:space="preserve">Zalihe insekticida s aktivnom tvari endosulfan s 2008. iznosile su 0 litara. </w:t>
      </w:r>
    </w:p>
    <w:p w14:paraId="34826D1F" w14:textId="77777777" w:rsidR="00E83098" w:rsidRPr="00D84719" w:rsidRDefault="00E83098" w:rsidP="00D84719">
      <w:pPr>
        <w:spacing w:before="80" w:line="276" w:lineRule="auto"/>
        <w:jc w:val="both"/>
        <w:rPr>
          <w:rFonts w:ascii="Times New Roman" w:eastAsia="Times New Roman" w:hAnsi="Times New Roman" w:cs="Times New Roman"/>
          <w:color w:val="000000"/>
          <w:sz w:val="24"/>
          <w:szCs w:val="24"/>
        </w:rPr>
      </w:pPr>
      <w:r w:rsidRPr="00E83098">
        <w:rPr>
          <w:rFonts w:ascii="Times New Roman" w:eastAsia="Times New Roman" w:hAnsi="Times New Roman" w:cs="Times New Roman"/>
          <w:color w:val="000000"/>
          <w:sz w:val="24"/>
          <w:szCs w:val="24"/>
        </w:rPr>
        <w:t>S obzirom na nepromijenjeno stanje od vremena izrade Drugog NIP-a ažuriranje inventara nije provedeno. Buduća proizvodnja se ne predviđa, a nisu dostupna ni nova saznanja o mogućim zalihama.</w:t>
      </w:r>
    </w:p>
    <w:p w14:paraId="0AA10FA3"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p>
    <w:p w14:paraId="5FE19DBB" w14:textId="77777777" w:rsidR="00D84719" w:rsidRPr="00D84719" w:rsidRDefault="00D84719" w:rsidP="0033398D">
      <w:pPr>
        <w:pStyle w:val="Naslov3"/>
      </w:pPr>
      <w:bookmarkStart w:id="77" w:name="_Toc41638245"/>
      <w:bookmarkStart w:id="78" w:name="_Toc64460696"/>
      <w:r w:rsidRPr="00D84719">
        <w:t>INDUSTRIJSKE KEMIKALIJE</w:t>
      </w:r>
      <w:bookmarkEnd w:id="77"/>
      <w:bookmarkEnd w:id="78"/>
    </w:p>
    <w:p w14:paraId="6D6CEDA4" w14:textId="77777777" w:rsidR="00D84719" w:rsidRPr="00D84719" w:rsidRDefault="00D84719" w:rsidP="0033398D">
      <w:pPr>
        <w:pStyle w:val="Naslov4"/>
      </w:pPr>
      <w:bookmarkStart w:id="79" w:name="_Toc41638246"/>
      <w:bookmarkStart w:id="80" w:name="_Toc64460697"/>
      <w:r w:rsidRPr="00D84719">
        <w:t>Heksabromobifeni</w:t>
      </w:r>
      <w:r w:rsidR="0033398D">
        <w:t>l</w:t>
      </w:r>
      <w:r w:rsidRPr="00D84719">
        <w:t xml:space="preserve"> (HBB</w:t>
      </w:r>
      <w:bookmarkEnd w:id="79"/>
      <w:r w:rsidRPr="00D84719">
        <w:t>)</w:t>
      </w:r>
      <w:bookmarkEnd w:id="80"/>
    </w:p>
    <w:p w14:paraId="06E59D33"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rPr>
        <w:t>Heksabromobifenil je vrlo postojan u okolišu, s vrlo visokim bioakomulacijskim potencijalom te posjeduje snažan potencijal prijenosa na veće udaljenosti u okolišu. Klasificiran je kao tvar s mogućim karcinogenim djelovanjem na ljudski organizam i posjeduje druge kronično toksične učinke.</w:t>
      </w:r>
    </w:p>
    <w:p w14:paraId="31CC614E"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 xml:space="preserve">HBB je industrijska kemikalija koja se uglavnom koristila kao retardant plamena. Proizvodnja HBB-a počela je 70-tih godina prošlog stoljeća u SAD-u. </w:t>
      </w:r>
    </w:p>
    <w:p w14:paraId="08BDB486"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Prema dostupnim informacijama heksabromobifenil se više ne proizvodi niti je u uporabi u većini zemalja zahvaljujući ograničenjima prema nacionalnim i međunarodnim propisima.</w:t>
      </w:r>
    </w:p>
    <w:p w14:paraId="70C31B38"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 xml:space="preserve">S obzirom da je proizvodnja HBB-a prestala 1970-ih, većina proizvoda i predmeta koji su ga sadržavali je davno odbačena/zbrinuta. </w:t>
      </w:r>
      <w:r w:rsidR="00D37BC5">
        <w:rPr>
          <w:rFonts w:ascii="Times New Roman" w:eastAsia="Times New Roman" w:hAnsi="Times New Roman" w:cs="Times New Roman"/>
          <w:color w:val="000000"/>
          <w:sz w:val="24"/>
          <w:szCs w:val="24"/>
          <w:lang w:bidi="en-US"/>
        </w:rPr>
        <w:t>Ne postoje nova saznanja niti potreba za izradom novog inventara za navedeni POPs.</w:t>
      </w:r>
    </w:p>
    <w:p w14:paraId="07F8296F"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p>
    <w:p w14:paraId="565A44FD" w14:textId="77777777" w:rsidR="00D84719" w:rsidRPr="00D84719" w:rsidRDefault="00D84719" w:rsidP="00F56103">
      <w:pPr>
        <w:pStyle w:val="Naslov4"/>
      </w:pPr>
      <w:bookmarkStart w:id="81" w:name="_Toc41638247"/>
      <w:bookmarkStart w:id="82" w:name="_Toc64460698"/>
      <w:r w:rsidRPr="00D84719">
        <w:t>Polibromirani difenil eteri (PBDE</w:t>
      </w:r>
      <w:r w:rsidRPr="00D84719">
        <w:rPr>
          <w:vertAlign w:val="superscript"/>
        </w:rPr>
        <w:footnoteReference w:id="5"/>
      </w:r>
      <w:bookmarkEnd w:id="81"/>
      <w:r w:rsidRPr="00D84719">
        <w:t>)</w:t>
      </w:r>
      <w:bookmarkEnd w:id="82"/>
    </w:p>
    <w:p w14:paraId="60158A8E"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Akronim PBDE koristi se kao generički pojam koji obuhvaća sve kongenere obitelj bromiranih difenil etera. Ponekad se skraćuje na BDE.</w:t>
      </w:r>
    </w:p>
    <w:p w14:paraId="357151F6"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Polibromirani difenil eteri uključujući tetra-, penta-, heksa- i heptaBDE sprječavaju ili suzbijaju izgaranje u organskim materijalima i stoga se koriste kao dodatci sredstvima za sprječavanje plamena. Proizvodnja tetra- i pentaBDE prestala je u pojedinim regijama svijeta, dok ne postoje izvješća o proizvodnji heksa- i heptaBDE.</w:t>
      </w:r>
    </w:p>
    <w:p w14:paraId="5762252E"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lastRenderedPageBreak/>
        <w:t>Tetrabromodifenil eter i pentabromodifenil eter glavni su sastojci komercijalnih pentabromodifenil etera. Komercijalni pentabromodifenil eter (c-pentaBDE) odnosi se na smjese kongenera bromodifenil etera u kojima su glavne komponente tetrabromodifenil eter (CAS broj 40088-47-9) i pentabromodifenil eter (CAS broj 32534-81-9).</w:t>
      </w:r>
    </w:p>
    <w:p w14:paraId="6B39353E" w14:textId="76C1C5CB"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 xml:space="preserve">Proizvodnja c-pentaBDE na razini </w:t>
      </w:r>
      <w:r w:rsidRPr="00D84719">
        <w:rPr>
          <w:rFonts w:ascii="Times New Roman" w:eastAsia="Times New Roman" w:hAnsi="Times New Roman" w:cs="Times New Roman"/>
          <w:color w:val="000000"/>
          <w:sz w:val="24"/>
          <w:szCs w:val="24"/>
          <w:lang w:bidi="en-US"/>
        </w:rPr>
        <w:t>Europske unije</w:t>
      </w:r>
      <w:r w:rsidRPr="00D84719">
        <w:rPr>
          <w:rFonts w:ascii="Times New Roman" w:eastAsia="Times New Roman" w:hAnsi="Times New Roman" w:cs="Times New Roman"/>
          <w:color w:val="000000"/>
          <w:sz w:val="24"/>
          <w:szCs w:val="24"/>
        </w:rPr>
        <w:t>, najčešće u uporabi pri proizvodnji fleksibilne poliuretanske pjene (95</w:t>
      </w:r>
      <w:r w:rsidR="00D4589D">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xml:space="preserve"> aktivnog sastojka), zabranjena je od 1994., no uporaba i plasman na tržište zabranjeni su tek deset godina kasnije. Sa životnim vijekom od deset godina pretpostavlja se da je ukupna količina c-pentaBDE na razini </w:t>
      </w:r>
      <w:r w:rsidRPr="00D84719">
        <w:rPr>
          <w:rFonts w:ascii="Times New Roman" w:eastAsia="Times New Roman" w:hAnsi="Times New Roman" w:cs="Times New Roman"/>
          <w:color w:val="000000"/>
          <w:sz w:val="24"/>
          <w:szCs w:val="24"/>
          <w:lang w:bidi="en-US"/>
        </w:rPr>
        <w:t>Europske unije</w:t>
      </w:r>
      <w:r w:rsidRPr="00D84719">
        <w:rPr>
          <w:rFonts w:ascii="Times New Roman" w:eastAsia="Times New Roman" w:hAnsi="Times New Roman" w:cs="Times New Roman"/>
          <w:color w:val="000000"/>
          <w:sz w:val="24"/>
          <w:szCs w:val="24"/>
        </w:rPr>
        <w:t xml:space="preserve"> prisutna isključivo u tokovima otpada. </w:t>
      </w:r>
    </w:p>
    <w:p w14:paraId="0CBC7C12" w14:textId="0914D140"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Heksabromodifenil eter i heptabromodifenil eter su glavni sastojci komercijalnog oktabromo difenil etera. Pretpostavka je da se komercijalna mješavina c-</w:t>
      </w:r>
      <w:proofErr w:type="spellStart"/>
      <w:r w:rsidR="009524D1" w:rsidRPr="00D84719">
        <w:rPr>
          <w:rFonts w:ascii="Times New Roman" w:eastAsia="Times New Roman" w:hAnsi="Times New Roman" w:cs="Times New Roman"/>
          <w:color w:val="000000"/>
          <w:sz w:val="24"/>
          <w:szCs w:val="24"/>
        </w:rPr>
        <w:t>o</w:t>
      </w:r>
      <w:r w:rsidR="009524D1">
        <w:rPr>
          <w:rFonts w:ascii="Times New Roman" w:eastAsia="Times New Roman" w:hAnsi="Times New Roman" w:cs="Times New Roman"/>
          <w:color w:val="000000"/>
          <w:sz w:val="24"/>
          <w:szCs w:val="24"/>
        </w:rPr>
        <w:t>k</w:t>
      </w:r>
      <w:r w:rsidR="009524D1" w:rsidRPr="00D84719">
        <w:rPr>
          <w:rFonts w:ascii="Times New Roman" w:eastAsia="Times New Roman" w:hAnsi="Times New Roman" w:cs="Times New Roman"/>
          <w:color w:val="000000"/>
          <w:sz w:val="24"/>
          <w:szCs w:val="24"/>
        </w:rPr>
        <w:t>taBDE</w:t>
      </w:r>
      <w:proofErr w:type="spellEnd"/>
      <w:r w:rsidR="009524D1" w:rsidRPr="00D84719">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ne proizvodi nakon 2004</w:t>
      </w:r>
      <w:r w:rsidR="005C26BD">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 odnosno nakon što je najveći proizvođač u zaustavio proizvodnju. Od 2001</w:t>
      </w:r>
      <w:r w:rsidR="005C26BD">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 xml:space="preserve">, u </w:t>
      </w:r>
      <w:r w:rsidRPr="00D84719">
        <w:rPr>
          <w:rFonts w:ascii="Times New Roman" w:eastAsia="Times New Roman" w:hAnsi="Times New Roman" w:cs="Times New Roman"/>
          <w:color w:val="000000"/>
          <w:sz w:val="24"/>
          <w:szCs w:val="24"/>
          <w:lang w:bidi="en-US"/>
        </w:rPr>
        <w:t>Europskoj uniji</w:t>
      </w:r>
      <w:r w:rsidRPr="00D84719">
        <w:rPr>
          <w:rFonts w:ascii="Times New Roman" w:eastAsia="Times New Roman" w:hAnsi="Times New Roman" w:cs="Times New Roman"/>
          <w:color w:val="000000"/>
          <w:sz w:val="24"/>
          <w:szCs w:val="24"/>
        </w:rPr>
        <w:t xml:space="preserve"> uvezeni komercijalni c-</w:t>
      </w:r>
      <w:proofErr w:type="spellStart"/>
      <w:r w:rsidR="009524D1" w:rsidRPr="00D84719">
        <w:rPr>
          <w:rFonts w:ascii="Times New Roman" w:eastAsia="Times New Roman" w:hAnsi="Times New Roman" w:cs="Times New Roman"/>
          <w:color w:val="000000"/>
          <w:sz w:val="24"/>
          <w:szCs w:val="24"/>
        </w:rPr>
        <w:t>o</w:t>
      </w:r>
      <w:r w:rsidR="009524D1">
        <w:rPr>
          <w:rFonts w:ascii="Times New Roman" w:eastAsia="Times New Roman" w:hAnsi="Times New Roman" w:cs="Times New Roman"/>
          <w:color w:val="000000"/>
          <w:sz w:val="24"/>
          <w:szCs w:val="24"/>
        </w:rPr>
        <w:t>k</w:t>
      </w:r>
      <w:r w:rsidR="009524D1" w:rsidRPr="00D84719">
        <w:rPr>
          <w:rFonts w:ascii="Times New Roman" w:eastAsia="Times New Roman" w:hAnsi="Times New Roman" w:cs="Times New Roman"/>
          <w:color w:val="000000"/>
          <w:sz w:val="24"/>
          <w:szCs w:val="24"/>
        </w:rPr>
        <w:t>taBDE</w:t>
      </w:r>
      <w:proofErr w:type="spellEnd"/>
      <w:r w:rsidR="009524D1" w:rsidRPr="00D84719">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sastojao se od ≤0</w:t>
      </w:r>
      <w:r w:rsidR="00797986">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5</w:t>
      </w:r>
      <w:r w:rsidR="00D4589D">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xml:space="preserve"> izomera pentabromodifenil etera, ≤12</w:t>
      </w:r>
      <w:r w:rsidR="00D4589D">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xml:space="preserve"> izomera heksabromodifenil etera, ≤45</w:t>
      </w:r>
      <w:r w:rsidR="00D4589D">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xml:space="preserve"> izomera heptabromodifenil etera, ≤33</w:t>
      </w:r>
      <w:r w:rsidR="00D4589D">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xml:space="preserve"> </w:t>
      </w:r>
      <w:proofErr w:type="spellStart"/>
      <w:r w:rsidRPr="00D84719">
        <w:rPr>
          <w:rFonts w:ascii="Times New Roman" w:eastAsia="Times New Roman" w:hAnsi="Times New Roman" w:cs="Times New Roman"/>
          <w:color w:val="000000"/>
          <w:sz w:val="24"/>
          <w:szCs w:val="24"/>
        </w:rPr>
        <w:t>oktaBDE</w:t>
      </w:r>
      <w:proofErr w:type="spellEnd"/>
      <w:r w:rsidRPr="00D84719">
        <w:rPr>
          <w:rFonts w:ascii="Times New Roman" w:eastAsia="Times New Roman" w:hAnsi="Times New Roman" w:cs="Times New Roman"/>
          <w:color w:val="000000"/>
          <w:sz w:val="24"/>
          <w:szCs w:val="24"/>
        </w:rPr>
        <w:t xml:space="preserve"> izomera, ≤10</w:t>
      </w:r>
      <w:r w:rsidR="00D4589D">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xml:space="preserve"> izomera nonabromodifenil etera i ≤0</w:t>
      </w:r>
      <w:r w:rsidR="00797986">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7</w:t>
      </w:r>
      <w:r w:rsidR="00D4589D">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xml:space="preserve"> dekabromodifenil etera.</w:t>
      </w:r>
    </w:p>
    <w:p w14:paraId="35F06B6C" w14:textId="206619FA"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Osnovna upotreba c-</w:t>
      </w:r>
      <w:proofErr w:type="spellStart"/>
      <w:r w:rsidRPr="00D84719">
        <w:rPr>
          <w:rFonts w:ascii="Times New Roman" w:eastAsia="Times New Roman" w:hAnsi="Times New Roman" w:cs="Times New Roman"/>
          <w:color w:val="000000"/>
          <w:sz w:val="24"/>
          <w:szCs w:val="24"/>
        </w:rPr>
        <w:t>oktaBDE</w:t>
      </w:r>
      <w:proofErr w:type="spellEnd"/>
      <w:r w:rsidRPr="00D84719">
        <w:rPr>
          <w:rFonts w:ascii="Times New Roman" w:eastAsia="Times New Roman" w:hAnsi="Times New Roman" w:cs="Times New Roman"/>
          <w:color w:val="000000"/>
          <w:sz w:val="24"/>
          <w:szCs w:val="24"/>
        </w:rPr>
        <w:t xml:space="preserve"> bila je kao retardant gorenja u polimerima akrilonitril butadien stirena (ABS) (10-18 </w:t>
      </w:r>
      <w:proofErr w:type="spellStart"/>
      <w:r w:rsidRPr="00D84719">
        <w:rPr>
          <w:rFonts w:ascii="Times New Roman" w:eastAsia="Times New Roman" w:hAnsi="Times New Roman" w:cs="Times New Roman"/>
          <w:color w:val="000000"/>
          <w:sz w:val="24"/>
          <w:szCs w:val="24"/>
        </w:rPr>
        <w:t>tež</w:t>
      </w:r>
      <w:proofErr w:type="spellEnd"/>
      <w:r w:rsidRPr="00D84719">
        <w:rPr>
          <w:rFonts w:ascii="Times New Roman" w:eastAsia="Times New Roman" w:hAnsi="Times New Roman" w:cs="Times New Roman"/>
          <w:color w:val="000000"/>
          <w:sz w:val="24"/>
          <w:szCs w:val="24"/>
        </w:rPr>
        <w:t>.</w:t>
      </w:r>
      <w:r w:rsidR="00D4589D">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xml:space="preserve"> aktivne tvari). ABS se uglavnom koristio za kućišta električne i elektronička oprema. Tijekom 90-ih godina prošlog stoljeća c-</w:t>
      </w:r>
      <w:proofErr w:type="spellStart"/>
      <w:r w:rsidRPr="00D84719">
        <w:rPr>
          <w:rFonts w:ascii="Times New Roman" w:eastAsia="Times New Roman" w:hAnsi="Times New Roman" w:cs="Times New Roman"/>
          <w:color w:val="000000"/>
          <w:sz w:val="24"/>
          <w:szCs w:val="24"/>
        </w:rPr>
        <w:t>oktaBDE</w:t>
      </w:r>
      <w:proofErr w:type="spellEnd"/>
      <w:r w:rsidRPr="00D84719">
        <w:rPr>
          <w:rFonts w:ascii="Times New Roman" w:eastAsia="Times New Roman" w:hAnsi="Times New Roman" w:cs="Times New Roman"/>
          <w:color w:val="000000"/>
          <w:sz w:val="24"/>
          <w:szCs w:val="24"/>
        </w:rPr>
        <w:t xml:space="preserve"> u ABS-u zamijenjen je alternativnim retardantima gorenja. Danas se ABS proizvodi procesom polimerizacije stirena i akrilonitrila u prisustvu polibutadiena. Proporcije mogu varirati od 15</w:t>
      </w:r>
      <w:r w:rsidR="00D4589D">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xml:space="preserve"> do 35</w:t>
      </w:r>
      <w:r w:rsidR="00D4589D">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xml:space="preserve"> akrilonitrila, od 5</w:t>
      </w:r>
      <w:r w:rsidR="00D4589D">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xml:space="preserve"> do 30</w:t>
      </w:r>
      <w:r w:rsidR="00D4589D">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xml:space="preserve"> butadiena i od 40 do 60</w:t>
      </w:r>
      <w:r w:rsidR="00D4589D">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xml:space="preserve"> stirena, lako reciklirajuće smjese, što znači da je još jedan uobičajeni način dobivanja ABS plastike reciklaža odbačene ABS plastike.</w:t>
      </w:r>
    </w:p>
    <w:p w14:paraId="6355E081" w14:textId="5D2CE20A"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Kao i uporaba c-pentaBDE, uporaba c-</w:t>
      </w:r>
      <w:proofErr w:type="spellStart"/>
      <w:r w:rsidRPr="00D84719">
        <w:rPr>
          <w:rFonts w:ascii="Times New Roman" w:eastAsia="Times New Roman" w:hAnsi="Times New Roman" w:cs="Times New Roman"/>
          <w:color w:val="000000"/>
          <w:sz w:val="24"/>
          <w:szCs w:val="24"/>
        </w:rPr>
        <w:t>oktaBDE</w:t>
      </w:r>
      <w:proofErr w:type="spellEnd"/>
      <w:r w:rsidRPr="00D84719">
        <w:rPr>
          <w:rFonts w:ascii="Times New Roman" w:eastAsia="Times New Roman" w:hAnsi="Times New Roman" w:cs="Times New Roman"/>
          <w:color w:val="000000"/>
          <w:sz w:val="24"/>
          <w:szCs w:val="24"/>
        </w:rPr>
        <w:t xml:space="preserve"> zabranjena je na razini </w:t>
      </w:r>
      <w:r w:rsidRPr="00D84719">
        <w:rPr>
          <w:rFonts w:ascii="Times New Roman" w:eastAsia="Times New Roman" w:hAnsi="Times New Roman" w:cs="Times New Roman"/>
          <w:color w:val="000000"/>
          <w:sz w:val="24"/>
          <w:szCs w:val="24"/>
          <w:lang w:bidi="en-US"/>
        </w:rPr>
        <w:t>Europske unije</w:t>
      </w:r>
      <w:r w:rsidRPr="00D84719">
        <w:rPr>
          <w:rFonts w:ascii="Times New Roman" w:eastAsia="Times New Roman" w:hAnsi="Times New Roman" w:cs="Times New Roman"/>
          <w:color w:val="000000"/>
          <w:sz w:val="24"/>
          <w:szCs w:val="24"/>
        </w:rPr>
        <w:t xml:space="preserve"> 2004</w:t>
      </w:r>
      <w:r w:rsidR="005C26BD">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 xml:space="preserve"> te je pretpostavka da je ukupna količina c-</w:t>
      </w:r>
      <w:proofErr w:type="spellStart"/>
      <w:r w:rsidRPr="00D84719">
        <w:rPr>
          <w:rFonts w:ascii="Times New Roman" w:eastAsia="Times New Roman" w:hAnsi="Times New Roman" w:cs="Times New Roman"/>
          <w:color w:val="000000"/>
          <w:sz w:val="24"/>
          <w:szCs w:val="24"/>
        </w:rPr>
        <w:t>oktaBDE</w:t>
      </w:r>
      <w:proofErr w:type="spellEnd"/>
      <w:r w:rsidRPr="00D84719">
        <w:rPr>
          <w:rFonts w:ascii="Times New Roman" w:eastAsia="Times New Roman" w:hAnsi="Times New Roman" w:cs="Times New Roman"/>
          <w:color w:val="000000"/>
          <w:sz w:val="24"/>
          <w:szCs w:val="24"/>
        </w:rPr>
        <w:t xml:space="preserve"> iz električne i elektroničke opreme na razini </w:t>
      </w:r>
      <w:r w:rsidRPr="00D84719">
        <w:rPr>
          <w:rFonts w:ascii="Times New Roman" w:eastAsia="Times New Roman" w:hAnsi="Times New Roman" w:cs="Times New Roman"/>
          <w:color w:val="000000"/>
          <w:sz w:val="24"/>
          <w:szCs w:val="24"/>
          <w:lang w:bidi="en-US"/>
        </w:rPr>
        <w:t>Europske unije</w:t>
      </w:r>
      <w:r w:rsidRPr="00D84719">
        <w:rPr>
          <w:rFonts w:ascii="Times New Roman" w:eastAsia="Times New Roman" w:hAnsi="Times New Roman" w:cs="Times New Roman"/>
          <w:color w:val="000000"/>
          <w:sz w:val="24"/>
          <w:szCs w:val="24"/>
        </w:rPr>
        <w:t xml:space="preserve"> zbrinuta do 2012..</w:t>
      </w:r>
    </w:p>
    <w:p w14:paraId="70929FA2"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 xml:space="preserve">Preliminarnim inventarom iz Drugog NIP-a, izrađenog koristeći Nacrt Vodiča za izradu inventara polibromiranih difenil etera (PBDE-a) uključenih u </w:t>
      </w:r>
      <w:proofErr w:type="spellStart"/>
      <w:r w:rsidRPr="00D84719">
        <w:rPr>
          <w:rFonts w:ascii="Times New Roman" w:eastAsia="Times New Roman" w:hAnsi="Times New Roman" w:cs="Times New Roman"/>
          <w:color w:val="000000"/>
          <w:sz w:val="24"/>
          <w:szCs w:val="24"/>
          <w:lang w:bidi="en-US"/>
        </w:rPr>
        <w:t>Stockholmsku</w:t>
      </w:r>
      <w:proofErr w:type="spellEnd"/>
      <w:r w:rsidRPr="00D84719">
        <w:rPr>
          <w:rFonts w:ascii="Times New Roman" w:eastAsia="Times New Roman" w:hAnsi="Times New Roman" w:cs="Times New Roman"/>
          <w:color w:val="000000"/>
          <w:sz w:val="24"/>
          <w:szCs w:val="24"/>
          <w:lang w:bidi="en-US"/>
        </w:rPr>
        <w:t xml:space="preserve"> konvenciju, iz 2014., utvrđeno je oko 23 t PBDE na području </w:t>
      </w:r>
      <w:r w:rsidRPr="00D84719">
        <w:rPr>
          <w:rFonts w:ascii="Times New Roman" w:eastAsia="Times New Roman" w:hAnsi="Times New Roman" w:cs="Times New Roman"/>
          <w:color w:val="000000"/>
          <w:sz w:val="24"/>
          <w:szCs w:val="24"/>
        </w:rPr>
        <w:t>Republike Hrvatske</w:t>
      </w:r>
      <w:r w:rsidRPr="00D84719">
        <w:rPr>
          <w:rFonts w:ascii="Times New Roman" w:eastAsia="Times New Roman" w:hAnsi="Times New Roman" w:cs="Times New Roman"/>
          <w:color w:val="000000"/>
          <w:sz w:val="24"/>
          <w:szCs w:val="24"/>
          <w:lang w:bidi="en-US"/>
        </w:rPr>
        <w:t xml:space="preserve">. S obzirom na statističku metodologiju obrade podataka pojedinih institucija, navedene količine mogu značajno varirati. </w:t>
      </w:r>
    </w:p>
    <w:p w14:paraId="440303D6"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S obzirom na nepromijenjeno stanje od vremena izrade Drugog NIP-a te definiranoj problematici prikupljanja podataka, ažuriranje preliminarnog inventara nije provedeno.</w:t>
      </w:r>
    </w:p>
    <w:p w14:paraId="42B6F77E"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p>
    <w:p w14:paraId="004172F2" w14:textId="77777777" w:rsidR="00D84719" w:rsidRPr="00D84719" w:rsidRDefault="00D84719" w:rsidP="00F56103">
      <w:pPr>
        <w:pStyle w:val="Naslov4"/>
      </w:pPr>
      <w:bookmarkStart w:id="83" w:name="_Toc41638248"/>
      <w:bookmarkStart w:id="84" w:name="_Toc64460699"/>
      <w:r w:rsidRPr="00D84719">
        <w:t>Pentaklorobenzen (PeCB</w:t>
      </w:r>
      <w:bookmarkEnd w:id="83"/>
      <w:r w:rsidRPr="00D84719">
        <w:t>)</w:t>
      </w:r>
      <w:bookmarkEnd w:id="84"/>
    </w:p>
    <w:p w14:paraId="69E35D0B"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 xml:space="preserve">Opisano poglavljem 3.2.1.3 te u </w:t>
      </w:r>
      <w:r w:rsidRPr="00D84719">
        <w:rPr>
          <w:rFonts w:ascii="Times New Roman" w:eastAsia="Times New Roman" w:hAnsi="Times New Roman" w:cs="Times New Roman"/>
          <w:color w:val="000000"/>
          <w:sz w:val="24"/>
          <w:szCs w:val="24"/>
        </w:rPr>
        <w:t>poglavlju „Procjena i inventar nenamjerne proizvodnje i ispuštanja kemikalija“ ovog dokumenta (poglavlje 3.4).</w:t>
      </w:r>
    </w:p>
    <w:p w14:paraId="52755280" w14:textId="77777777" w:rsidR="00D84719" w:rsidRPr="00D84719" w:rsidRDefault="00D84719" w:rsidP="00D84719">
      <w:pPr>
        <w:spacing w:before="80" w:line="276" w:lineRule="auto"/>
        <w:jc w:val="both"/>
        <w:rPr>
          <w:rFonts w:ascii="Times New Roman" w:eastAsia="Times New Roman" w:hAnsi="Times New Roman" w:cs="Times New Roman"/>
          <w:color w:val="000000"/>
          <w:szCs w:val="24"/>
          <w:lang w:bidi="en-US"/>
        </w:rPr>
      </w:pPr>
    </w:p>
    <w:p w14:paraId="79EAE91D" w14:textId="77777777" w:rsidR="00D84719" w:rsidRPr="00D84719" w:rsidRDefault="00D84719" w:rsidP="00F56103">
      <w:pPr>
        <w:pStyle w:val="Naslov4"/>
      </w:pPr>
      <w:bookmarkStart w:id="85" w:name="_Toc41638249"/>
      <w:bookmarkStart w:id="86" w:name="_Toc64460700"/>
      <w:r w:rsidRPr="00D84719">
        <w:lastRenderedPageBreak/>
        <w:t>Heksabromociklododekan (HBCD</w:t>
      </w:r>
      <w:bookmarkEnd w:id="85"/>
      <w:r w:rsidRPr="00D84719">
        <w:t>)</w:t>
      </w:r>
      <w:bookmarkEnd w:id="86"/>
    </w:p>
    <w:p w14:paraId="43FDFDF6"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HBCD/HBCDD je vrlo postojan u okolišu, ima potencijal prijenosa na velike udaljenosti kao i veliki potencijal bioakumulacije i biomagnifikacije. Vrlo je otrovan za vodene organizme. Malo je informacija o toksičnosti HBCD-a za ljude, ali ranjive skupine mogu biti u opasnosti, što se osobito odnosi na neuroendokrine i razvojne učinke.</w:t>
      </w:r>
    </w:p>
    <w:p w14:paraId="0204AD19"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 xml:space="preserve">Svaka stranka koja je registrirala izuzeće za proizvodnju i uporabu HBCD-a za </w:t>
      </w:r>
      <w:r w:rsidRPr="00D84719">
        <w:rPr>
          <w:rFonts w:ascii="Times New Roman" w:eastAsia="Times New Roman" w:hAnsi="Times New Roman" w:cs="Times New Roman"/>
          <w:color w:val="000000"/>
          <w:sz w:val="24"/>
          <w:szCs w:val="24"/>
        </w:rPr>
        <w:t xml:space="preserve">ekspandirani polistiren (EPS) </w:t>
      </w:r>
      <w:r w:rsidRPr="00D84719">
        <w:rPr>
          <w:rFonts w:ascii="Times New Roman" w:eastAsia="Times New Roman" w:hAnsi="Times New Roman" w:cs="Times New Roman"/>
          <w:color w:val="000000"/>
          <w:sz w:val="24"/>
          <w:szCs w:val="24"/>
          <w:lang w:bidi="en-US"/>
        </w:rPr>
        <w:t xml:space="preserve">i </w:t>
      </w:r>
      <w:r w:rsidRPr="00D84719">
        <w:rPr>
          <w:rFonts w:ascii="Times New Roman" w:eastAsia="Times New Roman" w:hAnsi="Times New Roman" w:cs="Times New Roman"/>
          <w:color w:val="000000"/>
          <w:sz w:val="24"/>
          <w:szCs w:val="24"/>
        </w:rPr>
        <w:t>ekstrudirani polistiren</w:t>
      </w:r>
      <w:r w:rsidRPr="00D84719">
        <w:rPr>
          <w:rFonts w:ascii="Times New Roman" w:eastAsia="Times New Roman" w:hAnsi="Times New Roman" w:cs="Times New Roman"/>
          <w:color w:val="000000"/>
          <w:sz w:val="24"/>
          <w:szCs w:val="24"/>
          <w:lang w:bidi="en-US"/>
        </w:rPr>
        <w:t xml:space="preserve"> (XPS) u zgradama mora poduzeti potrebne mjere kako bi osigurala da se </w:t>
      </w:r>
      <w:bookmarkStart w:id="87" w:name="_Hlk50701562"/>
      <w:r w:rsidRPr="00D84719">
        <w:rPr>
          <w:rFonts w:ascii="Times New Roman" w:eastAsia="Times New Roman" w:hAnsi="Times New Roman" w:cs="Times New Roman"/>
          <w:color w:val="000000"/>
          <w:sz w:val="24"/>
          <w:szCs w:val="24"/>
          <w:lang w:bidi="en-US"/>
        </w:rPr>
        <w:t xml:space="preserve">EPS i XPS </w:t>
      </w:r>
      <w:bookmarkEnd w:id="87"/>
      <w:r w:rsidRPr="00D84719">
        <w:rPr>
          <w:rFonts w:ascii="Times New Roman" w:eastAsia="Times New Roman" w:hAnsi="Times New Roman" w:cs="Times New Roman"/>
          <w:color w:val="000000"/>
          <w:sz w:val="24"/>
          <w:szCs w:val="24"/>
          <w:lang w:bidi="en-US"/>
        </w:rPr>
        <w:t>koji sadrže HBCD mogu jednostavno prepoznati tijekom cijelog životnog ciklusa i to putem označavanja ili na neki drugi način.</w:t>
      </w:r>
    </w:p>
    <w:p w14:paraId="08714CAF"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Ne postoje prirodni izvori HBCD-a. Prvi put je uveden u 1960-im godinama, a uvođenjem propisa o zaštiti od požara za predmete, vozila i zgrade, od 80-ih godina prošloga stoljeća ulazi u široku primjenu kao usporivač gorenja u materijalima od polistirena. Četiri glavna proizvoda u kojima se koristi HBCD su EPS, XPS, HIPS i agensi za zaštitu tekstila, od čega je najveće područje primjene EPS-a i XPS-a za izolacije i ambalažu.</w:t>
      </w:r>
    </w:p>
    <w:p w14:paraId="7D979CAE" w14:textId="7B2A1B06"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Europska unija je već 2008</w:t>
      </w:r>
      <w:r w:rsidR="005C26BD">
        <w:rPr>
          <w:rFonts w:ascii="Times New Roman" w:eastAsia="Times New Roman" w:hAnsi="Times New Roman" w:cs="Times New Roman"/>
          <w:color w:val="000000"/>
          <w:sz w:val="24"/>
          <w:szCs w:val="24"/>
          <w:lang w:bidi="en-US"/>
        </w:rPr>
        <w:t>.</w:t>
      </w:r>
      <w:r w:rsidRPr="00D84719">
        <w:rPr>
          <w:rFonts w:ascii="Times New Roman" w:eastAsia="Times New Roman" w:hAnsi="Times New Roman" w:cs="Times New Roman"/>
          <w:color w:val="000000"/>
          <w:sz w:val="24"/>
          <w:szCs w:val="24"/>
          <w:lang w:bidi="en-US"/>
        </w:rPr>
        <w:t xml:space="preserve"> klasificirala HBCDD kao tvar od velike zabrinutosti zbog njegovih PBT svojstava. Iz tog je razloga 2011</w:t>
      </w:r>
      <w:r w:rsidR="005C26BD">
        <w:rPr>
          <w:rFonts w:ascii="Times New Roman" w:eastAsia="Times New Roman" w:hAnsi="Times New Roman" w:cs="Times New Roman"/>
          <w:color w:val="000000"/>
          <w:sz w:val="24"/>
          <w:szCs w:val="24"/>
          <w:lang w:bidi="en-US"/>
        </w:rPr>
        <w:t>.</w:t>
      </w:r>
      <w:r w:rsidRPr="00D84719">
        <w:rPr>
          <w:rFonts w:ascii="Times New Roman" w:eastAsia="Times New Roman" w:hAnsi="Times New Roman" w:cs="Times New Roman"/>
          <w:color w:val="000000"/>
          <w:sz w:val="24"/>
          <w:szCs w:val="24"/>
          <w:lang w:bidi="en-US"/>
        </w:rPr>
        <w:t xml:space="preserve"> uključen u Prilog XIV. REACH Uredbe, temeljem koje je bila dozvoljena proizvodnja i primjena u polistirenskim pjenama na području Europske unije od 21. kolovoza 2015. samo za privremene autorizacije koje su dozvoljene od strane ECHA-e i zahtjeve podnesene do 13. veljače</w:t>
      </w:r>
      <w:r w:rsidR="001B5C46">
        <w:rPr>
          <w:rFonts w:ascii="Times New Roman" w:eastAsia="Times New Roman" w:hAnsi="Times New Roman" w:cs="Times New Roman"/>
          <w:color w:val="000000"/>
          <w:sz w:val="24"/>
          <w:szCs w:val="24"/>
          <w:lang w:bidi="en-US"/>
        </w:rPr>
        <w:t xml:space="preserve"> 20</w:t>
      </w:r>
      <w:r w:rsidRPr="00D84719">
        <w:rPr>
          <w:rFonts w:ascii="Times New Roman" w:eastAsia="Times New Roman" w:hAnsi="Times New Roman" w:cs="Times New Roman"/>
          <w:color w:val="000000"/>
          <w:sz w:val="24"/>
          <w:szCs w:val="24"/>
          <w:lang w:bidi="en-US"/>
        </w:rPr>
        <w:t>14.. U siječnju</w:t>
      </w:r>
      <w:r w:rsidR="001B5C46">
        <w:rPr>
          <w:rFonts w:ascii="Times New Roman" w:eastAsia="Times New Roman" w:hAnsi="Times New Roman" w:cs="Times New Roman"/>
          <w:color w:val="000000"/>
          <w:sz w:val="24"/>
          <w:szCs w:val="24"/>
          <w:lang w:bidi="en-US"/>
        </w:rPr>
        <w:t xml:space="preserve"> 20</w:t>
      </w:r>
      <w:r w:rsidRPr="00D84719">
        <w:rPr>
          <w:rFonts w:ascii="Times New Roman" w:eastAsia="Times New Roman" w:hAnsi="Times New Roman" w:cs="Times New Roman"/>
          <w:color w:val="000000"/>
          <w:sz w:val="24"/>
          <w:szCs w:val="24"/>
          <w:lang w:bidi="en-US"/>
        </w:rPr>
        <w:t>16. u Služenom listu Europske komisije objavljen je Sažetak odluke Europske komisije o autorizacijama za stavljanje na tržište uporabe i/ili za uporabu tvari navedenih u Prilogu XIV. REACH Uredbe, vezano uz autoriziranu uporabu oblikovanja vatrootpornog EPS-a pomoću HBCDD-a kao usporivača gorenja (za daljnju uporabu u građevinarstvu) i proizvodnje proizvoda od vatrootpornog EPS-a za uporabu u građevinarstvu, s datumom preispitivanja 21. kolovoza 2017., jer socioekonomske koristi nadilaze rizik za okoliš.</w:t>
      </w:r>
    </w:p>
    <w:p w14:paraId="3C62BE81" w14:textId="41D67BAB"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Na području Europske unije nije bilo prijavljenih zahtjeva za autorizacijom za proizvodnju XPS-a, već samo EPS-a. Europska komisija u ime Europske unije i država članica je u studenome</w:t>
      </w:r>
      <w:r w:rsidR="001B5C46">
        <w:rPr>
          <w:rFonts w:ascii="Times New Roman" w:eastAsia="Times New Roman" w:hAnsi="Times New Roman" w:cs="Times New Roman"/>
          <w:color w:val="000000"/>
          <w:sz w:val="24"/>
          <w:szCs w:val="24"/>
          <w:lang w:bidi="en-US"/>
        </w:rPr>
        <w:t xml:space="preserve"> 20</w:t>
      </w:r>
      <w:r w:rsidRPr="00D84719">
        <w:rPr>
          <w:rFonts w:ascii="Times New Roman" w:eastAsia="Times New Roman" w:hAnsi="Times New Roman" w:cs="Times New Roman"/>
          <w:color w:val="000000"/>
          <w:sz w:val="24"/>
          <w:szCs w:val="24"/>
          <w:lang w:bidi="en-US"/>
        </w:rPr>
        <w:t>14</w:t>
      </w:r>
      <w:r w:rsidR="005C26BD">
        <w:rPr>
          <w:rFonts w:ascii="Times New Roman" w:eastAsia="Times New Roman" w:hAnsi="Times New Roman" w:cs="Times New Roman"/>
          <w:color w:val="000000"/>
          <w:sz w:val="24"/>
          <w:szCs w:val="24"/>
          <w:lang w:bidi="en-US"/>
        </w:rPr>
        <w:t>.</w:t>
      </w:r>
      <w:r w:rsidRPr="00D84719">
        <w:rPr>
          <w:rFonts w:ascii="Times New Roman" w:eastAsia="Times New Roman" w:hAnsi="Times New Roman" w:cs="Times New Roman"/>
          <w:color w:val="000000"/>
          <w:sz w:val="24"/>
          <w:szCs w:val="24"/>
          <w:lang w:bidi="en-US"/>
        </w:rPr>
        <w:t xml:space="preserve"> obavijestila depozitara Ujedinjenih naroda o nemogućnosti prihvaćanja usvojenih odluka te je zatražila privremeni tzv. „</w:t>
      </w:r>
      <w:proofErr w:type="spellStart"/>
      <w:r w:rsidRPr="00D84719">
        <w:rPr>
          <w:rFonts w:ascii="Times New Roman" w:eastAsia="Times New Roman" w:hAnsi="Times New Roman" w:cs="Times New Roman"/>
          <w:color w:val="000000"/>
          <w:sz w:val="24"/>
          <w:szCs w:val="24"/>
          <w:lang w:bidi="en-US"/>
        </w:rPr>
        <w:t>opt-out</w:t>
      </w:r>
      <w:proofErr w:type="spellEnd"/>
      <w:r w:rsidRPr="00D84719">
        <w:rPr>
          <w:rFonts w:ascii="Times New Roman" w:eastAsia="Times New Roman" w:hAnsi="Times New Roman" w:cs="Times New Roman"/>
          <w:color w:val="000000"/>
          <w:sz w:val="24"/>
          <w:szCs w:val="24"/>
          <w:lang w:bidi="en-US"/>
        </w:rPr>
        <w:t>“ do 21. kolovoza 2015. zbog pravnog pitanja i usklađivanja zakonodavstva Europske unije. No, kako se rasprava na razini Europskih institucija produljila u odnosu na navedeni rok, Europska komisija je u kolovozu</w:t>
      </w:r>
      <w:r w:rsidR="001B5C46">
        <w:rPr>
          <w:rFonts w:ascii="Times New Roman" w:eastAsia="Times New Roman" w:hAnsi="Times New Roman" w:cs="Times New Roman"/>
          <w:color w:val="000000"/>
          <w:sz w:val="24"/>
          <w:szCs w:val="24"/>
          <w:lang w:bidi="en-US"/>
        </w:rPr>
        <w:t xml:space="preserve"> 20</w:t>
      </w:r>
      <w:r w:rsidRPr="00D84719">
        <w:rPr>
          <w:rFonts w:ascii="Times New Roman" w:eastAsia="Times New Roman" w:hAnsi="Times New Roman" w:cs="Times New Roman"/>
          <w:color w:val="000000"/>
          <w:sz w:val="24"/>
          <w:szCs w:val="24"/>
          <w:lang w:bidi="en-US"/>
        </w:rPr>
        <w:t>15</w:t>
      </w:r>
      <w:r w:rsidR="005C26BD">
        <w:rPr>
          <w:rFonts w:ascii="Times New Roman" w:eastAsia="Times New Roman" w:hAnsi="Times New Roman" w:cs="Times New Roman"/>
          <w:color w:val="000000"/>
          <w:sz w:val="24"/>
          <w:szCs w:val="24"/>
          <w:lang w:bidi="en-US"/>
        </w:rPr>
        <w:t>.</w:t>
      </w:r>
      <w:r w:rsidRPr="00D84719">
        <w:rPr>
          <w:rFonts w:ascii="Times New Roman" w:eastAsia="Times New Roman" w:hAnsi="Times New Roman" w:cs="Times New Roman"/>
          <w:color w:val="000000"/>
          <w:sz w:val="24"/>
          <w:szCs w:val="24"/>
          <w:lang w:bidi="en-US"/>
        </w:rPr>
        <w:t xml:space="preserve"> ponovno uputila obavijest depozitaru Ujedinjenih naroda o produljenju za tzv. „</w:t>
      </w:r>
      <w:proofErr w:type="spellStart"/>
      <w:r w:rsidRPr="00D84719">
        <w:rPr>
          <w:rFonts w:ascii="Times New Roman" w:eastAsia="Times New Roman" w:hAnsi="Times New Roman" w:cs="Times New Roman"/>
          <w:color w:val="000000"/>
          <w:sz w:val="24"/>
          <w:szCs w:val="24"/>
          <w:lang w:bidi="en-US"/>
        </w:rPr>
        <w:t>opt-out</w:t>
      </w:r>
      <w:proofErr w:type="spellEnd"/>
      <w:r w:rsidRPr="00D84719">
        <w:rPr>
          <w:rFonts w:ascii="Times New Roman" w:eastAsia="Times New Roman" w:hAnsi="Times New Roman" w:cs="Times New Roman"/>
          <w:color w:val="000000"/>
          <w:sz w:val="24"/>
          <w:szCs w:val="24"/>
          <w:lang w:bidi="en-US"/>
        </w:rPr>
        <w:t xml:space="preserve">“ jer još uvijek nisu bili osigurani uvjeti za provedbu predmetne Odluke na razini Europske unije, bez definiranja datuma kada se isto očekuje. Prema podacima Europskog udruženja proizvođača ekspandiranog polistirena EUMEPS, EPS sa sadržajem HBCDD više se ne isporučuje na europskom tržištu iako je autorizacija u skladu s REACH-om izdana 2016. konzorciju tvrtki za uporabu HBCDD u dva EPS proizvoda. Međutim, do izdavanja autorizacije, s novim aditivom </w:t>
      </w:r>
      <w:r w:rsidRPr="00D84719">
        <w:rPr>
          <w:rFonts w:ascii="Times New Roman" w:eastAsia="Times New Roman" w:hAnsi="Times New Roman" w:cs="Times New Roman"/>
          <w:color w:val="000000"/>
          <w:sz w:val="24"/>
          <w:szCs w:val="24"/>
        </w:rPr>
        <w:t>za smanjenje gorivosti polimernih materijala</w:t>
      </w:r>
      <w:r w:rsidRPr="00D84719">
        <w:rPr>
          <w:rFonts w:ascii="Times New Roman" w:eastAsia="Times New Roman" w:hAnsi="Times New Roman" w:cs="Times New Roman"/>
          <w:color w:val="000000"/>
          <w:sz w:val="24"/>
          <w:szCs w:val="24"/>
          <w:lang w:bidi="en-US"/>
        </w:rPr>
        <w:t>, pronađena je adekvatna zamjena za HBCD te je autorizacija povučena (EUMEPS, 2016).</w:t>
      </w:r>
    </w:p>
    <w:p w14:paraId="33333CCC"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 xml:space="preserve">Uredbom Komisije (EU) 2016/293 o izmjeni Uredbe (EZ) broj 850/2004 Europskog parlamenta i Vijeća o postojanim organskim onečišćujućim tvarima u pogledu Priloga I. te POPs Uredbom </w:t>
      </w:r>
      <w:r w:rsidRPr="00D84719">
        <w:rPr>
          <w:rFonts w:ascii="Times New Roman" w:eastAsia="Times New Roman" w:hAnsi="Times New Roman" w:cs="Times New Roman"/>
          <w:color w:val="000000"/>
          <w:sz w:val="24"/>
          <w:szCs w:val="24"/>
          <w:lang w:bidi="en-US"/>
        </w:rPr>
        <w:lastRenderedPageBreak/>
        <w:t xml:space="preserve">u Europskoj uniji/Republici Hrvatskoj je zabranjena/ograničena proizvodnja/uporaba i stavljanje na tržište, osim za autorizacije odobrene u skladu s REACH Uredbom, odnosno prethodno navedenim Sažetkom odluke Europske komisije iz siječnja 2016.. </w:t>
      </w:r>
    </w:p>
    <w:p w14:paraId="4FB02118" w14:textId="20E700BD" w:rsidR="00D84719" w:rsidRPr="00D84719" w:rsidRDefault="00D84719" w:rsidP="00D84719">
      <w:pPr>
        <w:spacing w:before="80" w:line="276" w:lineRule="auto"/>
        <w:jc w:val="both"/>
        <w:rPr>
          <w:rFonts w:ascii="Times New Roman" w:eastAsia="Times New Roman" w:hAnsi="Times New Roman" w:cs="Times New Roman"/>
          <w:sz w:val="24"/>
          <w:szCs w:val="24"/>
          <w:lang w:bidi="en-US"/>
        </w:rPr>
      </w:pPr>
      <w:r w:rsidRPr="00D84719">
        <w:rPr>
          <w:rFonts w:ascii="Times New Roman" w:eastAsia="Times New Roman" w:hAnsi="Times New Roman" w:cs="Times New Roman"/>
          <w:color w:val="000000"/>
          <w:sz w:val="24"/>
          <w:szCs w:val="24"/>
        </w:rPr>
        <w:t>Prema dostupnim podacima, utvrđeno je da je u Republici Hrvatskoj</w:t>
      </w:r>
      <w:r w:rsidR="00612979">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HBCD uvozila tvrtka Dioki d.d., bivši najveći proizvođač EPS-a u Republici Hrvatskoj u razdoblju od 2005. do 2009.. Tvrtka je prestala s proizvodnjom 2011.. Prema podacima dostavljenima u upitniku, u 2013. četiri su tvrtke proizvodile/uvozile EPS i XPS granulate u ukupnoj količini od 5.173 t, sa sadržajem HBCD-a 0,7-1</w:t>
      </w:r>
      <w:r w:rsidR="00D4589D">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xml:space="preserve"> masenog udjela, odnosno 6.503 t HBCD-a. Dodatno su analizirani i podaci o proizvodnji, uvozu i izvozu EPS-a, XPS-a i granulata polistirena za ekspandiranje. S obzirom da nisu bili dostupni svi potrebni podaci kako bi se sagledala i detaljnije procijenila povijesna uporaba HBCD-a u Republici Hrvatskoj, procijenjena ukupna količina HBCD-a na tržištu u Republici Hrvatskoj od 6.503 t može se smatrati grubom procjenom. Tvrtke koje su potvrdile uporabu HBCD-a izjavile su da su njihovi dobavljači uglavnom u procesu zamjene HBCD-a drugim manje štetnim zamjenskim tvarima jer postoje saznanja o njihovu postojanju na tržištu Europske unije.</w:t>
      </w:r>
      <w:r w:rsidR="00012077">
        <w:rPr>
          <w:rFonts w:ascii="Times New Roman" w:eastAsia="Times New Roman" w:hAnsi="Times New Roman" w:cs="Times New Roman"/>
          <w:color w:val="000000"/>
          <w:sz w:val="24"/>
          <w:szCs w:val="24"/>
        </w:rPr>
        <w:t xml:space="preserve"> U odnosu na navedeno nisu dostupni novi podaci </w:t>
      </w:r>
      <w:r w:rsidR="00012077" w:rsidRPr="00012077">
        <w:rPr>
          <w:rFonts w:ascii="Times New Roman" w:eastAsia="Times New Roman" w:hAnsi="Times New Roman" w:cs="Times New Roman"/>
          <w:color w:val="000000"/>
          <w:sz w:val="24"/>
          <w:szCs w:val="24"/>
        </w:rPr>
        <w:t>niti postoje nova saznanja o mogućim zalihama.</w:t>
      </w:r>
    </w:p>
    <w:p w14:paraId="32F27E65"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p>
    <w:p w14:paraId="1BE7B904" w14:textId="77777777" w:rsidR="00D84719" w:rsidRPr="00D84719" w:rsidRDefault="00D84719" w:rsidP="00F56103">
      <w:pPr>
        <w:pStyle w:val="Naslov4"/>
      </w:pPr>
      <w:bookmarkStart w:id="88" w:name="_Toc41638250"/>
      <w:bookmarkStart w:id="89" w:name="_Toc64460701"/>
      <w:r w:rsidRPr="00D84719">
        <w:t>Perfluorooktan sulfonska kiselina (PFOS) i perfluorooktan sulfonil fluorid (PFOSF</w:t>
      </w:r>
      <w:bookmarkEnd w:id="88"/>
      <w:r w:rsidRPr="00D84719">
        <w:t>)</w:t>
      </w:r>
      <w:bookmarkEnd w:id="89"/>
    </w:p>
    <w:p w14:paraId="23B19D81"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 xml:space="preserve">PFOS spojevi su iznimno stabilni. Ljudi mogu biti izloženi putem hrane i okoliša. Za razliku od drugih bioakumulirajućih spojeva, ne talože se u masnom tkivu, već u jetri i proteinima plazme. Ometaju metabolizam hormona štitnjače, jetre i lipida te razvoj pluća. </w:t>
      </w:r>
    </w:p>
    <w:p w14:paraId="6FF4298A"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 xml:space="preserve">Proizvodnja i uporaba PFOS-a zabranjena je za sve stranke osim za prihvatljive namjene i posebna izuzeća kako je navedeno u dijelu I. Dodatka </w:t>
      </w:r>
      <w:r w:rsidR="00A64981">
        <w:rPr>
          <w:rFonts w:ascii="Times New Roman" w:eastAsia="Times New Roman" w:hAnsi="Times New Roman" w:cs="Times New Roman"/>
          <w:color w:val="000000"/>
          <w:sz w:val="24"/>
          <w:szCs w:val="24"/>
        </w:rPr>
        <w:t>B</w:t>
      </w:r>
      <w:r w:rsidRPr="00D84719">
        <w:rPr>
          <w:rFonts w:ascii="Times New Roman" w:eastAsia="Times New Roman" w:hAnsi="Times New Roman" w:cs="Times New Roman"/>
          <w:color w:val="000000"/>
          <w:sz w:val="24"/>
          <w:szCs w:val="24"/>
        </w:rPr>
        <w:t xml:space="preserve"> Stockholmske konvencije. </w:t>
      </w:r>
    </w:p>
    <w:p w14:paraId="04EA7E82" w14:textId="571E19A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Kako je PFOS i PFOSF uvršten u popis Stockholmske konvencije 2009</w:t>
      </w:r>
      <w:r w:rsidR="005C26BD">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 xml:space="preserve"> u Dodatak </w:t>
      </w:r>
      <w:r w:rsidR="00A64981">
        <w:rPr>
          <w:rFonts w:ascii="Times New Roman" w:eastAsia="Times New Roman" w:hAnsi="Times New Roman" w:cs="Times New Roman"/>
          <w:color w:val="000000"/>
          <w:sz w:val="24"/>
          <w:szCs w:val="24"/>
        </w:rPr>
        <w:t>B,</w:t>
      </w:r>
      <w:r w:rsidR="00612979">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xml:space="preserve">s velikim brojem posebnih izuzeća i prihvatljive namjene, a temeljem odredaba Stockholmske konvencije da se svake četiri godine preispita potreba za njima te ukoliko nema prijava u Registar posebnih izuzeća. </w:t>
      </w:r>
    </w:p>
    <w:p w14:paraId="3303FFF1" w14:textId="20D1CFD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U Europskoj uniji pa tako i Republici Hrvats</w:t>
      </w:r>
      <w:r w:rsidR="002C3FF3">
        <w:rPr>
          <w:rFonts w:ascii="Times New Roman" w:eastAsia="Times New Roman" w:hAnsi="Times New Roman" w:cs="Times New Roman"/>
          <w:color w:val="000000"/>
          <w:sz w:val="24"/>
          <w:szCs w:val="24"/>
        </w:rPr>
        <w:t>koj od 1. srpnja</w:t>
      </w:r>
      <w:r w:rsidRPr="00D84719">
        <w:rPr>
          <w:rFonts w:ascii="Times New Roman" w:eastAsia="Times New Roman" w:hAnsi="Times New Roman" w:cs="Times New Roman"/>
          <w:color w:val="000000"/>
          <w:sz w:val="24"/>
          <w:szCs w:val="24"/>
        </w:rPr>
        <w:t xml:space="preserve"> 2013</w:t>
      </w:r>
      <w:r w:rsidR="005C26BD">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 xml:space="preserve">, bio je već ranije smanjen popis izuzeća koja su se odnosila samo na prihvatljive namjene (POPs Uredba) o čijim potrebama i napretku potrebno je svake četiri godine informirati Europsku komisiju. </w:t>
      </w:r>
    </w:p>
    <w:p w14:paraId="3B7E9BAA"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Posebne namjene iz POPs Uredbe:</w:t>
      </w:r>
    </w:p>
    <w:p w14:paraId="03269DCE" w14:textId="77777777" w:rsidR="00D84719" w:rsidRPr="00897A1F" w:rsidRDefault="00D84719" w:rsidP="00897A1F">
      <w:pPr>
        <w:pStyle w:val="Odlomakpopisa"/>
        <w:numPr>
          <w:ilvl w:val="0"/>
          <w:numId w:val="29"/>
        </w:numPr>
        <w:spacing w:before="80" w:line="276" w:lineRule="auto"/>
        <w:jc w:val="both"/>
        <w:rPr>
          <w:rFonts w:ascii="Times New Roman" w:eastAsia="Times New Roman" w:hAnsi="Times New Roman" w:cs="Times New Roman"/>
          <w:color w:val="000000"/>
          <w:sz w:val="24"/>
          <w:szCs w:val="24"/>
        </w:rPr>
      </w:pPr>
      <w:r w:rsidRPr="00897A1F">
        <w:rPr>
          <w:rFonts w:ascii="Times New Roman" w:eastAsia="Times New Roman" w:hAnsi="Times New Roman" w:cs="Times New Roman"/>
          <w:color w:val="000000"/>
          <w:sz w:val="24"/>
          <w:szCs w:val="24"/>
        </w:rPr>
        <w:t xml:space="preserve">surfaktanti u kontroliranim galvanizacijskim sustavima, do 26. kolovoza 2015. </w:t>
      </w:r>
    </w:p>
    <w:p w14:paraId="7B80A187" w14:textId="77777777" w:rsidR="00D84719" w:rsidRPr="00897A1F" w:rsidRDefault="00D84719" w:rsidP="00897A1F">
      <w:pPr>
        <w:pStyle w:val="Odlomakpopisa"/>
        <w:numPr>
          <w:ilvl w:val="0"/>
          <w:numId w:val="29"/>
        </w:numPr>
        <w:spacing w:before="80" w:line="276" w:lineRule="auto"/>
        <w:jc w:val="both"/>
        <w:rPr>
          <w:rFonts w:ascii="Times New Roman" w:eastAsia="Times New Roman" w:hAnsi="Times New Roman" w:cs="Times New Roman"/>
          <w:color w:val="000000"/>
          <w:sz w:val="24"/>
          <w:szCs w:val="24"/>
        </w:rPr>
      </w:pPr>
      <w:r w:rsidRPr="00897A1F">
        <w:rPr>
          <w:rFonts w:ascii="Times New Roman" w:eastAsia="Times New Roman" w:hAnsi="Times New Roman" w:cs="Times New Roman"/>
          <w:color w:val="000000"/>
          <w:sz w:val="24"/>
          <w:szCs w:val="24"/>
        </w:rPr>
        <w:t xml:space="preserve">fotootporni i proturefleksni premazi za fotolitografijske postupke </w:t>
      </w:r>
    </w:p>
    <w:p w14:paraId="10C1B301" w14:textId="77777777" w:rsidR="00D84719" w:rsidRPr="00897A1F" w:rsidRDefault="00D84719" w:rsidP="00897A1F">
      <w:pPr>
        <w:pStyle w:val="Odlomakpopisa"/>
        <w:numPr>
          <w:ilvl w:val="0"/>
          <w:numId w:val="29"/>
        </w:numPr>
        <w:spacing w:before="80" w:line="276" w:lineRule="auto"/>
        <w:jc w:val="both"/>
        <w:rPr>
          <w:rFonts w:ascii="Times New Roman" w:eastAsia="Times New Roman" w:hAnsi="Times New Roman" w:cs="Times New Roman"/>
          <w:color w:val="000000"/>
          <w:sz w:val="24"/>
          <w:szCs w:val="24"/>
        </w:rPr>
      </w:pPr>
      <w:r w:rsidRPr="00897A1F">
        <w:rPr>
          <w:rFonts w:ascii="Times New Roman" w:eastAsia="Times New Roman" w:hAnsi="Times New Roman" w:cs="Times New Roman"/>
          <w:color w:val="000000"/>
          <w:sz w:val="24"/>
          <w:szCs w:val="24"/>
        </w:rPr>
        <w:t xml:space="preserve">fotografski premazi koji se nanose na filmove, papir ili tiskarske ploče </w:t>
      </w:r>
    </w:p>
    <w:p w14:paraId="71FCFA9D" w14:textId="77777777" w:rsidR="00D84719" w:rsidRPr="00897A1F" w:rsidRDefault="00D84719" w:rsidP="00897A1F">
      <w:pPr>
        <w:pStyle w:val="Odlomakpopisa"/>
        <w:numPr>
          <w:ilvl w:val="0"/>
          <w:numId w:val="29"/>
        </w:numPr>
        <w:spacing w:before="80" w:line="276" w:lineRule="auto"/>
        <w:jc w:val="both"/>
        <w:rPr>
          <w:rFonts w:ascii="Times New Roman" w:eastAsia="Times New Roman" w:hAnsi="Times New Roman" w:cs="Times New Roman"/>
          <w:color w:val="000000"/>
          <w:sz w:val="24"/>
          <w:szCs w:val="24"/>
        </w:rPr>
      </w:pPr>
      <w:r w:rsidRPr="00897A1F">
        <w:rPr>
          <w:rFonts w:ascii="Times New Roman" w:eastAsia="Times New Roman" w:hAnsi="Times New Roman" w:cs="Times New Roman"/>
          <w:color w:val="000000"/>
          <w:sz w:val="24"/>
          <w:szCs w:val="24"/>
        </w:rPr>
        <w:t xml:space="preserve">tvari za sprječavanje orošavanja nedekorativnih obloga od tvrdog kroma (VI) u zatvorenim sustavima </w:t>
      </w:r>
    </w:p>
    <w:p w14:paraId="11273D4B" w14:textId="77777777" w:rsidR="00D84719" w:rsidRPr="00897A1F" w:rsidRDefault="00D84719" w:rsidP="00897A1F">
      <w:pPr>
        <w:pStyle w:val="Odlomakpopisa"/>
        <w:numPr>
          <w:ilvl w:val="0"/>
          <w:numId w:val="29"/>
        </w:numPr>
        <w:spacing w:before="80" w:line="276" w:lineRule="auto"/>
        <w:jc w:val="both"/>
        <w:rPr>
          <w:rFonts w:ascii="Times New Roman" w:eastAsia="Times New Roman" w:hAnsi="Times New Roman" w:cs="Times New Roman"/>
          <w:color w:val="000000"/>
          <w:sz w:val="24"/>
          <w:szCs w:val="24"/>
        </w:rPr>
      </w:pPr>
      <w:r w:rsidRPr="00897A1F">
        <w:rPr>
          <w:rFonts w:ascii="Times New Roman" w:eastAsia="Times New Roman" w:hAnsi="Times New Roman" w:cs="Times New Roman"/>
          <w:color w:val="000000"/>
          <w:sz w:val="24"/>
          <w:szCs w:val="24"/>
        </w:rPr>
        <w:t xml:space="preserve">hidrauličke tekućine koje se koriste u zrakoplovstvu. </w:t>
      </w:r>
    </w:p>
    <w:p w14:paraId="29671B39"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U Republici Hrvatskoj nije bilo registrirane primjene u navedene svrhe.</w:t>
      </w:r>
    </w:p>
    <w:p w14:paraId="738C1D4A"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lastRenderedPageBreak/>
        <w:t xml:space="preserve">Zbog slabe reaktivnosti, niske površinske napetosti, kemijske stabilnosti, otpornosti na kiseline i visoke temperature PFOS i derivati koriste se u brojnim proizvodnim procesima. Imaju specifičnu uporabu kao agensi u industriji elektronike, poluvodiča i fotografiji. Na međunarodnom nivou koriste se u malim količinama u zatvorenim sustavima. Proizvodni lanac može biti prilično složen i korisnici u krajnjem dijelu lanca često nisu upoznati s uporabom PFOS-a u prethodnim proizvodnim procesima. PFOS se koriste i kao radni fluidi u rudarstvu, tenzidi u industriji nafte i plina i prevlačenju metala. Postupni prestanak proizvodnje od strane tvrtke 3M rezultirao je i značajnim smanjenjem uporabe PFOS-a i derivata. Prema saznanjima PFOS se upotrebljava/o i u završnoj obradi metala, hidrauličnim tekućinama u avijaciji, industriji kože i </w:t>
      </w:r>
      <w:r w:rsidR="009C020E">
        <w:rPr>
          <w:rFonts w:ascii="Times New Roman" w:eastAsia="Times New Roman" w:hAnsi="Times New Roman" w:cs="Times New Roman"/>
          <w:color w:val="000000"/>
          <w:sz w:val="24"/>
          <w:szCs w:val="24"/>
        </w:rPr>
        <w:t>p</w:t>
      </w:r>
      <w:r w:rsidR="009C020E" w:rsidRPr="009C020E">
        <w:rPr>
          <w:rFonts w:ascii="Times New Roman" w:eastAsia="Times New Roman" w:hAnsi="Times New Roman" w:cs="Times New Roman"/>
          <w:color w:val="000000"/>
          <w:sz w:val="24"/>
          <w:szCs w:val="24"/>
        </w:rPr>
        <w:t>roizvodnji fotografske opreme</w:t>
      </w:r>
      <w:r w:rsidRPr="00D84719">
        <w:rPr>
          <w:rFonts w:ascii="Times New Roman" w:eastAsia="Times New Roman" w:hAnsi="Times New Roman" w:cs="Times New Roman"/>
          <w:color w:val="000000"/>
          <w:sz w:val="24"/>
          <w:szCs w:val="24"/>
        </w:rPr>
        <w:t xml:space="preserve">. </w:t>
      </w:r>
    </w:p>
    <w:p w14:paraId="614C99F0"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Proizvodnja na području Europske unije uglavnom je zaustavljanja u razdoblju od 2000. do 2004..</w:t>
      </w:r>
    </w:p>
    <w:p w14:paraId="52BA8858"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Tijekom izrade preliminarnog inventara u Drugom NIP-u inventara prikupljeni su upitnici o proizvodnji, uporabi PFOS-a u poluproizvodima, gotovim proizvodima i/ili njihovim dijelovima. Tvrtke i organizacije koje su dostavile popunjene upitnike izjasnile su se da ne proizvode, ne koriste u svojim proizvodima niti stavljaju na tržište proizvode koji sadrže PFOS te da ne posjeduju zalihe niti proizvode otpad koji sadrže PFOS. Najveći nacionalni operater u civilnom zrakoplovstvu izjasnio se da u svojem radu nikada nije koristio hidrauličke tekućine koje sadrže PFOS.</w:t>
      </w:r>
    </w:p>
    <w:p w14:paraId="590D70FB"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 xml:space="preserve">Hrvatska vatrogasna zajednica je krovna vatrogasna </w:t>
      </w:r>
      <w:r w:rsidR="00EC30D9" w:rsidRPr="00D84719">
        <w:rPr>
          <w:rFonts w:ascii="Times New Roman" w:eastAsia="Times New Roman" w:hAnsi="Times New Roman" w:cs="Times New Roman"/>
          <w:color w:val="000000"/>
          <w:sz w:val="24"/>
          <w:szCs w:val="24"/>
        </w:rPr>
        <w:t>organizacij</w:t>
      </w:r>
      <w:r w:rsidR="00EC30D9">
        <w:rPr>
          <w:rFonts w:ascii="Times New Roman" w:eastAsia="Times New Roman" w:hAnsi="Times New Roman" w:cs="Times New Roman"/>
          <w:color w:val="000000"/>
          <w:sz w:val="24"/>
          <w:szCs w:val="24"/>
        </w:rPr>
        <w:t>a</w:t>
      </w:r>
      <w:r w:rsidR="00EC30D9" w:rsidRPr="00D84719">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xml:space="preserve">koja okuplja sve vatrogasne organizacije i jedinice u Republici Hrvatskoj. Sve vatrogasne jedinice, ovisno o veličini i području kojeg pokrivaju, provode vježbe dva-četiri puta godišnje. Prosječna količina utrošene pjene po vježbi iznosi 20-50 litara. </w:t>
      </w:r>
    </w:p>
    <w:p w14:paraId="73B4454A"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Prije deset do dvadeset godina vrlo popularno pjenilo u Republici Hrvatskoj bilo je pjenilo „</w:t>
      </w:r>
      <w:proofErr w:type="spellStart"/>
      <w:r w:rsidRPr="00D84719">
        <w:rPr>
          <w:rFonts w:ascii="Times New Roman" w:eastAsia="Times New Roman" w:hAnsi="Times New Roman" w:cs="Times New Roman"/>
          <w:color w:val="000000"/>
          <w:sz w:val="24"/>
          <w:szCs w:val="24"/>
        </w:rPr>
        <w:t>Light</w:t>
      </w:r>
      <w:proofErr w:type="spellEnd"/>
      <w:r w:rsidRPr="00D84719">
        <w:rPr>
          <w:rFonts w:ascii="Times New Roman" w:eastAsia="Times New Roman" w:hAnsi="Times New Roman" w:cs="Times New Roman"/>
          <w:color w:val="000000"/>
          <w:sz w:val="24"/>
          <w:szCs w:val="24"/>
        </w:rPr>
        <w:t xml:space="preserve"> Water“ kojeg je proizvodila tvrtka 3M. To je sintetičko pjenilo sadržavalo PFOS. Ne postoje podaci o postojećim zalihama kao ni o količinama koje su se utrošile tijekom vježbi. Ima dosta manjih količina pjenila o kojima se malo zna. Često ga ostave brodovi tijekom remonta ili slično za vrijeme njihovog boravka u Republici Hrvatskoj, a neke su količine došle iz donacija. Sva pjenila koja se danas koriste sadrže samo fluorotelomere.</w:t>
      </w:r>
    </w:p>
    <w:p w14:paraId="65D32E9A"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Potrebno je napomenuti kako je inventar protupožarnih pjena vrlo opsežan, uključuje brojne sudionike i zahtjeva pomno planiranje.</w:t>
      </w:r>
    </w:p>
    <w:p w14:paraId="71AFBA8F" w14:textId="77777777" w:rsidR="007539DD" w:rsidRDefault="00693C2C" w:rsidP="008031BB">
      <w:pPr>
        <w:jc w:val="both"/>
      </w:pPr>
      <w:r w:rsidRPr="00693C2C">
        <w:rPr>
          <w:rFonts w:ascii="Times New Roman" w:eastAsia="Times New Roman" w:hAnsi="Times New Roman" w:cs="Times New Roman"/>
          <w:color w:val="000000"/>
          <w:sz w:val="24"/>
          <w:szCs w:val="24"/>
        </w:rPr>
        <w:t xml:space="preserve">Drugim NIP-om preporučena je </w:t>
      </w:r>
      <w:r w:rsidR="007539DD" w:rsidRPr="00693C2C">
        <w:rPr>
          <w:rFonts w:ascii="Times New Roman" w:eastAsia="Times New Roman" w:hAnsi="Times New Roman" w:cs="Times New Roman"/>
          <w:color w:val="000000"/>
          <w:sz w:val="24"/>
          <w:szCs w:val="24"/>
        </w:rPr>
        <w:t xml:space="preserve">od </w:t>
      </w:r>
      <w:r w:rsidRPr="00693C2C">
        <w:rPr>
          <w:rFonts w:ascii="Times New Roman" w:eastAsia="Times New Roman" w:hAnsi="Times New Roman" w:cs="Times New Roman"/>
          <w:color w:val="000000"/>
          <w:sz w:val="24"/>
          <w:szCs w:val="24"/>
        </w:rPr>
        <w:t xml:space="preserve">strane vatrogasnih zajednica provedba detaljne procjene/analize protupožarnih pjena koje se koriste, kako bi se otklonile sumnje vezano uz mogućnost prisutnosti na zalihama, informirati korisnike o potencijalnim rizicima za zdravlje i okoliš. </w:t>
      </w:r>
      <w:r w:rsidR="00751F8F">
        <w:rPr>
          <w:rFonts w:ascii="Times New Roman" w:eastAsia="Times New Roman" w:hAnsi="Times New Roman" w:cs="Times New Roman"/>
          <w:color w:val="000000"/>
          <w:sz w:val="24"/>
          <w:szCs w:val="24"/>
        </w:rPr>
        <w:t xml:space="preserve">I nadalje se predlaže </w:t>
      </w:r>
      <w:r w:rsidR="008031BB">
        <w:rPr>
          <w:rFonts w:ascii="Times New Roman" w:eastAsia="Times New Roman" w:hAnsi="Times New Roman" w:cs="Times New Roman"/>
          <w:color w:val="000000"/>
          <w:sz w:val="24"/>
          <w:szCs w:val="24"/>
        </w:rPr>
        <w:t>kontinuirana provjera zaliha zbog mogućih donacija koje su u međuvremenu pristigle.</w:t>
      </w:r>
    </w:p>
    <w:p w14:paraId="7D95005F" w14:textId="77777777" w:rsidR="00D84719" w:rsidRPr="00D84719" w:rsidRDefault="00D84719" w:rsidP="00751F8F">
      <w:pPr>
        <w:rPr>
          <w:rFonts w:ascii="Times New Roman" w:eastAsia="Times New Roman" w:hAnsi="Times New Roman" w:cs="Times New Roman"/>
          <w:color w:val="000000"/>
          <w:sz w:val="24"/>
          <w:szCs w:val="24"/>
          <w:lang w:bidi="en-US"/>
        </w:rPr>
      </w:pPr>
    </w:p>
    <w:p w14:paraId="583C499A" w14:textId="77777777" w:rsidR="00D84719" w:rsidRPr="00D84719" w:rsidRDefault="00D84719" w:rsidP="00F56103">
      <w:pPr>
        <w:pStyle w:val="Naslov3"/>
      </w:pPr>
      <w:bookmarkStart w:id="90" w:name="_Toc41638251"/>
      <w:bookmarkStart w:id="91" w:name="_Toc64460702"/>
      <w:r w:rsidRPr="00D84719">
        <w:lastRenderedPageBreak/>
        <w:t>UPOP USVOJEN NA COP-4, COP-5 I COP-6</w:t>
      </w:r>
      <w:bookmarkEnd w:id="90"/>
      <w:bookmarkEnd w:id="91"/>
    </w:p>
    <w:p w14:paraId="1BE073FC" w14:textId="77777777" w:rsidR="00D84719" w:rsidRPr="00D84719" w:rsidRDefault="00D84719" w:rsidP="000F38D2">
      <w:pPr>
        <w:pStyle w:val="Naslov4"/>
      </w:pPr>
      <w:bookmarkStart w:id="92" w:name="_Toc41638252"/>
      <w:bookmarkStart w:id="93" w:name="_Toc64460703"/>
      <w:r w:rsidRPr="00D84719">
        <w:t>Pentaklorobenzen</w:t>
      </w:r>
      <w:bookmarkEnd w:id="92"/>
      <w:bookmarkEnd w:id="93"/>
    </w:p>
    <w:p w14:paraId="0CCE58A0"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 xml:space="preserve">Najznačajniji izvor PeCB-a je ispuštanje tijekom procesa izgaranja u postrojenjima za spaljivanje i termičkim procesima izgaranja različitog otpada/materijala uključujući ugljen. Inventar </w:t>
      </w:r>
      <w:proofErr w:type="spellStart"/>
      <w:r w:rsidRPr="00D84719">
        <w:rPr>
          <w:rFonts w:ascii="Times New Roman" w:eastAsia="Times New Roman" w:hAnsi="Times New Roman" w:cs="Times New Roman"/>
          <w:color w:val="000000"/>
          <w:sz w:val="24"/>
          <w:szCs w:val="24"/>
        </w:rPr>
        <w:t>UPOPs</w:t>
      </w:r>
      <w:proofErr w:type="spellEnd"/>
      <w:r w:rsidRPr="00D84719">
        <w:rPr>
          <w:rFonts w:ascii="Times New Roman" w:eastAsia="Times New Roman" w:hAnsi="Times New Roman" w:cs="Times New Roman"/>
          <w:color w:val="000000"/>
          <w:sz w:val="24"/>
          <w:szCs w:val="24"/>
        </w:rPr>
        <w:t>-a PeCB obrađen je u poglavlju 3.4 „Procjena i inventar nenamjerne proizvodnje i ispuštanja kemikalija“ ovog dokumenta.</w:t>
      </w:r>
    </w:p>
    <w:p w14:paraId="632AAFF0" w14:textId="77777777" w:rsidR="00D84719" w:rsidRPr="00D84719" w:rsidRDefault="00D84719" w:rsidP="00D84719">
      <w:pPr>
        <w:spacing w:after="200" w:line="276" w:lineRule="auto"/>
        <w:rPr>
          <w:rFonts w:ascii="Times New Roman" w:eastAsia="Times New Roman" w:hAnsi="Times New Roman" w:cs="Times New Roman"/>
          <w:color w:val="000000"/>
          <w:szCs w:val="24"/>
        </w:rPr>
      </w:pPr>
    </w:p>
    <w:p w14:paraId="77AC84C4" w14:textId="77777777" w:rsidR="00D84719" w:rsidRPr="00D84719" w:rsidRDefault="00D84719" w:rsidP="000F38D2">
      <w:pPr>
        <w:pStyle w:val="Naslov2"/>
      </w:pPr>
      <w:bookmarkStart w:id="94" w:name="_Toc41638253"/>
      <w:bookmarkStart w:id="95" w:name="_Toc64460704"/>
      <w:r w:rsidRPr="00D84719">
        <w:t>„Novi“ POPs-ovi usvojeni na COP-7 i COP-8</w:t>
      </w:r>
      <w:bookmarkEnd w:id="94"/>
      <w:bookmarkEnd w:id="95"/>
    </w:p>
    <w:p w14:paraId="306E59B3"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 xml:space="preserve">Izraz </w:t>
      </w:r>
      <w:r w:rsidR="007C32C9">
        <w:rPr>
          <w:rFonts w:ascii="Times New Roman" w:eastAsia="Times New Roman" w:hAnsi="Times New Roman" w:cs="Times New Roman"/>
          <w:color w:val="000000"/>
          <w:sz w:val="24"/>
          <w:szCs w:val="24"/>
          <w:lang w:bidi="en-US"/>
        </w:rPr>
        <w:t>„</w:t>
      </w:r>
      <w:r w:rsidRPr="00D84719">
        <w:rPr>
          <w:rFonts w:ascii="Times New Roman" w:eastAsia="Times New Roman" w:hAnsi="Times New Roman" w:cs="Times New Roman"/>
          <w:color w:val="000000"/>
          <w:sz w:val="24"/>
          <w:szCs w:val="24"/>
          <w:lang w:bidi="en-US"/>
        </w:rPr>
        <w:t>novi POPs-ovi</w:t>
      </w:r>
      <w:r w:rsidR="007C32C9">
        <w:rPr>
          <w:rFonts w:ascii="Times New Roman" w:eastAsia="Times New Roman" w:hAnsi="Times New Roman" w:cs="Times New Roman"/>
          <w:color w:val="000000"/>
          <w:sz w:val="24"/>
          <w:szCs w:val="24"/>
          <w:lang w:bidi="en-US"/>
        </w:rPr>
        <w:t>“</w:t>
      </w:r>
      <w:r w:rsidRPr="00D84719">
        <w:rPr>
          <w:rFonts w:ascii="Times New Roman" w:eastAsia="Times New Roman" w:hAnsi="Times New Roman" w:cs="Times New Roman"/>
          <w:color w:val="000000"/>
          <w:sz w:val="24"/>
          <w:szCs w:val="24"/>
          <w:lang w:bidi="en-US"/>
        </w:rPr>
        <w:t xml:space="preserve"> obuhvaća, uz prethodno n</w:t>
      </w:r>
      <w:r w:rsidR="00612979">
        <w:rPr>
          <w:rFonts w:ascii="Times New Roman" w:eastAsia="Times New Roman" w:hAnsi="Times New Roman" w:cs="Times New Roman"/>
          <w:color w:val="000000"/>
          <w:sz w:val="24"/>
          <w:szCs w:val="24"/>
          <w:lang w:bidi="en-US"/>
        </w:rPr>
        <w:t>avedene usvojene na COP - 4/5/6</w:t>
      </w:r>
      <w:r w:rsidRPr="00D84719">
        <w:rPr>
          <w:rFonts w:ascii="Times New Roman" w:eastAsia="Times New Roman" w:hAnsi="Times New Roman" w:cs="Times New Roman"/>
          <w:color w:val="000000"/>
          <w:sz w:val="24"/>
          <w:szCs w:val="24"/>
          <w:lang w:bidi="en-US"/>
        </w:rPr>
        <w:t xml:space="preserve"> i tvari navedene u </w:t>
      </w:r>
      <w:proofErr w:type="spellStart"/>
      <w:r w:rsidRPr="00D84719">
        <w:rPr>
          <w:rFonts w:ascii="Times New Roman" w:eastAsia="Times New Roman" w:hAnsi="Times New Roman" w:cs="Times New Roman"/>
          <w:color w:val="000000"/>
          <w:sz w:val="24"/>
          <w:szCs w:val="24"/>
          <w:lang w:bidi="en-US"/>
        </w:rPr>
        <w:t>Stockholmskoj</w:t>
      </w:r>
      <w:proofErr w:type="spellEnd"/>
      <w:r w:rsidRPr="00D84719">
        <w:rPr>
          <w:rFonts w:ascii="Times New Roman" w:eastAsia="Times New Roman" w:hAnsi="Times New Roman" w:cs="Times New Roman"/>
          <w:color w:val="000000"/>
          <w:sz w:val="24"/>
          <w:szCs w:val="24"/>
          <w:lang w:bidi="en-US"/>
        </w:rPr>
        <w:t xml:space="preserve"> </w:t>
      </w:r>
      <w:r w:rsidR="00693C2C" w:rsidRPr="00D84719">
        <w:rPr>
          <w:rFonts w:ascii="Times New Roman" w:eastAsia="Times New Roman" w:hAnsi="Times New Roman" w:cs="Times New Roman"/>
          <w:color w:val="000000"/>
          <w:sz w:val="24"/>
          <w:szCs w:val="24"/>
          <w:lang w:bidi="en-US"/>
        </w:rPr>
        <w:t>konvenciji te</w:t>
      </w:r>
      <w:r w:rsidRPr="00D84719">
        <w:rPr>
          <w:rFonts w:ascii="Times New Roman" w:eastAsia="Times New Roman" w:hAnsi="Times New Roman" w:cs="Times New Roman"/>
          <w:color w:val="000000"/>
          <w:sz w:val="24"/>
          <w:szCs w:val="24"/>
          <w:lang w:bidi="en-US"/>
        </w:rPr>
        <w:t xml:space="preserve"> regulirane </w:t>
      </w:r>
      <w:r w:rsidR="000860FC">
        <w:rPr>
          <w:rFonts w:ascii="Times New Roman" w:eastAsia="Times New Roman" w:hAnsi="Times New Roman" w:cs="Times New Roman"/>
          <w:sz w:val="24"/>
          <w:szCs w:val="24"/>
        </w:rPr>
        <w:t>POPs Uredbom</w:t>
      </w:r>
      <w:r w:rsidRPr="00D84719">
        <w:rPr>
          <w:rFonts w:ascii="Times New Roman" w:eastAsia="Times New Roman" w:hAnsi="Times New Roman" w:cs="Times New Roman"/>
          <w:color w:val="000000"/>
          <w:sz w:val="24"/>
          <w:szCs w:val="24"/>
          <w:lang w:bidi="en-US"/>
        </w:rPr>
        <w:t>.</w:t>
      </w:r>
    </w:p>
    <w:p w14:paraId="147403AB" w14:textId="77777777" w:rsidR="00D84719" w:rsidRPr="00D84719" w:rsidRDefault="00693C2C" w:rsidP="00D84719">
      <w:pPr>
        <w:spacing w:before="8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w:t>
      </w:r>
      <w:r w:rsidRPr="00D84719">
        <w:rPr>
          <w:rFonts w:ascii="Times New Roman" w:eastAsia="Times New Roman" w:hAnsi="Times New Roman" w:cs="Times New Roman"/>
          <w:color w:val="000000"/>
          <w:sz w:val="24"/>
          <w:szCs w:val="24"/>
        </w:rPr>
        <w:t xml:space="preserve">zrazom </w:t>
      </w:r>
      <w:r w:rsidR="00D84719" w:rsidRPr="00D84719">
        <w:rPr>
          <w:rFonts w:ascii="Times New Roman" w:eastAsia="Times New Roman" w:hAnsi="Times New Roman" w:cs="Times New Roman"/>
          <w:color w:val="000000"/>
          <w:sz w:val="24"/>
          <w:szCs w:val="24"/>
        </w:rPr>
        <w:t xml:space="preserve">„novi“ POPs pesticidi, industrijske kemikalije i </w:t>
      </w:r>
      <w:proofErr w:type="spellStart"/>
      <w:r w:rsidR="00D84719" w:rsidRPr="00D84719">
        <w:rPr>
          <w:rFonts w:ascii="Times New Roman" w:eastAsia="Times New Roman" w:hAnsi="Times New Roman" w:cs="Times New Roman"/>
          <w:color w:val="000000"/>
          <w:sz w:val="24"/>
          <w:szCs w:val="24"/>
        </w:rPr>
        <w:t>UPOPs</w:t>
      </w:r>
      <w:proofErr w:type="spellEnd"/>
      <w:r w:rsidR="00D84719" w:rsidRPr="00D84719">
        <w:rPr>
          <w:rFonts w:ascii="Times New Roman" w:eastAsia="Times New Roman" w:hAnsi="Times New Roman" w:cs="Times New Roman"/>
          <w:color w:val="000000"/>
          <w:sz w:val="24"/>
          <w:szCs w:val="24"/>
        </w:rPr>
        <w:t xml:space="preserve"> također su obuhvaćene sljedeće tvari:</w:t>
      </w:r>
    </w:p>
    <w:p w14:paraId="41BD7037" w14:textId="77777777" w:rsidR="00D84719" w:rsidRPr="00D84719" w:rsidRDefault="00D84719" w:rsidP="00F61CE7">
      <w:pPr>
        <w:numPr>
          <w:ilvl w:val="0"/>
          <w:numId w:val="14"/>
        </w:numPr>
        <w:tabs>
          <w:tab w:val="left" w:pos="1755"/>
        </w:tabs>
        <w:autoSpaceDE w:val="0"/>
        <w:autoSpaceDN w:val="0"/>
        <w:adjustRightInd w:val="0"/>
        <w:spacing w:before="80" w:after="0" w:line="240" w:lineRule="auto"/>
        <w:jc w:val="both"/>
        <w:rPr>
          <w:rFonts w:ascii="Times New Roman" w:eastAsia="Calibri" w:hAnsi="Times New Roman" w:cs="Times New Roman"/>
          <w:b/>
          <w:sz w:val="24"/>
          <w:szCs w:val="24"/>
        </w:rPr>
      </w:pPr>
      <w:r w:rsidRPr="00D84719">
        <w:rPr>
          <w:rFonts w:ascii="Times New Roman" w:eastAsia="Calibri" w:hAnsi="Times New Roman" w:cs="Times New Roman"/>
          <w:sz w:val="24"/>
          <w:szCs w:val="24"/>
        </w:rPr>
        <w:t xml:space="preserve">pesticidi navedeni u Dodatku </w:t>
      </w:r>
      <w:r w:rsidR="00A64981">
        <w:rPr>
          <w:rFonts w:ascii="Times New Roman" w:eastAsia="Calibri" w:hAnsi="Times New Roman" w:cs="Times New Roman"/>
          <w:sz w:val="24"/>
          <w:szCs w:val="24"/>
        </w:rPr>
        <w:t>A</w:t>
      </w:r>
      <w:r w:rsidRPr="00D84719">
        <w:rPr>
          <w:rFonts w:ascii="Times New Roman" w:eastAsia="Calibri" w:hAnsi="Times New Roman" w:cs="Times New Roman"/>
          <w:sz w:val="24"/>
          <w:szCs w:val="24"/>
        </w:rPr>
        <w:t xml:space="preserve"> Stockholmske konvencije: </w:t>
      </w:r>
      <w:r w:rsidRPr="00D84719">
        <w:rPr>
          <w:rFonts w:ascii="Times New Roman" w:eastAsia="Calibri" w:hAnsi="Times New Roman" w:cs="Times New Roman"/>
          <w:b/>
          <w:sz w:val="24"/>
          <w:szCs w:val="24"/>
        </w:rPr>
        <w:t>pentaklorofenol i njegove soli i esteri (PCP)</w:t>
      </w:r>
    </w:p>
    <w:p w14:paraId="1B86D78F" w14:textId="77777777" w:rsidR="00D84719" w:rsidRPr="00D84719" w:rsidRDefault="00D84719" w:rsidP="00F61CE7">
      <w:pPr>
        <w:numPr>
          <w:ilvl w:val="0"/>
          <w:numId w:val="14"/>
        </w:numPr>
        <w:tabs>
          <w:tab w:val="left" w:pos="1755"/>
        </w:tabs>
        <w:autoSpaceDE w:val="0"/>
        <w:autoSpaceDN w:val="0"/>
        <w:adjustRightInd w:val="0"/>
        <w:spacing w:before="80" w:after="0" w:line="240" w:lineRule="auto"/>
        <w:jc w:val="both"/>
        <w:rPr>
          <w:rFonts w:ascii="Times New Roman" w:eastAsia="Calibri" w:hAnsi="Times New Roman" w:cs="Times New Roman"/>
          <w:sz w:val="24"/>
          <w:szCs w:val="24"/>
          <w:lang w:bidi="en-US"/>
        </w:rPr>
      </w:pPr>
      <w:r w:rsidRPr="00D84719">
        <w:rPr>
          <w:rFonts w:ascii="Times New Roman" w:eastAsia="Calibri" w:hAnsi="Times New Roman" w:cs="Times New Roman"/>
          <w:sz w:val="24"/>
          <w:szCs w:val="24"/>
        </w:rPr>
        <w:t xml:space="preserve">industrijske kemikalije navedene u Dodatku </w:t>
      </w:r>
      <w:r w:rsidR="00A64981">
        <w:rPr>
          <w:rFonts w:ascii="Times New Roman" w:eastAsia="Calibri" w:hAnsi="Times New Roman" w:cs="Times New Roman"/>
          <w:sz w:val="24"/>
          <w:szCs w:val="24"/>
        </w:rPr>
        <w:t>A</w:t>
      </w:r>
      <w:r w:rsidRPr="00D84719">
        <w:rPr>
          <w:rFonts w:ascii="Times New Roman" w:eastAsia="Calibri" w:hAnsi="Times New Roman" w:cs="Times New Roman"/>
          <w:sz w:val="24"/>
          <w:szCs w:val="24"/>
        </w:rPr>
        <w:t xml:space="preserve"> Stockholmske konvencije: </w:t>
      </w:r>
      <w:r w:rsidRPr="00D84719">
        <w:rPr>
          <w:rFonts w:ascii="Times New Roman" w:eastAsia="Calibri" w:hAnsi="Times New Roman" w:cs="Times New Roman"/>
          <w:sz w:val="24"/>
          <w:szCs w:val="24"/>
          <w:lang w:bidi="en-US"/>
        </w:rPr>
        <w:t>heksaklorobutadien (HCBD), poliklorirani naftaleni (PCN), dekabromodifenileter (komercijalna smjesa, c-dekaBDE), kratkolančani klorirani parafini (SCCP)</w:t>
      </w:r>
      <w:r w:rsidR="00612979">
        <w:rPr>
          <w:rFonts w:ascii="Times New Roman" w:eastAsia="Calibri" w:hAnsi="Times New Roman" w:cs="Times New Roman"/>
          <w:sz w:val="24"/>
          <w:szCs w:val="24"/>
          <w:lang w:bidi="en-US"/>
        </w:rPr>
        <w:t xml:space="preserve"> </w:t>
      </w:r>
      <w:r w:rsidRPr="00D84719">
        <w:rPr>
          <w:rFonts w:ascii="Times New Roman" w:eastAsia="Calibri" w:hAnsi="Times New Roman" w:cs="Times New Roman"/>
          <w:sz w:val="24"/>
          <w:szCs w:val="24"/>
        </w:rPr>
        <w:t>te</w:t>
      </w:r>
    </w:p>
    <w:p w14:paraId="1F0839CE" w14:textId="77777777" w:rsidR="00D84719" w:rsidRPr="00D84719" w:rsidRDefault="00D84719" w:rsidP="00F61CE7">
      <w:pPr>
        <w:numPr>
          <w:ilvl w:val="0"/>
          <w:numId w:val="14"/>
        </w:numPr>
        <w:tabs>
          <w:tab w:val="left" w:pos="1755"/>
        </w:tabs>
        <w:autoSpaceDE w:val="0"/>
        <w:autoSpaceDN w:val="0"/>
        <w:adjustRightInd w:val="0"/>
        <w:spacing w:before="80" w:after="0" w:line="240" w:lineRule="auto"/>
        <w:jc w:val="both"/>
        <w:rPr>
          <w:rFonts w:ascii="Times New Roman" w:eastAsia="Calibri" w:hAnsi="Times New Roman" w:cs="Times New Roman"/>
          <w:sz w:val="24"/>
          <w:szCs w:val="24"/>
        </w:rPr>
      </w:pPr>
      <w:r w:rsidRPr="00D84719">
        <w:rPr>
          <w:rFonts w:ascii="Times New Roman" w:eastAsia="Calibri" w:hAnsi="Times New Roman" w:cs="Times New Roman"/>
          <w:sz w:val="24"/>
          <w:szCs w:val="24"/>
        </w:rPr>
        <w:t xml:space="preserve">tvari navedene u Dodatku </w:t>
      </w:r>
      <w:r w:rsidR="00A64981">
        <w:rPr>
          <w:rFonts w:ascii="Times New Roman" w:eastAsia="Calibri" w:hAnsi="Times New Roman" w:cs="Times New Roman"/>
          <w:sz w:val="24"/>
          <w:szCs w:val="24"/>
        </w:rPr>
        <w:t>C</w:t>
      </w:r>
      <w:r w:rsidRPr="00D84719">
        <w:rPr>
          <w:rFonts w:ascii="Times New Roman" w:eastAsia="Calibri" w:hAnsi="Times New Roman" w:cs="Times New Roman"/>
          <w:sz w:val="24"/>
          <w:szCs w:val="24"/>
        </w:rPr>
        <w:t xml:space="preserve"> Stockholmske konvencije: poliklorirani naftaleni (PCN) </w:t>
      </w:r>
      <w:r w:rsidRPr="00D84719">
        <w:rPr>
          <w:rFonts w:ascii="Times New Roman" w:eastAsia="Calibri" w:hAnsi="Times New Roman" w:cs="Times New Roman"/>
          <w:bCs/>
          <w:sz w:val="24"/>
          <w:szCs w:val="24"/>
        </w:rPr>
        <w:t>i</w:t>
      </w:r>
      <w:r w:rsidRPr="00D84719">
        <w:rPr>
          <w:rFonts w:ascii="Times New Roman" w:eastAsia="Calibri" w:hAnsi="Times New Roman" w:cs="Times New Roman"/>
          <w:sz w:val="24"/>
          <w:szCs w:val="24"/>
        </w:rPr>
        <w:t xml:space="preserve"> heksaklorobutadien (HCBD)</w:t>
      </w:r>
      <w:r w:rsidRPr="00D84719">
        <w:rPr>
          <w:rFonts w:ascii="Times New Roman" w:eastAsia="Calibri" w:hAnsi="Times New Roman" w:cs="Times New Roman"/>
          <w:sz w:val="24"/>
          <w:szCs w:val="24"/>
          <w:vertAlign w:val="superscript"/>
        </w:rPr>
        <w:footnoteReference w:id="6"/>
      </w:r>
      <w:r w:rsidRPr="00D84719">
        <w:rPr>
          <w:rFonts w:ascii="Times New Roman" w:eastAsia="Calibri" w:hAnsi="Times New Roman" w:cs="Times New Roman"/>
          <w:sz w:val="24"/>
          <w:szCs w:val="24"/>
        </w:rPr>
        <w:t>.</w:t>
      </w:r>
    </w:p>
    <w:p w14:paraId="199E57CC" w14:textId="77777777" w:rsidR="00D84719" w:rsidRPr="00D84719" w:rsidRDefault="00D84719" w:rsidP="00195AD0">
      <w:pPr>
        <w:spacing w:after="200" w:line="276" w:lineRule="auto"/>
        <w:rPr>
          <w:rFonts w:ascii="Times New Roman" w:eastAsia="Times New Roman" w:hAnsi="Times New Roman" w:cs="Times New Roman"/>
          <w:color w:val="000000"/>
          <w:sz w:val="24"/>
          <w:szCs w:val="24"/>
        </w:rPr>
      </w:pPr>
    </w:p>
    <w:p w14:paraId="6A9AFD48" w14:textId="77777777" w:rsidR="00D84719" w:rsidRPr="00D84719" w:rsidRDefault="00693C2C" w:rsidP="000F38D2">
      <w:pPr>
        <w:pStyle w:val="Naslov3"/>
      </w:pPr>
      <w:bookmarkStart w:id="96" w:name="_Toc41638254"/>
      <w:bookmarkStart w:id="97" w:name="_Toc64460705"/>
      <w:r w:rsidRPr="00D84719">
        <w:t>POP</w:t>
      </w:r>
      <w:r>
        <w:t>s</w:t>
      </w:r>
      <w:r w:rsidRPr="00D84719">
        <w:t xml:space="preserve"> </w:t>
      </w:r>
      <w:r w:rsidR="00D84719" w:rsidRPr="00D84719">
        <w:t>PESTICIDI</w:t>
      </w:r>
      <w:bookmarkEnd w:id="96"/>
      <w:bookmarkEnd w:id="97"/>
    </w:p>
    <w:p w14:paraId="56F39AA2" w14:textId="77777777" w:rsidR="00D84719" w:rsidRPr="00D84719" w:rsidRDefault="00D84719" w:rsidP="000F38D2">
      <w:pPr>
        <w:pStyle w:val="Naslov4"/>
      </w:pPr>
      <w:bookmarkStart w:id="98" w:name="_Toc41638255"/>
      <w:bookmarkStart w:id="99" w:name="_Toc64460706"/>
      <w:r w:rsidRPr="00D84719">
        <w:t>Pentaklorofenol, njegove soli i esteri (PCP</w:t>
      </w:r>
      <w:bookmarkEnd w:id="98"/>
      <w:r w:rsidRPr="00D84719">
        <w:t>)</w:t>
      </w:r>
      <w:bookmarkEnd w:id="99"/>
    </w:p>
    <w:tbl>
      <w:tblPr>
        <w:tblW w:w="9498" w:type="dxa"/>
        <w:tblInd w:w="-284" w:type="dxa"/>
        <w:tblLook w:val="04A0" w:firstRow="1" w:lastRow="0" w:firstColumn="1" w:lastColumn="0" w:noHBand="0" w:noVBand="1"/>
      </w:tblPr>
      <w:tblGrid>
        <w:gridCol w:w="2006"/>
        <w:gridCol w:w="7492"/>
      </w:tblGrid>
      <w:tr w:rsidR="00D84719" w:rsidRPr="00D84719" w14:paraId="5184397C" w14:textId="77777777" w:rsidTr="00F831D6">
        <w:tc>
          <w:tcPr>
            <w:tcW w:w="2006" w:type="dxa"/>
          </w:tcPr>
          <w:p w14:paraId="5A800CC5" w14:textId="77777777" w:rsidR="00D84719" w:rsidRPr="00D84719" w:rsidRDefault="00D84719" w:rsidP="00D84719">
            <w:pPr>
              <w:spacing w:before="80" w:line="276" w:lineRule="auto"/>
              <w:jc w:val="both"/>
              <w:rPr>
                <w:rFonts w:ascii="Times New Roman" w:eastAsia="Times New Roman" w:hAnsi="Times New Roman" w:cs="Times New Roman"/>
                <w:color w:val="000000"/>
                <w:szCs w:val="24"/>
                <w:lang w:bidi="en-US"/>
              </w:rPr>
            </w:pPr>
            <w:r w:rsidRPr="00D84719">
              <w:rPr>
                <w:rFonts w:ascii="Times New Roman" w:eastAsia="Times New Roman" w:hAnsi="Times New Roman" w:cs="Times New Roman"/>
                <w:noProof/>
                <w:color w:val="000000"/>
                <w:szCs w:val="24"/>
                <w:lang w:eastAsia="hr-HR"/>
              </w:rPr>
              <w:drawing>
                <wp:inline distT="0" distB="0" distL="0" distR="0" wp14:anchorId="266FF7E8" wp14:editId="30864E2F">
                  <wp:extent cx="1080000" cy="963243"/>
                  <wp:effectExtent l="0" t="0" r="6350" b="889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80000" cy="963243"/>
                          </a:xfrm>
                          <a:prstGeom prst="rect">
                            <a:avLst/>
                          </a:prstGeom>
                        </pic:spPr>
                      </pic:pic>
                    </a:graphicData>
                  </a:graphic>
                </wp:inline>
              </w:drawing>
            </w:r>
          </w:p>
        </w:tc>
        <w:tc>
          <w:tcPr>
            <w:tcW w:w="7492" w:type="dxa"/>
          </w:tcPr>
          <w:p w14:paraId="7D76CC30"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 xml:space="preserve">Pentaklorofenol (PCP), njegove soli i esteri nalaze se u Dodatku </w:t>
            </w:r>
            <w:r w:rsidR="00A64981">
              <w:rPr>
                <w:rFonts w:ascii="Times New Roman" w:eastAsia="Times New Roman" w:hAnsi="Times New Roman" w:cs="Times New Roman"/>
                <w:color w:val="000000"/>
                <w:sz w:val="24"/>
                <w:szCs w:val="24"/>
                <w:lang w:bidi="en-US"/>
              </w:rPr>
              <w:t>A</w:t>
            </w:r>
            <w:r w:rsidRPr="00D84719">
              <w:rPr>
                <w:rFonts w:ascii="Times New Roman" w:eastAsia="Times New Roman" w:hAnsi="Times New Roman" w:cs="Times New Roman"/>
                <w:color w:val="000000"/>
                <w:sz w:val="24"/>
                <w:szCs w:val="24"/>
                <w:lang w:bidi="en-US"/>
              </w:rPr>
              <w:t xml:space="preserve"> Konvencije, s posebnim izuzećima za proizvodnju i uporabu PCP-a za infrastrukturne vodove i poprečne nosače infrastrukturnih vodova. Svaka stranka koja se registrira za izuzeća sukladno članku 4. Konvencije za proizvodnju i uporabu PCP-a za infrastrukturne vodove i poprečne nosače infrastrukturnih vodova podnijet će odgovarajuće mjere da se osigura jednostavna identifikacija infrastrukturnih vodova i poprečnih nosača infrastrukturnih vodova koji sadrže PCP tijekom cijelog njihovog životnog vijeka označavanjem naljepnicama ili na neke druge načine.</w:t>
            </w:r>
          </w:p>
        </w:tc>
      </w:tr>
    </w:tbl>
    <w:p w14:paraId="589E2130"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 xml:space="preserve">Proizvodi tretirani pentaklorofenolom ne bi smjeli biti oporabljeni za svrhe različite od onih navedenih u izuzećima. </w:t>
      </w:r>
    </w:p>
    <w:p w14:paraId="456C11CB" w14:textId="4A81C45B"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Stavljanje na tržište ili uporaba PCP-a kao tvari ili kao sastavnog dijela drugih tvari ili smjesa u koncentracijama od 0,1</w:t>
      </w:r>
      <w:r w:rsidR="00D4589D">
        <w:rPr>
          <w:rFonts w:ascii="Times New Roman" w:eastAsia="Times New Roman" w:hAnsi="Times New Roman" w:cs="Times New Roman"/>
          <w:color w:val="000000"/>
          <w:sz w:val="24"/>
          <w:szCs w:val="24"/>
          <w:lang w:bidi="en-US"/>
        </w:rPr>
        <w:t xml:space="preserve"> %</w:t>
      </w:r>
      <w:r w:rsidRPr="00D84719">
        <w:rPr>
          <w:rFonts w:ascii="Times New Roman" w:eastAsia="Times New Roman" w:hAnsi="Times New Roman" w:cs="Times New Roman"/>
          <w:color w:val="000000"/>
          <w:sz w:val="24"/>
          <w:szCs w:val="24"/>
          <w:lang w:bidi="en-US"/>
        </w:rPr>
        <w:t xml:space="preserve"> masenog udjela ili više ograničava se na temelju članka 22. u </w:t>
      </w:r>
      <w:r w:rsidRPr="00D84719">
        <w:rPr>
          <w:rFonts w:ascii="Times New Roman" w:eastAsia="Times New Roman" w:hAnsi="Times New Roman" w:cs="Times New Roman"/>
          <w:color w:val="000000"/>
          <w:sz w:val="24"/>
          <w:szCs w:val="24"/>
          <w:lang w:bidi="en-US"/>
        </w:rPr>
        <w:lastRenderedPageBreak/>
        <w:t>Prilogu XVII. Uredbi (EZ) broj 1907/2006 (REACH). Osim toga, stavljanje na tržište i uporaba PCP-a kao sredstva za zaštitu bilja i kao biocidnog proizvoda zabranjeni su na temelju Uredbe (EZ) broj 1107/2009, odnosno Uredbe (EU) broj 528/2012.</w:t>
      </w:r>
    </w:p>
    <w:p w14:paraId="5DF36D0A" w14:textId="74DF0C61"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PCP po definiciji spada u skupinu kloriranih ugljikovodika koji se koristio primarno u zaštiti drveta. PCP je izuzetno jaki otrov za sva živa bića, a kod ljudi izaziva teška oboljenja kože, jetre te poremećaje u imunološkom sustavu. Prvi simptomi su glavobolja, umor, nesanica. Još 1987</w:t>
      </w:r>
      <w:r w:rsidR="005C26BD">
        <w:rPr>
          <w:rFonts w:ascii="Times New Roman" w:eastAsia="Times New Roman" w:hAnsi="Times New Roman" w:cs="Times New Roman"/>
          <w:color w:val="000000"/>
          <w:sz w:val="24"/>
          <w:szCs w:val="24"/>
          <w:lang w:bidi="en-US"/>
        </w:rPr>
        <w:t>.</w:t>
      </w:r>
      <w:r w:rsidRPr="00D84719">
        <w:rPr>
          <w:rFonts w:ascii="Times New Roman" w:eastAsia="Times New Roman" w:hAnsi="Times New Roman" w:cs="Times New Roman"/>
          <w:color w:val="000000"/>
          <w:sz w:val="24"/>
          <w:szCs w:val="24"/>
          <w:lang w:bidi="en-US"/>
        </w:rPr>
        <w:t xml:space="preserve"> pod programom Svjetske zdravstvene organizacije provedena je analiza utjecaja PCP-a na čovjeka i okoliš, gdje su autori saželi preko 600 studija o njegovoj proizvodnji, upotrebi, štetnosti i negativnim utjecajima.</w:t>
      </w:r>
    </w:p>
    <w:p w14:paraId="5EAAFFBC"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PCP je prvi put uveden za uporabu kao konzervans za drvo 1930-ih godina. Od uvođenja, PCP je imao niz drugih primjena, kao biocid, insekticid, fungicid, dezinficijens, defolijant, antimikrobno sredstvo u šumarstvu, poljoprivrednoj, tekstilnoj i naftnoj industriji, kao i u industriji boja. Također je korišten u proizvodnji estera pentaklorofenil laurata (PCP-L) koji se koristio u tekstilnoj industriji za očuvanje tekstila i tkanina, osobito onih koje se koriste u vojnoj opremi, a koje su podložne napadu gljivica i bakterija tijekom skladištenja i uporabe. Sol natrijevog pentaklorofenata (</w:t>
      </w:r>
      <w:proofErr w:type="spellStart"/>
      <w:r w:rsidRPr="00D84719">
        <w:rPr>
          <w:rFonts w:ascii="Times New Roman" w:eastAsia="Times New Roman" w:hAnsi="Times New Roman" w:cs="Times New Roman"/>
          <w:color w:val="000000"/>
          <w:sz w:val="24"/>
          <w:szCs w:val="24"/>
          <w:lang w:bidi="en-US"/>
        </w:rPr>
        <w:t>NaPCP</w:t>
      </w:r>
      <w:proofErr w:type="spellEnd"/>
      <w:r w:rsidRPr="00D84719">
        <w:rPr>
          <w:rFonts w:ascii="Times New Roman" w:eastAsia="Times New Roman" w:hAnsi="Times New Roman" w:cs="Times New Roman"/>
          <w:color w:val="000000"/>
          <w:sz w:val="24"/>
          <w:szCs w:val="24"/>
          <w:lang w:bidi="en-US"/>
        </w:rPr>
        <w:t>) je korištena za slične svrhe kao PCP i lako se disocira na PCP. PCP se proizvodi reakcijom klora s fenolom na visokim temperaturama u prisutnosti katalizatora. Klorirani kontamin</w:t>
      </w:r>
      <w:r w:rsidR="00070835">
        <w:rPr>
          <w:rFonts w:ascii="Times New Roman" w:eastAsia="Times New Roman" w:hAnsi="Times New Roman" w:cs="Times New Roman"/>
          <w:color w:val="000000"/>
          <w:sz w:val="24"/>
          <w:szCs w:val="24"/>
          <w:lang w:bidi="en-US"/>
        </w:rPr>
        <w:t>a</w:t>
      </w:r>
      <w:r w:rsidRPr="00D84719">
        <w:rPr>
          <w:rFonts w:ascii="Times New Roman" w:eastAsia="Times New Roman" w:hAnsi="Times New Roman" w:cs="Times New Roman"/>
          <w:color w:val="000000"/>
          <w:sz w:val="24"/>
          <w:szCs w:val="24"/>
          <w:lang w:bidi="en-US"/>
        </w:rPr>
        <w:t>nti, uključujući heksaklorobenzen, pentaklorobenzen, dioksine i furane, proizvode se tijekom proizvodnog procesa. Osim toga, dioksini i furani nastali tijekom procesa proizvodnje mogu se osloboditi tijekom uporabe i odlaganja drva obrađenog s PCP-om. Dioksini i furani su također nusproizvod spaljivanja drva. Ovi spojevi su sami po sebi otrovni, kao i ekološki postojani i njihova prisutnost povećava ekološke i ljudske rizike za zdravlje povezane s uporabom PCP-a.</w:t>
      </w:r>
    </w:p>
    <w:p w14:paraId="6121A6BD"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Alternative su dostupne i koriste se u svrhu zamjene tih tvari u mnogim zemljama. Navedene kemijske alternative jesu CCA (</w:t>
      </w:r>
      <w:proofErr w:type="spellStart"/>
      <w:r w:rsidRPr="00D84719">
        <w:rPr>
          <w:rFonts w:ascii="Times New Roman" w:eastAsia="Times New Roman" w:hAnsi="Times New Roman" w:cs="Times New Roman"/>
          <w:color w:val="000000"/>
          <w:sz w:val="24"/>
          <w:szCs w:val="24"/>
          <w:lang w:bidi="en-US"/>
        </w:rPr>
        <w:t>eng</w:t>
      </w:r>
      <w:proofErr w:type="spellEnd"/>
      <w:r w:rsidRPr="00D84719">
        <w:rPr>
          <w:rFonts w:ascii="Times New Roman" w:eastAsia="Times New Roman" w:hAnsi="Times New Roman" w:cs="Times New Roman"/>
          <w:color w:val="000000"/>
          <w:sz w:val="24"/>
          <w:szCs w:val="24"/>
          <w:lang w:bidi="en-US"/>
        </w:rPr>
        <w:t xml:space="preserve">. </w:t>
      </w:r>
      <w:proofErr w:type="spellStart"/>
      <w:r w:rsidRPr="00D84719">
        <w:rPr>
          <w:rFonts w:ascii="Times New Roman" w:eastAsia="Times New Roman" w:hAnsi="Times New Roman" w:cs="Times New Roman"/>
          <w:color w:val="000000"/>
          <w:sz w:val="24"/>
          <w:szCs w:val="24"/>
          <w:lang w:bidi="en-US"/>
        </w:rPr>
        <w:t>Chromated</w:t>
      </w:r>
      <w:proofErr w:type="spellEnd"/>
      <w:r w:rsidRPr="00D84719">
        <w:rPr>
          <w:rFonts w:ascii="Times New Roman" w:eastAsia="Times New Roman" w:hAnsi="Times New Roman" w:cs="Times New Roman"/>
          <w:color w:val="000000"/>
          <w:sz w:val="24"/>
          <w:szCs w:val="24"/>
          <w:lang w:bidi="en-US"/>
        </w:rPr>
        <w:t xml:space="preserve"> </w:t>
      </w:r>
      <w:proofErr w:type="spellStart"/>
      <w:r w:rsidRPr="00D84719">
        <w:rPr>
          <w:rFonts w:ascii="Times New Roman" w:eastAsia="Times New Roman" w:hAnsi="Times New Roman" w:cs="Times New Roman"/>
          <w:color w:val="000000"/>
          <w:sz w:val="24"/>
          <w:szCs w:val="24"/>
          <w:lang w:bidi="en-US"/>
        </w:rPr>
        <w:t>Cooper</w:t>
      </w:r>
      <w:proofErr w:type="spellEnd"/>
      <w:r w:rsidRPr="00D84719">
        <w:rPr>
          <w:rFonts w:ascii="Times New Roman" w:eastAsia="Times New Roman" w:hAnsi="Times New Roman" w:cs="Times New Roman"/>
          <w:color w:val="000000"/>
          <w:sz w:val="24"/>
          <w:szCs w:val="24"/>
          <w:lang w:bidi="en-US"/>
        </w:rPr>
        <w:t xml:space="preserve"> </w:t>
      </w:r>
      <w:proofErr w:type="spellStart"/>
      <w:r w:rsidRPr="00D84719">
        <w:rPr>
          <w:rFonts w:ascii="Times New Roman" w:eastAsia="Times New Roman" w:hAnsi="Times New Roman" w:cs="Times New Roman"/>
          <w:color w:val="000000"/>
          <w:sz w:val="24"/>
          <w:szCs w:val="24"/>
          <w:lang w:bidi="en-US"/>
        </w:rPr>
        <w:t>Arsenat</w:t>
      </w:r>
      <w:proofErr w:type="spellEnd"/>
      <w:r w:rsidRPr="00D84719">
        <w:rPr>
          <w:rFonts w:ascii="Times New Roman" w:eastAsia="Times New Roman" w:hAnsi="Times New Roman" w:cs="Times New Roman"/>
          <w:color w:val="000000"/>
          <w:sz w:val="24"/>
          <w:szCs w:val="24"/>
          <w:lang w:bidi="en-US"/>
        </w:rPr>
        <w:t>), kreozot, bakrov naftenat, ACZA (</w:t>
      </w:r>
      <w:proofErr w:type="spellStart"/>
      <w:r w:rsidRPr="00D84719">
        <w:rPr>
          <w:rFonts w:ascii="Times New Roman" w:eastAsia="Times New Roman" w:hAnsi="Times New Roman" w:cs="Times New Roman"/>
          <w:color w:val="000000"/>
          <w:sz w:val="24"/>
          <w:szCs w:val="24"/>
          <w:lang w:bidi="en-US"/>
        </w:rPr>
        <w:t>eng</w:t>
      </w:r>
      <w:proofErr w:type="spellEnd"/>
      <w:r w:rsidRPr="00D84719">
        <w:rPr>
          <w:rFonts w:ascii="Times New Roman" w:eastAsia="Times New Roman" w:hAnsi="Times New Roman" w:cs="Times New Roman"/>
          <w:color w:val="000000"/>
          <w:sz w:val="24"/>
          <w:szCs w:val="24"/>
          <w:lang w:bidi="en-US"/>
        </w:rPr>
        <w:t xml:space="preserve">. </w:t>
      </w:r>
      <w:proofErr w:type="spellStart"/>
      <w:r w:rsidRPr="00D84719">
        <w:rPr>
          <w:rFonts w:ascii="Times New Roman" w:eastAsia="Times New Roman" w:hAnsi="Times New Roman" w:cs="Times New Roman"/>
          <w:color w:val="000000"/>
          <w:sz w:val="24"/>
          <w:szCs w:val="24"/>
          <w:lang w:bidi="en-US"/>
        </w:rPr>
        <w:t>Ammoniacal</w:t>
      </w:r>
      <w:proofErr w:type="spellEnd"/>
      <w:r w:rsidRPr="00D84719">
        <w:rPr>
          <w:rFonts w:ascii="Times New Roman" w:eastAsia="Times New Roman" w:hAnsi="Times New Roman" w:cs="Times New Roman"/>
          <w:color w:val="000000"/>
          <w:sz w:val="24"/>
          <w:szCs w:val="24"/>
          <w:lang w:bidi="en-US"/>
        </w:rPr>
        <w:t xml:space="preserve"> </w:t>
      </w:r>
      <w:proofErr w:type="spellStart"/>
      <w:r w:rsidRPr="00D84719">
        <w:rPr>
          <w:rFonts w:ascii="Times New Roman" w:eastAsia="Times New Roman" w:hAnsi="Times New Roman" w:cs="Times New Roman"/>
          <w:color w:val="000000"/>
          <w:sz w:val="24"/>
          <w:szCs w:val="24"/>
          <w:lang w:bidi="en-US"/>
        </w:rPr>
        <w:t>Cooper</w:t>
      </w:r>
      <w:proofErr w:type="spellEnd"/>
      <w:r w:rsidRPr="00D84719">
        <w:rPr>
          <w:rFonts w:ascii="Times New Roman" w:eastAsia="Times New Roman" w:hAnsi="Times New Roman" w:cs="Times New Roman"/>
          <w:color w:val="000000"/>
          <w:sz w:val="24"/>
          <w:szCs w:val="24"/>
          <w:lang w:bidi="en-US"/>
        </w:rPr>
        <w:t xml:space="preserve"> </w:t>
      </w:r>
      <w:proofErr w:type="spellStart"/>
      <w:r w:rsidRPr="00D84719">
        <w:rPr>
          <w:rFonts w:ascii="Times New Roman" w:eastAsia="Times New Roman" w:hAnsi="Times New Roman" w:cs="Times New Roman"/>
          <w:color w:val="000000"/>
          <w:sz w:val="24"/>
          <w:szCs w:val="24"/>
          <w:lang w:bidi="en-US"/>
        </w:rPr>
        <w:t>Zinc</w:t>
      </w:r>
      <w:proofErr w:type="spellEnd"/>
      <w:r w:rsidRPr="00D84719">
        <w:rPr>
          <w:rFonts w:ascii="Times New Roman" w:eastAsia="Times New Roman" w:hAnsi="Times New Roman" w:cs="Times New Roman"/>
          <w:color w:val="000000"/>
          <w:sz w:val="24"/>
          <w:szCs w:val="24"/>
          <w:lang w:bidi="en-US"/>
        </w:rPr>
        <w:t xml:space="preserve"> </w:t>
      </w:r>
      <w:proofErr w:type="spellStart"/>
      <w:r w:rsidRPr="00D84719">
        <w:rPr>
          <w:rFonts w:ascii="Times New Roman" w:eastAsia="Times New Roman" w:hAnsi="Times New Roman" w:cs="Times New Roman"/>
          <w:color w:val="000000"/>
          <w:sz w:val="24"/>
          <w:szCs w:val="24"/>
          <w:lang w:bidi="en-US"/>
        </w:rPr>
        <w:t>Arsenat</w:t>
      </w:r>
      <w:proofErr w:type="spellEnd"/>
      <w:r w:rsidRPr="00D84719">
        <w:rPr>
          <w:rFonts w:ascii="Times New Roman" w:eastAsia="Times New Roman" w:hAnsi="Times New Roman" w:cs="Times New Roman"/>
          <w:color w:val="000000"/>
          <w:sz w:val="24"/>
          <w:szCs w:val="24"/>
          <w:lang w:bidi="en-US"/>
        </w:rPr>
        <w:t>) i ACQ (</w:t>
      </w:r>
      <w:proofErr w:type="spellStart"/>
      <w:r w:rsidRPr="00D84719">
        <w:rPr>
          <w:rFonts w:ascii="Times New Roman" w:eastAsia="Times New Roman" w:hAnsi="Times New Roman" w:cs="Times New Roman"/>
          <w:color w:val="000000"/>
          <w:sz w:val="24"/>
          <w:szCs w:val="24"/>
          <w:lang w:bidi="en-US"/>
        </w:rPr>
        <w:t>eng</w:t>
      </w:r>
      <w:proofErr w:type="spellEnd"/>
      <w:r w:rsidRPr="00D84719">
        <w:rPr>
          <w:rFonts w:ascii="Times New Roman" w:eastAsia="Times New Roman" w:hAnsi="Times New Roman" w:cs="Times New Roman"/>
          <w:color w:val="000000"/>
          <w:sz w:val="24"/>
          <w:szCs w:val="24"/>
          <w:lang w:bidi="en-US"/>
        </w:rPr>
        <w:t xml:space="preserve">. </w:t>
      </w:r>
      <w:proofErr w:type="spellStart"/>
      <w:r w:rsidRPr="00D84719">
        <w:rPr>
          <w:rFonts w:ascii="Times New Roman" w:eastAsia="Times New Roman" w:hAnsi="Times New Roman" w:cs="Times New Roman"/>
          <w:color w:val="000000"/>
          <w:sz w:val="24"/>
          <w:szCs w:val="24"/>
          <w:lang w:bidi="en-US"/>
        </w:rPr>
        <w:t>Alkaline</w:t>
      </w:r>
      <w:proofErr w:type="spellEnd"/>
      <w:r w:rsidRPr="00D84719">
        <w:rPr>
          <w:rFonts w:ascii="Times New Roman" w:eastAsia="Times New Roman" w:hAnsi="Times New Roman" w:cs="Times New Roman"/>
          <w:color w:val="000000"/>
          <w:sz w:val="24"/>
          <w:szCs w:val="24"/>
          <w:lang w:bidi="en-US"/>
        </w:rPr>
        <w:t xml:space="preserve"> </w:t>
      </w:r>
      <w:proofErr w:type="spellStart"/>
      <w:r w:rsidRPr="00D84719">
        <w:rPr>
          <w:rFonts w:ascii="Times New Roman" w:eastAsia="Times New Roman" w:hAnsi="Times New Roman" w:cs="Times New Roman"/>
          <w:color w:val="000000"/>
          <w:sz w:val="24"/>
          <w:szCs w:val="24"/>
          <w:lang w:bidi="en-US"/>
        </w:rPr>
        <w:t>Cooper</w:t>
      </w:r>
      <w:proofErr w:type="spellEnd"/>
      <w:r w:rsidRPr="00D84719">
        <w:rPr>
          <w:rFonts w:ascii="Times New Roman" w:eastAsia="Times New Roman" w:hAnsi="Times New Roman" w:cs="Times New Roman"/>
          <w:color w:val="000000"/>
          <w:sz w:val="24"/>
          <w:szCs w:val="24"/>
          <w:lang w:bidi="en-US"/>
        </w:rPr>
        <w:t xml:space="preserve"> </w:t>
      </w:r>
      <w:proofErr w:type="spellStart"/>
      <w:r w:rsidRPr="00D84719">
        <w:rPr>
          <w:rFonts w:ascii="Times New Roman" w:eastAsia="Times New Roman" w:hAnsi="Times New Roman" w:cs="Times New Roman"/>
          <w:color w:val="000000"/>
          <w:sz w:val="24"/>
          <w:szCs w:val="24"/>
          <w:lang w:bidi="en-US"/>
        </w:rPr>
        <w:t>Quat</w:t>
      </w:r>
      <w:proofErr w:type="spellEnd"/>
      <w:r w:rsidRPr="00D84719">
        <w:rPr>
          <w:rFonts w:ascii="Times New Roman" w:eastAsia="Times New Roman" w:hAnsi="Times New Roman" w:cs="Times New Roman"/>
          <w:color w:val="000000"/>
          <w:sz w:val="24"/>
          <w:szCs w:val="24"/>
          <w:lang w:bidi="en-US"/>
        </w:rPr>
        <w:t xml:space="preserve">). Kemijske alternative, kao što su CCA i kreozot, već su u masovnoj proizvodnji, dok je uporaba novih alternativa, kao što su bakrov naftenat i ACZA, u porastu. Kemijske alternative na tržištu imaju vlastite prednosti i slabosti i ne moraju biti izravno zamjenjive s pentaklorfenolom za specifične primjene. Također su dostupne i nekemijske alternative. </w:t>
      </w:r>
    </w:p>
    <w:p w14:paraId="63067986" w14:textId="76830AEC"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Prema podacima E-PRTR, na području Europske unije, u 2015. evidentirano je ispuštanje 52,3 kg PCP-a u vode iz 14 postrojenja, 2016</w:t>
      </w:r>
      <w:r w:rsidR="005C26BD">
        <w:rPr>
          <w:rFonts w:ascii="Times New Roman" w:eastAsia="Times New Roman" w:hAnsi="Times New Roman" w:cs="Times New Roman"/>
          <w:color w:val="000000"/>
          <w:sz w:val="24"/>
          <w:szCs w:val="24"/>
          <w:lang w:bidi="en-US"/>
        </w:rPr>
        <w:t>.</w:t>
      </w:r>
      <w:r w:rsidRPr="00D84719">
        <w:rPr>
          <w:rFonts w:ascii="Times New Roman" w:eastAsia="Times New Roman" w:hAnsi="Times New Roman" w:cs="Times New Roman"/>
          <w:color w:val="000000"/>
          <w:sz w:val="24"/>
          <w:szCs w:val="24"/>
          <w:lang w:bidi="en-US"/>
        </w:rPr>
        <w:t xml:space="preserve"> ispuštanje 449 kg PCP-a u vode iz 18 postrojenja, odnosno 663 kg u 2017.. Prema podacima baze ROO evidentiranih ispuštanja PCP-a u zrak, vode i tlo od 2008</w:t>
      </w:r>
      <w:r w:rsidR="005C26BD">
        <w:rPr>
          <w:rFonts w:ascii="Times New Roman" w:eastAsia="Times New Roman" w:hAnsi="Times New Roman" w:cs="Times New Roman"/>
          <w:color w:val="000000"/>
          <w:sz w:val="24"/>
          <w:szCs w:val="24"/>
          <w:lang w:bidi="en-US"/>
        </w:rPr>
        <w:t>.</w:t>
      </w:r>
      <w:r w:rsidRPr="00D84719">
        <w:rPr>
          <w:rFonts w:ascii="Times New Roman" w:eastAsia="Times New Roman" w:hAnsi="Times New Roman" w:cs="Times New Roman"/>
          <w:color w:val="000000"/>
          <w:sz w:val="24"/>
          <w:szCs w:val="24"/>
          <w:lang w:bidi="en-US"/>
        </w:rPr>
        <w:t xml:space="preserve"> u </w:t>
      </w:r>
      <w:r w:rsidRPr="00D84719">
        <w:rPr>
          <w:rFonts w:ascii="Times New Roman" w:eastAsia="Times New Roman" w:hAnsi="Times New Roman" w:cs="Times New Roman"/>
          <w:color w:val="000000"/>
          <w:sz w:val="24"/>
          <w:szCs w:val="24"/>
        </w:rPr>
        <w:t xml:space="preserve">Republici Hrvatskoj </w:t>
      </w:r>
      <w:r w:rsidRPr="00D84719">
        <w:rPr>
          <w:rFonts w:ascii="Times New Roman" w:eastAsia="Times New Roman" w:hAnsi="Times New Roman" w:cs="Times New Roman"/>
          <w:color w:val="000000"/>
          <w:sz w:val="24"/>
          <w:szCs w:val="24"/>
          <w:lang w:bidi="en-US"/>
        </w:rPr>
        <w:t>nije bilo.</w:t>
      </w:r>
    </w:p>
    <w:p w14:paraId="0A70F3DB"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 xml:space="preserve">Pretpostavka je da se PCP mogao pojavljivati u tokovima otpada uglavnom u otpadnom obrađenom drvu i koži. Primjena PCP-a kao konzervansa pri impregnaciji obustavljena je 1979.. </w:t>
      </w:r>
    </w:p>
    <w:p w14:paraId="2A47DACC" w14:textId="77777777" w:rsidR="00D84719" w:rsidRPr="00D84719" w:rsidRDefault="0038557C" w:rsidP="00D84719">
      <w:pPr>
        <w:spacing w:before="80" w:line="276" w:lineRule="auto"/>
        <w:jc w:val="both"/>
        <w:rPr>
          <w:rFonts w:ascii="Times New Roman" w:eastAsia="Times New Roman" w:hAnsi="Times New Roman" w:cs="Times New Roman"/>
          <w:color w:val="000000"/>
          <w:sz w:val="24"/>
          <w:szCs w:val="24"/>
          <w:lang w:bidi="en-US"/>
        </w:rPr>
      </w:pPr>
      <w:r w:rsidRPr="0038557C">
        <w:rPr>
          <w:rFonts w:ascii="Times New Roman" w:eastAsia="Times New Roman" w:hAnsi="Times New Roman" w:cs="Times New Roman"/>
          <w:color w:val="000000"/>
          <w:sz w:val="24"/>
          <w:szCs w:val="24"/>
          <w:lang w:bidi="en-US"/>
        </w:rPr>
        <w:t>U Republici Hrvatskoj se PCP ne koristi</w:t>
      </w:r>
      <w:r w:rsidR="00612979">
        <w:rPr>
          <w:rFonts w:ascii="Times New Roman" w:eastAsia="Times New Roman" w:hAnsi="Times New Roman" w:cs="Times New Roman"/>
          <w:color w:val="000000"/>
          <w:sz w:val="24"/>
          <w:szCs w:val="24"/>
          <w:lang w:bidi="en-US"/>
        </w:rPr>
        <w:t xml:space="preserve"> niti </w:t>
      </w:r>
      <w:r w:rsidRPr="0038557C">
        <w:rPr>
          <w:rFonts w:ascii="Times New Roman" w:eastAsia="Times New Roman" w:hAnsi="Times New Roman" w:cs="Times New Roman"/>
          <w:color w:val="000000"/>
          <w:sz w:val="24"/>
          <w:szCs w:val="24"/>
          <w:lang w:bidi="en-US"/>
        </w:rPr>
        <w:t>ga je moguće naći u novim proizvodima koji se uvoze i stavljaju na tržište, već je zamijenjen prikladnim zamjenskim sredstvima.</w:t>
      </w:r>
    </w:p>
    <w:p w14:paraId="21A18D77" w14:textId="77777777" w:rsidR="00D84719" w:rsidRPr="00D84719" w:rsidRDefault="00D84719" w:rsidP="000F38D2">
      <w:pPr>
        <w:pStyle w:val="Naslov3"/>
      </w:pPr>
      <w:bookmarkStart w:id="100" w:name="_Toc41638256"/>
      <w:bookmarkStart w:id="101" w:name="_Toc64460707"/>
      <w:r w:rsidRPr="00D84719">
        <w:lastRenderedPageBreak/>
        <w:t>INDUSTRIJSKE KEMIKALIJE</w:t>
      </w:r>
      <w:bookmarkEnd w:id="100"/>
      <w:bookmarkEnd w:id="101"/>
    </w:p>
    <w:p w14:paraId="4DBCE166" w14:textId="77777777" w:rsidR="00D84719" w:rsidRPr="00D84719" w:rsidRDefault="00D84719" w:rsidP="000F38D2">
      <w:pPr>
        <w:pStyle w:val="Naslov4"/>
      </w:pPr>
      <w:bookmarkStart w:id="102" w:name="_Toc41638257"/>
      <w:bookmarkStart w:id="103" w:name="_Toc64460708"/>
      <w:r w:rsidRPr="00D84719">
        <w:t>Heksaklorobutadien (HCBD</w:t>
      </w:r>
      <w:bookmarkEnd w:id="102"/>
      <w:r w:rsidRPr="00D84719">
        <w:t>)</w:t>
      </w:r>
      <w:bookmarkEnd w:id="103"/>
    </w:p>
    <w:tbl>
      <w:tblPr>
        <w:tblW w:w="9498" w:type="dxa"/>
        <w:tblInd w:w="-284" w:type="dxa"/>
        <w:tblLook w:val="04A0" w:firstRow="1" w:lastRow="0" w:firstColumn="1" w:lastColumn="0" w:noHBand="0" w:noVBand="1"/>
      </w:tblPr>
      <w:tblGrid>
        <w:gridCol w:w="2006"/>
        <w:gridCol w:w="7492"/>
      </w:tblGrid>
      <w:tr w:rsidR="00D84719" w:rsidRPr="00D84719" w14:paraId="6979F1E7" w14:textId="77777777" w:rsidTr="00F831D6">
        <w:tc>
          <w:tcPr>
            <w:tcW w:w="2006" w:type="dxa"/>
          </w:tcPr>
          <w:p w14:paraId="621FF7B8" w14:textId="77777777" w:rsidR="00D84719" w:rsidRPr="00D84719" w:rsidRDefault="00D84719" w:rsidP="00D84719">
            <w:pPr>
              <w:spacing w:before="80" w:line="276" w:lineRule="auto"/>
              <w:jc w:val="both"/>
              <w:rPr>
                <w:rFonts w:ascii="Times New Roman" w:eastAsia="Times New Roman" w:hAnsi="Times New Roman" w:cs="Times New Roman"/>
                <w:color w:val="000000"/>
                <w:szCs w:val="24"/>
                <w:lang w:bidi="en-US"/>
              </w:rPr>
            </w:pPr>
            <w:r w:rsidRPr="00D84719">
              <w:rPr>
                <w:rFonts w:ascii="Times New Roman" w:eastAsia="Times New Roman" w:hAnsi="Times New Roman" w:cs="Times New Roman"/>
                <w:noProof/>
                <w:color w:val="000000"/>
                <w:szCs w:val="24"/>
                <w:lang w:eastAsia="hr-HR"/>
              </w:rPr>
              <w:drawing>
                <wp:inline distT="0" distB="0" distL="0" distR="0" wp14:anchorId="2B721ED1" wp14:editId="5415052D">
                  <wp:extent cx="1080000" cy="575148"/>
                  <wp:effectExtent l="0" t="0" r="635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80000" cy="575148"/>
                          </a:xfrm>
                          <a:prstGeom prst="rect">
                            <a:avLst/>
                          </a:prstGeom>
                        </pic:spPr>
                      </pic:pic>
                    </a:graphicData>
                  </a:graphic>
                </wp:inline>
              </w:drawing>
            </w:r>
          </w:p>
        </w:tc>
        <w:tc>
          <w:tcPr>
            <w:tcW w:w="7492" w:type="dxa"/>
          </w:tcPr>
          <w:p w14:paraId="7F6F3CBC"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 xml:space="preserve">Heksaklorobutadien (HCBD) naveden je u Dodatku </w:t>
            </w:r>
            <w:r w:rsidR="00A64981">
              <w:rPr>
                <w:rFonts w:ascii="Times New Roman" w:eastAsia="Times New Roman" w:hAnsi="Times New Roman" w:cs="Times New Roman"/>
                <w:color w:val="000000"/>
                <w:sz w:val="24"/>
                <w:szCs w:val="24"/>
                <w:lang w:bidi="en-US"/>
              </w:rPr>
              <w:t>A,</w:t>
            </w:r>
            <w:r w:rsidR="00612979">
              <w:rPr>
                <w:rFonts w:ascii="Times New Roman" w:eastAsia="Times New Roman" w:hAnsi="Times New Roman" w:cs="Times New Roman"/>
                <w:color w:val="000000"/>
                <w:sz w:val="24"/>
                <w:szCs w:val="24"/>
                <w:lang w:bidi="en-US"/>
              </w:rPr>
              <w:t xml:space="preserve"> </w:t>
            </w:r>
            <w:r w:rsidRPr="00D84719">
              <w:rPr>
                <w:rFonts w:ascii="Times New Roman" w:eastAsia="Times New Roman" w:hAnsi="Times New Roman" w:cs="Times New Roman"/>
                <w:color w:val="000000"/>
                <w:sz w:val="24"/>
                <w:szCs w:val="24"/>
                <w:lang w:bidi="en-US"/>
              </w:rPr>
              <w:t xml:space="preserve">dio I., bez posebnih izuzeća i u Dodatku </w:t>
            </w:r>
            <w:r w:rsidR="00A64981">
              <w:rPr>
                <w:rFonts w:ascii="Times New Roman" w:eastAsia="Times New Roman" w:hAnsi="Times New Roman" w:cs="Times New Roman"/>
                <w:color w:val="000000"/>
                <w:sz w:val="24"/>
                <w:szCs w:val="24"/>
                <w:lang w:bidi="en-US"/>
              </w:rPr>
              <w:t>C</w:t>
            </w:r>
            <w:r w:rsidRPr="00D84719">
              <w:rPr>
                <w:rFonts w:ascii="Times New Roman" w:eastAsia="Times New Roman" w:hAnsi="Times New Roman" w:cs="Times New Roman"/>
                <w:color w:val="000000"/>
                <w:sz w:val="24"/>
                <w:szCs w:val="24"/>
                <w:lang w:bidi="en-US"/>
              </w:rPr>
              <w:t xml:space="preserve"> Konvencije. HCBD je klorirani alifatski ugljikovodik, koji uglavnom nastaje kao nusprodukt u proizvodnji kloriranih alifatskih spojeva.</w:t>
            </w:r>
          </w:p>
        </w:tc>
      </w:tr>
    </w:tbl>
    <w:p w14:paraId="064223A2"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 xml:space="preserve">Agencija za zaštitu okoliša SAD-a uvrstila je HCBD u skupinu C kao tvar s mogućim karcinogenim utjecajem za ljude. </w:t>
      </w:r>
    </w:p>
    <w:p w14:paraId="325DA2DE"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 xml:space="preserve">HCBD se najčešće upotrebljava kao otapalo za druge spojeve koji sadrže klor. HCBD nastaje kao nenamjerni nusproizvod u postupcima industrijske proizvodnje (osobito u proizvodnji drugih kloriranih ugljikovodika i proizvodnji magnezija). </w:t>
      </w:r>
    </w:p>
    <w:p w14:paraId="4D3DEE26"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 xml:space="preserve">HCBD nenamjerno nastaje pri izgaranju te u drugim toplinskim i industrijskim postupcima. HCBD se ispušta u nepoznatoj količini iz nekadašnjih odlagališta otpada. Postrojenja za obradu gradskih otpadnih voda također su izvor HCBD-a koji se u postupcima pročišćavanja otpadnih voda akumulira u kanalizacijskom mulju. </w:t>
      </w:r>
    </w:p>
    <w:p w14:paraId="5BE5F6ED"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 xml:space="preserve">Oslobađanja HCBD-a iz procesa spaljivanja mogu se minimizirati alternativnim proizvodnim procesima, poboljšanom kontrolom procesa, mjerama kontrole emisije ili zamjenom relevantnih kloriranih kemikalija. To bi također uključivalo obvezu promicanja najboljih raspoloživih tehnika (BAT) i najboljih ekoloških praksi (BEP) za izvore HCBD-a. Učinkoviti BAT i BEP za smanjenje ispuštanja nenamjerno proizvedenih HCBD-a dostupni su i opisani u relevantnim dokumentima. </w:t>
      </w:r>
    </w:p>
    <w:p w14:paraId="203EDB1C"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 xml:space="preserve">Manje količine korištene su kao otapala, npr. za transformatorska ulja i hidrauličke tekućine, tekućine za žiroskope, tekućine za prijenos topline itd. Nekada se HCBD intenzivno koristio kao pesticid, posebno za zaštitu vinove loze protiv </w:t>
      </w:r>
      <w:proofErr w:type="spellStart"/>
      <w:r w:rsidRPr="00D84719">
        <w:rPr>
          <w:rFonts w:ascii="Times New Roman" w:eastAsia="Times New Roman" w:hAnsi="Times New Roman" w:cs="Times New Roman"/>
          <w:i/>
          <w:iCs/>
          <w:color w:val="000000"/>
          <w:sz w:val="24"/>
          <w:szCs w:val="24"/>
          <w:lang w:bidi="en-US"/>
        </w:rPr>
        <w:t>Phylloxera</w:t>
      </w:r>
      <w:proofErr w:type="spellEnd"/>
      <w:r w:rsidRPr="00D84719">
        <w:rPr>
          <w:rFonts w:ascii="Times New Roman" w:eastAsia="Times New Roman" w:hAnsi="Times New Roman" w:cs="Times New Roman"/>
          <w:color w:val="000000"/>
          <w:sz w:val="24"/>
          <w:szCs w:val="24"/>
          <w:lang w:bidi="en-US"/>
        </w:rPr>
        <w:t xml:space="preserve"> (</w:t>
      </w:r>
      <w:proofErr w:type="spellStart"/>
      <w:r w:rsidRPr="00D84719">
        <w:rPr>
          <w:rFonts w:ascii="Times New Roman" w:eastAsia="Times New Roman" w:hAnsi="Times New Roman" w:cs="Times New Roman"/>
          <w:color w:val="000000"/>
          <w:sz w:val="24"/>
          <w:szCs w:val="24"/>
          <w:lang w:bidi="en-US"/>
        </w:rPr>
        <w:t>Lecloux</w:t>
      </w:r>
      <w:proofErr w:type="spellEnd"/>
      <w:r w:rsidRPr="00D84719">
        <w:rPr>
          <w:rFonts w:ascii="Times New Roman" w:eastAsia="Times New Roman" w:hAnsi="Times New Roman" w:cs="Times New Roman"/>
          <w:color w:val="000000"/>
          <w:sz w:val="24"/>
          <w:szCs w:val="24"/>
          <w:lang w:bidi="en-US"/>
        </w:rPr>
        <w:t xml:space="preserve">, 2004.), posebice u zemljama Europske unije kao što su Francuska, Grčka, Italija i Španjolska. </w:t>
      </w:r>
    </w:p>
    <w:p w14:paraId="26688210"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Prema podacima E-PRTR, na području Europske unije, u 2015. evidentirano je ispuštanje 194 kg HCBD-a u vode iz 11 postrojenja, 2016. ispuštanje 322 kg HCBD-a u vode iz 7 postrojenja te 1333 kg iz 11 postrojenja u 2017..</w:t>
      </w:r>
    </w:p>
    <w:p w14:paraId="12525ED5"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Prema podacima baze ROO na području Republike Hrvatske evidentiranih ispuštanja HCBD-a u zrak, vode i tlo od 2008. nije bilo.</w:t>
      </w:r>
    </w:p>
    <w:p w14:paraId="7D0CBBA3" w14:textId="77777777" w:rsid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Proizvodnja HCBD-a za komercijalnu upotrebu, u Europi, obustavljena je krajem 1970-ih godina.</w:t>
      </w:r>
      <w:r w:rsidR="00612979">
        <w:rPr>
          <w:rFonts w:ascii="Times New Roman" w:eastAsia="Times New Roman" w:hAnsi="Times New Roman" w:cs="Times New Roman"/>
          <w:color w:val="000000"/>
          <w:sz w:val="24"/>
          <w:szCs w:val="24"/>
          <w:lang w:bidi="en-US"/>
        </w:rPr>
        <w:t xml:space="preserve"> </w:t>
      </w:r>
      <w:r w:rsidRPr="00D84719">
        <w:rPr>
          <w:rFonts w:ascii="Times New Roman" w:eastAsia="Times New Roman" w:hAnsi="Times New Roman" w:cs="Times New Roman"/>
          <w:color w:val="000000"/>
          <w:sz w:val="24"/>
          <w:szCs w:val="24"/>
          <w:lang w:bidi="en-US"/>
        </w:rPr>
        <w:t xml:space="preserve">Nema dostupnih podataka koji bi ukazivali da se HCBD koristio u </w:t>
      </w:r>
      <w:r w:rsidRPr="00D84719">
        <w:rPr>
          <w:rFonts w:ascii="Times New Roman" w:eastAsia="Times New Roman" w:hAnsi="Times New Roman" w:cs="Times New Roman"/>
          <w:color w:val="000000"/>
          <w:sz w:val="24"/>
          <w:szCs w:val="24"/>
        </w:rPr>
        <w:t>Republici Hrvatskoj</w:t>
      </w:r>
      <w:r w:rsidRPr="00D84719">
        <w:rPr>
          <w:rFonts w:ascii="Times New Roman" w:eastAsia="Times New Roman" w:hAnsi="Times New Roman" w:cs="Times New Roman"/>
          <w:color w:val="000000"/>
          <w:sz w:val="24"/>
          <w:szCs w:val="24"/>
          <w:lang w:bidi="en-US"/>
        </w:rPr>
        <w:t xml:space="preserve">, bilo za industrijske svrhe ili kao pesticid. </w:t>
      </w:r>
    </w:p>
    <w:p w14:paraId="6C874723" w14:textId="77777777" w:rsidR="00195AD0" w:rsidRPr="00D84719" w:rsidRDefault="00195AD0" w:rsidP="00D84719">
      <w:pPr>
        <w:spacing w:before="80" w:line="276" w:lineRule="auto"/>
        <w:jc w:val="both"/>
        <w:rPr>
          <w:rFonts w:ascii="Times New Roman" w:eastAsia="Times New Roman" w:hAnsi="Times New Roman" w:cs="Times New Roman"/>
          <w:color w:val="000000"/>
          <w:sz w:val="24"/>
          <w:szCs w:val="24"/>
          <w:lang w:bidi="en-US"/>
        </w:rPr>
      </w:pPr>
    </w:p>
    <w:p w14:paraId="1CC0EB59" w14:textId="77777777" w:rsidR="00D84719" w:rsidRPr="00D84719" w:rsidRDefault="00D84719" w:rsidP="00970344">
      <w:pPr>
        <w:pStyle w:val="Naslov4"/>
      </w:pPr>
      <w:bookmarkStart w:id="104" w:name="_Toc41638258"/>
      <w:bookmarkStart w:id="105" w:name="_Toc64460709"/>
      <w:r w:rsidRPr="00D84719">
        <w:lastRenderedPageBreak/>
        <w:t>Poliklorirani naftaleni PCN</w:t>
      </w:r>
      <w:bookmarkEnd w:id="104"/>
      <w:bookmarkEnd w:id="105"/>
    </w:p>
    <w:tbl>
      <w:tblPr>
        <w:tblW w:w="9498" w:type="dxa"/>
        <w:tblInd w:w="-284" w:type="dxa"/>
        <w:tblLook w:val="04A0" w:firstRow="1" w:lastRow="0" w:firstColumn="1" w:lastColumn="0" w:noHBand="0" w:noVBand="1"/>
      </w:tblPr>
      <w:tblGrid>
        <w:gridCol w:w="2006"/>
        <w:gridCol w:w="7492"/>
      </w:tblGrid>
      <w:tr w:rsidR="00D84719" w:rsidRPr="00D84719" w14:paraId="13099C5B" w14:textId="77777777" w:rsidTr="00F831D6">
        <w:trPr>
          <w:trHeight w:val="1184"/>
        </w:trPr>
        <w:tc>
          <w:tcPr>
            <w:tcW w:w="2006" w:type="dxa"/>
          </w:tcPr>
          <w:p w14:paraId="301182E2" w14:textId="77777777" w:rsidR="00D84719" w:rsidRPr="00D84719" w:rsidRDefault="00D84719" w:rsidP="00D84719">
            <w:pPr>
              <w:spacing w:before="80" w:line="276" w:lineRule="auto"/>
              <w:jc w:val="both"/>
              <w:rPr>
                <w:rFonts w:ascii="Times New Roman" w:eastAsia="Times New Roman" w:hAnsi="Times New Roman" w:cs="Times New Roman"/>
                <w:color w:val="000000"/>
                <w:szCs w:val="24"/>
                <w:lang w:bidi="en-US"/>
              </w:rPr>
            </w:pPr>
            <w:r w:rsidRPr="00D84719">
              <w:rPr>
                <w:rFonts w:ascii="Times New Roman" w:eastAsia="Times New Roman" w:hAnsi="Times New Roman" w:cs="Times New Roman"/>
                <w:noProof/>
                <w:color w:val="000000"/>
                <w:szCs w:val="24"/>
                <w:lang w:eastAsia="hr-HR"/>
              </w:rPr>
              <w:drawing>
                <wp:inline distT="0" distB="0" distL="0" distR="0" wp14:anchorId="4574739A" wp14:editId="1F83B623">
                  <wp:extent cx="1080000" cy="502326"/>
                  <wp:effectExtent l="0" t="0" r="635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80000" cy="502326"/>
                          </a:xfrm>
                          <a:prstGeom prst="rect">
                            <a:avLst/>
                          </a:prstGeom>
                        </pic:spPr>
                      </pic:pic>
                    </a:graphicData>
                  </a:graphic>
                </wp:inline>
              </w:drawing>
            </w:r>
          </w:p>
        </w:tc>
        <w:tc>
          <w:tcPr>
            <w:tcW w:w="7492" w:type="dxa"/>
          </w:tcPr>
          <w:p w14:paraId="2AD6F1DE" w14:textId="77777777" w:rsidR="00D84719" w:rsidRPr="00D84719" w:rsidRDefault="00D84719" w:rsidP="00D84719">
            <w:pPr>
              <w:spacing w:before="80" w:line="276" w:lineRule="auto"/>
              <w:jc w:val="both"/>
              <w:rPr>
                <w:rFonts w:ascii="Times New Roman" w:eastAsia="Times New Roman" w:hAnsi="Times New Roman" w:cs="Times New Roman"/>
                <w:color w:val="000000"/>
                <w:lang w:bidi="en-US"/>
              </w:rPr>
            </w:pPr>
            <w:r w:rsidRPr="00D84719">
              <w:rPr>
                <w:rFonts w:ascii="Times New Roman" w:eastAsia="Times New Roman" w:hAnsi="Times New Roman" w:cs="Times New Roman"/>
                <w:color w:val="000000"/>
                <w:sz w:val="24"/>
                <w:szCs w:val="24"/>
                <w:lang w:bidi="en-US"/>
              </w:rPr>
              <w:t xml:space="preserve">Poliklorirani naftaleni (PCN-i) navedeni su u Dodatku </w:t>
            </w:r>
            <w:r w:rsidR="00A64981">
              <w:rPr>
                <w:rFonts w:ascii="Times New Roman" w:eastAsia="Times New Roman" w:hAnsi="Times New Roman" w:cs="Times New Roman"/>
                <w:color w:val="000000"/>
                <w:sz w:val="24"/>
                <w:szCs w:val="24"/>
                <w:lang w:bidi="en-US"/>
              </w:rPr>
              <w:t>A</w:t>
            </w:r>
            <w:r w:rsidRPr="00D84719">
              <w:rPr>
                <w:rFonts w:ascii="Times New Roman" w:eastAsia="Times New Roman" w:hAnsi="Times New Roman" w:cs="Times New Roman"/>
                <w:color w:val="000000"/>
                <w:sz w:val="24"/>
                <w:szCs w:val="24"/>
                <w:lang w:bidi="en-US"/>
              </w:rPr>
              <w:t xml:space="preserve"> i </w:t>
            </w:r>
            <w:r w:rsidR="00A64981">
              <w:rPr>
                <w:rFonts w:ascii="Times New Roman" w:eastAsia="Times New Roman" w:hAnsi="Times New Roman" w:cs="Times New Roman"/>
                <w:color w:val="000000"/>
                <w:sz w:val="24"/>
                <w:szCs w:val="24"/>
                <w:lang w:bidi="en-US"/>
              </w:rPr>
              <w:t>C</w:t>
            </w:r>
            <w:r w:rsidRPr="00D84719">
              <w:rPr>
                <w:rFonts w:ascii="Times New Roman" w:eastAsia="Times New Roman" w:hAnsi="Times New Roman" w:cs="Times New Roman"/>
                <w:color w:val="000000"/>
                <w:sz w:val="24"/>
                <w:szCs w:val="24"/>
                <w:lang w:bidi="en-US"/>
              </w:rPr>
              <w:t xml:space="preserve"> Konvencije s posebnim izuzećima za proizvodnju i uporabu kemikalija koje su intermedijeri u proizvodnji polifluoriranih naftalena, uključujući oktafluoronaftalen</w:t>
            </w:r>
            <w:r w:rsidRPr="00D84719">
              <w:rPr>
                <w:rFonts w:ascii="Times New Roman" w:eastAsia="Times New Roman" w:hAnsi="Times New Roman" w:cs="Times New Roman"/>
                <w:color w:val="000000"/>
                <w:lang w:bidi="en-US"/>
              </w:rPr>
              <w:t>.</w:t>
            </w:r>
          </w:p>
        </w:tc>
      </w:tr>
    </w:tbl>
    <w:p w14:paraId="72C00634"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 xml:space="preserve">PCN-i su grupa aromatskih, sintetskih, organskih spojeva koji u svojoj strukturi sadrže naftalenski prsten i strukturno su slični PCB-ima. U Europskoj Uniji PCN-i se više ne proizvode u komercijalne svrhe. </w:t>
      </w:r>
    </w:p>
    <w:p w14:paraId="4BBAED1B"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 xml:space="preserve">Glavna uporaba PCN-ova je u elektroindustriji, a predstavljaju učinkovite izolacijske premaze za električne kablove i kondenzatore. Koriste se i kao dodatak bojama i motornim uljima. Također su se koristili za impregnaciju drva, papira i tekstila radi postizanja vodonepropusnosti, otpornosti na plamen i zaštitu od insekata, plijesni i gljivica. </w:t>
      </w:r>
    </w:p>
    <w:p w14:paraId="5D26F428"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 xml:space="preserve">Masovna industrijska proizvodnja spoja sličnog dioksinu, polikloriranog naftalena započela je tijekom I. svjetskog rata. PCN je u komercijalnom smislu smjesa do 70 različitih proizvoda i nusprodukata. Proizvodnja polikloriranih naftalena u velikim količinama, zabilježena je još davne 1910. i to najviše u zemljama Europe i SAD-a. Najveća proizvodnja je bila pod okriljem tvrtke Bayer, Njemačka, s ciljem proizvodnje tzv. Nibren voskova. </w:t>
      </w:r>
    </w:p>
    <w:p w14:paraId="3A718A15"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 xml:space="preserve">U drugim Europskim zemljama, ali i u SAD-u, pojavljivao se pod trgovačkim imenima Seekay (UK), </w:t>
      </w:r>
      <w:proofErr w:type="spellStart"/>
      <w:r w:rsidRPr="00D84719">
        <w:rPr>
          <w:rFonts w:ascii="Times New Roman" w:eastAsia="Times New Roman" w:hAnsi="Times New Roman" w:cs="Times New Roman"/>
          <w:color w:val="000000"/>
          <w:sz w:val="24"/>
          <w:szCs w:val="24"/>
          <w:lang w:bidi="en-US"/>
        </w:rPr>
        <w:t>Clonacire</w:t>
      </w:r>
      <w:proofErr w:type="spellEnd"/>
      <w:r w:rsidRPr="00D84719">
        <w:rPr>
          <w:rFonts w:ascii="Times New Roman" w:eastAsia="Times New Roman" w:hAnsi="Times New Roman" w:cs="Times New Roman"/>
          <w:color w:val="000000"/>
          <w:sz w:val="24"/>
          <w:szCs w:val="24"/>
          <w:lang w:bidi="en-US"/>
        </w:rPr>
        <w:t xml:space="preserve"> (Francuska), </w:t>
      </w:r>
      <w:proofErr w:type="spellStart"/>
      <w:r w:rsidRPr="00D84719">
        <w:rPr>
          <w:rFonts w:ascii="Times New Roman" w:eastAsia="Times New Roman" w:hAnsi="Times New Roman" w:cs="Times New Roman"/>
          <w:color w:val="000000"/>
          <w:sz w:val="24"/>
          <w:szCs w:val="24"/>
          <w:lang w:bidi="en-US"/>
        </w:rPr>
        <w:t>Cerifal</w:t>
      </w:r>
      <w:proofErr w:type="spellEnd"/>
      <w:r w:rsidRPr="00D84719">
        <w:rPr>
          <w:rFonts w:ascii="Times New Roman" w:eastAsia="Times New Roman" w:hAnsi="Times New Roman" w:cs="Times New Roman"/>
          <w:color w:val="000000"/>
          <w:sz w:val="24"/>
          <w:szCs w:val="24"/>
          <w:lang w:bidi="en-US"/>
        </w:rPr>
        <w:t xml:space="preserve"> (Italija) te </w:t>
      </w:r>
      <w:proofErr w:type="spellStart"/>
      <w:r w:rsidRPr="00D84719">
        <w:rPr>
          <w:rFonts w:ascii="Times New Roman" w:eastAsia="Times New Roman" w:hAnsi="Times New Roman" w:cs="Times New Roman"/>
          <w:color w:val="000000"/>
          <w:sz w:val="24"/>
          <w:szCs w:val="24"/>
          <w:lang w:bidi="en-US"/>
        </w:rPr>
        <w:t>Woskol</w:t>
      </w:r>
      <w:proofErr w:type="spellEnd"/>
      <w:r w:rsidRPr="00D84719">
        <w:rPr>
          <w:rFonts w:ascii="Times New Roman" w:eastAsia="Times New Roman" w:hAnsi="Times New Roman" w:cs="Times New Roman"/>
          <w:color w:val="000000"/>
          <w:sz w:val="24"/>
          <w:szCs w:val="24"/>
          <w:lang w:bidi="en-US"/>
        </w:rPr>
        <w:t xml:space="preserve"> (Poljska). U SAD-u poznat je pod nazivom </w:t>
      </w:r>
      <w:proofErr w:type="spellStart"/>
      <w:r w:rsidRPr="00D84719">
        <w:rPr>
          <w:rFonts w:ascii="Times New Roman" w:eastAsia="Times New Roman" w:hAnsi="Times New Roman" w:cs="Times New Roman"/>
          <w:color w:val="000000"/>
          <w:sz w:val="24"/>
          <w:szCs w:val="24"/>
          <w:lang w:bidi="en-US"/>
        </w:rPr>
        <w:t>Halowax</w:t>
      </w:r>
      <w:proofErr w:type="spellEnd"/>
      <w:r w:rsidRPr="00D84719">
        <w:rPr>
          <w:rFonts w:ascii="Times New Roman" w:eastAsia="Times New Roman" w:hAnsi="Times New Roman" w:cs="Times New Roman"/>
          <w:color w:val="000000"/>
          <w:sz w:val="24"/>
          <w:szCs w:val="24"/>
          <w:lang w:bidi="en-US"/>
        </w:rPr>
        <w:t xml:space="preserve">, proizvodio se u pogonima Union </w:t>
      </w:r>
      <w:proofErr w:type="spellStart"/>
      <w:r w:rsidRPr="00D84719">
        <w:rPr>
          <w:rFonts w:ascii="Times New Roman" w:eastAsia="Times New Roman" w:hAnsi="Times New Roman" w:cs="Times New Roman"/>
          <w:color w:val="000000"/>
          <w:sz w:val="24"/>
          <w:szCs w:val="24"/>
          <w:lang w:bidi="en-US"/>
        </w:rPr>
        <w:t>Carbide</w:t>
      </w:r>
      <w:proofErr w:type="spellEnd"/>
      <w:r w:rsidRPr="00D84719">
        <w:rPr>
          <w:rFonts w:ascii="Times New Roman" w:eastAsia="Times New Roman" w:hAnsi="Times New Roman" w:cs="Times New Roman"/>
          <w:color w:val="000000"/>
          <w:sz w:val="24"/>
          <w:szCs w:val="24"/>
          <w:lang w:bidi="en-US"/>
        </w:rPr>
        <w:t>-a.</w:t>
      </w:r>
    </w:p>
    <w:p w14:paraId="30CB2285" w14:textId="18A36E56"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 xml:space="preserve">Nakon više od 20 godina komercijalne proizvodnje, zabilježeni su prvi utjecaji na ljudsko zdravlje, ali i na zdravlje drugih bića. Simptomi utjecaja na čovjeka mogu se primijetiti u obliku teškog osipa na koži, problema s jetrom koja pod određenim uvjetima može dovesti i do smrtnosti. Još 1937. </w:t>
      </w:r>
      <w:proofErr w:type="spellStart"/>
      <w:r w:rsidRPr="00D84719">
        <w:rPr>
          <w:rFonts w:ascii="Times New Roman" w:eastAsia="Times New Roman" w:hAnsi="Times New Roman" w:cs="Times New Roman"/>
          <w:color w:val="000000"/>
          <w:sz w:val="24"/>
          <w:szCs w:val="24"/>
          <w:lang w:bidi="en-US"/>
        </w:rPr>
        <w:t>Harvard</w:t>
      </w:r>
      <w:proofErr w:type="spellEnd"/>
      <w:r w:rsidRPr="00D84719">
        <w:rPr>
          <w:rFonts w:ascii="Times New Roman" w:eastAsia="Times New Roman" w:hAnsi="Times New Roman" w:cs="Times New Roman"/>
          <w:color w:val="000000"/>
          <w:sz w:val="24"/>
          <w:szCs w:val="24"/>
          <w:lang w:bidi="en-US"/>
        </w:rPr>
        <w:t xml:space="preserve"> </w:t>
      </w:r>
      <w:proofErr w:type="spellStart"/>
      <w:r w:rsidRPr="00D84719">
        <w:rPr>
          <w:rFonts w:ascii="Times New Roman" w:eastAsia="Times New Roman" w:hAnsi="Times New Roman" w:cs="Times New Roman"/>
          <w:color w:val="000000"/>
          <w:sz w:val="24"/>
          <w:szCs w:val="24"/>
          <w:lang w:bidi="en-US"/>
        </w:rPr>
        <w:t>School</w:t>
      </w:r>
      <w:proofErr w:type="spellEnd"/>
      <w:r w:rsidRPr="00D84719">
        <w:rPr>
          <w:rFonts w:ascii="Times New Roman" w:eastAsia="Times New Roman" w:hAnsi="Times New Roman" w:cs="Times New Roman"/>
          <w:color w:val="000000"/>
          <w:sz w:val="24"/>
          <w:szCs w:val="24"/>
          <w:lang w:bidi="en-US"/>
        </w:rPr>
        <w:t xml:space="preserve"> </w:t>
      </w:r>
      <w:proofErr w:type="spellStart"/>
      <w:r w:rsidRPr="00D84719">
        <w:rPr>
          <w:rFonts w:ascii="Times New Roman" w:eastAsia="Times New Roman" w:hAnsi="Times New Roman" w:cs="Times New Roman"/>
          <w:color w:val="000000"/>
          <w:sz w:val="24"/>
          <w:szCs w:val="24"/>
          <w:lang w:bidi="en-US"/>
        </w:rPr>
        <w:t>of</w:t>
      </w:r>
      <w:proofErr w:type="spellEnd"/>
      <w:r w:rsidRPr="00D84719">
        <w:rPr>
          <w:rFonts w:ascii="Times New Roman" w:eastAsia="Times New Roman" w:hAnsi="Times New Roman" w:cs="Times New Roman"/>
          <w:color w:val="000000"/>
          <w:sz w:val="24"/>
          <w:szCs w:val="24"/>
          <w:lang w:bidi="en-US"/>
        </w:rPr>
        <w:t xml:space="preserve"> </w:t>
      </w:r>
      <w:proofErr w:type="spellStart"/>
      <w:r w:rsidRPr="00D84719">
        <w:rPr>
          <w:rFonts w:ascii="Times New Roman" w:eastAsia="Times New Roman" w:hAnsi="Times New Roman" w:cs="Times New Roman"/>
          <w:color w:val="000000"/>
          <w:sz w:val="24"/>
          <w:szCs w:val="24"/>
          <w:lang w:bidi="en-US"/>
        </w:rPr>
        <w:t>Public</w:t>
      </w:r>
      <w:proofErr w:type="spellEnd"/>
      <w:r w:rsidRPr="00D84719">
        <w:rPr>
          <w:rFonts w:ascii="Times New Roman" w:eastAsia="Times New Roman" w:hAnsi="Times New Roman" w:cs="Times New Roman"/>
          <w:color w:val="000000"/>
          <w:sz w:val="24"/>
          <w:szCs w:val="24"/>
          <w:lang w:bidi="en-US"/>
        </w:rPr>
        <w:t xml:space="preserve"> Health je upozorio na negativni utjecaj PCN-a u cjelini. Indikativno je da je od objave negativnih utjecaja PCN-a, do reakcije vlasti prošlo više od 40 godina, čime se zasigurno ostvario veliki negativni utjecaj na populaciju u općem smislu. 1976</w:t>
      </w:r>
      <w:r w:rsidR="004C449C">
        <w:rPr>
          <w:rFonts w:ascii="Times New Roman" w:eastAsia="Times New Roman" w:hAnsi="Times New Roman" w:cs="Times New Roman"/>
          <w:color w:val="000000"/>
          <w:sz w:val="24"/>
          <w:szCs w:val="24"/>
          <w:lang w:bidi="en-US"/>
        </w:rPr>
        <w:t>.</w:t>
      </w:r>
      <w:r w:rsidRPr="00D84719">
        <w:rPr>
          <w:rFonts w:ascii="Times New Roman" w:eastAsia="Times New Roman" w:hAnsi="Times New Roman" w:cs="Times New Roman"/>
          <w:color w:val="000000"/>
          <w:sz w:val="24"/>
          <w:szCs w:val="24"/>
          <w:lang w:bidi="en-US"/>
        </w:rPr>
        <w:t xml:space="preserve"> je prekretnica u proizvodnji i korištenju PCN-a, jer je te godine u SAD-u stupio na snagu Zakon o suzbijanju toksičnih tvari, koji je formalno natjerao sve velike proizvođače da obustave proizvodnju PCN-a. U vrlo malim količinama, proizvodnja PCN-a je nastavljena do 1983., ali primarno u istraživačke svrhe. Do prije par godina samo je u tvrtki </w:t>
      </w:r>
      <w:proofErr w:type="spellStart"/>
      <w:r w:rsidRPr="00D84719">
        <w:rPr>
          <w:rFonts w:ascii="Times New Roman" w:eastAsia="Times New Roman" w:hAnsi="Times New Roman" w:cs="Times New Roman"/>
          <w:color w:val="000000"/>
          <w:sz w:val="24"/>
          <w:szCs w:val="24"/>
          <w:lang w:bidi="en-US"/>
        </w:rPr>
        <w:t>DuPont</w:t>
      </w:r>
      <w:proofErr w:type="spellEnd"/>
      <w:r w:rsidRPr="00D84719">
        <w:rPr>
          <w:rFonts w:ascii="Times New Roman" w:eastAsia="Times New Roman" w:hAnsi="Times New Roman" w:cs="Times New Roman"/>
          <w:color w:val="000000"/>
          <w:sz w:val="24"/>
          <w:szCs w:val="24"/>
          <w:lang w:bidi="en-US"/>
        </w:rPr>
        <w:t xml:space="preserve"> (Republika Irska) nastavljena proizvodnja, ali s vrlo smanjenim kapacitetima. Danas je proizvodnja PCN-a potpuno zabranjena te je isti moguće pronaći samo u proizvodnim sustavima tvrtke </w:t>
      </w:r>
      <w:proofErr w:type="spellStart"/>
      <w:r w:rsidRPr="00D84719">
        <w:rPr>
          <w:rFonts w:ascii="Times New Roman" w:eastAsia="Times New Roman" w:hAnsi="Times New Roman" w:cs="Times New Roman"/>
          <w:color w:val="000000"/>
          <w:sz w:val="24"/>
          <w:szCs w:val="24"/>
          <w:lang w:bidi="en-US"/>
        </w:rPr>
        <w:t>Ukrgeochem</w:t>
      </w:r>
      <w:proofErr w:type="spellEnd"/>
      <w:r w:rsidRPr="00D84719">
        <w:rPr>
          <w:rFonts w:ascii="Times New Roman" w:eastAsia="Times New Roman" w:hAnsi="Times New Roman" w:cs="Times New Roman"/>
          <w:color w:val="000000"/>
          <w:sz w:val="24"/>
          <w:szCs w:val="24"/>
          <w:lang w:bidi="en-US"/>
        </w:rPr>
        <w:t xml:space="preserve"> u </w:t>
      </w:r>
      <w:proofErr w:type="spellStart"/>
      <w:r w:rsidRPr="00D84719">
        <w:rPr>
          <w:rFonts w:ascii="Times New Roman" w:eastAsia="Times New Roman" w:hAnsi="Times New Roman" w:cs="Times New Roman"/>
          <w:color w:val="000000"/>
          <w:sz w:val="24"/>
          <w:szCs w:val="24"/>
          <w:lang w:bidi="en-US"/>
        </w:rPr>
        <w:t>Simferopolu</w:t>
      </w:r>
      <w:proofErr w:type="spellEnd"/>
      <w:r w:rsidRPr="00D84719">
        <w:rPr>
          <w:rFonts w:ascii="Times New Roman" w:eastAsia="Times New Roman" w:hAnsi="Times New Roman" w:cs="Times New Roman"/>
          <w:color w:val="000000"/>
          <w:sz w:val="24"/>
          <w:szCs w:val="24"/>
          <w:lang w:bidi="en-US"/>
        </w:rPr>
        <w:t>.</w:t>
      </w:r>
    </w:p>
    <w:p w14:paraId="7BF80874"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Informacije o zamjeni i alternativama iznimno su ograničene, budući da se PCN-i više ne koriste. Proizvodnja PCN-a počela je opadati s korištenjem plastike kao izolacijskim materijalom i upotrebom PCB-a za dielektrike u transformatorima.</w:t>
      </w:r>
    </w:p>
    <w:p w14:paraId="7569368F"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 xml:space="preserve">PCN-i se trenutno formiraju uglavnom nenamjerno tijekom različitih toplinskih procesa, kao što je spaljivanje krutog komunalnog otpada, spaljivanje bolničkog otpada, kućno sagorijevanje ili tijekom različitih postupaka obrade metala, kao što je proizvodnja sekundarnog bakra, sekundarnog aluminija, proizvodnja magnezija, postupci sinteriranja željeza i elektrolučnih </w:t>
      </w:r>
      <w:r w:rsidRPr="00D84719">
        <w:rPr>
          <w:rFonts w:ascii="Times New Roman" w:eastAsia="Times New Roman" w:hAnsi="Times New Roman" w:cs="Times New Roman"/>
          <w:color w:val="000000"/>
          <w:sz w:val="24"/>
          <w:szCs w:val="24"/>
          <w:lang w:bidi="en-US"/>
        </w:rPr>
        <w:lastRenderedPageBreak/>
        <w:t>peći za proizvodnju željeza. Pojava PCN-a moguća je kod požara te nepotpunog sagorijevanja. Međutim, u vremenu široke proizvodnje omjer proizvedenih i prirodno nastalih PCN-a iznosi 1:10 000.</w:t>
      </w:r>
    </w:p>
    <w:p w14:paraId="605F05DB"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 xml:space="preserve">Iako je proizvodnja PCN-a u Europi prestala, još uvijek se može nenamjerno proizvesti u pojedinim industrijskim aktivnostima. U takvim je aktivnostima, ako se dostižu pragovi iz IED-a, obvezna primjena najboljih raspoloživih tehnika za sprječavanje i smanjenje emisija te utjecaja na okoliš u cjelini. Industrijsko postrojenje mora za svoj rad dobiti dozvolu nadležnog tijela </w:t>
      </w:r>
      <w:r w:rsidRPr="00D84719">
        <w:rPr>
          <w:rFonts w:ascii="Times New Roman" w:eastAsia="Times New Roman" w:hAnsi="Times New Roman" w:cs="Times New Roman"/>
          <w:color w:val="000000"/>
          <w:sz w:val="24"/>
          <w:szCs w:val="24"/>
        </w:rPr>
        <w:t xml:space="preserve">državne uprave </w:t>
      </w:r>
      <w:r w:rsidRPr="00D84719">
        <w:rPr>
          <w:rFonts w:ascii="Times New Roman" w:eastAsia="Times New Roman" w:hAnsi="Times New Roman" w:cs="Times New Roman"/>
          <w:color w:val="000000"/>
          <w:sz w:val="24"/>
          <w:szCs w:val="24"/>
          <w:lang w:bidi="en-US"/>
        </w:rPr>
        <w:t>države članice. Te dozvole moraju sadržavati granične vrijednosti emisija za onečišćujuće tvari navedene u Prilogu II. IED, kao i za ostale tvari za koje je vjerojatno da će biti emitirane u značajnim količinama, uzimajući u obzir njihovu prirodu i njihov potencijal za prijenos onečišćenja s jednog medija na drugi.</w:t>
      </w:r>
    </w:p>
    <w:p w14:paraId="387090C7" w14:textId="0FE712A6"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Stavljanje na tržište ili uporaba PCN-a kao tvari, kao sastavnog dijela drugih tvari ili smjesa u koncentracijama od 0</w:t>
      </w:r>
      <w:r w:rsidR="00CC46DE">
        <w:rPr>
          <w:rFonts w:ascii="Times New Roman" w:eastAsia="Times New Roman" w:hAnsi="Times New Roman" w:cs="Times New Roman"/>
          <w:color w:val="000000"/>
          <w:sz w:val="24"/>
          <w:szCs w:val="24"/>
          <w:lang w:bidi="en-US"/>
        </w:rPr>
        <w:t>,</w:t>
      </w:r>
      <w:r w:rsidRPr="00D84719">
        <w:rPr>
          <w:rFonts w:ascii="Times New Roman" w:eastAsia="Times New Roman" w:hAnsi="Times New Roman" w:cs="Times New Roman"/>
          <w:color w:val="000000"/>
          <w:sz w:val="24"/>
          <w:szCs w:val="24"/>
          <w:lang w:bidi="en-US"/>
        </w:rPr>
        <w:t>1</w:t>
      </w:r>
      <w:r w:rsidR="00D4589D">
        <w:rPr>
          <w:rFonts w:ascii="Times New Roman" w:eastAsia="Times New Roman" w:hAnsi="Times New Roman" w:cs="Times New Roman"/>
          <w:color w:val="000000"/>
          <w:sz w:val="24"/>
          <w:szCs w:val="24"/>
          <w:lang w:bidi="en-US"/>
        </w:rPr>
        <w:t xml:space="preserve"> %</w:t>
      </w:r>
      <w:r w:rsidRPr="00D84719">
        <w:rPr>
          <w:rFonts w:ascii="Times New Roman" w:eastAsia="Times New Roman" w:hAnsi="Times New Roman" w:cs="Times New Roman"/>
          <w:color w:val="000000"/>
          <w:sz w:val="24"/>
          <w:szCs w:val="24"/>
          <w:lang w:bidi="en-US"/>
        </w:rPr>
        <w:t xml:space="preserve"> masenog udjela ili više ograničava se na temelju unosa 22. u Prilogu XVII. Uredbe (EZ) broj 1907/2006 (REACH). Osim toga, stavljanje na tržište i uporaba PCN-a kao sredstva za zaštitu bilja i kao biocidnog proizvoda zabranjeni su na temelju Uredbe (EZ) broj 1107/2009, odnosno Uredbe (EU) broj 528/2012.</w:t>
      </w:r>
    </w:p>
    <w:p w14:paraId="516F038D"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 xml:space="preserve">Određene vrste PCN-a sklone su degradaciji uslijed sunčeve svjetlosti, ali i primjenom selektivnih mikroorganizama. Međutim, zbog izuzetno rasprostranjene upotrebe u prošlosti, nije isključena prisutnost PCN-a u okolišu. </w:t>
      </w:r>
    </w:p>
    <w:p w14:paraId="2AE80939"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 xml:space="preserve">Ne postoje informacije o prošloj uporabi PCN-a u Republici Hrvatskoj, ali kako PCN ima istu uporabu kao PCB, ne može se u potpunosti isključiti mogućnost povijesnog uvoza i upotrebe. Obustava moguće uporabe PCN-a pretpostavlja se u isto vrijeme kad je i obustavljena uporaba PCB-a. </w:t>
      </w:r>
    </w:p>
    <w:p w14:paraId="22B690BF"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p>
    <w:p w14:paraId="50DBBC56" w14:textId="77777777" w:rsidR="00D84719" w:rsidRPr="00D84719" w:rsidRDefault="00D84719" w:rsidP="00970344">
      <w:pPr>
        <w:pStyle w:val="Naslov4"/>
      </w:pPr>
      <w:bookmarkStart w:id="106" w:name="_Toc41638259"/>
      <w:bookmarkStart w:id="107" w:name="_Toc64460710"/>
      <w:r w:rsidRPr="00D84719">
        <w:t>Dekabromodifenileter</w:t>
      </w:r>
      <w:bookmarkEnd w:id="106"/>
      <w:bookmarkEnd w:id="107"/>
      <w:r w:rsidRPr="00D84719">
        <w:t xml:space="preserve"> </w:t>
      </w:r>
    </w:p>
    <w:tbl>
      <w:tblPr>
        <w:tblW w:w="9498" w:type="dxa"/>
        <w:tblInd w:w="-284" w:type="dxa"/>
        <w:tblLook w:val="04A0" w:firstRow="1" w:lastRow="0" w:firstColumn="1" w:lastColumn="0" w:noHBand="0" w:noVBand="1"/>
      </w:tblPr>
      <w:tblGrid>
        <w:gridCol w:w="2127"/>
        <w:gridCol w:w="7371"/>
      </w:tblGrid>
      <w:tr w:rsidR="00D84719" w:rsidRPr="00D84719" w14:paraId="7B3596DB" w14:textId="77777777" w:rsidTr="00F831D6">
        <w:trPr>
          <w:trHeight w:val="1184"/>
        </w:trPr>
        <w:tc>
          <w:tcPr>
            <w:tcW w:w="2127" w:type="dxa"/>
          </w:tcPr>
          <w:p w14:paraId="18D51DFD" w14:textId="77777777" w:rsidR="00D84719" w:rsidRPr="00D84719" w:rsidRDefault="00D84719" w:rsidP="00D84719">
            <w:pPr>
              <w:spacing w:before="80" w:line="276" w:lineRule="auto"/>
              <w:jc w:val="right"/>
              <w:rPr>
                <w:rFonts w:ascii="Times New Roman" w:eastAsia="Times New Roman" w:hAnsi="Times New Roman" w:cs="Times New Roman"/>
                <w:color w:val="000000"/>
                <w:szCs w:val="24"/>
                <w:lang w:bidi="en-US"/>
              </w:rPr>
            </w:pPr>
            <w:r w:rsidRPr="00D84719">
              <w:rPr>
                <w:rFonts w:ascii="Times New Roman" w:eastAsia="Times New Roman" w:hAnsi="Times New Roman" w:cs="Times New Roman"/>
                <w:noProof/>
                <w:color w:val="000000"/>
                <w:szCs w:val="24"/>
                <w:lang w:eastAsia="hr-HR"/>
              </w:rPr>
              <w:drawing>
                <wp:inline distT="0" distB="0" distL="0" distR="0" wp14:anchorId="1AEF125E" wp14:editId="60A055B8">
                  <wp:extent cx="1080000" cy="611633"/>
                  <wp:effectExtent l="0" t="0" r="635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080000" cy="611633"/>
                          </a:xfrm>
                          <a:prstGeom prst="rect">
                            <a:avLst/>
                          </a:prstGeom>
                        </pic:spPr>
                      </pic:pic>
                    </a:graphicData>
                  </a:graphic>
                </wp:inline>
              </w:drawing>
            </w:r>
          </w:p>
        </w:tc>
        <w:tc>
          <w:tcPr>
            <w:tcW w:w="7371" w:type="dxa"/>
          </w:tcPr>
          <w:p w14:paraId="42EC3838" w14:textId="77777777" w:rsidR="00D84719" w:rsidRPr="00D84719" w:rsidRDefault="00D84719" w:rsidP="00CC46DE">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 xml:space="preserve">Dekabromodifenil eter (BDE-209) prisutan u komercijalnom dekabromodifenil eteru (c-dekaBDE) naveden je u Dodatku </w:t>
            </w:r>
            <w:r w:rsidR="00A64981">
              <w:rPr>
                <w:rFonts w:ascii="Times New Roman" w:eastAsia="Times New Roman" w:hAnsi="Times New Roman" w:cs="Times New Roman"/>
                <w:color w:val="000000"/>
                <w:sz w:val="24"/>
                <w:szCs w:val="24"/>
                <w:lang w:bidi="en-US"/>
              </w:rPr>
              <w:t>A</w:t>
            </w:r>
            <w:r w:rsidRPr="00D84719">
              <w:rPr>
                <w:rFonts w:ascii="Times New Roman" w:eastAsia="Times New Roman" w:hAnsi="Times New Roman" w:cs="Times New Roman"/>
                <w:color w:val="000000"/>
                <w:sz w:val="24"/>
                <w:szCs w:val="24"/>
                <w:lang w:bidi="en-US"/>
              </w:rPr>
              <w:t xml:space="preserve"> Konvencije s posebnim izuzećima. BDE-209 je bromirani ugljikovodik prstenaste strukture koji pripada skupini polibromiranih difenil etera (PBDE), opisanih poglavljem</w:t>
            </w:r>
            <w:r w:rsidR="00612979">
              <w:rPr>
                <w:rFonts w:ascii="Times New Roman" w:eastAsia="Times New Roman" w:hAnsi="Times New Roman" w:cs="Times New Roman"/>
                <w:color w:val="000000"/>
                <w:sz w:val="24"/>
                <w:szCs w:val="24"/>
                <w:lang w:bidi="en-US"/>
              </w:rPr>
              <w:t xml:space="preserve"> </w:t>
            </w:r>
            <w:r w:rsidRPr="00D84719">
              <w:rPr>
                <w:rFonts w:ascii="Times New Roman" w:eastAsia="Times New Roman" w:hAnsi="Times New Roman" w:cs="Times New Roman"/>
                <w:color w:val="000000"/>
                <w:sz w:val="24"/>
                <w:szCs w:val="24"/>
                <w:lang w:bidi="en-US"/>
              </w:rPr>
              <w:t>3.2.2.2 ovog dokumenta.</w:t>
            </w:r>
          </w:p>
        </w:tc>
      </w:tr>
    </w:tbl>
    <w:p w14:paraId="51E93995" w14:textId="12B65769"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Komercijalna smjesa prije svega se sastoji od potpuno bromiranog dekaBDE kongenera u rasponu koncentracija 77</w:t>
      </w:r>
      <w:r w:rsidR="00CC46DE">
        <w:rPr>
          <w:rFonts w:ascii="Times New Roman" w:eastAsia="Times New Roman" w:hAnsi="Times New Roman" w:cs="Times New Roman"/>
          <w:color w:val="000000"/>
          <w:sz w:val="24"/>
          <w:szCs w:val="24"/>
          <w:lang w:bidi="en-US"/>
        </w:rPr>
        <w:t>,</w:t>
      </w:r>
      <w:r w:rsidRPr="00D84719">
        <w:rPr>
          <w:rFonts w:ascii="Times New Roman" w:eastAsia="Times New Roman" w:hAnsi="Times New Roman" w:cs="Times New Roman"/>
          <w:color w:val="000000"/>
          <w:sz w:val="24"/>
          <w:szCs w:val="24"/>
          <w:lang w:bidi="en-US"/>
        </w:rPr>
        <w:t>4-98</w:t>
      </w:r>
      <w:r w:rsidR="00D4589D">
        <w:rPr>
          <w:rFonts w:ascii="Times New Roman" w:eastAsia="Times New Roman" w:hAnsi="Times New Roman" w:cs="Times New Roman"/>
          <w:color w:val="000000"/>
          <w:sz w:val="24"/>
          <w:szCs w:val="24"/>
          <w:lang w:bidi="en-US"/>
        </w:rPr>
        <w:t xml:space="preserve"> %</w:t>
      </w:r>
      <w:r w:rsidRPr="00D84719">
        <w:rPr>
          <w:rFonts w:ascii="Times New Roman" w:eastAsia="Times New Roman" w:hAnsi="Times New Roman" w:cs="Times New Roman"/>
          <w:color w:val="000000"/>
          <w:sz w:val="24"/>
          <w:szCs w:val="24"/>
          <w:lang w:bidi="en-US"/>
        </w:rPr>
        <w:t xml:space="preserve"> i manjih količina kongenera </w:t>
      </w:r>
      <w:proofErr w:type="spellStart"/>
      <w:r w:rsidRPr="00D84719">
        <w:rPr>
          <w:rFonts w:ascii="Times New Roman" w:eastAsia="Times New Roman" w:hAnsi="Times New Roman" w:cs="Times New Roman"/>
          <w:color w:val="000000"/>
          <w:sz w:val="24"/>
          <w:szCs w:val="24"/>
          <w:lang w:bidi="en-US"/>
        </w:rPr>
        <w:t>nonaBDE</w:t>
      </w:r>
      <w:proofErr w:type="spellEnd"/>
      <w:r w:rsidRPr="00D84719">
        <w:rPr>
          <w:rFonts w:ascii="Times New Roman" w:eastAsia="Times New Roman" w:hAnsi="Times New Roman" w:cs="Times New Roman"/>
          <w:color w:val="000000"/>
          <w:sz w:val="24"/>
          <w:szCs w:val="24"/>
          <w:lang w:bidi="en-US"/>
        </w:rPr>
        <w:t xml:space="preserve"> (0</w:t>
      </w:r>
      <w:r w:rsidR="00CC46DE">
        <w:rPr>
          <w:rFonts w:ascii="Times New Roman" w:eastAsia="Times New Roman" w:hAnsi="Times New Roman" w:cs="Times New Roman"/>
          <w:color w:val="000000"/>
          <w:sz w:val="24"/>
          <w:szCs w:val="24"/>
          <w:lang w:bidi="en-US"/>
        </w:rPr>
        <w:t>,</w:t>
      </w:r>
      <w:r w:rsidRPr="00D84719">
        <w:rPr>
          <w:rFonts w:ascii="Times New Roman" w:eastAsia="Times New Roman" w:hAnsi="Times New Roman" w:cs="Times New Roman"/>
          <w:color w:val="000000"/>
          <w:sz w:val="24"/>
          <w:szCs w:val="24"/>
          <w:lang w:bidi="en-US"/>
        </w:rPr>
        <w:t>3-21</w:t>
      </w:r>
      <w:r w:rsidR="00CC46DE">
        <w:rPr>
          <w:rFonts w:ascii="Times New Roman" w:eastAsia="Times New Roman" w:hAnsi="Times New Roman" w:cs="Times New Roman"/>
          <w:color w:val="000000"/>
          <w:sz w:val="24"/>
          <w:szCs w:val="24"/>
          <w:lang w:bidi="en-US"/>
        </w:rPr>
        <w:t>,</w:t>
      </w:r>
      <w:r w:rsidRPr="00D84719">
        <w:rPr>
          <w:rFonts w:ascii="Times New Roman" w:eastAsia="Times New Roman" w:hAnsi="Times New Roman" w:cs="Times New Roman"/>
          <w:color w:val="000000"/>
          <w:sz w:val="24"/>
          <w:szCs w:val="24"/>
          <w:lang w:bidi="en-US"/>
        </w:rPr>
        <w:t>8</w:t>
      </w:r>
      <w:r w:rsidR="00D4589D">
        <w:rPr>
          <w:rFonts w:ascii="Times New Roman" w:eastAsia="Times New Roman" w:hAnsi="Times New Roman" w:cs="Times New Roman"/>
          <w:color w:val="000000"/>
          <w:sz w:val="24"/>
          <w:szCs w:val="24"/>
          <w:lang w:bidi="en-US"/>
        </w:rPr>
        <w:t xml:space="preserve"> %</w:t>
      </w:r>
      <w:r w:rsidRPr="00D84719">
        <w:rPr>
          <w:rFonts w:ascii="Times New Roman" w:eastAsia="Times New Roman" w:hAnsi="Times New Roman" w:cs="Times New Roman"/>
          <w:color w:val="000000"/>
          <w:sz w:val="24"/>
          <w:szCs w:val="24"/>
          <w:lang w:bidi="en-US"/>
        </w:rPr>
        <w:t xml:space="preserve">) i </w:t>
      </w:r>
      <w:proofErr w:type="spellStart"/>
      <w:r w:rsidRPr="00D84719">
        <w:rPr>
          <w:rFonts w:ascii="Times New Roman" w:eastAsia="Times New Roman" w:hAnsi="Times New Roman" w:cs="Times New Roman"/>
          <w:color w:val="000000"/>
          <w:sz w:val="24"/>
          <w:szCs w:val="24"/>
          <w:lang w:bidi="en-US"/>
        </w:rPr>
        <w:t>oktaBDE</w:t>
      </w:r>
      <w:proofErr w:type="spellEnd"/>
      <w:r w:rsidRPr="00D84719">
        <w:rPr>
          <w:rFonts w:ascii="Times New Roman" w:eastAsia="Times New Roman" w:hAnsi="Times New Roman" w:cs="Times New Roman"/>
          <w:color w:val="000000"/>
          <w:sz w:val="24"/>
          <w:szCs w:val="24"/>
          <w:lang w:bidi="en-US"/>
        </w:rPr>
        <w:t xml:space="preserve"> (0-0</w:t>
      </w:r>
      <w:r w:rsidR="00CC46DE">
        <w:rPr>
          <w:rFonts w:ascii="Times New Roman" w:eastAsia="Times New Roman" w:hAnsi="Times New Roman" w:cs="Times New Roman"/>
          <w:color w:val="000000"/>
          <w:sz w:val="24"/>
          <w:szCs w:val="24"/>
          <w:lang w:bidi="en-US"/>
        </w:rPr>
        <w:t>,</w:t>
      </w:r>
      <w:r w:rsidRPr="00D84719">
        <w:rPr>
          <w:rFonts w:ascii="Times New Roman" w:eastAsia="Times New Roman" w:hAnsi="Times New Roman" w:cs="Times New Roman"/>
          <w:color w:val="000000"/>
          <w:sz w:val="24"/>
          <w:szCs w:val="24"/>
          <w:lang w:bidi="en-US"/>
        </w:rPr>
        <w:t>04</w:t>
      </w:r>
      <w:r w:rsidR="00D4589D">
        <w:rPr>
          <w:rFonts w:ascii="Times New Roman" w:eastAsia="Times New Roman" w:hAnsi="Times New Roman" w:cs="Times New Roman"/>
          <w:color w:val="000000"/>
          <w:sz w:val="24"/>
          <w:szCs w:val="24"/>
          <w:lang w:bidi="en-US"/>
        </w:rPr>
        <w:t xml:space="preserve"> %</w:t>
      </w:r>
      <w:r w:rsidRPr="00D84719">
        <w:rPr>
          <w:rFonts w:ascii="Times New Roman" w:eastAsia="Times New Roman" w:hAnsi="Times New Roman" w:cs="Times New Roman"/>
          <w:color w:val="000000"/>
          <w:sz w:val="24"/>
          <w:szCs w:val="24"/>
          <w:lang w:bidi="en-US"/>
        </w:rPr>
        <w:t xml:space="preserve">). C-dekaBDE je vrlo postojan u okolišu, ima veliki potencijal za bioakumulaciju i biomagnifikaciju te potencijal prijenosa na velike udaljenosti u okolišu. Nuspojave su zabilježene za organizme u tlu, ptice, ribe, žabe, štakore, miševe i ljude. </w:t>
      </w:r>
    </w:p>
    <w:p w14:paraId="7B52E3DD"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 xml:space="preserve">C-dekaBDE koristio se kao usporivač plamena u ekspandiranim polimerima, uglavnom u polistirenima, tekstilu, ljepilima, premazima i tintama te u različitim predmetima i proizvodima. Plastične mase koje sadrže BDE-209 koriste se u kućištima računala i televizora, žicama i kablovima, malim električnim komponentama, cijevima i tepisima. Komercijalno raspoloživa </w:t>
      </w:r>
      <w:r w:rsidRPr="00D84719">
        <w:rPr>
          <w:rFonts w:ascii="Times New Roman" w:eastAsia="Times New Roman" w:hAnsi="Times New Roman" w:cs="Times New Roman"/>
          <w:color w:val="000000"/>
          <w:sz w:val="24"/>
          <w:szCs w:val="24"/>
          <w:lang w:bidi="en-US"/>
        </w:rPr>
        <w:lastRenderedPageBreak/>
        <w:t xml:space="preserve">potrošnja BDE-209 dosegla je vrhunac početkom 2000-ih, ali se c-dekaBDE još uvijek opsežno koristi širom svijeta. Ostale uporabe plastike s usporivačem plamena c-dekaBDE nalaze se u zgradama, građevinskim materijalima, proizvodima za skladištenje i distribuciju, kao što su plastične palete, u sektoru prijevoza (automobili, zrakoplovi, vlakovi i brodovi). Očekuje se da će c-dekaBDE biti prisutan u plastici i tekstilu u nekoliko tokova otpada, kao što su otpadna vozila, e-otpad, tekstilni i mješoviti otpad. </w:t>
      </w:r>
    </w:p>
    <w:p w14:paraId="35FC9437"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Brojne kemijske alternative postoje na tržištu kao zamjena za c-dekaBDE kao što su: dekabromodifenil etan (DBDPE), bisfenol bis (difenil fosfat) (BDP / BAPP), rezorcinol bis (difenilfosfat) (RDP), etilen bis (tetrabromoftalimid) (EBTBP), magnezijev hidroksid (MDH), trifenil fosfat (TPP), aluminij trihidroksid (ATH), crveni fosfor, smjesa supstituiranog amin fosfata. Dostupne su i nekemijske alternative i tehnička rješenja kao što su nezapaljivi materijali i korištenje vatrootpornih barijera. Također postoje polimerni materijali koji su inherentno usporivači plamena i koji se mogu smatrati zamjenom za polimere na bazi c-dekaBDE kao što su poli(butilen tereftalat) (PBTE) ili poliamid/najlon (PA): poliketon bez halogena i termoplasti visokih performansi kao što su polisulfon, poliarileterketon (PAEK) ili polietersulfon (PES).</w:t>
      </w:r>
    </w:p>
    <w:p w14:paraId="35CED06E" w14:textId="19991252"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C-dekaBDE je namjerno proizvedena kemikalija koja se sastoji od potpuno bromiranog kongenera dekaBDE ili BDE-209 (≥ 90–97</w:t>
      </w:r>
      <w:r w:rsidR="00D4589D">
        <w:rPr>
          <w:rFonts w:ascii="Times New Roman" w:eastAsia="Times New Roman" w:hAnsi="Times New Roman" w:cs="Times New Roman"/>
          <w:color w:val="000000"/>
          <w:sz w:val="24"/>
          <w:szCs w:val="24"/>
          <w:lang w:bidi="en-US"/>
        </w:rPr>
        <w:t xml:space="preserve"> %</w:t>
      </w:r>
      <w:r w:rsidRPr="00D84719">
        <w:rPr>
          <w:rFonts w:ascii="Times New Roman" w:eastAsia="Times New Roman" w:hAnsi="Times New Roman" w:cs="Times New Roman"/>
          <w:color w:val="000000"/>
          <w:sz w:val="24"/>
          <w:szCs w:val="24"/>
          <w:lang w:bidi="en-US"/>
        </w:rPr>
        <w:t>) s malim količinama nona- i oktabromodifenil-etera. C-dekaBDE je pod istragom već više od deset godina zbog njegovih mogućih učinaka na zdravlje i okoliš te u nekim zemljama i regijama, kao i u nekim tvrtkama, podliježe ograničenjima i dobrovoljnim mjerama upravljanja rizikom. Međutim, c-dekaBDE-a se još proizvodi u nekoliko zemalja.</w:t>
      </w:r>
    </w:p>
    <w:p w14:paraId="5A1EEC9E"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Do emisija c-dekaBDE-a u okoliš dolazi u svim fazama njegova životnog ciklusa, ali se pretpostavlja da su najveće tijekom radnog vijeka opreme koja sadrži BDE i u fazi otpada. Iz podataka o praćenju vidljivo je da su razine c-dekaBDE-a općenito najviše u blizini ispusta otpadnih voda te u područjima oko postrojenja za elektronički otpad i recikliranje. Prosječan radni vijek električne i elektroničke opreme iznosi otprilike deset godina te će stoga u narednim godinama i dalje dolaziti do ispuštanja c-dekaBDE-a u okoliš iz proizvoda koji ga sadržavaju, a još su u upotrebi. Najučinkovitija kontrolna mjera za smanjenje ispuštanja c-dekaBDE-a i njegova glavnog sastavnog dijela BDE-209 bila bi uvrštenje BDE-209 (c-dekaBDE) u Prilog A. Konvenciji bez posebnih izuzeća.</w:t>
      </w:r>
    </w:p>
    <w:p w14:paraId="6F684F60"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 xml:space="preserve">Direktivom 2011/65/EU (Direktiva </w:t>
      </w:r>
      <w:proofErr w:type="spellStart"/>
      <w:r w:rsidRPr="00D84719">
        <w:rPr>
          <w:rFonts w:ascii="Times New Roman" w:eastAsia="Times New Roman" w:hAnsi="Times New Roman" w:cs="Times New Roman"/>
          <w:color w:val="000000"/>
          <w:sz w:val="24"/>
          <w:szCs w:val="24"/>
          <w:lang w:bidi="en-US"/>
        </w:rPr>
        <w:t>RoHS</w:t>
      </w:r>
      <w:proofErr w:type="spellEnd"/>
      <w:r w:rsidRPr="00D84719">
        <w:rPr>
          <w:rFonts w:ascii="Times New Roman" w:eastAsia="Times New Roman" w:hAnsi="Times New Roman" w:cs="Times New Roman"/>
          <w:color w:val="000000"/>
          <w:sz w:val="24"/>
          <w:szCs w:val="24"/>
          <w:lang w:bidi="en-US"/>
        </w:rPr>
        <w:t>) ograničava se upotreba dekabromodifenil-etera u električnoj i elektroničkoj opremi. Proizvodnja, stavljanje na tržište ili upotreba dekabromodifenil-etera (dekaBDE) kao tvari ili kao sastavnog dijela drugih tvari, smjesa i proizvoda ograničava se na temelju Uredbe Komisije (EU) 2017/227 o uspostavi novog unosa u Prilogu XVII. Uredbi (EZ) broj 1907/2006 Europskog parlamenta i Vijeća (REACH). Na temelju unosa 67. proizvodnja, stavljanje na tržište ili upotreba dekabromodifenil-etera dopušta se samo za proizvodnju zrakoplova do 2. ožujka</w:t>
      </w:r>
      <w:r w:rsidR="001B5C46">
        <w:rPr>
          <w:rFonts w:ascii="Times New Roman" w:eastAsia="Times New Roman" w:hAnsi="Times New Roman" w:cs="Times New Roman"/>
          <w:color w:val="000000"/>
          <w:sz w:val="24"/>
          <w:szCs w:val="24"/>
          <w:lang w:bidi="en-US"/>
        </w:rPr>
        <w:t xml:space="preserve"> 20</w:t>
      </w:r>
      <w:r w:rsidRPr="00D84719">
        <w:rPr>
          <w:rFonts w:ascii="Times New Roman" w:eastAsia="Times New Roman" w:hAnsi="Times New Roman" w:cs="Times New Roman"/>
          <w:color w:val="000000"/>
          <w:sz w:val="24"/>
          <w:szCs w:val="24"/>
          <w:lang w:bidi="en-US"/>
        </w:rPr>
        <w:t>27., za rezervne dijelove zrakoplova koji su proizvedeni prije isteka tog razdoblja te za proizvodnju rezervnih dijelova za motorna vozila, traktore za poljoprivredu i šumarstvo ili strojeve koji su proizvedeni prije 2. ožujka</w:t>
      </w:r>
      <w:r w:rsidR="001B5C46">
        <w:rPr>
          <w:rFonts w:ascii="Times New Roman" w:eastAsia="Times New Roman" w:hAnsi="Times New Roman" w:cs="Times New Roman"/>
          <w:color w:val="000000"/>
          <w:sz w:val="24"/>
          <w:szCs w:val="24"/>
          <w:lang w:bidi="en-US"/>
        </w:rPr>
        <w:t xml:space="preserve"> 20</w:t>
      </w:r>
      <w:r w:rsidRPr="00D84719">
        <w:rPr>
          <w:rFonts w:ascii="Times New Roman" w:eastAsia="Times New Roman" w:hAnsi="Times New Roman" w:cs="Times New Roman"/>
          <w:color w:val="000000"/>
          <w:sz w:val="24"/>
          <w:szCs w:val="24"/>
          <w:lang w:bidi="en-US"/>
        </w:rPr>
        <w:t xml:space="preserve">19. Uz to, izuzimaju se i električna i elektronička oprema obuhvaćene područjem primjene Direktive </w:t>
      </w:r>
      <w:proofErr w:type="spellStart"/>
      <w:r w:rsidRPr="00D84719">
        <w:rPr>
          <w:rFonts w:ascii="Times New Roman" w:eastAsia="Times New Roman" w:hAnsi="Times New Roman" w:cs="Times New Roman"/>
          <w:color w:val="000000"/>
          <w:sz w:val="24"/>
          <w:szCs w:val="24"/>
          <w:lang w:bidi="en-US"/>
        </w:rPr>
        <w:t>RoHS</w:t>
      </w:r>
      <w:proofErr w:type="spellEnd"/>
      <w:r w:rsidRPr="00D84719">
        <w:rPr>
          <w:rFonts w:ascii="Times New Roman" w:eastAsia="Times New Roman" w:hAnsi="Times New Roman" w:cs="Times New Roman"/>
          <w:color w:val="000000"/>
          <w:sz w:val="24"/>
          <w:szCs w:val="24"/>
          <w:lang w:bidi="en-US"/>
        </w:rPr>
        <w:t xml:space="preserve"> te proizvodi stavljeni na tržište prije 2. ožujka</w:t>
      </w:r>
      <w:r w:rsidR="001B5C46">
        <w:rPr>
          <w:rFonts w:ascii="Times New Roman" w:eastAsia="Times New Roman" w:hAnsi="Times New Roman" w:cs="Times New Roman"/>
          <w:color w:val="000000"/>
          <w:sz w:val="24"/>
          <w:szCs w:val="24"/>
          <w:lang w:bidi="en-US"/>
        </w:rPr>
        <w:t xml:space="preserve"> 20</w:t>
      </w:r>
      <w:r w:rsidRPr="00D84719">
        <w:rPr>
          <w:rFonts w:ascii="Times New Roman" w:eastAsia="Times New Roman" w:hAnsi="Times New Roman" w:cs="Times New Roman"/>
          <w:color w:val="000000"/>
          <w:sz w:val="24"/>
          <w:szCs w:val="24"/>
          <w:lang w:bidi="en-US"/>
        </w:rPr>
        <w:t xml:space="preserve">19., definirano u </w:t>
      </w:r>
      <w:r w:rsidRPr="00D84719">
        <w:rPr>
          <w:rFonts w:ascii="Times New Roman" w:eastAsia="Times New Roman" w:hAnsi="Times New Roman" w:cs="Times New Roman"/>
          <w:color w:val="000000"/>
          <w:sz w:val="24"/>
          <w:szCs w:val="24"/>
        </w:rPr>
        <w:t xml:space="preserve">Uredbi Komisije (EU) 2017/227 </w:t>
      </w:r>
      <w:proofErr w:type="spellStart"/>
      <w:r w:rsidRPr="00D84719">
        <w:rPr>
          <w:rFonts w:ascii="Times New Roman" w:eastAsia="Times New Roman" w:hAnsi="Times New Roman" w:cs="Times New Roman"/>
          <w:color w:val="000000"/>
          <w:sz w:val="24"/>
          <w:szCs w:val="24"/>
        </w:rPr>
        <w:t>оd</w:t>
      </w:r>
      <w:proofErr w:type="spellEnd"/>
      <w:r w:rsidRPr="00D84719">
        <w:rPr>
          <w:rFonts w:ascii="Times New Roman" w:eastAsia="Times New Roman" w:hAnsi="Times New Roman" w:cs="Times New Roman"/>
          <w:color w:val="000000"/>
          <w:sz w:val="24"/>
          <w:szCs w:val="24"/>
        </w:rPr>
        <w:t xml:space="preserve"> 9. veljače 2017. o izmjeni Priloga XVII. Uredbi (EZ) br. 1907/2006 Europskog </w:t>
      </w:r>
      <w:r w:rsidRPr="00D84719">
        <w:rPr>
          <w:rFonts w:ascii="Times New Roman" w:eastAsia="Times New Roman" w:hAnsi="Times New Roman" w:cs="Times New Roman"/>
          <w:color w:val="000000"/>
          <w:sz w:val="24"/>
          <w:szCs w:val="24"/>
        </w:rPr>
        <w:lastRenderedPageBreak/>
        <w:t>parlamenta i Vijeća o registraciji, evaluaciji, autorizaciji i ograničavanju kemikalija (REACH) u pogledu bis(pentabromofenil)etera (SL L 35, 10.2.2017., str. 6.).</w:t>
      </w:r>
    </w:p>
    <w:p w14:paraId="0FB9F7E2" w14:textId="77777777" w:rsidR="00D84719" w:rsidRPr="00D84719" w:rsidRDefault="00A61408" w:rsidP="00D84719">
      <w:pPr>
        <w:spacing w:before="80" w:line="276" w:lineRule="auto"/>
        <w:jc w:val="both"/>
        <w:rPr>
          <w:rFonts w:ascii="Times New Roman" w:eastAsia="Times New Roman" w:hAnsi="Times New Roman" w:cs="Times New Roman"/>
          <w:color w:val="000000"/>
          <w:sz w:val="24"/>
          <w:szCs w:val="24"/>
          <w:lang w:bidi="en-US"/>
        </w:rPr>
      </w:pPr>
      <w:r>
        <w:rPr>
          <w:rFonts w:ascii="Times New Roman" w:eastAsia="Times New Roman" w:hAnsi="Times New Roman" w:cs="Times New Roman"/>
          <w:color w:val="000000"/>
          <w:sz w:val="24"/>
          <w:szCs w:val="24"/>
          <w:lang w:bidi="en-US"/>
        </w:rPr>
        <w:t>N</w:t>
      </w:r>
      <w:r w:rsidRPr="00D84719">
        <w:rPr>
          <w:rFonts w:ascii="Times New Roman" w:eastAsia="Times New Roman" w:hAnsi="Times New Roman" w:cs="Times New Roman"/>
          <w:color w:val="000000"/>
          <w:sz w:val="24"/>
          <w:szCs w:val="24"/>
          <w:lang w:bidi="en-US"/>
        </w:rPr>
        <w:t xml:space="preserve">ema </w:t>
      </w:r>
      <w:r w:rsidR="00D84719" w:rsidRPr="00D84719">
        <w:rPr>
          <w:rFonts w:ascii="Times New Roman" w:eastAsia="Times New Roman" w:hAnsi="Times New Roman" w:cs="Times New Roman"/>
          <w:color w:val="000000"/>
          <w:sz w:val="24"/>
          <w:szCs w:val="24"/>
          <w:lang w:bidi="en-US"/>
        </w:rPr>
        <w:t>dostupnih podataka koji bi ukazivali da se c-dekaBDE koristio u Republici Hrvatskoj</w:t>
      </w:r>
      <w:r>
        <w:rPr>
          <w:rFonts w:ascii="Times New Roman" w:eastAsia="Times New Roman" w:hAnsi="Times New Roman" w:cs="Times New Roman"/>
          <w:color w:val="000000"/>
          <w:sz w:val="24"/>
          <w:szCs w:val="24"/>
          <w:lang w:bidi="en-US"/>
        </w:rPr>
        <w:t>.</w:t>
      </w:r>
      <w:r w:rsidR="00D84719" w:rsidRPr="00D84719">
        <w:rPr>
          <w:rFonts w:ascii="Times New Roman" w:eastAsia="Times New Roman" w:hAnsi="Times New Roman" w:cs="Times New Roman"/>
          <w:color w:val="000000"/>
          <w:sz w:val="24"/>
          <w:szCs w:val="24"/>
          <w:lang w:bidi="en-US"/>
        </w:rPr>
        <w:t xml:space="preserve"> </w:t>
      </w:r>
    </w:p>
    <w:p w14:paraId="6C67630E"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p>
    <w:p w14:paraId="554FF4A4" w14:textId="77777777" w:rsidR="00D84719" w:rsidRPr="00D84719" w:rsidRDefault="00D84719" w:rsidP="00522811">
      <w:pPr>
        <w:pStyle w:val="Naslov4"/>
      </w:pPr>
      <w:bookmarkStart w:id="108" w:name="_Toc41638260"/>
      <w:bookmarkStart w:id="109" w:name="_Toc64460711"/>
      <w:r w:rsidRPr="00D84719">
        <w:t>Kratkolančani klorirani parafini (SCCP</w:t>
      </w:r>
      <w:bookmarkEnd w:id="108"/>
      <w:r w:rsidRPr="00D84719">
        <w:t>)</w:t>
      </w:r>
      <w:bookmarkEnd w:id="109"/>
    </w:p>
    <w:tbl>
      <w:tblPr>
        <w:tblW w:w="9498" w:type="dxa"/>
        <w:tblInd w:w="-284" w:type="dxa"/>
        <w:tblLook w:val="04A0" w:firstRow="1" w:lastRow="0" w:firstColumn="1" w:lastColumn="0" w:noHBand="0" w:noVBand="1"/>
      </w:tblPr>
      <w:tblGrid>
        <w:gridCol w:w="2552"/>
        <w:gridCol w:w="6946"/>
      </w:tblGrid>
      <w:tr w:rsidR="00D84719" w:rsidRPr="00D84719" w14:paraId="0E029629" w14:textId="77777777" w:rsidTr="00F831D6">
        <w:trPr>
          <w:trHeight w:val="1184"/>
        </w:trPr>
        <w:tc>
          <w:tcPr>
            <w:tcW w:w="2552" w:type="dxa"/>
          </w:tcPr>
          <w:p w14:paraId="7769086C" w14:textId="77777777" w:rsidR="00D84719" w:rsidRPr="00D84719" w:rsidRDefault="00D84719" w:rsidP="00D84719">
            <w:pPr>
              <w:spacing w:before="80" w:line="276" w:lineRule="auto"/>
              <w:jc w:val="right"/>
              <w:rPr>
                <w:rFonts w:ascii="Times New Roman" w:eastAsia="Times New Roman" w:hAnsi="Times New Roman" w:cs="Times New Roman"/>
                <w:color w:val="000000"/>
                <w:szCs w:val="24"/>
                <w:lang w:bidi="en-US"/>
              </w:rPr>
            </w:pPr>
            <w:r w:rsidRPr="00D84719">
              <w:rPr>
                <w:rFonts w:ascii="Times New Roman" w:eastAsia="Times New Roman" w:hAnsi="Times New Roman" w:cs="Times New Roman"/>
                <w:noProof/>
                <w:color w:val="000000"/>
                <w:szCs w:val="24"/>
                <w:lang w:eastAsia="hr-HR"/>
              </w:rPr>
              <w:drawing>
                <wp:inline distT="0" distB="0" distL="0" distR="0" wp14:anchorId="02056F2E" wp14:editId="2586EA70">
                  <wp:extent cx="1368000" cy="518275"/>
                  <wp:effectExtent l="0" t="0" r="381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68000" cy="518275"/>
                          </a:xfrm>
                          <a:prstGeom prst="rect">
                            <a:avLst/>
                          </a:prstGeom>
                        </pic:spPr>
                      </pic:pic>
                    </a:graphicData>
                  </a:graphic>
                </wp:inline>
              </w:drawing>
            </w:r>
          </w:p>
        </w:tc>
        <w:tc>
          <w:tcPr>
            <w:tcW w:w="6946" w:type="dxa"/>
          </w:tcPr>
          <w:p w14:paraId="13751711"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 xml:space="preserve">Kratkolančani klorirani parafini (SCCP) navedeni su u Dodatku </w:t>
            </w:r>
            <w:r w:rsidR="00A64981">
              <w:rPr>
                <w:rFonts w:ascii="Times New Roman" w:eastAsia="Times New Roman" w:hAnsi="Times New Roman" w:cs="Times New Roman"/>
                <w:color w:val="000000"/>
                <w:sz w:val="24"/>
                <w:szCs w:val="24"/>
                <w:lang w:bidi="en-US"/>
              </w:rPr>
              <w:t>A</w:t>
            </w:r>
            <w:r w:rsidRPr="00D84719">
              <w:rPr>
                <w:rFonts w:ascii="Times New Roman" w:eastAsia="Times New Roman" w:hAnsi="Times New Roman" w:cs="Times New Roman"/>
                <w:color w:val="000000"/>
                <w:sz w:val="24"/>
                <w:szCs w:val="24"/>
                <w:lang w:bidi="en-US"/>
              </w:rPr>
              <w:t xml:space="preserve"> Konvencije s posebnim izuzećima. Klorirani parafini (CP) su složene smjese određenih organskih spojeva koji sadrže poliklorirane n-alkane, dok kratkolančani klorirani parafini imaju duljinu ugljikovog lanca od 10 do 13 C atoma.</w:t>
            </w:r>
          </w:p>
        </w:tc>
      </w:tr>
    </w:tbl>
    <w:p w14:paraId="1447521A"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 xml:space="preserve">SCCP-i su hidrolitički stabilni i dovoljno su postojani u zraku za prijenos na velike udaljenosti. Mnogi SCCP-i se mogu akumulirati u bioti. Zaključeno je da su SCCP-i vjerojatno zbog svog dalekosežnog prijenosa doveli do značajnih štetnih učinaka na okoliš i zdravlje ljudi. </w:t>
      </w:r>
    </w:p>
    <w:p w14:paraId="0F25738F"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 xml:space="preserve">Klorirani parafini nastaju kloriranjem parafinskih frakcija ravnog lanca. SCCP-i se primarno koriste u procesima obrade metala i polivinil klorida (PVC-a). SCCP-i se također koriste kao plastifikatori i usporivači plamena u različitim primjenama, uključujući boje, ljepila, plastiku, gumu, kožu, tekstil i polimerne materijale. Povijesno gledano, SCCP-i se koriste kao maziva i rashladna sredstva u tekućinama za obradu metala. Općenito, maziva koja su klorirani parafini ili sadrže aditive za klorirani parafin dizajnirana su za podmazivanje dijelova koji su izloženi ekstremnim pritiscima. </w:t>
      </w:r>
    </w:p>
    <w:p w14:paraId="2ACEECB3"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 xml:space="preserve">U nastojanju da se provedu održivi sustavi za obradu metala, industrija je postigla značajan napredak kroz razvoj maziva prilagođenih okolišu. Takva maziva su vrlo biorazgradiva, imaju nisku toksičnost i njihova je učinkovitost jednaka ili bolja od uobičajene alternative. </w:t>
      </w:r>
    </w:p>
    <w:p w14:paraId="5F5B47E5"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Postoje brojne klase maziva prilagođenih okolišu, uključujući biljne uljne sastojke (soja, bor, uljana repica, suncokret, kokos) koji se mogu koristiti u tradicionalnim formulacijama na bazi vode umjesto uobičajenih tekućina. Razvijene su alternativne tehnike, uključujući uporabu sustava na bazi plina, kao što je superkritični CO</w:t>
      </w:r>
      <w:r w:rsidRPr="00D84719">
        <w:rPr>
          <w:rFonts w:ascii="Times New Roman" w:eastAsia="Times New Roman" w:hAnsi="Times New Roman" w:cs="Times New Roman"/>
          <w:color w:val="000000"/>
          <w:sz w:val="24"/>
          <w:szCs w:val="24"/>
          <w:vertAlign w:val="subscript"/>
          <w:lang w:bidi="en-US"/>
        </w:rPr>
        <w:t>2</w:t>
      </w:r>
      <w:r w:rsidRPr="00D84719">
        <w:rPr>
          <w:rFonts w:ascii="Times New Roman" w:eastAsia="Times New Roman" w:hAnsi="Times New Roman" w:cs="Times New Roman"/>
          <w:color w:val="000000"/>
          <w:sz w:val="24"/>
          <w:szCs w:val="24"/>
          <w:lang w:bidi="en-US"/>
        </w:rPr>
        <w:t>. Superkritični CO</w:t>
      </w:r>
      <w:r w:rsidRPr="00D84719">
        <w:rPr>
          <w:rFonts w:ascii="Times New Roman" w:eastAsia="Times New Roman" w:hAnsi="Times New Roman" w:cs="Times New Roman"/>
          <w:color w:val="000000"/>
          <w:sz w:val="24"/>
          <w:szCs w:val="24"/>
          <w:vertAlign w:val="subscript"/>
          <w:lang w:bidi="en-US"/>
        </w:rPr>
        <w:t>2</w:t>
      </w:r>
      <w:r w:rsidRPr="00D84719">
        <w:rPr>
          <w:rFonts w:ascii="Times New Roman" w:eastAsia="Times New Roman" w:hAnsi="Times New Roman" w:cs="Times New Roman"/>
          <w:color w:val="000000"/>
          <w:sz w:val="24"/>
          <w:szCs w:val="24"/>
          <w:lang w:bidi="en-US"/>
        </w:rPr>
        <w:t xml:space="preserve"> se može kombinirati sa sojinim uljem kako bi se postigla bolja učinkovitost. </w:t>
      </w:r>
    </w:p>
    <w:p w14:paraId="4BE21739"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 xml:space="preserve">Drugi alternativni procesi uključuju suhu strojnu obradu, gdje nije potrebna rezna tekućina i kriogena obrada, gdje se koriste ukapljeni plinovi. </w:t>
      </w:r>
    </w:p>
    <w:p w14:paraId="3BA1C94A"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 xml:space="preserve">Nadalje, formulacije na biološkoj osnovi imaju potencijal smanjiti troškove obrade otpada za otpadne vode sustava za obradu metala i zdravstvene rizike na radu povezane sa sustavima za obradu metala na bazi nafte. Sintetička i polusintetička maziva, koja se često razrjeđuju vodom, a ne hlapljivim organskim otapalima, također mogu poslužiti kao alternative. Navedeni su neki od spojeva koji mogu poslužiti kao alternativa SCCP-ima u tekućinama za obradu metala: alkanolamidi, izopropil oleat, klorirani parafini srednjeg lanca, dugolančani klorirani parafini, nitrirani spojevi (npr. spoj </w:t>
      </w:r>
      <w:proofErr w:type="spellStart"/>
      <w:r w:rsidRPr="00D84719">
        <w:rPr>
          <w:rFonts w:ascii="Times New Roman" w:eastAsia="Times New Roman" w:hAnsi="Times New Roman" w:cs="Times New Roman"/>
          <w:color w:val="000000"/>
          <w:sz w:val="24"/>
          <w:szCs w:val="24"/>
          <w:lang w:bidi="en-US"/>
        </w:rPr>
        <w:t>Doverlube</w:t>
      </w:r>
      <w:proofErr w:type="spellEnd"/>
      <w:r w:rsidRPr="00D84719">
        <w:rPr>
          <w:rFonts w:ascii="Times New Roman" w:eastAsia="Times New Roman" w:hAnsi="Times New Roman" w:cs="Times New Roman"/>
          <w:color w:val="000000"/>
          <w:sz w:val="24"/>
          <w:szCs w:val="24"/>
          <w:lang w:bidi="en-US"/>
        </w:rPr>
        <w:t xml:space="preserve"> NCEP-dušik), kalcijevi sulfonati, PEP aditivi, propilen oksid, zamjene na bazi sumpora i fosfora. Kemijske tvari koje se mogu koristiti za zamjenu SCCP-a u procesima obrade polivinil klorida: akrilni polimeri, aluminijev trihidrat, aluminijev </w:t>
      </w:r>
      <w:r w:rsidRPr="00D84719">
        <w:rPr>
          <w:rFonts w:ascii="Times New Roman" w:eastAsia="Times New Roman" w:hAnsi="Times New Roman" w:cs="Times New Roman"/>
          <w:color w:val="000000"/>
          <w:sz w:val="24"/>
          <w:szCs w:val="24"/>
          <w:lang w:bidi="en-US"/>
        </w:rPr>
        <w:lastRenderedPageBreak/>
        <w:t>trihidroksid koji se koristi zajedno s antimon trioksidom, aluminijev trioksid, antimonov trioksid, klorirani parafini srednjeg lanca, dugolančani klorirani parafini, organofosforni usporivači plamena, ftalati, cink borat.</w:t>
      </w:r>
    </w:p>
    <w:p w14:paraId="48B3DEB8"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SCCP-i su postojani, bioakumulativni i toksični za vodene organizme u malim koncentracijama. Oni mogu ostati u okolišu značajno vrijeme i mogu se bioakumulirati u životinjskim tkivima, povećavajući vjerojatnost i trajanje izloženosti. Čak i relativno mala ispuštanja ovih kemikalija iz pojedinačnih postrojenja za proizvodnju, preradu ili gospodarenje otpadom mogu se tijekom vremena akumulirati na više razine i uzrokovati značajne štetne utjecaje na okoliš.</w:t>
      </w:r>
    </w:p>
    <w:p w14:paraId="37741395"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SCCP-i su izmjereni u različitim okolišnim medijima, uključujući zrak, sediment, površinske i otpadne vode. SCCP-i su analizirani u različitim divljim svojtama, uključujući slatkovodne vodene vrste, morske sisavce te ptice i kopnene divlje životinje. Nadalje, otkriveni su SCCP-i u uzorcima majčinog mlijeka iz Kanade i Ujedinjenog Kraljevstva, kao i u raznim prehrambenim artiklima iz Japana i raznih europskih regija.</w:t>
      </w:r>
    </w:p>
    <w:p w14:paraId="7B2013B1"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Do ispuštanja SCCP-a u okoliš može doći u svim fazama životnog ciklusa: za vrijeme proizvodnje, skladištenja, prijevoza, upotrebe i zbrinjavanja SCCP-a i proizvoda koji ih sadržavaju. Iako su podaci ograničeni, glavni izvori ispuštanja SCCP-a vjerojatno su formulacija i proizvodnja proizvoda koji sadržavaju SCCP-e kao što je PVC plastika i upotreba u tekućinama za obradu metala.</w:t>
      </w:r>
    </w:p>
    <w:p w14:paraId="18A061F8" w14:textId="38B73D65" w:rsidR="00AA5348" w:rsidRDefault="00D84719" w:rsidP="00AA5348">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SCCP-i su uvršteni u popis u Protokolu o postojanim organskim onečišćujućim tvarima uz Konvenciju o dalekosežnom prekograničnom onečišćenju zraka te se stoga od stranaka zahtijeva prestanak njihove proizvodnje i upotrebe. Na temelju onda važeće Uredbe Komisije (EU) broj 2015/2030 kojom se izmjenjuje Uredba (EZ) broj 850/2004 proizvodnja, stavljanje na tržište i upotreba SCCP-a zabranjeni su u Uniji. Međutim, primjenom odstupanja proizvodnja, stavljanje na tržište i upotreba tvari ili pripravaka koji sadržavaju SCCP-e u koncentracijama manjima od 1</w:t>
      </w:r>
      <w:r w:rsidR="00D4589D">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xml:space="preserve"> masenog udjela ili proizvoda koji sadržavaju SCCP-e u koncentracijama manjima od 0</w:t>
      </w:r>
      <w:r w:rsidR="00E81D17">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15</w:t>
      </w:r>
      <w:r w:rsidR="00D4589D">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xml:space="preserve"> masenog udjela još su dopušteni. Osim toga, upotreba je dopuštena u pogledu: (a) transportnih traka u rudarskoj industriji i sredstava za brtvljenje brana koji sadržavaju SCCP-e koji su već bili u upotrebi prije ili na dan 4. prosinca</w:t>
      </w:r>
      <w:r w:rsidR="001B5C46">
        <w:rPr>
          <w:rFonts w:ascii="Times New Roman" w:eastAsia="Times New Roman" w:hAnsi="Times New Roman" w:cs="Times New Roman"/>
          <w:color w:val="000000"/>
          <w:sz w:val="24"/>
          <w:szCs w:val="24"/>
        </w:rPr>
        <w:t xml:space="preserve"> 20</w:t>
      </w:r>
      <w:r w:rsidRPr="00D84719">
        <w:rPr>
          <w:rFonts w:ascii="Times New Roman" w:eastAsia="Times New Roman" w:hAnsi="Times New Roman" w:cs="Times New Roman"/>
          <w:color w:val="000000"/>
          <w:sz w:val="24"/>
          <w:szCs w:val="24"/>
        </w:rPr>
        <w:t>15.; (b) proizvoda koji sadržavaju SCCP-e osim onih navedenih u točki (a) koji su već bili u upotrebi prije ili na dan 10. srpnja 2012..</w:t>
      </w:r>
      <w:r w:rsidR="00612979">
        <w:rPr>
          <w:rFonts w:ascii="Times New Roman" w:eastAsia="Times New Roman" w:hAnsi="Times New Roman" w:cs="Times New Roman"/>
          <w:color w:val="000000"/>
          <w:sz w:val="24"/>
          <w:szCs w:val="24"/>
        </w:rPr>
        <w:t xml:space="preserve"> </w:t>
      </w:r>
      <w:r w:rsidR="00AA5348" w:rsidRPr="00AA5348">
        <w:rPr>
          <w:rFonts w:ascii="Times New Roman" w:eastAsia="Times New Roman" w:hAnsi="Times New Roman" w:cs="Times New Roman"/>
          <w:color w:val="000000"/>
          <w:sz w:val="24"/>
          <w:szCs w:val="24"/>
        </w:rPr>
        <w:t>Isto je regulirano i važećom POPs Uredbom.</w:t>
      </w:r>
      <w:r w:rsidR="00AA5348">
        <w:rPr>
          <w:rFonts w:ascii="Times New Roman" w:eastAsia="Times New Roman" w:hAnsi="Times New Roman" w:cs="Times New Roman"/>
          <w:color w:val="000000"/>
          <w:sz w:val="24"/>
          <w:szCs w:val="24"/>
        </w:rPr>
        <w:t xml:space="preserve"> </w:t>
      </w:r>
    </w:p>
    <w:p w14:paraId="5BDB1386" w14:textId="52EE8879" w:rsidR="00CD3A30" w:rsidRPr="00D84719" w:rsidRDefault="00CD3A30" w:rsidP="00AA5348">
      <w:pPr>
        <w:spacing w:before="8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Gledajući povijesni trend u Republici Hrvatskoj zabilježena je proizvodnja i uvoz </w:t>
      </w:r>
      <w:proofErr w:type="spellStart"/>
      <w:r>
        <w:rPr>
          <w:rFonts w:ascii="Times New Roman" w:eastAsia="Times New Roman" w:hAnsi="Times New Roman" w:cs="Times New Roman"/>
          <w:color w:val="000000"/>
          <w:sz w:val="24"/>
          <w:szCs w:val="24"/>
        </w:rPr>
        <w:t>alkana</w:t>
      </w:r>
      <w:proofErr w:type="spellEnd"/>
      <w:r w:rsidRPr="00AA5348">
        <w:rPr>
          <w:rFonts w:ascii="Times New Roman" w:eastAsia="Times New Roman" w:hAnsi="Times New Roman" w:cs="Times New Roman"/>
          <w:color w:val="000000"/>
          <w:sz w:val="24"/>
          <w:szCs w:val="24"/>
        </w:rPr>
        <w:t>, C10</w:t>
      </w:r>
      <w:r w:rsidRPr="00AA5348" w:rsidDel="00140A87">
        <w:rPr>
          <w:rFonts w:ascii="Times New Roman" w:eastAsia="Times New Roman" w:hAnsi="Times New Roman" w:cs="Times New Roman"/>
          <w:color w:val="000000"/>
          <w:sz w:val="24"/>
          <w:szCs w:val="24"/>
        </w:rPr>
        <w:t>-</w:t>
      </w:r>
      <w:r w:rsidRPr="00AA5348">
        <w:rPr>
          <w:rFonts w:ascii="Times New Roman" w:eastAsia="Times New Roman" w:hAnsi="Times New Roman" w:cs="Times New Roman"/>
          <w:color w:val="000000"/>
          <w:sz w:val="24"/>
          <w:szCs w:val="24"/>
        </w:rPr>
        <w:t xml:space="preserve">13, </w:t>
      </w:r>
      <w:proofErr w:type="spellStart"/>
      <w:r>
        <w:rPr>
          <w:rFonts w:ascii="Times New Roman" w:eastAsia="Times New Roman" w:hAnsi="Times New Roman" w:cs="Times New Roman"/>
          <w:color w:val="000000"/>
          <w:sz w:val="24"/>
          <w:szCs w:val="24"/>
        </w:rPr>
        <w:t>kloro</w:t>
      </w:r>
      <w:proofErr w:type="spellEnd"/>
      <w:r w:rsidRPr="00AA5348">
        <w:rPr>
          <w:rFonts w:ascii="Times New Roman" w:eastAsia="Times New Roman" w:hAnsi="Times New Roman" w:cs="Times New Roman"/>
          <w:color w:val="000000"/>
          <w:sz w:val="24"/>
          <w:szCs w:val="24"/>
        </w:rPr>
        <w:t xml:space="preserve"> (SCCP), CAS br. 85535-84-8</w:t>
      </w:r>
      <w:r>
        <w:rPr>
          <w:rFonts w:ascii="Times New Roman" w:eastAsia="Times New Roman" w:hAnsi="Times New Roman" w:cs="Times New Roman"/>
          <w:color w:val="000000"/>
          <w:sz w:val="24"/>
          <w:szCs w:val="24"/>
        </w:rPr>
        <w:t xml:space="preserve"> od 2010. do 2012</w:t>
      </w:r>
      <w:r w:rsidR="005C26B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kako slijedi: </w:t>
      </w:r>
      <w:r w:rsidRPr="00AA5348">
        <w:rPr>
          <w:rFonts w:ascii="Times New Roman" w:eastAsia="Times New Roman" w:hAnsi="Times New Roman" w:cs="Times New Roman"/>
          <w:b/>
          <w:color w:val="000000"/>
          <w:sz w:val="24"/>
          <w:szCs w:val="24"/>
        </w:rPr>
        <w:t>proizvodnja</w:t>
      </w:r>
      <w:r>
        <w:rPr>
          <w:rFonts w:ascii="Times New Roman" w:eastAsia="Times New Roman" w:hAnsi="Times New Roman" w:cs="Times New Roman"/>
          <w:color w:val="000000"/>
          <w:sz w:val="24"/>
          <w:szCs w:val="24"/>
        </w:rPr>
        <w:t xml:space="preserve"> </w:t>
      </w:r>
      <w:r w:rsidRPr="00AA5348">
        <w:rPr>
          <w:rFonts w:ascii="Times New Roman" w:eastAsia="Times New Roman" w:hAnsi="Times New Roman" w:cs="Times New Roman"/>
          <w:color w:val="000000"/>
          <w:sz w:val="24"/>
          <w:szCs w:val="24"/>
        </w:rPr>
        <w:t>2010. 240,00 kg (15</w:t>
      </w:r>
      <w:r w:rsidR="00D4589D">
        <w:rPr>
          <w:rFonts w:ascii="Times New Roman" w:eastAsia="Times New Roman" w:hAnsi="Times New Roman" w:cs="Times New Roman"/>
          <w:color w:val="000000"/>
          <w:sz w:val="24"/>
          <w:szCs w:val="24"/>
        </w:rPr>
        <w:t xml:space="preserve"> %</w:t>
      </w:r>
      <w:r w:rsidRPr="00AA534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AA5348">
        <w:rPr>
          <w:rFonts w:ascii="Times New Roman" w:eastAsia="Times New Roman" w:hAnsi="Times New Roman" w:cs="Times New Roman"/>
          <w:color w:val="000000"/>
          <w:sz w:val="24"/>
          <w:szCs w:val="24"/>
        </w:rPr>
        <w:t>36 kg</w:t>
      </w:r>
      <w:r>
        <w:rPr>
          <w:rFonts w:ascii="Times New Roman" w:eastAsia="Times New Roman" w:hAnsi="Times New Roman" w:cs="Times New Roman"/>
          <w:color w:val="000000"/>
          <w:sz w:val="24"/>
          <w:szCs w:val="24"/>
        </w:rPr>
        <w:t xml:space="preserve"> </w:t>
      </w:r>
      <w:r w:rsidRPr="00AA5348">
        <w:rPr>
          <w:rFonts w:ascii="Times New Roman" w:eastAsia="Times New Roman" w:hAnsi="Times New Roman" w:cs="Times New Roman"/>
          <w:color w:val="000000"/>
          <w:sz w:val="24"/>
          <w:szCs w:val="24"/>
        </w:rPr>
        <w:t xml:space="preserve">C10-13, </w:t>
      </w:r>
      <w:proofErr w:type="spellStart"/>
      <w:r>
        <w:rPr>
          <w:rFonts w:ascii="Times New Roman" w:eastAsia="Times New Roman" w:hAnsi="Times New Roman" w:cs="Times New Roman"/>
          <w:color w:val="000000"/>
          <w:sz w:val="24"/>
          <w:szCs w:val="24"/>
        </w:rPr>
        <w:t>kloro</w:t>
      </w:r>
      <w:proofErr w:type="spellEnd"/>
      <w:r>
        <w:rPr>
          <w:rFonts w:ascii="Times New Roman" w:eastAsia="Times New Roman" w:hAnsi="Times New Roman" w:cs="Times New Roman"/>
          <w:color w:val="000000"/>
          <w:sz w:val="24"/>
          <w:szCs w:val="24"/>
        </w:rPr>
        <w:t xml:space="preserve">; </w:t>
      </w:r>
      <w:r w:rsidRPr="00AA5348">
        <w:rPr>
          <w:rFonts w:ascii="Times New Roman" w:eastAsia="Times New Roman" w:hAnsi="Times New Roman" w:cs="Times New Roman"/>
          <w:color w:val="000000"/>
          <w:sz w:val="24"/>
          <w:szCs w:val="24"/>
        </w:rPr>
        <w:t>2011. 720,00 kg ( 15</w:t>
      </w:r>
      <w:r w:rsidR="00D4589D">
        <w:rPr>
          <w:rFonts w:ascii="Times New Roman" w:eastAsia="Times New Roman" w:hAnsi="Times New Roman" w:cs="Times New Roman"/>
          <w:color w:val="000000"/>
          <w:sz w:val="24"/>
          <w:szCs w:val="24"/>
        </w:rPr>
        <w:t xml:space="preserve"> %</w:t>
      </w:r>
      <w:r w:rsidRPr="00AA5348">
        <w:rPr>
          <w:rFonts w:ascii="Times New Roman" w:eastAsia="Times New Roman" w:hAnsi="Times New Roman" w:cs="Times New Roman"/>
          <w:color w:val="000000"/>
          <w:sz w:val="24"/>
          <w:szCs w:val="24"/>
        </w:rPr>
        <w:t xml:space="preserve">) 108 kg C10-13, </w:t>
      </w:r>
      <w:proofErr w:type="spellStart"/>
      <w:r>
        <w:rPr>
          <w:rFonts w:ascii="Times New Roman" w:eastAsia="Times New Roman" w:hAnsi="Times New Roman" w:cs="Times New Roman"/>
          <w:color w:val="000000"/>
          <w:sz w:val="24"/>
          <w:szCs w:val="24"/>
        </w:rPr>
        <w:t>kloro</w:t>
      </w:r>
      <w:proofErr w:type="spellEnd"/>
      <w:r>
        <w:rPr>
          <w:rFonts w:ascii="Times New Roman" w:eastAsia="Times New Roman" w:hAnsi="Times New Roman" w:cs="Times New Roman"/>
          <w:color w:val="000000"/>
          <w:sz w:val="24"/>
          <w:szCs w:val="24"/>
        </w:rPr>
        <w:t xml:space="preserve"> i </w:t>
      </w:r>
      <w:r w:rsidRPr="00AA5348">
        <w:rPr>
          <w:rFonts w:ascii="Times New Roman" w:eastAsia="Times New Roman" w:hAnsi="Times New Roman" w:cs="Times New Roman"/>
          <w:color w:val="000000"/>
          <w:sz w:val="24"/>
          <w:szCs w:val="24"/>
        </w:rPr>
        <w:t>2012. 2.160,00 kg (15</w:t>
      </w:r>
      <w:r w:rsidR="00D4589D">
        <w:rPr>
          <w:rFonts w:ascii="Times New Roman" w:eastAsia="Times New Roman" w:hAnsi="Times New Roman" w:cs="Times New Roman"/>
          <w:color w:val="000000"/>
          <w:sz w:val="24"/>
          <w:szCs w:val="24"/>
        </w:rPr>
        <w:t xml:space="preserve"> %</w:t>
      </w:r>
      <w:r w:rsidRPr="00AA5348">
        <w:rPr>
          <w:rFonts w:ascii="Times New Roman" w:eastAsia="Times New Roman" w:hAnsi="Times New Roman" w:cs="Times New Roman"/>
          <w:color w:val="000000"/>
          <w:sz w:val="24"/>
          <w:szCs w:val="24"/>
        </w:rPr>
        <w:t xml:space="preserve">) 324 kg C10-13, </w:t>
      </w:r>
      <w:proofErr w:type="spellStart"/>
      <w:r>
        <w:rPr>
          <w:rFonts w:ascii="Times New Roman" w:eastAsia="Times New Roman" w:hAnsi="Times New Roman" w:cs="Times New Roman"/>
          <w:color w:val="000000"/>
          <w:sz w:val="24"/>
          <w:szCs w:val="24"/>
        </w:rPr>
        <w:t>kloro</w:t>
      </w:r>
      <w:proofErr w:type="spellEnd"/>
      <w:r>
        <w:rPr>
          <w:rFonts w:ascii="Times New Roman" w:eastAsia="Times New Roman" w:hAnsi="Times New Roman" w:cs="Times New Roman"/>
          <w:color w:val="000000"/>
          <w:sz w:val="24"/>
          <w:szCs w:val="24"/>
        </w:rPr>
        <w:t xml:space="preserve">; </w:t>
      </w:r>
      <w:r w:rsidRPr="00AA5348">
        <w:rPr>
          <w:rFonts w:ascii="Times New Roman" w:eastAsia="Times New Roman" w:hAnsi="Times New Roman" w:cs="Times New Roman"/>
          <w:b/>
          <w:color w:val="000000"/>
          <w:sz w:val="24"/>
          <w:szCs w:val="24"/>
        </w:rPr>
        <w:t>uvoz</w:t>
      </w:r>
      <w:r>
        <w:rPr>
          <w:rFonts w:ascii="Times New Roman" w:eastAsia="Times New Roman" w:hAnsi="Times New Roman" w:cs="Times New Roman"/>
          <w:color w:val="000000"/>
          <w:sz w:val="24"/>
          <w:szCs w:val="24"/>
        </w:rPr>
        <w:t xml:space="preserve"> </w:t>
      </w:r>
      <w:r w:rsidRPr="00AA5348">
        <w:rPr>
          <w:rFonts w:ascii="Times New Roman" w:eastAsia="Times New Roman" w:hAnsi="Times New Roman" w:cs="Times New Roman"/>
          <w:color w:val="000000"/>
          <w:sz w:val="24"/>
          <w:szCs w:val="24"/>
        </w:rPr>
        <w:t>2010. 4.275,00 kg</w:t>
      </w:r>
      <w:r>
        <w:rPr>
          <w:rFonts w:ascii="Times New Roman" w:eastAsia="Times New Roman" w:hAnsi="Times New Roman" w:cs="Times New Roman"/>
          <w:color w:val="000000"/>
          <w:sz w:val="24"/>
          <w:szCs w:val="24"/>
        </w:rPr>
        <w:t xml:space="preserve"> </w:t>
      </w:r>
      <w:r w:rsidRPr="00AA5348">
        <w:rPr>
          <w:rFonts w:ascii="Times New Roman" w:eastAsia="Times New Roman" w:hAnsi="Times New Roman" w:cs="Times New Roman"/>
          <w:color w:val="000000"/>
          <w:sz w:val="24"/>
          <w:szCs w:val="24"/>
        </w:rPr>
        <w:t xml:space="preserve">C10-13, </w:t>
      </w:r>
      <w:proofErr w:type="spellStart"/>
      <w:r>
        <w:rPr>
          <w:rFonts w:ascii="Times New Roman" w:eastAsia="Times New Roman" w:hAnsi="Times New Roman" w:cs="Times New Roman"/>
          <w:color w:val="000000"/>
          <w:sz w:val="24"/>
          <w:szCs w:val="24"/>
        </w:rPr>
        <w:t>kloro</w:t>
      </w:r>
      <w:proofErr w:type="spellEnd"/>
      <w:r>
        <w:rPr>
          <w:rFonts w:ascii="Times New Roman" w:eastAsia="Times New Roman" w:hAnsi="Times New Roman" w:cs="Times New Roman"/>
          <w:color w:val="000000"/>
          <w:sz w:val="24"/>
          <w:szCs w:val="24"/>
        </w:rPr>
        <w:t xml:space="preserve">; </w:t>
      </w:r>
      <w:r w:rsidRPr="00AA5348">
        <w:rPr>
          <w:rFonts w:ascii="Times New Roman" w:eastAsia="Times New Roman" w:hAnsi="Times New Roman" w:cs="Times New Roman"/>
          <w:color w:val="000000"/>
          <w:sz w:val="24"/>
          <w:szCs w:val="24"/>
        </w:rPr>
        <w:t>2011. 4.560,00 kg</w:t>
      </w:r>
      <w:r>
        <w:rPr>
          <w:rFonts w:ascii="Times New Roman" w:eastAsia="Times New Roman" w:hAnsi="Times New Roman" w:cs="Times New Roman"/>
          <w:color w:val="000000"/>
          <w:sz w:val="24"/>
          <w:szCs w:val="24"/>
        </w:rPr>
        <w:t xml:space="preserve"> </w:t>
      </w:r>
      <w:r w:rsidRPr="00AA5348">
        <w:rPr>
          <w:rFonts w:ascii="Times New Roman" w:eastAsia="Times New Roman" w:hAnsi="Times New Roman" w:cs="Times New Roman"/>
          <w:color w:val="000000"/>
          <w:sz w:val="24"/>
          <w:szCs w:val="24"/>
        </w:rPr>
        <w:t xml:space="preserve">C10-13, </w:t>
      </w:r>
      <w:proofErr w:type="spellStart"/>
      <w:r>
        <w:rPr>
          <w:rFonts w:ascii="Times New Roman" w:eastAsia="Times New Roman" w:hAnsi="Times New Roman" w:cs="Times New Roman"/>
          <w:color w:val="000000"/>
          <w:sz w:val="24"/>
          <w:szCs w:val="24"/>
        </w:rPr>
        <w:t>kloro</w:t>
      </w:r>
      <w:proofErr w:type="spellEnd"/>
      <w:r>
        <w:rPr>
          <w:rFonts w:ascii="Times New Roman" w:eastAsia="Times New Roman" w:hAnsi="Times New Roman" w:cs="Times New Roman"/>
          <w:color w:val="000000"/>
          <w:sz w:val="24"/>
          <w:szCs w:val="24"/>
        </w:rPr>
        <w:t xml:space="preserve"> i </w:t>
      </w:r>
      <w:r w:rsidRPr="00AA5348">
        <w:rPr>
          <w:rFonts w:ascii="Times New Roman" w:eastAsia="Times New Roman" w:hAnsi="Times New Roman" w:cs="Times New Roman"/>
          <w:color w:val="000000"/>
          <w:sz w:val="24"/>
          <w:szCs w:val="24"/>
        </w:rPr>
        <w:t>2012. 9.120,00 kg</w:t>
      </w:r>
      <w:r>
        <w:rPr>
          <w:rFonts w:ascii="Times New Roman" w:eastAsia="Times New Roman" w:hAnsi="Times New Roman" w:cs="Times New Roman"/>
          <w:color w:val="000000"/>
          <w:sz w:val="24"/>
          <w:szCs w:val="24"/>
        </w:rPr>
        <w:t xml:space="preserve"> </w:t>
      </w:r>
      <w:r w:rsidRPr="00AA5348">
        <w:rPr>
          <w:rFonts w:ascii="Times New Roman" w:eastAsia="Times New Roman" w:hAnsi="Times New Roman" w:cs="Times New Roman"/>
          <w:color w:val="000000"/>
          <w:sz w:val="24"/>
          <w:szCs w:val="24"/>
        </w:rPr>
        <w:t xml:space="preserve">C10-13, </w:t>
      </w:r>
      <w:proofErr w:type="spellStart"/>
      <w:r>
        <w:rPr>
          <w:rFonts w:ascii="Times New Roman" w:eastAsia="Times New Roman" w:hAnsi="Times New Roman" w:cs="Times New Roman"/>
          <w:color w:val="000000"/>
          <w:sz w:val="24"/>
          <w:szCs w:val="24"/>
        </w:rPr>
        <w:t>kloro</w:t>
      </w:r>
      <w:proofErr w:type="spellEnd"/>
      <w:r>
        <w:rPr>
          <w:rFonts w:ascii="Times New Roman" w:eastAsia="Times New Roman" w:hAnsi="Times New Roman" w:cs="Times New Roman"/>
          <w:color w:val="000000"/>
          <w:sz w:val="24"/>
          <w:szCs w:val="24"/>
        </w:rPr>
        <w:t>. Od 2013. proizvodnja kao ni uvoz u Republiku Hrvatsku nije zabilježen niti postoje nova saznanja o mogućim zalihama.</w:t>
      </w:r>
    </w:p>
    <w:p w14:paraId="7E88F0DD" w14:textId="77777777" w:rsidR="00CD3A30" w:rsidRDefault="00CD3A30"/>
    <w:p w14:paraId="668D51C8" w14:textId="77777777" w:rsidR="00D84719" w:rsidRPr="00D84719" w:rsidRDefault="00D84719" w:rsidP="00D84719">
      <w:pPr>
        <w:spacing w:before="80" w:line="276" w:lineRule="auto"/>
        <w:jc w:val="both"/>
        <w:rPr>
          <w:rFonts w:ascii="Times New Roman" w:eastAsia="Times New Roman" w:hAnsi="Times New Roman" w:cs="Times New Roman"/>
          <w:sz w:val="24"/>
          <w:szCs w:val="24"/>
        </w:rPr>
      </w:pPr>
    </w:p>
    <w:p w14:paraId="56875D77" w14:textId="77777777" w:rsidR="00D84719" w:rsidRPr="00D84719" w:rsidRDefault="00D84719" w:rsidP="00522811">
      <w:pPr>
        <w:pStyle w:val="Naslov3"/>
      </w:pPr>
      <w:bookmarkStart w:id="110" w:name="_Toc41638261"/>
      <w:bookmarkStart w:id="111" w:name="_Toc64460712"/>
      <w:r w:rsidRPr="00D84719">
        <w:lastRenderedPageBreak/>
        <w:t>UPOPS USVOJENI NA COP-7 I COP-8</w:t>
      </w:r>
      <w:bookmarkEnd w:id="110"/>
      <w:bookmarkEnd w:id="111"/>
    </w:p>
    <w:p w14:paraId="22198915"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 xml:space="preserve">HCBD, pentaklorofenol, njegovi esteri i soli, PCN, dekaBDE te SCCP spadaju u </w:t>
      </w:r>
      <w:proofErr w:type="spellStart"/>
      <w:r w:rsidRPr="00D84719">
        <w:rPr>
          <w:rFonts w:ascii="Times New Roman" w:eastAsia="Times New Roman" w:hAnsi="Times New Roman" w:cs="Times New Roman"/>
          <w:color w:val="000000"/>
          <w:sz w:val="24"/>
          <w:szCs w:val="24"/>
        </w:rPr>
        <w:t>UPOPs</w:t>
      </w:r>
      <w:proofErr w:type="spellEnd"/>
      <w:r w:rsidRPr="00D84719">
        <w:rPr>
          <w:rFonts w:ascii="Times New Roman" w:eastAsia="Times New Roman" w:hAnsi="Times New Roman" w:cs="Times New Roman"/>
          <w:color w:val="000000"/>
          <w:sz w:val="24"/>
          <w:szCs w:val="24"/>
        </w:rPr>
        <w:t xml:space="preserve">-ove koji mogu biti proizvedeni kao nusproizvodi i kao takvi ispušteni iz antropogenih izvora, koji su utvrđeni u Dodatku </w:t>
      </w:r>
      <w:r w:rsidR="00A64981">
        <w:rPr>
          <w:rFonts w:ascii="Times New Roman" w:eastAsia="Times New Roman" w:hAnsi="Times New Roman" w:cs="Times New Roman"/>
          <w:color w:val="000000"/>
          <w:sz w:val="24"/>
          <w:szCs w:val="24"/>
        </w:rPr>
        <w:t>C</w:t>
      </w:r>
      <w:r w:rsidRPr="00D84719">
        <w:rPr>
          <w:rFonts w:ascii="Times New Roman" w:eastAsia="Times New Roman" w:hAnsi="Times New Roman" w:cs="Times New Roman"/>
          <w:color w:val="000000"/>
          <w:sz w:val="24"/>
          <w:szCs w:val="24"/>
        </w:rPr>
        <w:t xml:space="preserve"> Stockholmske konvencije. Svi navedeni spojevi uključuju organske tvari koje sadrže halogenide i koji nastaju uglavnom termičkim postupcima ili pak kao rezultat nepotpunog sagorijevanja ili samih kemijskih reakcija.</w:t>
      </w:r>
    </w:p>
    <w:p w14:paraId="48AC9EDB"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 xml:space="preserve">O navedenim tvarima/spojevima već je u samom dokumentu definiran njihov negativni utjecaj na zdravlje čovjeka i utjecaj na okoliš. </w:t>
      </w:r>
    </w:p>
    <w:p w14:paraId="21570230"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 xml:space="preserve">Međutim, zajedničko za sve navedene tvari je da se i administrativnim postupcima, ali i pravilnim postupanjem s istima smanjilo ili potpuno eliminiralo prisustvo navedenih kemikalija na način da mogu negativno utjecati na zdravlje čovjeka i negativni utjecaj na okoliš generalno. </w:t>
      </w:r>
    </w:p>
    <w:p w14:paraId="21FBC1FB"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 xml:space="preserve">Niti jedna od navedenih tvari se u Republici Hrvatskoj nije proizvodila namjerno, dok se o sporadičnim slučajevima nenamjerne proizvodnje može govoriti samo u kontekstu nepotpunog izgaranja ili pak požara. </w:t>
      </w:r>
    </w:p>
    <w:p w14:paraId="524D8C28"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p>
    <w:p w14:paraId="0406A96F" w14:textId="77777777" w:rsidR="00D84719" w:rsidRPr="00D84719" w:rsidRDefault="00D84719" w:rsidP="00522811">
      <w:pPr>
        <w:pStyle w:val="Naslov2"/>
      </w:pPr>
      <w:bookmarkStart w:id="112" w:name="_Toc41638262"/>
      <w:bookmarkStart w:id="113" w:name="_Toc64460713"/>
      <w:r w:rsidRPr="00D84719">
        <w:t>Procjena i inventar nenamjerne proizvodnje i ispuštanja kemikalija</w:t>
      </w:r>
      <w:bookmarkEnd w:id="112"/>
      <w:bookmarkEnd w:id="113"/>
    </w:p>
    <w:p w14:paraId="0E9EC512" w14:textId="77777777" w:rsidR="00D84719" w:rsidRPr="00D84719" w:rsidRDefault="00D84719" w:rsidP="00D84719">
      <w:pPr>
        <w:spacing w:before="240" w:after="240" w:line="276" w:lineRule="auto"/>
        <w:jc w:val="both"/>
        <w:rPr>
          <w:rFonts w:ascii="Times New Roman" w:eastAsia="Times New Roman" w:hAnsi="Times New Roman" w:cs="Times New Roman"/>
          <w:sz w:val="24"/>
          <w:szCs w:val="24"/>
          <w:lang w:bidi="en-US"/>
        </w:rPr>
      </w:pPr>
      <w:r w:rsidRPr="00D84719">
        <w:rPr>
          <w:rFonts w:ascii="Times New Roman" w:eastAsia="Times New Roman" w:hAnsi="Times New Roman" w:cs="Times New Roman"/>
          <w:sz w:val="24"/>
          <w:szCs w:val="24"/>
          <w:lang w:bidi="en-US"/>
        </w:rPr>
        <w:t xml:space="preserve">Poliklorirani dibenzo-p-dioksini (PCDD)/poliklorirani dibenzofurani (PCDF), heksaklorobenzen (HCB), poliklorirani bifenili (PCB), pentaklorobenzen (PeCB), poliklorirani naftaleni (PCN), heksaklorobutadien (HCBD) spadaju u POPs-ove koji mogu biti nenamjerno proizvedeni kao nusproizvodi i kao takvi ispušteni iz antropogenih izvora, koji su utvrđeni u Dodatku </w:t>
      </w:r>
      <w:r w:rsidR="00A64981">
        <w:rPr>
          <w:rFonts w:ascii="Times New Roman" w:eastAsia="Times New Roman" w:hAnsi="Times New Roman" w:cs="Times New Roman"/>
          <w:sz w:val="24"/>
          <w:szCs w:val="24"/>
          <w:lang w:bidi="en-US"/>
        </w:rPr>
        <w:t>C</w:t>
      </w:r>
      <w:r w:rsidRPr="00D84719">
        <w:rPr>
          <w:rFonts w:ascii="Times New Roman" w:eastAsia="Times New Roman" w:hAnsi="Times New Roman" w:cs="Times New Roman"/>
          <w:sz w:val="24"/>
          <w:szCs w:val="24"/>
          <w:lang w:bidi="en-US"/>
        </w:rPr>
        <w:t xml:space="preserve"> </w:t>
      </w:r>
      <w:r w:rsidRPr="00D84719">
        <w:rPr>
          <w:rFonts w:ascii="Times New Roman" w:eastAsia="Times New Roman" w:hAnsi="Times New Roman" w:cs="Times New Roman"/>
          <w:sz w:val="24"/>
          <w:szCs w:val="24"/>
        </w:rPr>
        <w:t>Stockholmske konvencije. Svi navedeni spojevi uključuju organske tvari koje sadrže halogenide i koji nastaju uglavnom termičkim postupcima ili pak kao rezultat nepotpunog sagorijevanja ili samih kemijskih reakcija.</w:t>
      </w:r>
    </w:p>
    <w:p w14:paraId="7BFAEA6C" w14:textId="77777777" w:rsidR="00D84719" w:rsidRPr="00D84719" w:rsidRDefault="00D84719" w:rsidP="00D84719">
      <w:pPr>
        <w:spacing w:before="240" w:after="240" w:line="276" w:lineRule="auto"/>
        <w:jc w:val="both"/>
        <w:rPr>
          <w:rFonts w:ascii="Times New Roman" w:eastAsia="Times New Roman" w:hAnsi="Times New Roman" w:cs="Times New Roman"/>
          <w:sz w:val="24"/>
          <w:szCs w:val="24"/>
        </w:rPr>
      </w:pPr>
      <w:r w:rsidRPr="00D84719">
        <w:rPr>
          <w:rFonts w:ascii="Times New Roman" w:eastAsia="Times New Roman" w:hAnsi="Times New Roman" w:cs="Times New Roman"/>
          <w:sz w:val="24"/>
          <w:szCs w:val="24"/>
        </w:rPr>
        <w:t>O navedenim tvarima već je u samom dokumentu definiran njihov negativni utjecaj na zdravlje čovjeka i utjecaj na okoliš. Međutim, zajedničko za sve navedene tvari je da se i administrativnim postupcima, ali i pravilnim postupanjem s istima smanjilo ili potpuno eliminiralo prisustvo navedenih tvari na način da mogu negativno utjecati na zdravlje čovjeka i imati negativni utjecaj na okoliš generalno.</w:t>
      </w:r>
    </w:p>
    <w:p w14:paraId="64003BDA" w14:textId="77777777" w:rsidR="00D84719" w:rsidRDefault="00D84719" w:rsidP="00D84719">
      <w:pPr>
        <w:spacing w:before="240" w:after="240" w:line="276" w:lineRule="auto"/>
        <w:jc w:val="both"/>
        <w:rPr>
          <w:rFonts w:ascii="Times New Roman" w:eastAsia="Times New Roman" w:hAnsi="Times New Roman" w:cs="Times New Roman"/>
          <w:sz w:val="24"/>
          <w:szCs w:val="24"/>
        </w:rPr>
      </w:pPr>
      <w:r w:rsidRPr="00D84719">
        <w:rPr>
          <w:rFonts w:ascii="Times New Roman" w:eastAsia="Times New Roman" w:hAnsi="Times New Roman" w:cs="Times New Roman"/>
          <w:sz w:val="24"/>
          <w:szCs w:val="24"/>
        </w:rPr>
        <w:t>Niti jedna od navedenih tvari se u Republici Hrvatskoj nije proizvodila namjerno, dok o sporadičnim slučajevima nenamjerne proizvodnje možemo govoriti samo u kontekstu nepotpunog izgaranja ili pak požara.</w:t>
      </w:r>
    </w:p>
    <w:p w14:paraId="7804F588" w14:textId="77777777" w:rsidR="00522811" w:rsidRPr="00D84719" w:rsidRDefault="00522811" w:rsidP="00D84719">
      <w:pPr>
        <w:spacing w:before="240" w:after="240" w:line="276" w:lineRule="auto"/>
        <w:jc w:val="both"/>
        <w:rPr>
          <w:rFonts w:ascii="Times New Roman" w:eastAsia="Times New Roman" w:hAnsi="Times New Roman" w:cs="Times New Roman"/>
          <w:sz w:val="24"/>
          <w:szCs w:val="24"/>
        </w:rPr>
      </w:pPr>
    </w:p>
    <w:p w14:paraId="714C4C5A" w14:textId="77777777" w:rsidR="00D84719" w:rsidRPr="00D84719" w:rsidRDefault="00D84719" w:rsidP="00522811">
      <w:pPr>
        <w:pStyle w:val="Naslov3"/>
      </w:pPr>
      <w:bookmarkStart w:id="114" w:name="_Toc41638263"/>
      <w:bookmarkStart w:id="115" w:name="_Toc64460714"/>
      <w:r w:rsidRPr="00D84719">
        <w:lastRenderedPageBreak/>
        <w:t xml:space="preserve">DOSADAŠNJA I PLANIRANA PRAĆENJA EMISIJA NENAMJERNO PROIZVEDENIH/ISPUŠTENIH POPS-OVA IZ DODATKA </w:t>
      </w:r>
      <w:r w:rsidR="00A64981">
        <w:t>C,</w:t>
      </w:r>
      <w:r w:rsidR="00612979">
        <w:t xml:space="preserve"> </w:t>
      </w:r>
      <w:r w:rsidRPr="00D84719">
        <w:t>PCDD/PCDF-A U OKOLIŠ U REPUBLICI HRVATSKOJ</w:t>
      </w:r>
      <w:bookmarkEnd w:id="114"/>
      <w:bookmarkEnd w:id="115"/>
      <w:r w:rsidRPr="00D84719">
        <w:t xml:space="preserve"> </w:t>
      </w:r>
    </w:p>
    <w:p w14:paraId="171A12E8" w14:textId="77777777" w:rsidR="00D84719" w:rsidRPr="00D84719" w:rsidRDefault="00D84719" w:rsidP="00522811">
      <w:pPr>
        <w:pStyle w:val="Naslov4"/>
      </w:pPr>
      <w:bookmarkStart w:id="116" w:name="_Toc41638265"/>
      <w:bookmarkStart w:id="117" w:name="_Toc64460715"/>
      <w:r w:rsidRPr="00D84719">
        <w:t>Praćenje emisija POPs-ova sukladno obvezama LRTAP Konvencije i pripadajućih protokola</w:t>
      </w:r>
      <w:bookmarkEnd w:id="116"/>
      <w:bookmarkEnd w:id="117"/>
    </w:p>
    <w:p w14:paraId="5E540BA5" w14:textId="77777777" w:rsidR="00D84719" w:rsidRPr="00D84719" w:rsidRDefault="00D84719" w:rsidP="00D84719">
      <w:pPr>
        <w:spacing w:before="80" w:after="12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Republika Hrvatska ratificirala je sljedeće protokole uz LRTAP Konvenciju: Protokol o daljnjem smanjenju emisija sumpora (Narodne novine – Međunarodni ugovori, br. 17/98 i 3/99), Protokol o teškim metalima (Narodne novine – Međunarodni ugovori, broj 05/07), Protokol o postojanim organskim onečišćujućim tvarima (Narodne novine – Međunarodni ugovori, broj 05/07), Protokol o nadzoru emisija dušikovih oksida ili njihovih prekograničnih strujanja (Narodne novine – Međunarodni ugovori, broj 10/07), Protokol o nadzoru emisija hlapivih organskih spojeva ili njihovih prekograničnih strujanja (Narodne novine – Međunarodni ugovori, broj 10/07) i Protokol o suzbijanju zakiseljavanja, eutrofikacije i prizemnog ozona (Narodne novine – Međunarodni ugovori, broj 07/08).</w:t>
      </w:r>
    </w:p>
    <w:p w14:paraId="594FB013" w14:textId="5B0D75C4" w:rsidR="00D84719" w:rsidRPr="00D84719" w:rsidRDefault="00D84719" w:rsidP="00D84719">
      <w:pPr>
        <w:spacing w:before="80" w:after="12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Izračun emisija POPs-ova u Republici Hrvatskoj započeo je 1996</w:t>
      </w:r>
      <w:r w:rsidR="005C26BD">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 xml:space="preserve"> u skladu s međunarodnom metodologijom EMEP/CORINAIR, službeno prihvaćenom od izvršnog tijela LRTAP Konvencije. Proračunom se iskazuju emisije pet glavnih onečišćujućih tvari u zrak (SO</w:t>
      </w:r>
      <w:r w:rsidRPr="00D84719">
        <w:rPr>
          <w:rFonts w:ascii="Times New Roman" w:eastAsia="Times New Roman" w:hAnsi="Times New Roman" w:cs="Times New Roman"/>
          <w:color w:val="000000"/>
          <w:sz w:val="24"/>
          <w:szCs w:val="24"/>
          <w:vertAlign w:val="subscript"/>
        </w:rPr>
        <w:t>2</w:t>
      </w:r>
      <w:r w:rsidRPr="00D84719">
        <w:rPr>
          <w:rFonts w:ascii="Times New Roman" w:eastAsia="Times New Roman" w:hAnsi="Times New Roman" w:cs="Times New Roman"/>
          <w:color w:val="000000"/>
          <w:sz w:val="24"/>
          <w:szCs w:val="24"/>
        </w:rPr>
        <w:t>, NO</w:t>
      </w:r>
      <w:r w:rsidRPr="00D84719">
        <w:rPr>
          <w:rFonts w:ascii="Times New Roman" w:eastAsia="Times New Roman" w:hAnsi="Times New Roman" w:cs="Times New Roman"/>
          <w:color w:val="000000"/>
          <w:sz w:val="24"/>
          <w:szCs w:val="24"/>
          <w:vertAlign w:val="subscript"/>
        </w:rPr>
        <w:t>x</w:t>
      </w:r>
      <w:r w:rsidRPr="00D84719">
        <w:rPr>
          <w:rFonts w:ascii="Times New Roman" w:eastAsia="Times New Roman" w:hAnsi="Times New Roman" w:cs="Times New Roman"/>
          <w:color w:val="000000"/>
          <w:sz w:val="24"/>
          <w:szCs w:val="24"/>
        </w:rPr>
        <w:t>, CO, NMVOC, NH</w:t>
      </w:r>
      <w:r w:rsidRPr="00D84719">
        <w:rPr>
          <w:rFonts w:ascii="Times New Roman" w:eastAsia="Times New Roman" w:hAnsi="Times New Roman" w:cs="Times New Roman"/>
          <w:color w:val="000000"/>
          <w:sz w:val="24"/>
          <w:szCs w:val="24"/>
          <w:vertAlign w:val="subscript"/>
        </w:rPr>
        <w:t>3</w:t>
      </w:r>
      <w:r w:rsidRPr="00D84719">
        <w:rPr>
          <w:rFonts w:ascii="Times New Roman" w:eastAsia="Times New Roman" w:hAnsi="Times New Roman" w:cs="Times New Roman"/>
          <w:color w:val="000000"/>
          <w:sz w:val="24"/>
          <w:szCs w:val="24"/>
        </w:rPr>
        <w:t>), čestice (TSP, PM</w:t>
      </w:r>
      <w:r w:rsidRPr="00D84719">
        <w:rPr>
          <w:rFonts w:ascii="Times New Roman" w:eastAsia="Times New Roman" w:hAnsi="Times New Roman" w:cs="Times New Roman"/>
          <w:color w:val="000000"/>
          <w:sz w:val="24"/>
          <w:szCs w:val="24"/>
          <w:vertAlign w:val="subscript"/>
        </w:rPr>
        <w:t>10</w:t>
      </w:r>
      <w:r w:rsidRPr="00D84719">
        <w:rPr>
          <w:rFonts w:ascii="Times New Roman" w:eastAsia="Times New Roman" w:hAnsi="Times New Roman" w:cs="Times New Roman"/>
          <w:color w:val="000000"/>
          <w:sz w:val="24"/>
          <w:szCs w:val="24"/>
        </w:rPr>
        <w:t xml:space="preserve"> i PM</w:t>
      </w:r>
      <w:r w:rsidRPr="00D84719">
        <w:rPr>
          <w:rFonts w:ascii="Times New Roman" w:eastAsia="Times New Roman" w:hAnsi="Times New Roman" w:cs="Times New Roman"/>
          <w:color w:val="000000"/>
          <w:sz w:val="24"/>
          <w:szCs w:val="24"/>
          <w:vertAlign w:val="subscript"/>
        </w:rPr>
        <w:t>2,5</w:t>
      </w:r>
      <w:r w:rsidRPr="00D84719">
        <w:rPr>
          <w:rFonts w:ascii="Times New Roman" w:eastAsia="Times New Roman" w:hAnsi="Times New Roman" w:cs="Times New Roman"/>
          <w:color w:val="000000"/>
          <w:sz w:val="24"/>
          <w:szCs w:val="24"/>
        </w:rPr>
        <w:t>), devet teških metala (Cd, Pb, Hg, As, Cr, Cu, Ni, Se, Zn) i četiri grupe postojanih organskih spojeva – policikličkih aromatskih ugljikovodika (PAU), heksaklorocikloheksana (HCH), heksaklorobenzena (HCB), dioksina i furana. Izvještavanje o emisijama HCH – heksaklorocikloheksana je isključeno iz obveze izvještavanja od 2015..</w:t>
      </w:r>
    </w:p>
    <w:p w14:paraId="6122C1C3" w14:textId="77777777" w:rsidR="00D84719" w:rsidRPr="00D84719" w:rsidRDefault="00D84719" w:rsidP="00D84719">
      <w:pPr>
        <w:spacing w:before="80" w:after="12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 xml:space="preserve">MINGOR izrađuje godišnja izvješća o izračunu emisija određenih onečišćujućih tvari prema obvezama LRTAP Konvencije i objavljuje ih na svojim mrežnim stranicama. </w:t>
      </w:r>
    </w:p>
    <w:p w14:paraId="0D702F28" w14:textId="3E061C4D" w:rsidR="00D84719" w:rsidRPr="00D84719" w:rsidRDefault="00D84719" w:rsidP="00D84719">
      <w:pPr>
        <w:spacing w:before="80" w:after="12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Protokol o POPs-ovima stupio je na snagu u odnosu na Republiku Hrvatsku 6. prosinca</w:t>
      </w:r>
      <w:r w:rsidR="001B5C46">
        <w:rPr>
          <w:rFonts w:ascii="Times New Roman" w:eastAsia="Times New Roman" w:hAnsi="Times New Roman" w:cs="Times New Roman"/>
          <w:color w:val="000000"/>
          <w:sz w:val="24"/>
          <w:szCs w:val="24"/>
        </w:rPr>
        <w:t xml:space="preserve"> 20</w:t>
      </w:r>
      <w:r w:rsidRPr="00D84719">
        <w:rPr>
          <w:rFonts w:ascii="Times New Roman" w:eastAsia="Times New Roman" w:hAnsi="Times New Roman" w:cs="Times New Roman"/>
          <w:color w:val="000000"/>
          <w:sz w:val="24"/>
          <w:szCs w:val="24"/>
        </w:rPr>
        <w:t>08.. U skladu s člankom 3. stavkom 5. Protokola o POPs-ovima Republika Hrvatska ima obvezu</w:t>
      </w:r>
      <w:r w:rsidR="00612979">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zadržati emisije POPs-ova ispod onih u baznoj godini (1990</w:t>
      </w:r>
      <w:r w:rsidR="004C449C">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 xml:space="preserve">). </w:t>
      </w:r>
    </w:p>
    <w:p w14:paraId="23CDD8CA" w14:textId="77777777" w:rsidR="00D84719" w:rsidRPr="00D84719" w:rsidRDefault="00D84719" w:rsidP="00D84719">
      <w:pPr>
        <w:spacing w:before="80" w:after="12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 xml:space="preserve">U skladu s tim, u tablici </w:t>
      </w:r>
      <w:r w:rsidRPr="00D84719">
        <w:rPr>
          <w:rFonts w:ascii="Times New Roman" w:eastAsia="Times New Roman" w:hAnsi="Times New Roman" w:cs="Times New Roman"/>
          <w:i/>
          <w:color w:val="000000"/>
          <w:sz w:val="24"/>
          <w:szCs w:val="24"/>
        </w:rPr>
        <w:t xml:space="preserve">3.4-1. </w:t>
      </w:r>
      <w:r w:rsidRPr="00D84719">
        <w:rPr>
          <w:rFonts w:ascii="Times New Roman" w:eastAsia="Times New Roman" w:hAnsi="Times New Roman" w:cs="Times New Roman"/>
          <w:color w:val="000000"/>
          <w:sz w:val="24"/>
          <w:szCs w:val="24"/>
        </w:rPr>
        <w:t>dan je pregled kvota za određene POPs-ove.</w:t>
      </w:r>
    </w:p>
    <w:p w14:paraId="2B028D42" w14:textId="12C3B85E" w:rsidR="00D84719" w:rsidRPr="00D84719" w:rsidRDefault="00D84719" w:rsidP="00D84719">
      <w:pPr>
        <w:keepNext/>
        <w:spacing w:before="80" w:after="0" w:line="276" w:lineRule="auto"/>
        <w:jc w:val="both"/>
        <w:rPr>
          <w:rFonts w:ascii="Times New Roman" w:eastAsia="Times New Roman" w:hAnsi="Times New Roman" w:cs="Times New Roman"/>
          <w:b/>
          <w:bCs/>
          <w:i/>
          <w:sz w:val="20"/>
          <w:szCs w:val="20"/>
        </w:rPr>
      </w:pPr>
      <w:r w:rsidRPr="00D84719">
        <w:rPr>
          <w:rFonts w:ascii="Times New Roman" w:eastAsia="Times New Roman" w:hAnsi="Times New Roman" w:cs="Times New Roman"/>
          <w:b/>
          <w:bCs/>
          <w:i/>
          <w:sz w:val="20"/>
          <w:szCs w:val="20"/>
        </w:rPr>
        <w:t xml:space="preserve">Tablica </w:t>
      </w:r>
      <w:r w:rsidRPr="00D84719">
        <w:rPr>
          <w:rFonts w:ascii="Times New Roman" w:eastAsia="Times New Roman" w:hAnsi="Times New Roman" w:cs="Times New Roman"/>
          <w:b/>
          <w:bCs/>
          <w:i/>
          <w:sz w:val="20"/>
          <w:szCs w:val="20"/>
        </w:rPr>
        <w:fldChar w:fldCharType="begin"/>
      </w:r>
      <w:r w:rsidRPr="00D84719">
        <w:rPr>
          <w:rFonts w:ascii="Times New Roman" w:eastAsia="Times New Roman" w:hAnsi="Times New Roman" w:cs="Times New Roman"/>
          <w:b/>
          <w:bCs/>
          <w:i/>
          <w:sz w:val="20"/>
          <w:szCs w:val="20"/>
        </w:rPr>
        <w:instrText xml:space="preserve"> STYLEREF 2 \s </w:instrText>
      </w:r>
      <w:r w:rsidRPr="00D84719">
        <w:rPr>
          <w:rFonts w:ascii="Times New Roman" w:eastAsia="Times New Roman" w:hAnsi="Times New Roman" w:cs="Times New Roman"/>
          <w:b/>
          <w:bCs/>
          <w:i/>
          <w:sz w:val="20"/>
          <w:szCs w:val="20"/>
        </w:rPr>
        <w:fldChar w:fldCharType="separate"/>
      </w:r>
      <w:r w:rsidRPr="00D84719">
        <w:rPr>
          <w:rFonts w:ascii="Times New Roman" w:eastAsia="Times New Roman" w:hAnsi="Times New Roman" w:cs="Times New Roman"/>
          <w:b/>
          <w:bCs/>
          <w:i/>
          <w:sz w:val="20"/>
          <w:szCs w:val="20"/>
        </w:rPr>
        <w:t>3.4</w:t>
      </w:r>
      <w:r w:rsidRPr="00D84719">
        <w:rPr>
          <w:rFonts w:ascii="Times New Roman" w:eastAsia="Times New Roman" w:hAnsi="Times New Roman" w:cs="Times New Roman"/>
          <w:b/>
          <w:bCs/>
          <w:i/>
          <w:sz w:val="20"/>
          <w:szCs w:val="20"/>
        </w:rPr>
        <w:fldChar w:fldCharType="end"/>
      </w:r>
      <w:r w:rsidRPr="00D84719">
        <w:rPr>
          <w:rFonts w:ascii="Times New Roman" w:eastAsia="Times New Roman" w:hAnsi="Times New Roman" w:cs="Times New Roman"/>
          <w:b/>
          <w:bCs/>
          <w:i/>
          <w:sz w:val="20"/>
          <w:szCs w:val="20"/>
        </w:rPr>
        <w:noBreakHyphen/>
      </w:r>
      <w:r w:rsidRPr="00D84719">
        <w:rPr>
          <w:rFonts w:ascii="Times New Roman" w:eastAsia="Times New Roman" w:hAnsi="Times New Roman" w:cs="Times New Roman"/>
          <w:b/>
          <w:bCs/>
          <w:i/>
          <w:sz w:val="20"/>
          <w:szCs w:val="20"/>
        </w:rPr>
        <w:fldChar w:fldCharType="begin"/>
      </w:r>
      <w:r w:rsidRPr="00D84719">
        <w:rPr>
          <w:rFonts w:ascii="Times New Roman" w:eastAsia="Times New Roman" w:hAnsi="Times New Roman" w:cs="Times New Roman"/>
          <w:b/>
          <w:bCs/>
          <w:i/>
          <w:sz w:val="20"/>
          <w:szCs w:val="20"/>
        </w:rPr>
        <w:instrText xml:space="preserve"> SEQ Tablica \* ARABIC \s 2 </w:instrText>
      </w:r>
      <w:r w:rsidRPr="00D84719">
        <w:rPr>
          <w:rFonts w:ascii="Times New Roman" w:eastAsia="Times New Roman" w:hAnsi="Times New Roman" w:cs="Times New Roman"/>
          <w:b/>
          <w:bCs/>
          <w:i/>
          <w:sz w:val="20"/>
          <w:szCs w:val="20"/>
        </w:rPr>
        <w:fldChar w:fldCharType="separate"/>
      </w:r>
      <w:r w:rsidRPr="00D84719">
        <w:rPr>
          <w:rFonts w:ascii="Times New Roman" w:eastAsia="Times New Roman" w:hAnsi="Times New Roman" w:cs="Times New Roman"/>
          <w:b/>
          <w:bCs/>
          <w:i/>
          <w:sz w:val="20"/>
          <w:szCs w:val="20"/>
        </w:rPr>
        <w:t>1</w:t>
      </w:r>
      <w:r w:rsidRPr="00D84719">
        <w:rPr>
          <w:rFonts w:ascii="Times New Roman" w:eastAsia="Times New Roman" w:hAnsi="Times New Roman" w:cs="Times New Roman"/>
          <w:b/>
          <w:bCs/>
          <w:i/>
          <w:sz w:val="20"/>
          <w:szCs w:val="20"/>
        </w:rPr>
        <w:fldChar w:fldCharType="end"/>
      </w:r>
      <w:r w:rsidRPr="00D84719">
        <w:rPr>
          <w:rFonts w:ascii="Times New Roman" w:eastAsia="Times New Roman" w:hAnsi="Times New Roman" w:cs="Times New Roman"/>
          <w:b/>
          <w:bCs/>
          <w:i/>
          <w:sz w:val="20"/>
          <w:szCs w:val="20"/>
        </w:rPr>
        <w:t>. Razine emisija određenih POPs-ova sukladno Protokolu o POPs-ovima u baznoj godini (Izvor: HAOP, Godišnje izvješće o proračunu emisija za 2018</w:t>
      </w:r>
      <w:r w:rsidR="004C449C">
        <w:rPr>
          <w:rFonts w:ascii="Times New Roman" w:eastAsia="Times New Roman" w:hAnsi="Times New Roman" w:cs="Times New Roman"/>
          <w:b/>
          <w:bCs/>
          <w:i/>
          <w:sz w:val="20"/>
          <w:szCs w:val="20"/>
        </w:rPr>
        <w:t>.</w:t>
      </w:r>
      <w:r w:rsidRPr="00D84719">
        <w:rPr>
          <w:rFonts w:ascii="Times New Roman" w:eastAsia="Times New Roman" w:hAnsi="Times New Roman" w:cs="Times New Roman"/>
          <w:b/>
          <w:bCs/>
          <w:i/>
          <w:sz w:val="20"/>
          <w:szCs w:val="20"/>
        </w:rPr>
        <w:t>)</w:t>
      </w:r>
    </w:p>
    <w:tbl>
      <w:tblPr>
        <w:tblW w:w="90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8"/>
        <w:gridCol w:w="4667"/>
      </w:tblGrid>
      <w:tr w:rsidR="00D84719" w:rsidRPr="00D84719" w14:paraId="4CB40CBF" w14:textId="77777777" w:rsidTr="008031BB">
        <w:trPr>
          <w:trHeight w:val="467"/>
        </w:trPr>
        <w:tc>
          <w:tcPr>
            <w:tcW w:w="4368" w:type="dxa"/>
            <w:shd w:val="clear" w:color="auto" w:fill="D9D9D9"/>
          </w:tcPr>
          <w:p w14:paraId="1BF1E895" w14:textId="77777777" w:rsidR="00D84719" w:rsidRPr="00D84719" w:rsidRDefault="00D84719" w:rsidP="008031BB">
            <w:pPr>
              <w:spacing w:before="80" w:after="120" w:line="276" w:lineRule="auto"/>
              <w:jc w:val="center"/>
              <w:rPr>
                <w:rFonts w:ascii="Times New Roman" w:eastAsia="Times New Roman" w:hAnsi="Times New Roman" w:cs="Times New Roman"/>
                <w:b/>
                <w:color w:val="000000"/>
                <w:sz w:val="20"/>
              </w:rPr>
            </w:pPr>
            <w:r w:rsidRPr="00D84719">
              <w:rPr>
                <w:rFonts w:ascii="Times New Roman" w:eastAsia="Times New Roman" w:hAnsi="Times New Roman" w:cs="Times New Roman"/>
                <w:b/>
                <w:color w:val="000000"/>
                <w:sz w:val="20"/>
              </w:rPr>
              <w:t>POPs</w:t>
            </w:r>
          </w:p>
        </w:tc>
        <w:tc>
          <w:tcPr>
            <w:tcW w:w="4667" w:type="dxa"/>
            <w:shd w:val="clear" w:color="auto" w:fill="D9D9D9"/>
          </w:tcPr>
          <w:p w14:paraId="2A745A2C" w14:textId="39FF019F" w:rsidR="00D84719" w:rsidRPr="00D84719" w:rsidRDefault="00D84719" w:rsidP="008031BB">
            <w:pPr>
              <w:spacing w:before="80" w:after="120" w:line="276" w:lineRule="auto"/>
              <w:jc w:val="center"/>
              <w:rPr>
                <w:rFonts w:ascii="Times New Roman" w:eastAsia="Times New Roman" w:hAnsi="Times New Roman" w:cs="Times New Roman"/>
                <w:b/>
                <w:color w:val="000000"/>
                <w:sz w:val="20"/>
              </w:rPr>
            </w:pPr>
            <w:r w:rsidRPr="00D84719">
              <w:rPr>
                <w:rFonts w:ascii="Times New Roman" w:eastAsia="Times New Roman" w:hAnsi="Times New Roman" w:cs="Times New Roman"/>
                <w:b/>
                <w:color w:val="000000"/>
                <w:sz w:val="20"/>
              </w:rPr>
              <w:t>Razine emisije u 1990</w:t>
            </w:r>
            <w:r w:rsidR="004C449C">
              <w:rPr>
                <w:rFonts w:ascii="Times New Roman" w:eastAsia="Times New Roman" w:hAnsi="Times New Roman" w:cs="Times New Roman"/>
                <w:b/>
                <w:color w:val="000000"/>
                <w:sz w:val="20"/>
              </w:rPr>
              <w:t>.</w:t>
            </w:r>
            <w:r w:rsidRPr="00D84719">
              <w:rPr>
                <w:rFonts w:ascii="Times New Roman" w:eastAsia="Times New Roman" w:hAnsi="Times New Roman" w:cs="Times New Roman"/>
                <w:b/>
                <w:color w:val="000000"/>
                <w:sz w:val="20"/>
              </w:rPr>
              <w:t>*</w:t>
            </w:r>
          </w:p>
        </w:tc>
      </w:tr>
      <w:tr w:rsidR="00D84719" w:rsidRPr="00D84719" w14:paraId="04C74846" w14:textId="77777777" w:rsidTr="008031BB">
        <w:trPr>
          <w:trHeight w:val="71"/>
        </w:trPr>
        <w:tc>
          <w:tcPr>
            <w:tcW w:w="4368" w:type="dxa"/>
            <w:shd w:val="clear" w:color="auto" w:fill="auto"/>
            <w:vAlign w:val="center"/>
          </w:tcPr>
          <w:p w14:paraId="3259CF28" w14:textId="77777777" w:rsidR="00D84719" w:rsidRPr="008031BB" w:rsidRDefault="00D84719" w:rsidP="008031BB">
            <w:pPr>
              <w:spacing w:before="80" w:after="120" w:line="276" w:lineRule="auto"/>
              <w:rPr>
                <w:rFonts w:ascii="Times New Roman" w:eastAsia="Times New Roman" w:hAnsi="Times New Roman" w:cs="Times New Roman"/>
                <w:color w:val="000000"/>
                <w:szCs w:val="24"/>
              </w:rPr>
            </w:pPr>
            <w:r w:rsidRPr="008031BB">
              <w:rPr>
                <w:rFonts w:ascii="Times New Roman" w:eastAsia="Times New Roman" w:hAnsi="Times New Roman" w:cs="Times New Roman"/>
                <w:color w:val="000000"/>
                <w:szCs w:val="24"/>
              </w:rPr>
              <w:t>Policiklički aromatski ugljikovodici (PAU)**</w:t>
            </w:r>
          </w:p>
        </w:tc>
        <w:tc>
          <w:tcPr>
            <w:tcW w:w="4667" w:type="dxa"/>
            <w:shd w:val="clear" w:color="auto" w:fill="auto"/>
            <w:vAlign w:val="center"/>
          </w:tcPr>
          <w:p w14:paraId="3A6D0E38" w14:textId="77777777" w:rsidR="00D84719" w:rsidRPr="008031BB" w:rsidRDefault="00D84719" w:rsidP="008031BB">
            <w:pPr>
              <w:spacing w:before="80" w:after="120" w:line="276" w:lineRule="auto"/>
              <w:jc w:val="center"/>
              <w:rPr>
                <w:rFonts w:ascii="Times New Roman" w:eastAsia="Times New Roman" w:hAnsi="Times New Roman" w:cs="Times New Roman"/>
                <w:color w:val="000000"/>
                <w:szCs w:val="24"/>
              </w:rPr>
            </w:pPr>
            <w:r w:rsidRPr="008031BB">
              <w:rPr>
                <w:rFonts w:ascii="Times New Roman" w:eastAsia="Times New Roman" w:hAnsi="Times New Roman" w:cs="Times New Roman"/>
                <w:color w:val="000000"/>
                <w:szCs w:val="24"/>
              </w:rPr>
              <w:t>21</w:t>
            </w:r>
            <w:r w:rsidR="00E81D17" w:rsidRPr="008031BB">
              <w:rPr>
                <w:rFonts w:ascii="Times New Roman" w:eastAsia="Times New Roman" w:hAnsi="Times New Roman" w:cs="Times New Roman"/>
                <w:color w:val="000000"/>
                <w:szCs w:val="24"/>
              </w:rPr>
              <w:t>,</w:t>
            </w:r>
            <w:r w:rsidRPr="008031BB">
              <w:rPr>
                <w:rFonts w:ascii="Times New Roman" w:eastAsia="Times New Roman" w:hAnsi="Times New Roman" w:cs="Times New Roman"/>
                <w:color w:val="000000"/>
                <w:szCs w:val="24"/>
              </w:rPr>
              <w:t>8 t</w:t>
            </w:r>
          </w:p>
        </w:tc>
      </w:tr>
      <w:tr w:rsidR="00D84719" w:rsidRPr="00D84719" w14:paraId="322DC86E" w14:textId="77777777" w:rsidTr="008031BB">
        <w:trPr>
          <w:trHeight w:val="60"/>
        </w:trPr>
        <w:tc>
          <w:tcPr>
            <w:tcW w:w="4368" w:type="dxa"/>
            <w:shd w:val="clear" w:color="auto" w:fill="auto"/>
            <w:vAlign w:val="center"/>
          </w:tcPr>
          <w:p w14:paraId="6C2C554E" w14:textId="77777777" w:rsidR="00D84719" w:rsidRPr="008031BB" w:rsidRDefault="00D84719" w:rsidP="008031BB">
            <w:pPr>
              <w:spacing w:before="80" w:after="120" w:line="276" w:lineRule="auto"/>
              <w:rPr>
                <w:rFonts w:ascii="Times New Roman" w:eastAsia="Times New Roman" w:hAnsi="Times New Roman" w:cs="Times New Roman"/>
                <w:color w:val="000000"/>
                <w:szCs w:val="24"/>
              </w:rPr>
            </w:pPr>
            <w:r w:rsidRPr="008031BB">
              <w:rPr>
                <w:rFonts w:ascii="Times New Roman" w:eastAsia="Times New Roman" w:hAnsi="Times New Roman" w:cs="Times New Roman"/>
                <w:color w:val="000000"/>
                <w:szCs w:val="24"/>
              </w:rPr>
              <w:t>Dioksini i furani (PCDD/PCDF)</w:t>
            </w:r>
          </w:p>
        </w:tc>
        <w:tc>
          <w:tcPr>
            <w:tcW w:w="4667" w:type="dxa"/>
            <w:shd w:val="clear" w:color="auto" w:fill="auto"/>
            <w:vAlign w:val="center"/>
          </w:tcPr>
          <w:p w14:paraId="7BD19428" w14:textId="77777777" w:rsidR="00D84719" w:rsidRPr="008031BB" w:rsidRDefault="00D84719" w:rsidP="008031BB">
            <w:pPr>
              <w:spacing w:before="80" w:after="120" w:line="276" w:lineRule="auto"/>
              <w:jc w:val="center"/>
              <w:rPr>
                <w:rFonts w:ascii="Times New Roman" w:eastAsia="Times New Roman" w:hAnsi="Times New Roman" w:cs="Times New Roman"/>
                <w:color w:val="000000"/>
                <w:szCs w:val="24"/>
              </w:rPr>
            </w:pPr>
            <w:r w:rsidRPr="008031BB">
              <w:rPr>
                <w:rFonts w:ascii="Times New Roman" w:eastAsia="Times New Roman" w:hAnsi="Times New Roman" w:cs="Times New Roman"/>
                <w:color w:val="000000"/>
                <w:szCs w:val="24"/>
              </w:rPr>
              <w:t>48</w:t>
            </w:r>
            <w:r w:rsidR="00E81D17" w:rsidRPr="008031BB">
              <w:rPr>
                <w:rFonts w:ascii="Times New Roman" w:eastAsia="Times New Roman" w:hAnsi="Times New Roman" w:cs="Times New Roman"/>
                <w:color w:val="000000"/>
                <w:szCs w:val="24"/>
              </w:rPr>
              <w:t>,</w:t>
            </w:r>
            <w:r w:rsidRPr="008031BB">
              <w:rPr>
                <w:rFonts w:ascii="Times New Roman" w:eastAsia="Times New Roman" w:hAnsi="Times New Roman" w:cs="Times New Roman"/>
                <w:color w:val="000000"/>
                <w:szCs w:val="24"/>
              </w:rPr>
              <w:t>5 g I-</w:t>
            </w:r>
            <w:proofErr w:type="spellStart"/>
            <w:r w:rsidRPr="008031BB">
              <w:rPr>
                <w:rFonts w:ascii="Times New Roman" w:eastAsia="Times New Roman" w:hAnsi="Times New Roman" w:cs="Times New Roman"/>
                <w:color w:val="000000"/>
                <w:szCs w:val="24"/>
              </w:rPr>
              <w:t>Teq</w:t>
            </w:r>
            <w:proofErr w:type="spellEnd"/>
          </w:p>
        </w:tc>
      </w:tr>
      <w:tr w:rsidR="00D84719" w:rsidRPr="00D84719" w14:paraId="4B172293" w14:textId="77777777" w:rsidTr="008031BB">
        <w:trPr>
          <w:trHeight w:val="60"/>
        </w:trPr>
        <w:tc>
          <w:tcPr>
            <w:tcW w:w="4368" w:type="dxa"/>
            <w:shd w:val="clear" w:color="auto" w:fill="auto"/>
            <w:vAlign w:val="center"/>
          </w:tcPr>
          <w:p w14:paraId="216EEE38" w14:textId="77777777" w:rsidR="00D84719" w:rsidRPr="008031BB" w:rsidRDefault="00D84719" w:rsidP="008031BB">
            <w:pPr>
              <w:spacing w:before="80" w:after="120" w:line="276" w:lineRule="auto"/>
              <w:rPr>
                <w:rFonts w:ascii="Times New Roman" w:eastAsia="Times New Roman" w:hAnsi="Times New Roman" w:cs="Times New Roman"/>
                <w:color w:val="000000"/>
                <w:szCs w:val="24"/>
              </w:rPr>
            </w:pPr>
            <w:r w:rsidRPr="008031BB">
              <w:rPr>
                <w:rFonts w:ascii="Times New Roman" w:eastAsia="Times New Roman" w:hAnsi="Times New Roman" w:cs="Times New Roman"/>
                <w:color w:val="000000"/>
                <w:szCs w:val="24"/>
              </w:rPr>
              <w:t>Heksaklorbenzen (HCB)</w:t>
            </w:r>
          </w:p>
        </w:tc>
        <w:tc>
          <w:tcPr>
            <w:tcW w:w="4667" w:type="dxa"/>
            <w:shd w:val="clear" w:color="auto" w:fill="auto"/>
            <w:vAlign w:val="center"/>
          </w:tcPr>
          <w:p w14:paraId="37B58E0C" w14:textId="77777777" w:rsidR="00D84719" w:rsidRPr="008031BB" w:rsidRDefault="00D84719" w:rsidP="008031BB">
            <w:pPr>
              <w:spacing w:before="80" w:after="120" w:line="276" w:lineRule="auto"/>
              <w:jc w:val="center"/>
              <w:rPr>
                <w:rFonts w:ascii="Times New Roman" w:eastAsia="Times New Roman" w:hAnsi="Times New Roman" w:cs="Times New Roman"/>
                <w:color w:val="000000"/>
                <w:szCs w:val="24"/>
              </w:rPr>
            </w:pPr>
            <w:r w:rsidRPr="008031BB">
              <w:rPr>
                <w:rFonts w:ascii="Times New Roman" w:eastAsia="Times New Roman" w:hAnsi="Times New Roman" w:cs="Times New Roman"/>
                <w:color w:val="000000"/>
                <w:szCs w:val="24"/>
              </w:rPr>
              <w:t>7</w:t>
            </w:r>
            <w:r w:rsidR="00E81D17" w:rsidRPr="008031BB">
              <w:rPr>
                <w:rFonts w:ascii="Times New Roman" w:eastAsia="Times New Roman" w:hAnsi="Times New Roman" w:cs="Times New Roman"/>
                <w:color w:val="000000"/>
                <w:szCs w:val="24"/>
              </w:rPr>
              <w:t>,</w:t>
            </w:r>
            <w:r w:rsidRPr="008031BB">
              <w:rPr>
                <w:rFonts w:ascii="Times New Roman" w:eastAsia="Times New Roman" w:hAnsi="Times New Roman" w:cs="Times New Roman"/>
                <w:color w:val="000000"/>
                <w:szCs w:val="24"/>
              </w:rPr>
              <w:t>1 kg</w:t>
            </w:r>
          </w:p>
        </w:tc>
      </w:tr>
      <w:tr w:rsidR="00D84719" w:rsidRPr="00D84719" w14:paraId="0EBF1B41" w14:textId="77777777" w:rsidTr="008031BB">
        <w:trPr>
          <w:trHeight w:val="141"/>
        </w:trPr>
        <w:tc>
          <w:tcPr>
            <w:tcW w:w="4368" w:type="dxa"/>
            <w:shd w:val="clear" w:color="auto" w:fill="auto"/>
            <w:vAlign w:val="center"/>
          </w:tcPr>
          <w:p w14:paraId="51962E6E" w14:textId="77777777" w:rsidR="00D84719" w:rsidRPr="008031BB" w:rsidRDefault="00D84719" w:rsidP="008031BB">
            <w:pPr>
              <w:spacing w:before="80" w:after="120" w:line="276" w:lineRule="auto"/>
              <w:rPr>
                <w:rFonts w:ascii="Times New Roman" w:eastAsia="Times New Roman" w:hAnsi="Times New Roman" w:cs="Times New Roman"/>
                <w:color w:val="000000"/>
                <w:szCs w:val="24"/>
              </w:rPr>
            </w:pPr>
            <w:r w:rsidRPr="008031BB">
              <w:rPr>
                <w:rFonts w:ascii="Times New Roman" w:eastAsia="Times New Roman" w:hAnsi="Times New Roman" w:cs="Times New Roman"/>
                <w:color w:val="000000"/>
                <w:szCs w:val="24"/>
              </w:rPr>
              <w:t>Polikloriranibifenili (PCB)</w:t>
            </w:r>
          </w:p>
        </w:tc>
        <w:tc>
          <w:tcPr>
            <w:tcW w:w="4667" w:type="dxa"/>
            <w:shd w:val="clear" w:color="auto" w:fill="auto"/>
            <w:vAlign w:val="center"/>
          </w:tcPr>
          <w:p w14:paraId="09800150" w14:textId="77777777" w:rsidR="00D84719" w:rsidRPr="008031BB" w:rsidRDefault="00D84719" w:rsidP="008031BB">
            <w:pPr>
              <w:spacing w:before="80" w:after="120" w:line="276" w:lineRule="auto"/>
              <w:jc w:val="center"/>
              <w:rPr>
                <w:rFonts w:ascii="Times New Roman" w:eastAsia="Times New Roman" w:hAnsi="Times New Roman" w:cs="Times New Roman"/>
                <w:color w:val="000000"/>
                <w:szCs w:val="24"/>
              </w:rPr>
            </w:pPr>
            <w:r w:rsidRPr="008031BB">
              <w:rPr>
                <w:rFonts w:ascii="Times New Roman" w:eastAsia="Times New Roman" w:hAnsi="Times New Roman" w:cs="Times New Roman"/>
                <w:color w:val="000000"/>
                <w:szCs w:val="24"/>
              </w:rPr>
              <w:t>482</w:t>
            </w:r>
            <w:r w:rsidR="00E81D17" w:rsidRPr="008031BB">
              <w:rPr>
                <w:rFonts w:ascii="Times New Roman" w:eastAsia="Times New Roman" w:hAnsi="Times New Roman" w:cs="Times New Roman"/>
                <w:color w:val="000000"/>
                <w:szCs w:val="24"/>
              </w:rPr>
              <w:t>,</w:t>
            </w:r>
            <w:r w:rsidRPr="008031BB">
              <w:rPr>
                <w:rFonts w:ascii="Times New Roman" w:eastAsia="Times New Roman" w:hAnsi="Times New Roman" w:cs="Times New Roman"/>
                <w:color w:val="000000"/>
                <w:szCs w:val="24"/>
              </w:rPr>
              <w:t>8 kg</w:t>
            </w:r>
          </w:p>
        </w:tc>
      </w:tr>
    </w:tbl>
    <w:p w14:paraId="54854123" w14:textId="77777777" w:rsidR="00D84719" w:rsidRPr="00D84719" w:rsidRDefault="00D84719" w:rsidP="00522811">
      <w:pPr>
        <w:spacing w:before="120" w:after="120" w:line="240" w:lineRule="auto"/>
        <w:rPr>
          <w:rFonts w:ascii="Times New Roman" w:eastAsia="Times New Roman" w:hAnsi="Times New Roman" w:cs="Times New Roman"/>
          <w:color w:val="000000"/>
          <w:sz w:val="16"/>
          <w:szCs w:val="16"/>
        </w:rPr>
      </w:pPr>
      <w:r w:rsidRPr="00D84719">
        <w:rPr>
          <w:rFonts w:ascii="Times New Roman" w:eastAsia="Times New Roman" w:hAnsi="Times New Roman" w:cs="Times New Roman"/>
          <w:color w:val="000000"/>
          <w:sz w:val="16"/>
          <w:szCs w:val="16"/>
        </w:rPr>
        <w:t>*definirana je dodatkom III Protokola o POPs-ovima</w:t>
      </w:r>
    </w:p>
    <w:p w14:paraId="1720C238" w14:textId="77777777" w:rsidR="00D84719" w:rsidRPr="00D84719" w:rsidRDefault="00D84719" w:rsidP="00522811">
      <w:pPr>
        <w:spacing w:before="120" w:after="120" w:line="240" w:lineRule="auto"/>
        <w:rPr>
          <w:rFonts w:ascii="Times New Roman" w:eastAsia="Times New Roman" w:hAnsi="Times New Roman" w:cs="Times New Roman"/>
          <w:color w:val="000000"/>
          <w:sz w:val="16"/>
          <w:szCs w:val="16"/>
        </w:rPr>
      </w:pPr>
      <w:r w:rsidRPr="00D84719">
        <w:rPr>
          <w:rFonts w:ascii="Times New Roman" w:eastAsia="Times New Roman" w:hAnsi="Times New Roman" w:cs="Times New Roman"/>
          <w:color w:val="000000"/>
          <w:sz w:val="16"/>
          <w:szCs w:val="16"/>
        </w:rPr>
        <w:t>**„za potrebe proračuna emisija PAU razmatraju se četiri spoja Benzo(a)piren, Benzo(b)fluoranten, Benzo(k)fluoranten i Indeno(1,2,3-cd)piren</w:t>
      </w:r>
    </w:p>
    <w:p w14:paraId="5EC7A466" w14:textId="77777777" w:rsidR="00D84719" w:rsidRPr="00D84719" w:rsidRDefault="00D84719" w:rsidP="00D84719">
      <w:pPr>
        <w:spacing w:after="200" w:line="276" w:lineRule="auto"/>
        <w:rPr>
          <w:rFonts w:ascii="Times New Roman" w:eastAsia="Times New Roman" w:hAnsi="Times New Roman" w:cs="Times New Roman"/>
          <w:color w:val="000000"/>
          <w:sz w:val="16"/>
          <w:szCs w:val="24"/>
        </w:rPr>
      </w:pPr>
    </w:p>
    <w:p w14:paraId="2BFAD6E4" w14:textId="77777777" w:rsidR="00D84719" w:rsidRPr="00D84719" w:rsidRDefault="00D84719" w:rsidP="00D84719">
      <w:pPr>
        <w:spacing w:before="80" w:line="276" w:lineRule="auto"/>
        <w:jc w:val="both"/>
        <w:rPr>
          <w:rFonts w:ascii="Times New Roman" w:eastAsia="Times New Roman" w:hAnsi="Times New Roman" w:cs="Times New Roman"/>
          <w:sz w:val="24"/>
          <w:szCs w:val="24"/>
        </w:rPr>
      </w:pPr>
      <w:r w:rsidRPr="00D84719">
        <w:rPr>
          <w:rFonts w:ascii="Times New Roman" w:eastAsia="Times New Roman" w:hAnsi="Times New Roman" w:cs="Times New Roman"/>
          <w:sz w:val="24"/>
          <w:szCs w:val="24"/>
        </w:rPr>
        <w:lastRenderedPageBreak/>
        <w:t xml:space="preserve">Ukupne količine </w:t>
      </w:r>
      <w:r w:rsidRPr="00D84719">
        <w:rPr>
          <w:rFonts w:ascii="Times New Roman" w:eastAsia="Times New Roman" w:hAnsi="Times New Roman" w:cs="Times New Roman"/>
          <w:sz w:val="24"/>
          <w:szCs w:val="24"/>
          <w:lang w:bidi="en-US"/>
        </w:rPr>
        <w:t xml:space="preserve">POPs-ova </w:t>
      </w:r>
      <w:r w:rsidRPr="00D84719">
        <w:rPr>
          <w:rFonts w:ascii="Times New Roman" w:eastAsia="Times New Roman" w:hAnsi="Times New Roman" w:cs="Times New Roman"/>
          <w:color w:val="000000"/>
          <w:sz w:val="24"/>
          <w:szCs w:val="24"/>
        </w:rPr>
        <w:t xml:space="preserve">ispuštenih u zrak </w:t>
      </w:r>
      <w:r w:rsidRPr="00D84719">
        <w:rPr>
          <w:rFonts w:ascii="Times New Roman" w:eastAsia="Times New Roman" w:hAnsi="Times New Roman" w:cs="Times New Roman"/>
          <w:sz w:val="24"/>
          <w:szCs w:val="24"/>
        </w:rPr>
        <w:t>na teritoriju Republike Hrvatske za 1990., 1995., 2000., 2005., 2010., 2015., 2016.,.,2017. i 2018. prikazane su u sljedećoj tablici, zajedno s udjelima promjena emisija u periodu od 1990. i u odnosu na raniju povijesnu godinu.</w:t>
      </w:r>
    </w:p>
    <w:p w14:paraId="5112A9A4" w14:textId="77777777" w:rsidR="00D84719" w:rsidRPr="00D84719" w:rsidRDefault="00D84719" w:rsidP="00D84719">
      <w:pPr>
        <w:keepNext/>
        <w:spacing w:before="80" w:after="0" w:line="276" w:lineRule="auto"/>
        <w:jc w:val="both"/>
        <w:rPr>
          <w:rFonts w:ascii="Times New Roman" w:eastAsia="Times New Roman" w:hAnsi="Times New Roman" w:cs="Times New Roman"/>
          <w:b/>
          <w:bCs/>
          <w:i/>
          <w:sz w:val="20"/>
          <w:szCs w:val="20"/>
        </w:rPr>
      </w:pPr>
      <w:r w:rsidRPr="00D84719">
        <w:rPr>
          <w:rFonts w:ascii="Times New Roman" w:eastAsia="Times New Roman" w:hAnsi="Times New Roman" w:cs="Times New Roman"/>
          <w:b/>
          <w:bCs/>
          <w:i/>
          <w:sz w:val="20"/>
          <w:szCs w:val="20"/>
        </w:rPr>
        <w:t xml:space="preserve">Tablica </w:t>
      </w:r>
      <w:r w:rsidRPr="00D84719">
        <w:rPr>
          <w:rFonts w:ascii="Times New Roman" w:eastAsia="Times New Roman" w:hAnsi="Times New Roman" w:cs="Times New Roman"/>
          <w:b/>
          <w:bCs/>
          <w:i/>
          <w:sz w:val="20"/>
          <w:szCs w:val="20"/>
        </w:rPr>
        <w:fldChar w:fldCharType="begin"/>
      </w:r>
      <w:r w:rsidRPr="00D84719">
        <w:rPr>
          <w:rFonts w:ascii="Times New Roman" w:eastAsia="Times New Roman" w:hAnsi="Times New Roman" w:cs="Times New Roman"/>
          <w:b/>
          <w:bCs/>
          <w:i/>
          <w:sz w:val="20"/>
          <w:szCs w:val="20"/>
        </w:rPr>
        <w:instrText xml:space="preserve"> STYLEREF 1 \s </w:instrText>
      </w:r>
      <w:r w:rsidRPr="00D84719">
        <w:rPr>
          <w:rFonts w:ascii="Times New Roman" w:eastAsia="Times New Roman" w:hAnsi="Times New Roman" w:cs="Times New Roman"/>
          <w:b/>
          <w:bCs/>
          <w:i/>
          <w:sz w:val="20"/>
          <w:szCs w:val="20"/>
        </w:rPr>
        <w:fldChar w:fldCharType="separate"/>
      </w:r>
      <w:r w:rsidRPr="00D84719">
        <w:rPr>
          <w:rFonts w:ascii="Times New Roman" w:eastAsia="Times New Roman" w:hAnsi="Times New Roman" w:cs="Times New Roman"/>
          <w:b/>
          <w:bCs/>
          <w:i/>
          <w:sz w:val="20"/>
          <w:szCs w:val="20"/>
        </w:rPr>
        <w:t>3</w:t>
      </w:r>
      <w:r w:rsidRPr="00D84719">
        <w:rPr>
          <w:rFonts w:ascii="Times New Roman" w:eastAsia="Times New Roman" w:hAnsi="Times New Roman" w:cs="Times New Roman"/>
          <w:b/>
          <w:bCs/>
          <w:i/>
          <w:sz w:val="20"/>
          <w:szCs w:val="20"/>
        </w:rPr>
        <w:fldChar w:fldCharType="end"/>
      </w:r>
      <w:r w:rsidRPr="00D84719">
        <w:rPr>
          <w:rFonts w:ascii="Times New Roman" w:eastAsia="Times New Roman" w:hAnsi="Times New Roman" w:cs="Times New Roman"/>
          <w:b/>
          <w:bCs/>
          <w:i/>
          <w:sz w:val="20"/>
          <w:szCs w:val="20"/>
        </w:rPr>
        <w:t>.4-2.. Trend emisija POPs Republike Hrvatske</w:t>
      </w:r>
    </w:p>
    <w:tbl>
      <w:tblPr>
        <w:tblW w:w="10905" w:type="dxa"/>
        <w:jc w:val="center"/>
        <w:tblLayout w:type="fixed"/>
        <w:tblCellMar>
          <w:left w:w="0" w:type="dxa"/>
          <w:right w:w="0" w:type="dxa"/>
        </w:tblCellMar>
        <w:tblLook w:val="04A0" w:firstRow="1" w:lastRow="0" w:firstColumn="1" w:lastColumn="0" w:noHBand="0" w:noVBand="1"/>
      </w:tblPr>
      <w:tblGrid>
        <w:gridCol w:w="1408"/>
        <w:gridCol w:w="850"/>
        <w:gridCol w:w="709"/>
        <w:gridCol w:w="709"/>
        <w:gridCol w:w="709"/>
        <w:gridCol w:w="708"/>
        <w:gridCol w:w="709"/>
        <w:gridCol w:w="803"/>
        <w:gridCol w:w="667"/>
        <w:gridCol w:w="667"/>
        <w:gridCol w:w="789"/>
        <w:gridCol w:w="1043"/>
        <w:gridCol w:w="1134"/>
      </w:tblGrid>
      <w:tr w:rsidR="00D84719" w:rsidRPr="00D84719" w14:paraId="41D7CAD0" w14:textId="77777777" w:rsidTr="00D84719">
        <w:trPr>
          <w:cantSplit/>
          <w:trHeight w:val="1485"/>
          <w:jc w:val="center"/>
        </w:trPr>
        <w:tc>
          <w:tcPr>
            <w:tcW w:w="1408"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5402D6FD" w14:textId="77777777" w:rsidR="00D84719" w:rsidRPr="00D84719" w:rsidRDefault="00D84719" w:rsidP="00D84719">
            <w:pPr>
              <w:spacing w:before="80" w:line="276" w:lineRule="auto"/>
              <w:jc w:val="center"/>
              <w:rPr>
                <w:rFonts w:ascii="Times New Roman" w:eastAsia="Times New Roman" w:hAnsi="Times New Roman" w:cs="Times New Roman"/>
                <w:b/>
                <w:bCs/>
                <w:color w:val="000000"/>
                <w:sz w:val="18"/>
                <w:szCs w:val="18"/>
              </w:rPr>
            </w:pPr>
            <w:r w:rsidRPr="00D84719">
              <w:rPr>
                <w:rFonts w:ascii="Times New Roman" w:eastAsia="Times New Roman" w:hAnsi="Times New Roman" w:cs="Times New Roman"/>
                <w:b/>
                <w:bCs/>
                <w:color w:val="000000"/>
                <w:sz w:val="18"/>
                <w:szCs w:val="18"/>
              </w:rPr>
              <w:t>Onečišćujuća tvar</w:t>
            </w:r>
          </w:p>
        </w:tc>
        <w:tc>
          <w:tcPr>
            <w:tcW w:w="850"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textDirection w:val="btLr"/>
            <w:vAlign w:val="center"/>
            <w:hideMark/>
          </w:tcPr>
          <w:p w14:paraId="0BFE7CA8" w14:textId="77777777" w:rsidR="00D84719" w:rsidRPr="00D84719" w:rsidRDefault="00D84719" w:rsidP="00D84719">
            <w:pPr>
              <w:spacing w:before="80" w:line="276" w:lineRule="auto"/>
              <w:ind w:left="113" w:right="113"/>
              <w:jc w:val="center"/>
              <w:rPr>
                <w:rFonts w:ascii="Times New Roman" w:eastAsia="Times New Roman" w:hAnsi="Times New Roman" w:cs="Times New Roman"/>
                <w:b/>
                <w:bCs/>
                <w:color w:val="000000"/>
                <w:sz w:val="18"/>
                <w:szCs w:val="18"/>
              </w:rPr>
            </w:pPr>
            <w:r w:rsidRPr="00D84719">
              <w:rPr>
                <w:rFonts w:ascii="Times New Roman" w:eastAsia="Times New Roman" w:hAnsi="Times New Roman" w:cs="Times New Roman"/>
                <w:b/>
                <w:bCs/>
                <w:color w:val="000000"/>
                <w:sz w:val="18"/>
                <w:szCs w:val="18"/>
              </w:rPr>
              <w:t>Jedinica</w:t>
            </w:r>
          </w:p>
        </w:tc>
        <w:tc>
          <w:tcPr>
            <w:tcW w:w="709" w:type="dxa"/>
            <w:tcBorders>
              <w:top w:val="single" w:sz="8" w:space="0" w:color="auto"/>
              <w:left w:val="nil"/>
              <w:bottom w:val="single" w:sz="8" w:space="0" w:color="auto"/>
              <w:right w:val="single" w:sz="8" w:space="0" w:color="auto"/>
            </w:tcBorders>
            <w:shd w:val="clear" w:color="auto" w:fill="BFBFBF"/>
            <w:noWrap/>
            <w:tcMar>
              <w:top w:w="0" w:type="dxa"/>
              <w:left w:w="108" w:type="dxa"/>
              <w:bottom w:w="0" w:type="dxa"/>
              <w:right w:w="108" w:type="dxa"/>
            </w:tcMar>
            <w:vAlign w:val="center"/>
            <w:hideMark/>
          </w:tcPr>
          <w:p w14:paraId="3D00FD37" w14:textId="77777777" w:rsidR="00D84719" w:rsidRPr="00D84719" w:rsidRDefault="00D84719" w:rsidP="00D84719">
            <w:pPr>
              <w:spacing w:before="80" w:line="276" w:lineRule="auto"/>
              <w:jc w:val="center"/>
              <w:rPr>
                <w:rFonts w:ascii="Times New Roman" w:eastAsia="Times New Roman" w:hAnsi="Times New Roman" w:cs="Times New Roman"/>
                <w:b/>
                <w:bCs/>
                <w:color w:val="000000"/>
                <w:sz w:val="18"/>
                <w:szCs w:val="18"/>
              </w:rPr>
            </w:pPr>
            <w:r w:rsidRPr="00D84719">
              <w:rPr>
                <w:rFonts w:ascii="Times New Roman" w:eastAsia="Times New Roman" w:hAnsi="Times New Roman" w:cs="Times New Roman"/>
                <w:b/>
                <w:bCs/>
                <w:color w:val="000000"/>
                <w:sz w:val="18"/>
                <w:szCs w:val="18"/>
              </w:rPr>
              <w:t>1990.</w:t>
            </w:r>
          </w:p>
        </w:tc>
        <w:tc>
          <w:tcPr>
            <w:tcW w:w="709" w:type="dxa"/>
            <w:tcBorders>
              <w:top w:val="single" w:sz="8" w:space="0" w:color="auto"/>
              <w:left w:val="nil"/>
              <w:bottom w:val="single" w:sz="8" w:space="0" w:color="auto"/>
              <w:right w:val="single" w:sz="8" w:space="0" w:color="auto"/>
            </w:tcBorders>
            <w:shd w:val="clear" w:color="auto" w:fill="BFBFBF"/>
            <w:noWrap/>
            <w:tcMar>
              <w:top w:w="0" w:type="dxa"/>
              <w:left w:w="108" w:type="dxa"/>
              <w:bottom w:w="0" w:type="dxa"/>
              <w:right w:w="108" w:type="dxa"/>
            </w:tcMar>
            <w:vAlign w:val="center"/>
            <w:hideMark/>
          </w:tcPr>
          <w:p w14:paraId="69FF0C0E" w14:textId="77777777" w:rsidR="00D84719" w:rsidRPr="00D84719" w:rsidRDefault="00D84719" w:rsidP="00D84719">
            <w:pPr>
              <w:spacing w:before="80" w:line="276" w:lineRule="auto"/>
              <w:jc w:val="center"/>
              <w:rPr>
                <w:rFonts w:ascii="Times New Roman" w:eastAsia="Times New Roman" w:hAnsi="Times New Roman" w:cs="Times New Roman"/>
                <w:b/>
                <w:bCs/>
                <w:color w:val="000000"/>
                <w:sz w:val="18"/>
                <w:szCs w:val="18"/>
              </w:rPr>
            </w:pPr>
            <w:r w:rsidRPr="00D84719">
              <w:rPr>
                <w:rFonts w:ascii="Times New Roman" w:eastAsia="Times New Roman" w:hAnsi="Times New Roman" w:cs="Times New Roman"/>
                <w:b/>
                <w:bCs/>
                <w:color w:val="000000"/>
                <w:sz w:val="18"/>
                <w:szCs w:val="18"/>
              </w:rPr>
              <w:t>1995.</w:t>
            </w:r>
          </w:p>
        </w:tc>
        <w:tc>
          <w:tcPr>
            <w:tcW w:w="709" w:type="dxa"/>
            <w:tcBorders>
              <w:top w:val="single" w:sz="8" w:space="0" w:color="auto"/>
              <w:left w:val="nil"/>
              <w:bottom w:val="single" w:sz="8" w:space="0" w:color="auto"/>
              <w:right w:val="single" w:sz="8" w:space="0" w:color="auto"/>
            </w:tcBorders>
            <w:shd w:val="clear" w:color="auto" w:fill="BFBFBF"/>
            <w:noWrap/>
            <w:tcMar>
              <w:top w:w="0" w:type="dxa"/>
              <w:left w:w="108" w:type="dxa"/>
              <w:bottom w:w="0" w:type="dxa"/>
              <w:right w:w="108" w:type="dxa"/>
            </w:tcMar>
            <w:vAlign w:val="center"/>
            <w:hideMark/>
          </w:tcPr>
          <w:p w14:paraId="787E768F" w14:textId="77777777" w:rsidR="00D84719" w:rsidRPr="00D84719" w:rsidRDefault="00D84719" w:rsidP="00D84719">
            <w:pPr>
              <w:spacing w:before="80" w:line="276" w:lineRule="auto"/>
              <w:jc w:val="center"/>
              <w:rPr>
                <w:rFonts w:ascii="Times New Roman" w:eastAsia="Times New Roman" w:hAnsi="Times New Roman" w:cs="Times New Roman"/>
                <w:b/>
                <w:bCs/>
                <w:color w:val="000000"/>
                <w:sz w:val="18"/>
                <w:szCs w:val="18"/>
              </w:rPr>
            </w:pPr>
            <w:r w:rsidRPr="00D84719">
              <w:rPr>
                <w:rFonts w:ascii="Times New Roman" w:eastAsia="Times New Roman" w:hAnsi="Times New Roman" w:cs="Times New Roman"/>
                <w:b/>
                <w:bCs/>
                <w:color w:val="000000"/>
                <w:sz w:val="18"/>
                <w:szCs w:val="18"/>
              </w:rPr>
              <w:t>2000.</w:t>
            </w:r>
          </w:p>
        </w:tc>
        <w:tc>
          <w:tcPr>
            <w:tcW w:w="708" w:type="dxa"/>
            <w:tcBorders>
              <w:top w:val="single" w:sz="8" w:space="0" w:color="auto"/>
              <w:left w:val="nil"/>
              <w:bottom w:val="single" w:sz="8" w:space="0" w:color="auto"/>
              <w:right w:val="single" w:sz="8" w:space="0" w:color="auto"/>
            </w:tcBorders>
            <w:shd w:val="clear" w:color="auto" w:fill="BFBFBF"/>
            <w:noWrap/>
            <w:tcMar>
              <w:top w:w="0" w:type="dxa"/>
              <w:left w:w="108" w:type="dxa"/>
              <w:bottom w:w="0" w:type="dxa"/>
              <w:right w:w="108" w:type="dxa"/>
            </w:tcMar>
            <w:vAlign w:val="center"/>
            <w:hideMark/>
          </w:tcPr>
          <w:p w14:paraId="2697475C" w14:textId="77777777" w:rsidR="00D84719" w:rsidRPr="00D84719" w:rsidRDefault="00D84719" w:rsidP="00D84719">
            <w:pPr>
              <w:spacing w:before="80" w:line="276" w:lineRule="auto"/>
              <w:jc w:val="center"/>
              <w:rPr>
                <w:rFonts w:ascii="Times New Roman" w:eastAsia="Times New Roman" w:hAnsi="Times New Roman" w:cs="Times New Roman"/>
                <w:b/>
                <w:bCs/>
                <w:color w:val="000000"/>
                <w:sz w:val="18"/>
                <w:szCs w:val="18"/>
              </w:rPr>
            </w:pPr>
            <w:r w:rsidRPr="00D84719">
              <w:rPr>
                <w:rFonts w:ascii="Times New Roman" w:eastAsia="Times New Roman" w:hAnsi="Times New Roman" w:cs="Times New Roman"/>
                <w:b/>
                <w:bCs/>
                <w:color w:val="000000"/>
                <w:sz w:val="18"/>
                <w:szCs w:val="18"/>
              </w:rPr>
              <w:t>2005.</w:t>
            </w:r>
          </w:p>
        </w:tc>
        <w:tc>
          <w:tcPr>
            <w:tcW w:w="709" w:type="dxa"/>
            <w:tcBorders>
              <w:top w:val="single" w:sz="8" w:space="0" w:color="auto"/>
              <w:left w:val="nil"/>
              <w:bottom w:val="single" w:sz="8" w:space="0" w:color="auto"/>
              <w:right w:val="single" w:sz="8" w:space="0" w:color="auto"/>
            </w:tcBorders>
            <w:shd w:val="clear" w:color="auto" w:fill="BFBFBF"/>
            <w:noWrap/>
            <w:tcMar>
              <w:top w:w="0" w:type="dxa"/>
              <w:left w:w="108" w:type="dxa"/>
              <w:bottom w:w="0" w:type="dxa"/>
              <w:right w:w="108" w:type="dxa"/>
            </w:tcMar>
            <w:vAlign w:val="center"/>
            <w:hideMark/>
          </w:tcPr>
          <w:p w14:paraId="14994E32" w14:textId="77777777" w:rsidR="00D84719" w:rsidRPr="00D84719" w:rsidRDefault="00D84719" w:rsidP="00D84719">
            <w:pPr>
              <w:spacing w:before="80" w:line="276" w:lineRule="auto"/>
              <w:jc w:val="center"/>
              <w:rPr>
                <w:rFonts w:ascii="Times New Roman" w:eastAsia="Times New Roman" w:hAnsi="Times New Roman" w:cs="Times New Roman"/>
                <w:b/>
                <w:bCs/>
                <w:color w:val="000000"/>
                <w:sz w:val="18"/>
                <w:szCs w:val="18"/>
              </w:rPr>
            </w:pPr>
            <w:r w:rsidRPr="00D84719">
              <w:rPr>
                <w:rFonts w:ascii="Times New Roman" w:eastAsia="Times New Roman" w:hAnsi="Times New Roman" w:cs="Times New Roman"/>
                <w:b/>
                <w:bCs/>
                <w:color w:val="000000"/>
                <w:sz w:val="18"/>
                <w:szCs w:val="18"/>
              </w:rPr>
              <w:t>2010.</w:t>
            </w:r>
          </w:p>
        </w:tc>
        <w:tc>
          <w:tcPr>
            <w:tcW w:w="803" w:type="dxa"/>
            <w:tcBorders>
              <w:top w:val="single" w:sz="8" w:space="0" w:color="auto"/>
              <w:left w:val="nil"/>
              <w:bottom w:val="single" w:sz="8" w:space="0" w:color="auto"/>
              <w:right w:val="single" w:sz="8" w:space="0" w:color="auto"/>
            </w:tcBorders>
            <w:shd w:val="clear" w:color="auto" w:fill="BFBFBF"/>
            <w:noWrap/>
            <w:tcMar>
              <w:top w:w="0" w:type="dxa"/>
              <w:left w:w="108" w:type="dxa"/>
              <w:bottom w:w="0" w:type="dxa"/>
              <w:right w:w="108" w:type="dxa"/>
            </w:tcMar>
            <w:vAlign w:val="center"/>
            <w:hideMark/>
          </w:tcPr>
          <w:p w14:paraId="5859895D" w14:textId="77777777" w:rsidR="00D84719" w:rsidRPr="00D84719" w:rsidRDefault="00D84719" w:rsidP="00D84719">
            <w:pPr>
              <w:spacing w:before="80" w:line="276" w:lineRule="auto"/>
              <w:jc w:val="center"/>
              <w:rPr>
                <w:rFonts w:ascii="Times New Roman" w:eastAsia="Times New Roman" w:hAnsi="Times New Roman" w:cs="Times New Roman"/>
                <w:b/>
                <w:bCs/>
                <w:color w:val="000000"/>
                <w:sz w:val="18"/>
                <w:szCs w:val="18"/>
              </w:rPr>
            </w:pPr>
            <w:r w:rsidRPr="00D84719">
              <w:rPr>
                <w:rFonts w:ascii="Times New Roman" w:eastAsia="Times New Roman" w:hAnsi="Times New Roman" w:cs="Times New Roman"/>
                <w:b/>
                <w:bCs/>
                <w:color w:val="000000"/>
                <w:sz w:val="18"/>
                <w:szCs w:val="18"/>
              </w:rPr>
              <w:t>2015.</w:t>
            </w:r>
          </w:p>
        </w:tc>
        <w:tc>
          <w:tcPr>
            <w:tcW w:w="667" w:type="dxa"/>
            <w:tcBorders>
              <w:top w:val="single" w:sz="8" w:space="0" w:color="auto"/>
              <w:left w:val="nil"/>
              <w:bottom w:val="single" w:sz="8" w:space="0" w:color="auto"/>
              <w:right w:val="single" w:sz="8" w:space="0" w:color="auto"/>
            </w:tcBorders>
            <w:shd w:val="clear" w:color="auto" w:fill="BFBFBF"/>
            <w:noWrap/>
            <w:tcMar>
              <w:top w:w="0" w:type="dxa"/>
              <w:left w:w="108" w:type="dxa"/>
              <w:bottom w:w="0" w:type="dxa"/>
              <w:right w:w="108" w:type="dxa"/>
            </w:tcMar>
            <w:vAlign w:val="center"/>
            <w:hideMark/>
          </w:tcPr>
          <w:p w14:paraId="7DF78D46" w14:textId="77777777" w:rsidR="00D84719" w:rsidRPr="00D84719" w:rsidRDefault="00D84719" w:rsidP="00D84719">
            <w:pPr>
              <w:spacing w:before="80" w:line="276" w:lineRule="auto"/>
              <w:jc w:val="center"/>
              <w:rPr>
                <w:rFonts w:ascii="Times New Roman" w:eastAsia="Times New Roman" w:hAnsi="Times New Roman" w:cs="Times New Roman"/>
                <w:b/>
                <w:bCs/>
                <w:color w:val="000000"/>
                <w:sz w:val="18"/>
                <w:szCs w:val="18"/>
              </w:rPr>
            </w:pPr>
            <w:r w:rsidRPr="00D84719">
              <w:rPr>
                <w:rFonts w:ascii="Times New Roman" w:eastAsia="Times New Roman" w:hAnsi="Times New Roman" w:cs="Times New Roman"/>
                <w:b/>
                <w:bCs/>
                <w:color w:val="000000"/>
                <w:sz w:val="18"/>
                <w:szCs w:val="18"/>
              </w:rPr>
              <w:t>2016.</w:t>
            </w:r>
          </w:p>
        </w:tc>
        <w:tc>
          <w:tcPr>
            <w:tcW w:w="667" w:type="dxa"/>
            <w:tcBorders>
              <w:top w:val="single" w:sz="8" w:space="0" w:color="auto"/>
              <w:left w:val="nil"/>
              <w:bottom w:val="single" w:sz="8" w:space="0" w:color="auto"/>
              <w:right w:val="single" w:sz="8" w:space="0" w:color="auto"/>
            </w:tcBorders>
            <w:shd w:val="clear" w:color="auto" w:fill="BFBFBF"/>
            <w:noWrap/>
            <w:tcMar>
              <w:top w:w="0" w:type="dxa"/>
              <w:left w:w="108" w:type="dxa"/>
              <w:bottom w:w="0" w:type="dxa"/>
              <w:right w:w="108" w:type="dxa"/>
            </w:tcMar>
            <w:vAlign w:val="center"/>
            <w:hideMark/>
          </w:tcPr>
          <w:p w14:paraId="1CF3A421" w14:textId="77777777" w:rsidR="00D84719" w:rsidRPr="00D84719" w:rsidRDefault="00D84719" w:rsidP="00D84719">
            <w:pPr>
              <w:spacing w:before="80" w:line="276" w:lineRule="auto"/>
              <w:jc w:val="center"/>
              <w:rPr>
                <w:rFonts w:ascii="Times New Roman" w:eastAsia="Times New Roman" w:hAnsi="Times New Roman" w:cs="Times New Roman"/>
                <w:b/>
                <w:bCs/>
                <w:color w:val="000000"/>
                <w:sz w:val="18"/>
                <w:szCs w:val="18"/>
              </w:rPr>
            </w:pPr>
            <w:r w:rsidRPr="00D84719">
              <w:rPr>
                <w:rFonts w:ascii="Times New Roman" w:eastAsia="Times New Roman" w:hAnsi="Times New Roman" w:cs="Times New Roman"/>
                <w:b/>
                <w:bCs/>
                <w:color w:val="000000"/>
                <w:sz w:val="18"/>
                <w:szCs w:val="18"/>
              </w:rPr>
              <w:t>2017.</w:t>
            </w:r>
          </w:p>
        </w:tc>
        <w:tc>
          <w:tcPr>
            <w:tcW w:w="789"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tcPr>
          <w:p w14:paraId="49EC3677" w14:textId="77777777" w:rsidR="00D84719" w:rsidRPr="00D84719" w:rsidRDefault="00D84719" w:rsidP="00D84719">
            <w:pPr>
              <w:spacing w:before="80" w:line="276" w:lineRule="auto"/>
              <w:jc w:val="center"/>
              <w:rPr>
                <w:rFonts w:ascii="Times New Roman" w:eastAsia="Times New Roman" w:hAnsi="Times New Roman" w:cs="Times New Roman"/>
                <w:b/>
                <w:bCs/>
                <w:color w:val="000000"/>
                <w:sz w:val="18"/>
                <w:szCs w:val="18"/>
              </w:rPr>
            </w:pPr>
            <w:r w:rsidRPr="00D84719">
              <w:rPr>
                <w:rFonts w:ascii="Times New Roman" w:eastAsia="Times New Roman" w:hAnsi="Times New Roman" w:cs="Times New Roman"/>
                <w:b/>
                <w:bCs/>
                <w:color w:val="000000"/>
                <w:sz w:val="18"/>
                <w:szCs w:val="18"/>
              </w:rPr>
              <w:t>2018.</w:t>
            </w:r>
          </w:p>
        </w:tc>
        <w:tc>
          <w:tcPr>
            <w:tcW w:w="1043"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05F26114" w14:textId="77777777" w:rsidR="00D84719" w:rsidRPr="00D84719" w:rsidRDefault="00D84719" w:rsidP="00D84719">
            <w:pPr>
              <w:spacing w:before="80" w:line="276" w:lineRule="auto"/>
              <w:jc w:val="center"/>
              <w:rPr>
                <w:rFonts w:ascii="Times New Roman" w:eastAsia="Times New Roman" w:hAnsi="Times New Roman" w:cs="Times New Roman"/>
                <w:b/>
                <w:bCs/>
                <w:color w:val="000000"/>
                <w:sz w:val="18"/>
                <w:szCs w:val="18"/>
              </w:rPr>
            </w:pPr>
            <w:r w:rsidRPr="00D84719">
              <w:rPr>
                <w:rFonts w:ascii="Times New Roman" w:eastAsia="Times New Roman" w:hAnsi="Times New Roman" w:cs="Times New Roman"/>
                <w:b/>
                <w:bCs/>
                <w:color w:val="000000"/>
                <w:sz w:val="18"/>
                <w:szCs w:val="18"/>
              </w:rPr>
              <w:t>Udio promjene od 1990. do 2018.</w:t>
            </w:r>
          </w:p>
        </w:tc>
        <w:tc>
          <w:tcPr>
            <w:tcW w:w="1134"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3E82FAAE" w14:textId="77777777" w:rsidR="00D84719" w:rsidRPr="00D84719" w:rsidRDefault="00D84719" w:rsidP="00D84719">
            <w:pPr>
              <w:spacing w:before="80" w:line="276" w:lineRule="auto"/>
              <w:jc w:val="center"/>
              <w:rPr>
                <w:rFonts w:ascii="Times New Roman" w:eastAsia="Times New Roman" w:hAnsi="Times New Roman" w:cs="Times New Roman"/>
                <w:b/>
                <w:bCs/>
                <w:color w:val="000000"/>
                <w:sz w:val="18"/>
                <w:szCs w:val="18"/>
              </w:rPr>
            </w:pPr>
            <w:r w:rsidRPr="00D84719">
              <w:rPr>
                <w:rFonts w:ascii="Times New Roman" w:eastAsia="Times New Roman" w:hAnsi="Times New Roman" w:cs="Times New Roman"/>
                <w:b/>
                <w:bCs/>
                <w:color w:val="000000"/>
                <w:sz w:val="18"/>
                <w:szCs w:val="18"/>
              </w:rPr>
              <w:t>Udio promjene od 2017. do 2018.</w:t>
            </w:r>
          </w:p>
        </w:tc>
      </w:tr>
      <w:tr w:rsidR="00D84719" w:rsidRPr="00D84719" w14:paraId="3AEC34F4" w14:textId="77777777" w:rsidTr="00F831D6">
        <w:trPr>
          <w:trHeight w:val="60"/>
          <w:jc w:val="center"/>
        </w:trPr>
        <w:tc>
          <w:tcPr>
            <w:tcW w:w="140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E8C7318" w14:textId="77777777" w:rsidR="00D84719" w:rsidRPr="00D84719" w:rsidRDefault="00D84719" w:rsidP="00D84719">
            <w:pPr>
              <w:spacing w:before="80" w:line="276" w:lineRule="auto"/>
              <w:jc w:val="both"/>
              <w:rPr>
                <w:rFonts w:ascii="Times New Roman" w:eastAsia="Times New Roman" w:hAnsi="Times New Roman" w:cs="Times New Roman"/>
                <w:b/>
                <w:bCs/>
                <w:color w:val="000000"/>
                <w:sz w:val="18"/>
                <w:szCs w:val="18"/>
              </w:rPr>
            </w:pPr>
            <w:r w:rsidRPr="00D84719">
              <w:rPr>
                <w:rFonts w:ascii="Times New Roman" w:eastAsia="Times New Roman" w:hAnsi="Times New Roman" w:cs="Times New Roman"/>
                <w:b/>
                <w:bCs/>
                <w:color w:val="000000"/>
                <w:sz w:val="18"/>
                <w:szCs w:val="18"/>
              </w:rPr>
              <w:t>PCDD/ PCDF</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2817EA" w14:textId="77777777" w:rsidR="00D84719" w:rsidRPr="00D84719" w:rsidRDefault="00D84719" w:rsidP="00D84719">
            <w:pPr>
              <w:spacing w:before="80" w:line="276" w:lineRule="auto"/>
              <w:jc w:val="center"/>
              <w:rPr>
                <w:rFonts w:ascii="Times New Roman" w:eastAsia="Times New Roman" w:hAnsi="Times New Roman" w:cs="Times New Roman"/>
                <w:color w:val="000000"/>
                <w:sz w:val="18"/>
                <w:szCs w:val="18"/>
              </w:rPr>
            </w:pPr>
            <w:r w:rsidRPr="00D84719">
              <w:rPr>
                <w:rFonts w:ascii="Times New Roman" w:eastAsia="Times New Roman" w:hAnsi="Times New Roman" w:cs="Times New Roman"/>
                <w:color w:val="000000"/>
                <w:sz w:val="18"/>
                <w:szCs w:val="18"/>
              </w:rPr>
              <w:t>g I-</w:t>
            </w:r>
            <w:proofErr w:type="spellStart"/>
            <w:r w:rsidRPr="00D84719">
              <w:rPr>
                <w:rFonts w:ascii="Times New Roman" w:eastAsia="Times New Roman" w:hAnsi="Times New Roman" w:cs="Times New Roman"/>
                <w:color w:val="000000"/>
                <w:sz w:val="18"/>
                <w:szCs w:val="18"/>
              </w:rPr>
              <w:t>Teq</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62A4EB0" w14:textId="77777777" w:rsidR="00D84719" w:rsidRPr="00D84719" w:rsidRDefault="00D84719" w:rsidP="00D84719">
            <w:pPr>
              <w:spacing w:before="80" w:line="276" w:lineRule="auto"/>
              <w:jc w:val="center"/>
              <w:rPr>
                <w:rFonts w:ascii="Times New Roman" w:eastAsia="Times New Roman" w:hAnsi="Times New Roman" w:cs="Times New Roman"/>
                <w:color w:val="000000"/>
                <w:sz w:val="18"/>
                <w:szCs w:val="18"/>
              </w:rPr>
            </w:pPr>
            <w:r w:rsidRPr="00D84719">
              <w:rPr>
                <w:rFonts w:ascii="Times New Roman" w:eastAsia="Times New Roman" w:hAnsi="Times New Roman" w:cs="Times New Roman"/>
                <w:color w:val="000000"/>
                <w:sz w:val="18"/>
                <w:szCs w:val="18"/>
              </w:rPr>
              <w:t>4</w:t>
            </w:r>
            <w:r w:rsidR="007C52A9">
              <w:rPr>
                <w:rFonts w:ascii="Times New Roman" w:eastAsia="Times New Roman" w:hAnsi="Times New Roman" w:cs="Times New Roman"/>
                <w:color w:val="000000"/>
                <w:sz w:val="18"/>
                <w:szCs w:val="18"/>
              </w:rPr>
              <w:t>9,1</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19983E" w14:textId="77777777" w:rsidR="00D84719" w:rsidRPr="00D84719" w:rsidRDefault="00D84719" w:rsidP="00D84719">
            <w:pPr>
              <w:spacing w:before="80" w:line="276" w:lineRule="auto"/>
              <w:jc w:val="center"/>
              <w:rPr>
                <w:rFonts w:ascii="Times New Roman" w:eastAsia="Times New Roman" w:hAnsi="Times New Roman" w:cs="Times New Roman"/>
                <w:color w:val="000000"/>
                <w:sz w:val="18"/>
                <w:szCs w:val="18"/>
              </w:rPr>
            </w:pPr>
            <w:r w:rsidRPr="00D84719">
              <w:rPr>
                <w:rFonts w:ascii="Times New Roman" w:eastAsia="Times New Roman" w:hAnsi="Times New Roman" w:cs="Times New Roman"/>
                <w:color w:val="000000"/>
                <w:sz w:val="18"/>
                <w:szCs w:val="18"/>
              </w:rPr>
              <w:t>43</w:t>
            </w:r>
            <w:r w:rsidR="00A20CBB">
              <w:rPr>
                <w:rFonts w:ascii="Times New Roman" w:eastAsia="Times New Roman" w:hAnsi="Times New Roman" w:cs="Times New Roman"/>
                <w:color w:val="000000"/>
                <w:sz w:val="18"/>
                <w:szCs w:val="18"/>
              </w:rPr>
              <w:t>,</w:t>
            </w:r>
            <w:r w:rsidR="007C52A9">
              <w:rPr>
                <w:rFonts w:ascii="Times New Roman" w:eastAsia="Times New Roman" w:hAnsi="Times New Roman" w:cs="Times New Roman"/>
                <w:color w:val="000000"/>
                <w:sz w:val="18"/>
                <w:szCs w:val="18"/>
              </w:rPr>
              <w:t>4</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F2685A" w14:textId="77777777" w:rsidR="00D84719" w:rsidRPr="00D84719" w:rsidRDefault="00D84719" w:rsidP="00D84719">
            <w:pPr>
              <w:spacing w:before="80" w:line="276" w:lineRule="auto"/>
              <w:jc w:val="center"/>
              <w:rPr>
                <w:rFonts w:ascii="Times New Roman" w:eastAsia="Times New Roman" w:hAnsi="Times New Roman" w:cs="Times New Roman"/>
                <w:color w:val="000000"/>
                <w:sz w:val="18"/>
                <w:szCs w:val="18"/>
              </w:rPr>
            </w:pPr>
            <w:r w:rsidRPr="00D84719">
              <w:rPr>
                <w:rFonts w:ascii="Times New Roman" w:eastAsia="Times New Roman" w:hAnsi="Times New Roman" w:cs="Times New Roman"/>
                <w:color w:val="000000"/>
                <w:sz w:val="18"/>
                <w:szCs w:val="18"/>
              </w:rPr>
              <w:t>4</w:t>
            </w:r>
            <w:r w:rsidR="007C52A9">
              <w:rPr>
                <w:rFonts w:ascii="Times New Roman" w:eastAsia="Times New Roman" w:hAnsi="Times New Roman" w:cs="Times New Roman"/>
                <w:color w:val="000000"/>
                <w:sz w:val="18"/>
                <w:szCs w:val="18"/>
              </w:rPr>
              <w:t>2,0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9A18C3" w14:textId="77777777" w:rsidR="00D84719" w:rsidRPr="00D84719" w:rsidRDefault="00D84719" w:rsidP="00D84719">
            <w:pPr>
              <w:spacing w:before="80" w:line="276" w:lineRule="auto"/>
              <w:jc w:val="center"/>
              <w:rPr>
                <w:rFonts w:ascii="Times New Roman" w:eastAsia="Times New Roman" w:hAnsi="Times New Roman" w:cs="Times New Roman"/>
                <w:color w:val="000000"/>
                <w:sz w:val="18"/>
                <w:szCs w:val="18"/>
              </w:rPr>
            </w:pPr>
            <w:r w:rsidRPr="00D84719">
              <w:rPr>
                <w:rFonts w:ascii="Times New Roman" w:eastAsia="Times New Roman" w:hAnsi="Times New Roman" w:cs="Times New Roman"/>
                <w:color w:val="000000"/>
                <w:sz w:val="18"/>
                <w:szCs w:val="18"/>
              </w:rPr>
              <w:t>49</w:t>
            </w:r>
            <w:r w:rsidR="00A20CBB">
              <w:rPr>
                <w:rFonts w:ascii="Times New Roman" w:eastAsia="Times New Roman" w:hAnsi="Times New Roman" w:cs="Times New Roman"/>
                <w:color w:val="000000"/>
                <w:sz w:val="18"/>
                <w:szCs w:val="18"/>
              </w:rPr>
              <w:t>,</w:t>
            </w:r>
            <w:r w:rsidR="007C52A9">
              <w:rPr>
                <w:rFonts w:ascii="Times New Roman" w:eastAsia="Times New Roman" w:hAnsi="Times New Roman" w:cs="Times New Roman"/>
                <w:color w:val="000000"/>
                <w:sz w:val="18"/>
                <w:szCs w:val="18"/>
              </w:rPr>
              <w:t>7</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B4E965" w14:textId="77777777" w:rsidR="00D84719" w:rsidRPr="00D84719" w:rsidRDefault="00D84719" w:rsidP="00D84719">
            <w:pPr>
              <w:spacing w:before="80" w:line="276" w:lineRule="auto"/>
              <w:jc w:val="center"/>
              <w:rPr>
                <w:rFonts w:ascii="Times New Roman" w:eastAsia="Times New Roman" w:hAnsi="Times New Roman" w:cs="Times New Roman"/>
                <w:color w:val="000000"/>
                <w:sz w:val="18"/>
                <w:szCs w:val="18"/>
              </w:rPr>
            </w:pPr>
            <w:r w:rsidRPr="00D84719">
              <w:rPr>
                <w:rFonts w:ascii="Times New Roman" w:eastAsia="Times New Roman" w:hAnsi="Times New Roman" w:cs="Times New Roman"/>
                <w:color w:val="000000"/>
                <w:sz w:val="18"/>
                <w:szCs w:val="18"/>
              </w:rPr>
              <w:t>40</w:t>
            </w:r>
            <w:r w:rsidR="00A20CBB">
              <w:rPr>
                <w:rFonts w:ascii="Times New Roman" w:eastAsia="Times New Roman" w:hAnsi="Times New Roman" w:cs="Times New Roman"/>
                <w:color w:val="000000"/>
                <w:sz w:val="18"/>
                <w:szCs w:val="18"/>
              </w:rPr>
              <w:t>,</w:t>
            </w:r>
            <w:r w:rsidR="007C52A9">
              <w:rPr>
                <w:rFonts w:ascii="Times New Roman" w:eastAsia="Times New Roman" w:hAnsi="Times New Roman" w:cs="Times New Roman"/>
                <w:color w:val="000000"/>
                <w:sz w:val="18"/>
                <w:szCs w:val="18"/>
              </w:rPr>
              <w:t>3</w:t>
            </w:r>
          </w:p>
        </w:tc>
        <w:tc>
          <w:tcPr>
            <w:tcW w:w="8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6AD1EF" w14:textId="77777777" w:rsidR="00D84719" w:rsidRPr="00D84719" w:rsidRDefault="00D84719" w:rsidP="007C52A9">
            <w:pPr>
              <w:spacing w:before="80" w:line="276" w:lineRule="auto"/>
              <w:jc w:val="center"/>
              <w:rPr>
                <w:rFonts w:ascii="Times New Roman" w:eastAsia="Times New Roman" w:hAnsi="Times New Roman" w:cs="Times New Roman"/>
                <w:color w:val="000000"/>
                <w:sz w:val="18"/>
                <w:szCs w:val="18"/>
              </w:rPr>
            </w:pPr>
            <w:r w:rsidRPr="00D84719">
              <w:rPr>
                <w:rFonts w:ascii="Times New Roman" w:eastAsia="Times New Roman" w:hAnsi="Times New Roman" w:cs="Times New Roman"/>
                <w:color w:val="000000"/>
                <w:sz w:val="18"/>
                <w:szCs w:val="18"/>
              </w:rPr>
              <w:t>34</w:t>
            </w:r>
            <w:r w:rsidR="00A20CBB">
              <w:rPr>
                <w:rFonts w:ascii="Times New Roman" w:eastAsia="Times New Roman" w:hAnsi="Times New Roman" w:cs="Times New Roman"/>
                <w:color w:val="000000"/>
                <w:sz w:val="18"/>
                <w:szCs w:val="18"/>
              </w:rPr>
              <w:t>,</w:t>
            </w:r>
            <w:r w:rsidR="007C52A9">
              <w:rPr>
                <w:rFonts w:ascii="Times New Roman" w:eastAsia="Times New Roman" w:hAnsi="Times New Roman" w:cs="Times New Roman"/>
                <w:color w:val="000000"/>
                <w:sz w:val="18"/>
                <w:szCs w:val="18"/>
              </w:rPr>
              <w:t>4</w:t>
            </w:r>
          </w:p>
        </w:tc>
        <w:tc>
          <w:tcPr>
            <w:tcW w:w="66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049C9C" w14:textId="77777777" w:rsidR="00D84719" w:rsidRPr="00D84719" w:rsidRDefault="00D84719" w:rsidP="00D84719">
            <w:pPr>
              <w:spacing w:before="80" w:line="276" w:lineRule="auto"/>
              <w:jc w:val="center"/>
              <w:rPr>
                <w:rFonts w:ascii="Times New Roman" w:eastAsia="Times New Roman" w:hAnsi="Times New Roman" w:cs="Times New Roman"/>
                <w:color w:val="000000"/>
                <w:sz w:val="18"/>
                <w:szCs w:val="18"/>
              </w:rPr>
            </w:pPr>
            <w:r w:rsidRPr="00D84719">
              <w:rPr>
                <w:rFonts w:ascii="Times New Roman" w:eastAsia="Times New Roman" w:hAnsi="Times New Roman" w:cs="Times New Roman"/>
                <w:color w:val="000000"/>
                <w:sz w:val="18"/>
                <w:szCs w:val="18"/>
              </w:rPr>
              <w:t>32</w:t>
            </w:r>
            <w:r w:rsidR="00A20CBB">
              <w:rPr>
                <w:rFonts w:ascii="Times New Roman" w:eastAsia="Times New Roman" w:hAnsi="Times New Roman" w:cs="Times New Roman"/>
                <w:color w:val="000000"/>
                <w:sz w:val="18"/>
                <w:szCs w:val="18"/>
              </w:rPr>
              <w:t>,</w:t>
            </w:r>
            <w:r w:rsidR="007C52A9">
              <w:rPr>
                <w:rFonts w:ascii="Times New Roman" w:eastAsia="Times New Roman" w:hAnsi="Times New Roman" w:cs="Times New Roman"/>
                <w:color w:val="000000"/>
                <w:sz w:val="18"/>
                <w:szCs w:val="18"/>
              </w:rPr>
              <w:t>8</w:t>
            </w:r>
          </w:p>
        </w:tc>
        <w:tc>
          <w:tcPr>
            <w:tcW w:w="66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F8DDE5" w14:textId="77777777" w:rsidR="00D84719" w:rsidRPr="00D84719" w:rsidRDefault="00D84719" w:rsidP="00D84719">
            <w:pPr>
              <w:spacing w:before="80" w:line="276" w:lineRule="auto"/>
              <w:jc w:val="center"/>
              <w:rPr>
                <w:rFonts w:ascii="Times New Roman" w:eastAsia="Times New Roman" w:hAnsi="Times New Roman" w:cs="Times New Roman"/>
                <w:color w:val="000000"/>
                <w:sz w:val="18"/>
                <w:szCs w:val="18"/>
              </w:rPr>
            </w:pPr>
            <w:r w:rsidRPr="00D84719">
              <w:rPr>
                <w:rFonts w:ascii="Times New Roman" w:eastAsia="Times New Roman" w:hAnsi="Times New Roman" w:cs="Times New Roman"/>
                <w:color w:val="000000"/>
                <w:sz w:val="18"/>
                <w:szCs w:val="18"/>
              </w:rPr>
              <w:t>2</w:t>
            </w:r>
            <w:r w:rsidR="007C52A9">
              <w:rPr>
                <w:rFonts w:ascii="Times New Roman" w:eastAsia="Times New Roman" w:hAnsi="Times New Roman" w:cs="Times New Roman"/>
                <w:color w:val="000000"/>
                <w:sz w:val="18"/>
                <w:szCs w:val="18"/>
              </w:rPr>
              <w:t>9,0</w:t>
            </w:r>
          </w:p>
        </w:tc>
        <w:tc>
          <w:tcPr>
            <w:tcW w:w="78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5657022" w14:textId="77777777" w:rsidR="00D84719" w:rsidRPr="00D84719" w:rsidRDefault="00D84719" w:rsidP="00D84719">
            <w:pPr>
              <w:spacing w:before="80" w:line="276" w:lineRule="auto"/>
              <w:jc w:val="center"/>
              <w:rPr>
                <w:rFonts w:ascii="Times New Roman" w:eastAsia="Times New Roman" w:hAnsi="Times New Roman" w:cs="Times New Roman"/>
                <w:color w:val="000000"/>
                <w:sz w:val="18"/>
                <w:szCs w:val="18"/>
              </w:rPr>
            </w:pPr>
            <w:r w:rsidRPr="00D84719">
              <w:rPr>
                <w:rFonts w:ascii="Times New Roman" w:eastAsia="Times New Roman" w:hAnsi="Times New Roman" w:cs="Times New Roman"/>
                <w:color w:val="000000"/>
                <w:sz w:val="18"/>
                <w:szCs w:val="18"/>
              </w:rPr>
              <w:t>2</w:t>
            </w:r>
            <w:r w:rsidR="007C52A9">
              <w:rPr>
                <w:rFonts w:ascii="Times New Roman" w:eastAsia="Times New Roman" w:hAnsi="Times New Roman" w:cs="Times New Roman"/>
                <w:color w:val="000000"/>
                <w:sz w:val="18"/>
                <w:szCs w:val="18"/>
              </w:rPr>
              <w:t>8,2</w:t>
            </w:r>
          </w:p>
        </w:tc>
        <w:tc>
          <w:tcPr>
            <w:tcW w:w="10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8BAF4D" w14:textId="4130BFA3" w:rsidR="00D84719" w:rsidRPr="00D84719" w:rsidRDefault="00D84719" w:rsidP="00D84719">
            <w:pPr>
              <w:spacing w:before="80" w:line="276" w:lineRule="auto"/>
              <w:jc w:val="center"/>
              <w:rPr>
                <w:rFonts w:ascii="Times New Roman" w:eastAsia="Times New Roman" w:hAnsi="Times New Roman" w:cs="Times New Roman"/>
                <w:color w:val="000000"/>
                <w:sz w:val="18"/>
                <w:szCs w:val="18"/>
              </w:rPr>
            </w:pPr>
            <w:r w:rsidRPr="00D84719">
              <w:rPr>
                <w:rFonts w:ascii="Times New Roman" w:eastAsia="Times New Roman" w:hAnsi="Times New Roman" w:cs="Times New Roman"/>
                <w:color w:val="000000"/>
                <w:sz w:val="18"/>
                <w:szCs w:val="18"/>
              </w:rPr>
              <w:t>-42</w:t>
            </w:r>
            <w:r w:rsidR="00A20CBB">
              <w:rPr>
                <w:rFonts w:ascii="Times New Roman" w:eastAsia="Times New Roman" w:hAnsi="Times New Roman" w:cs="Times New Roman"/>
                <w:color w:val="000000"/>
                <w:sz w:val="18"/>
                <w:szCs w:val="18"/>
              </w:rPr>
              <w:t>,</w:t>
            </w:r>
            <w:r w:rsidR="007C52A9">
              <w:rPr>
                <w:rFonts w:ascii="Times New Roman" w:eastAsia="Times New Roman" w:hAnsi="Times New Roman" w:cs="Times New Roman"/>
                <w:color w:val="000000"/>
                <w:sz w:val="18"/>
                <w:szCs w:val="18"/>
              </w:rPr>
              <w:t>6</w:t>
            </w:r>
            <w:r w:rsidR="00D4589D">
              <w:rPr>
                <w:rFonts w:ascii="Times New Roman" w:eastAsia="Times New Roman" w:hAnsi="Times New Roman" w:cs="Times New Roman"/>
                <w:color w:val="000000"/>
                <w:sz w:val="18"/>
                <w:szCs w:val="18"/>
              </w:rPr>
              <w:t xml:space="preserve">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D10CFE" w14:textId="1B5522AA" w:rsidR="00D84719" w:rsidRPr="00D84719" w:rsidRDefault="00D84719" w:rsidP="00D84719">
            <w:pPr>
              <w:spacing w:before="80" w:line="276" w:lineRule="auto"/>
              <w:jc w:val="center"/>
              <w:rPr>
                <w:rFonts w:ascii="Times New Roman" w:eastAsia="Times New Roman" w:hAnsi="Times New Roman" w:cs="Times New Roman"/>
                <w:color w:val="000000"/>
                <w:sz w:val="18"/>
                <w:szCs w:val="18"/>
              </w:rPr>
            </w:pPr>
            <w:r w:rsidRPr="00D84719">
              <w:rPr>
                <w:rFonts w:ascii="Times New Roman" w:eastAsia="Times New Roman" w:hAnsi="Times New Roman" w:cs="Times New Roman"/>
                <w:color w:val="000000"/>
                <w:sz w:val="18"/>
                <w:szCs w:val="18"/>
              </w:rPr>
              <w:t>-</w:t>
            </w:r>
            <w:r w:rsidR="007C52A9">
              <w:rPr>
                <w:rFonts w:ascii="Times New Roman" w:eastAsia="Times New Roman" w:hAnsi="Times New Roman" w:cs="Times New Roman"/>
                <w:color w:val="000000"/>
                <w:sz w:val="18"/>
                <w:szCs w:val="18"/>
              </w:rPr>
              <w:t>2,9</w:t>
            </w:r>
            <w:r w:rsidR="00D4589D">
              <w:rPr>
                <w:rFonts w:ascii="Times New Roman" w:eastAsia="Times New Roman" w:hAnsi="Times New Roman" w:cs="Times New Roman"/>
                <w:color w:val="000000"/>
                <w:sz w:val="18"/>
                <w:szCs w:val="18"/>
              </w:rPr>
              <w:t xml:space="preserve"> %</w:t>
            </w:r>
          </w:p>
        </w:tc>
      </w:tr>
      <w:tr w:rsidR="00D84719" w:rsidRPr="00D84719" w14:paraId="6052449F" w14:textId="77777777" w:rsidTr="00F831D6">
        <w:trPr>
          <w:trHeight w:val="285"/>
          <w:jc w:val="center"/>
        </w:trPr>
        <w:tc>
          <w:tcPr>
            <w:tcW w:w="140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2B855D3" w14:textId="77777777" w:rsidR="00D84719" w:rsidRPr="00D84719" w:rsidRDefault="00D84719" w:rsidP="00D84719">
            <w:pPr>
              <w:spacing w:before="80" w:line="276" w:lineRule="auto"/>
              <w:jc w:val="both"/>
              <w:rPr>
                <w:rFonts w:ascii="Times New Roman" w:eastAsia="Times New Roman" w:hAnsi="Times New Roman" w:cs="Times New Roman"/>
                <w:b/>
                <w:bCs/>
                <w:color w:val="000000"/>
                <w:sz w:val="18"/>
                <w:szCs w:val="18"/>
              </w:rPr>
            </w:pPr>
            <w:r w:rsidRPr="00D84719">
              <w:rPr>
                <w:rFonts w:ascii="Times New Roman" w:eastAsia="Times New Roman" w:hAnsi="Times New Roman" w:cs="Times New Roman"/>
                <w:b/>
                <w:bCs/>
                <w:color w:val="000000"/>
                <w:sz w:val="18"/>
                <w:szCs w:val="18"/>
              </w:rPr>
              <w:t>PAU</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C149AE" w14:textId="77777777" w:rsidR="00D84719" w:rsidRPr="00D84719" w:rsidRDefault="00D84719" w:rsidP="00D84719">
            <w:pPr>
              <w:spacing w:before="80" w:line="276" w:lineRule="auto"/>
              <w:jc w:val="center"/>
              <w:rPr>
                <w:rFonts w:ascii="Times New Roman" w:eastAsia="Times New Roman" w:hAnsi="Times New Roman" w:cs="Times New Roman"/>
                <w:color w:val="000000"/>
                <w:sz w:val="18"/>
                <w:szCs w:val="18"/>
              </w:rPr>
            </w:pPr>
            <w:r w:rsidRPr="00D84719">
              <w:rPr>
                <w:rFonts w:ascii="Times New Roman" w:eastAsia="Times New Roman" w:hAnsi="Times New Roman" w:cs="Times New Roman"/>
                <w:color w:val="000000"/>
                <w:sz w:val="18"/>
                <w:szCs w:val="18"/>
              </w:rPr>
              <w:t>t</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3483BC" w14:textId="77777777" w:rsidR="00D84719" w:rsidRPr="00D84719" w:rsidRDefault="00D84719" w:rsidP="00D84719">
            <w:pPr>
              <w:spacing w:before="80" w:line="276" w:lineRule="auto"/>
              <w:jc w:val="center"/>
              <w:rPr>
                <w:rFonts w:ascii="Times New Roman" w:eastAsia="Times New Roman" w:hAnsi="Times New Roman" w:cs="Times New Roman"/>
                <w:color w:val="000000"/>
                <w:sz w:val="18"/>
                <w:szCs w:val="18"/>
              </w:rPr>
            </w:pPr>
            <w:r w:rsidRPr="00D84719">
              <w:rPr>
                <w:rFonts w:ascii="Times New Roman" w:eastAsia="Times New Roman" w:hAnsi="Times New Roman" w:cs="Times New Roman"/>
                <w:color w:val="000000"/>
                <w:sz w:val="18"/>
                <w:szCs w:val="18"/>
              </w:rPr>
              <w:t>21</w:t>
            </w:r>
            <w:r w:rsidR="00A20CBB">
              <w:rPr>
                <w:rFonts w:ascii="Times New Roman" w:eastAsia="Times New Roman" w:hAnsi="Times New Roman" w:cs="Times New Roman"/>
                <w:color w:val="000000"/>
                <w:sz w:val="18"/>
                <w:szCs w:val="18"/>
              </w:rPr>
              <w:t>,</w:t>
            </w:r>
            <w:r w:rsidRPr="00D84719">
              <w:rPr>
                <w:rFonts w:ascii="Times New Roman" w:eastAsia="Times New Roman" w:hAnsi="Times New Roman" w:cs="Times New Roman"/>
                <w:color w:val="000000"/>
                <w:sz w:val="18"/>
                <w:szCs w:val="18"/>
              </w:rPr>
              <w:t>08</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AE8FDF" w14:textId="77777777" w:rsidR="00D84719" w:rsidRPr="00D84719" w:rsidRDefault="00D84719" w:rsidP="00D84719">
            <w:pPr>
              <w:spacing w:before="80" w:line="276" w:lineRule="auto"/>
              <w:jc w:val="center"/>
              <w:rPr>
                <w:rFonts w:ascii="Times New Roman" w:eastAsia="Times New Roman" w:hAnsi="Times New Roman" w:cs="Times New Roman"/>
                <w:color w:val="000000"/>
                <w:sz w:val="18"/>
                <w:szCs w:val="18"/>
              </w:rPr>
            </w:pPr>
            <w:r w:rsidRPr="00D84719">
              <w:rPr>
                <w:rFonts w:ascii="Times New Roman" w:eastAsia="Times New Roman" w:hAnsi="Times New Roman" w:cs="Times New Roman"/>
                <w:color w:val="000000"/>
                <w:sz w:val="18"/>
                <w:szCs w:val="18"/>
              </w:rPr>
              <w:t>16</w:t>
            </w:r>
            <w:r w:rsidR="00A20CBB">
              <w:rPr>
                <w:rFonts w:ascii="Times New Roman" w:eastAsia="Times New Roman" w:hAnsi="Times New Roman" w:cs="Times New Roman"/>
                <w:color w:val="000000"/>
                <w:sz w:val="18"/>
                <w:szCs w:val="18"/>
              </w:rPr>
              <w:t>,</w:t>
            </w:r>
            <w:r w:rsidRPr="00D84719">
              <w:rPr>
                <w:rFonts w:ascii="Times New Roman" w:eastAsia="Times New Roman" w:hAnsi="Times New Roman" w:cs="Times New Roman"/>
                <w:color w:val="000000"/>
                <w:sz w:val="18"/>
                <w:szCs w:val="18"/>
              </w:rPr>
              <w:t>6</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D25047" w14:textId="77777777" w:rsidR="00D84719" w:rsidRPr="00D84719" w:rsidRDefault="00D84719" w:rsidP="00D84719">
            <w:pPr>
              <w:spacing w:before="80" w:line="276" w:lineRule="auto"/>
              <w:jc w:val="center"/>
              <w:rPr>
                <w:rFonts w:ascii="Times New Roman" w:eastAsia="Times New Roman" w:hAnsi="Times New Roman" w:cs="Times New Roman"/>
                <w:color w:val="000000"/>
                <w:sz w:val="18"/>
                <w:szCs w:val="18"/>
              </w:rPr>
            </w:pPr>
            <w:r w:rsidRPr="00D84719">
              <w:rPr>
                <w:rFonts w:ascii="Times New Roman" w:eastAsia="Times New Roman" w:hAnsi="Times New Roman" w:cs="Times New Roman"/>
                <w:color w:val="000000"/>
                <w:sz w:val="18"/>
                <w:szCs w:val="18"/>
              </w:rPr>
              <w:t>14</w:t>
            </w:r>
            <w:r w:rsidR="00A20CBB">
              <w:rPr>
                <w:rFonts w:ascii="Times New Roman" w:eastAsia="Times New Roman" w:hAnsi="Times New Roman" w:cs="Times New Roman"/>
                <w:color w:val="000000"/>
                <w:sz w:val="18"/>
                <w:szCs w:val="18"/>
              </w:rPr>
              <w:t>,</w:t>
            </w:r>
            <w:r w:rsidRPr="00D84719">
              <w:rPr>
                <w:rFonts w:ascii="Times New Roman" w:eastAsia="Times New Roman" w:hAnsi="Times New Roman" w:cs="Times New Roman"/>
                <w:color w:val="000000"/>
                <w:sz w:val="18"/>
                <w:szCs w:val="18"/>
              </w:rPr>
              <w:t>9</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5E8DB5" w14:textId="77777777" w:rsidR="00D84719" w:rsidRPr="00D84719" w:rsidRDefault="00D84719" w:rsidP="00D84719">
            <w:pPr>
              <w:spacing w:before="80" w:line="276" w:lineRule="auto"/>
              <w:jc w:val="center"/>
              <w:rPr>
                <w:rFonts w:ascii="Times New Roman" w:eastAsia="Times New Roman" w:hAnsi="Times New Roman" w:cs="Times New Roman"/>
                <w:color w:val="000000"/>
                <w:sz w:val="18"/>
                <w:szCs w:val="18"/>
              </w:rPr>
            </w:pPr>
            <w:r w:rsidRPr="00D84719">
              <w:rPr>
                <w:rFonts w:ascii="Times New Roman" w:eastAsia="Times New Roman" w:hAnsi="Times New Roman" w:cs="Times New Roman"/>
                <w:color w:val="000000"/>
                <w:sz w:val="18"/>
                <w:szCs w:val="18"/>
              </w:rPr>
              <w:t>18</w:t>
            </w:r>
            <w:r w:rsidR="00A20CBB">
              <w:rPr>
                <w:rFonts w:ascii="Times New Roman" w:eastAsia="Times New Roman" w:hAnsi="Times New Roman" w:cs="Times New Roman"/>
                <w:color w:val="000000"/>
                <w:sz w:val="18"/>
                <w:szCs w:val="18"/>
              </w:rPr>
              <w:t>,</w:t>
            </w:r>
            <w:r w:rsidRPr="00D84719">
              <w:rPr>
                <w:rFonts w:ascii="Times New Roman" w:eastAsia="Times New Roman" w:hAnsi="Times New Roman" w:cs="Times New Roman"/>
                <w:color w:val="000000"/>
                <w:sz w:val="18"/>
                <w:szCs w:val="18"/>
              </w:rPr>
              <w:t>4</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6F3165" w14:textId="77777777" w:rsidR="00D84719" w:rsidRPr="00D84719" w:rsidRDefault="00D84719" w:rsidP="00D84719">
            <w:pPr>
              <w:spacing w:before="80" w:line="276" w:lineRule="auto"/>
              <w:jc w:val="center"/>
              <w:rPr>
                <w:rFonts w:ascii="Times New Roman" w:eastAsia="Times New Roman" w:hAnsi="Times New Roman" w:cs="Times New Roman"/>
                <w:color w:val="000000"/>
                <w:sz w:val="18"/>
                <w:szCs w:val="18"/>
              </w:rPr>
            </w:pPr>
            <w:r w:rsidRPr="00D84719">
              <w:rPr>
                <w:rFonts w:ascii="Times New Roman" w:eastAsia="Times New Roman" w:hAnsi="Times New Roman" w:cs="Times New Roman"/>
                <w:color w:val="000000"/>
                <w:sz w:val="18"/>
                <w:szCs w:val="18"/>
              </w:rPr>
              <w:t>17</w:t>
            </w:r>
            <w:r w:rsidR="00A20CBB">
              <w:rPr>
                <w:rFonts w:ascii="Times New Roman" w:eastAsia="Times New Roman" w:hAnsi="Times New Roman" w:cs="Times New Roman"/>
                <w:color w:val="000000"/>
                <w:sz w:val="18"/>
                <w:szCs w:val="18"/>
              </w:rPr>
              <w:t>,</w:t>
            </w:r>
            <w:r w:rsidRPr="00D84719">
              <w:rPr>
                <w:rFonts w:ascii="Times New Roman" w:eastAsia="Times New Roman" w:hAnsi="Times New Roman" w:cs="Times New Roman"/>
                <w:color w:val="000000"/>
                <w:sz w:val="18"/>
                <w:szCs w:val="18"/>
              </w:rPr>
              <w:t>4</w:t>
            </w:r>
          </w:p>
        </w:tc>
        <w:tc>
          <w:tcPr>
            <w:tcW w:w="8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C6C4F5" w14:textId="77777777" w:rsidR="00D84719" w:rsidRPr="00D84719" w:rsidRDefault="00D84719" w:rsidP="00D84719">
            <w:pPr>
              <w:spacing w:before="80" w:line="276" w:lineRule="auto"/>
              <w:jc w:val="center"/>
              <w:rPr>
                <w:rFonts w:ascii="Times New Roman" w:eastAsia="Times New Roman" w:hAnsi="Times New Roman" w:cs="Times New Roman"/>
                <w:color w:val="000000"/>
                <w:sz w:val="18"/>
                <w:szCs w:val="18"/>
              </w:rPr>
            </w:pPr>
            <w:r w:rsidRPr="00D84719">
              <w:rPr>
                <w:rFonts w:ascii="Times New Roman" w:eastAsia="Times New Roman" w:hAnsi="Times New Roman" w:cs="Times New Roman"/>
                <w:color w:val="000000"/>
                <w:sz w:val="18"/>
                <w:szCs w:val="18"/>
              </w:rPr>
              <w:t>15</w:t>
            </w:r>
            <w:r w:rsidR="00A20CBB">
              <w:rPr>
                <w:rFonts w:ascii="Times New Roman" w:eastAsia="Times New Roman" w:hAnsi="Times New Roman" w:cs="Times New Roman"/>
                <w:color w:val="000000"/>
                <w:sz w:val="18"/>
                <w:szCs w:val="18"/>
              </w:rPr>
              <w:t>,</w:t>
            </w:r>
            <w:r w:rsidRPr="00D84719">
              <w:rPr>
                <w:rFonts w:ascii="Times New Roman" w:eastAsia="Times New Roman" w:hAnsi="Times New Roman" w:cs="Times New Roman"/>
                <w:color w:val="000000"/>
                <w:sz w:val="18"/>
                <w:szCs w:val="18"/>
              </w:rPr>
              <w:t>7</w:t>
            </w:r>
          </w:p>
        </w:tc>
        <w:tc>
          <w:tcPr>
            <w:tcW w:w="66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7EDFF8" w14:textId="77777777" w:rsidR="00D84719" w:rsidRPr="00D84719" w:rsidRDefault="00D84719" w:rsidP="00D84719">
            <w:pPr>
              <w:spacing w:before="80" w:line="276" w:lineRule="auto"/>
              <w:jc w:val="center"/>
              <w:rPr>
                <w:rFonts w:ascii="Times New Roman" w:eastAsia="Times New Roman" w:hAnsi="Times New Roman" w:cs="Times New Roman"/>
                <w:color w:val="000000"/>
                <w:sz w:val="18"/>
                <w:szCs w:val="18"/>
              </w:rPr>
            </w:pPr>
            <w:r w:rsidRPr="00D84719">
              <w:rPr>
                <w:rFonts w:ascii="Times New Roman" w:eastAsia="Times New Roman" w:hAnsi="Times New Roman" w:cs="Times New Roman"/>
                <w:color w:val="000000"/>
                <w:sz w:val="18"/>
                <w:szCs w:val="18"/>
              </w:rPr>
              <w:t>15</w:t>
            </w:r>
            <w:r w:rsidR="00A20CBB">
              <w:rPr>
                <w:rFonts w:ascii="Times New Roman" w:eastAsia="Times New Roman" w:hAnsi="Times New Roman" w:cs="Times New Roman"/>
                <w:color w:val="000000"/>
                <w:sz w:val="18"/>
                <w:szCs w:val="18"/>
              </w:rPr>
              <w:t>,</w:t>
            </w:r>
            <w:r w:rsidRPr="00D84719">
              <w:rPr>
                <w:rFonts w:ascii="Times New Roman" w:eastAsia="Times New Roman" w:hAnsi="Times New Roman" w:cs="Times New Roman"/>
                <w:color w:val="000000"/>
                <w:sz w:val="18"/>
                <w:szCs w:val="18"/>
              </w:rPr>
              <w:t>0</w:t>
            </w:r>
          </w:p>
        </w:tc>
        <w:tc>
          <w:tcPr>
            <w:tcW w:w="66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62F567" w14:textId="77777777" w:rsidR="00D84719" w:rsidRPr="00D84719" w:rsidRDefault="00D84719" w:rsidP="00D84719">
            <w:pPr>
              <w:spacing w:before="80" w:line="276" w:lineRule="auto"/>
              <w:jc w:val="center"/>
              <w:rPr>
                <w:rFonts w:ascii="Times New Roman" w:eastAsia="Times New Roman" w:hAnsi="Times New Roman" w:cs="Times New Roman"/>
                <w:color w:val="000000"/>
                <w:sz w:val="18"/>
                <w:szCs w:val="18"/>
              </w:rPr>
            </w:pPr>
            <w:r w:rsidRPr="00D84719">
              <w:rPr>
                <w:rFonts w:ascii="Times New Roman" w:eastAsia="Times New Roman" w:hAnsi="Times New Roman" w:cs="Times New Roman"/>
                <w:color w:val="000000"/>
                <w:sz w:val="18"/>
                <w:szCs w:val="18"/>
              </w:rPr>
              <w:t>14</w:t>
            </w:r>
            <w:r w:rsidR="00A20CBB">
              <w:rPr>
                <w:rFonts w:ascii="Times New Roman" w:eastAsia="Times New Roman" w:hAnsi="Times New Roman" w:cs="Times New Roman"/>
                <w:color w:val="000000"/>
                <w:sz w:val="18"/>
                <w:szCs w:val="18"/>
              </w:rPr>
              <w:t>,</w:t>
            </w:r>
            <w:r w:rsidRPr="00D84719">
              <w:rPr>
                <w:rFonts w:ascii="Times New Roman" w:eastAsia="Times New Roman" w:hAnsi="Times New Roman" w:cs="Times New Roman"/>
                <w:color w:val="000000"/>
                <w:sz w:val="18"/>
                <w:szCs w:val="18"/>
              </w:rPr>
              <w:t>5</w:t>
            </w:r>
          </w:p>
        </w:tc>
        <w:tc>
          <w:tcPr>
            <w:tcW w:w="78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46D2EC3" w14:textId="77777777" w:rsidR="00D84719" w:rsidRPr="00D84719" w:rsidRDefault="00D84719" w:rsidP="00D84719">
            <w:pPr>
              <w:spacing w:before="80" w:line="276" w:lineRule="auto"/>
              <w:jc w:val="center"/>
              <w:rPr>
                <w:rFonts w:ascii="Times New Roman" w:eastAsia="Times New Roman" w:hAnsi="Times New Roman" w:cs="Times New Roman"/>
                <w:color w:val="000000"/>
                <w:sz w:val="18"/>
                <w:szCs w:val="18"/>
              </w:rPr>
            </w:pPr>
            <w:r w:rsidRPr="00D84719">
              <w:rPr>
                <w:rFonts w:ascii="Times New Roman" w:eastAsia="Times New Roman" w:hAnsi="Times New Roman" w:cs="Times New Roman"/>
                <w:color w:val="000000"/>
                <w:sz w:val="18"/>
                <w:szCs w:val="18"/>
              </w:rPr>
              <w:t>14</w:t>
            </w:r>
            <w:r w:rsidR="00A20CBB">
              <w:rPr>
                <w:rFonts w:ascii="Times New Roman" w:eastAsia="Times New Roman" w:hAnsi="Times New Roman" w:cs="Times New Roman"/>
                <w:color w:val="000000"/>
                <w:sz w:val="18"/>
                <w:szCs w:val="18"/>
              </w:rPr>
              <w:t>,</w:t>
            </w:r>
            <w:r w:rsidRPr="00D84719">
              <w:rPr>
                <w:rFonts w:ascii="Times New Roman" w:eastAsia="Times New Roman" w:hAnsi="Times New Roman" w:cs="Times New Roman"/>
                <w:color w:val="000000"/>
                <w:sz w:val="18"/>
                <w:szCs w:val="18"/>
              </w:rPr>
              <w:t>0</w:t>
            </w:r>
          </w:p>
        </w:tc>
        <w:tc>
          <w:tcPr>
            <w:tcW w:w="10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A7A71C" w14:textId="08697945" w:rsidR="00D84719" w:rsidRPr="00D84719" w:rsidRDefault="00D84719" w:rsidP="00D84719">
            <w:pPr>
              <w:spacing w:before="80" w:line="276" w:lineRule="auto"/>
              <w:jc w:val="center"/>
              <w:rPr>
                <w:rFonts w:ascii="Times New Roman" w:eastAsia="Times New Roman" w:hAnsi="Times New Roman" w:cs="Times New Roman"/>
                <w:color w:val="000000"/>
                <w:sz w:val="18"/>
                <w:szCs w:val="18"/>
              </w:rPr>
            </w:pPr>
            <w:r w:rsidRPr="00D84719">
              <w:rPr>
                <w:rFonts w:ascii="Times New Roman" w:eastAsia="Times New Roman" w:hAnsi="Times New Roman" w:cs="Times New Roman"/>
                <w:color w:val="000000"/>
                <w:sz w:val="18"/>
                <w:szCs w:val="18"/>
              </w:rPr>
              <w:t>-35</w:t>
            </w:r>
            <w:r w:rsidR="00A20CBB">
              <w:rPr>
                <w:rFonts w:ascii="Times New Roman" w:eastAsia="Times New Roman" w:hAnsi="Times New Roman" w:cs="Times New Roman"/>
                <w:color w:val="000000"/>
                <w:sz w:val="18"/>
                <w:szCs w:val="18"/>
              </w:rPr>
              <w:t>,</w:t>
            </w:r>
            <w:r w:rsidRPr="00D84719">
              <w:rPr>
                <w:rFonts w:ascii="Times New Roman" w:eastAsia="Times New Roman" w:hAnsi="Times New Roman" w:cs="Times New Roman"/>
                <w:color w:val="000000"/>
                <w:sz w:val="18"/>
                <w:szCs w:val="18"/>
              </w:rPr>
              <w:t>8</w:t>
            </w:r>
            <w:r w:rsidR="00D4589D">
              <w:rPr>
                <w:rFonts w:ascii="Times New Roman" w:eastAsia="Times New Roman" w:hAnsi="Times New Roman" w:cs="Times New Roman"/>
                <w:color w:val="000000"/>
                <w:sz w:val="18"/>
                <w:szCs w:val="18"/>
              </w:rPr>
              <w:t xml:space="preserve">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C2C6D3" w14:textId="2BC0FDD4" w:rsidR="00D84719" w:rsidRPr="00D84719" w:rsidRDefault="00D84719" w:rsidP="00D84719">
            <w:pPr>
              <w:spacing w:before="80" w:line="276" w:lineRule="auto"/>
              <w:jc w:val="center"/>
              <w:rPr>
                <w:rFonts w:ascii="Times New Roman" w:eastAsia="Times New Roman" w:hAnsi="Times New Roman" w:cs="Times New Roman"/>
                <w:color w:val="000000"/>
                <w:sz w:val="18"/>
                <w:szCs w:val="18"/>
              </w:rPr>
            </w:pPr>
            <w:r w:rsidRPr="00D84719">
              <w:rPr>
                <w:rFonts w:ascii="Times New Roman" w:eastAsia="Times New Roman" w:hAnsi="Times New Roman" w:cs="Times New Roman"/>
                <w:color w:val="000000"/>
                <w:sz w:val="18"/>
                <w:szCs w:val="18"/>
              </w:rPr>
              <w:t>-3</w:t>
            </w:r>
            <w:r w:rsidR="00A20CBB">
              <w:rPr>
                <w:rFonts w:ascii="Times New Roman" w:eastAsia="Times New Roman" w:hAnsi="Times New Roman" w:cs="Times New Roman"/>
                <w:color w:val="000000"/>
                <w:sz w:val="18"/>
                <w:szCs w:val="18"/>
              </w:rPr>
              <w:t>,</w:t>
            </w:r>
            <w:r w:rsidRPr="00D84719">
              <w:rPr>
                <w:rFonts w:ascii="Times New Roman" w:eastAsia="Times New Roman" w:hAnsi="Times New Roman" w:cs="Times New Roman"/>
                <w:color w:val="000000"/>
                <w:sz w:val="18"/>
                <w:szCs w:val="18"/>
              </w:rPr>
              <w:t>2</w:t>
            </w:r>
            <w:r w:rsidR="00D4589D">
              <w:rPr>
                <w:rFonts w:ascii="Times New Roman" w:eastAsia="Times New Roman" w:hAnsi="Times New Roman" w:cs="Times New Roman"/>
                <w:color w:val="000000"/>
                <w:sz w:val="18"/>
                <w:szCs w:val="18"/>
              </w:rPr>
              <w:t xml:space="preserve"> %</w:t>
            </w:r>
          </w:p>
        </w:tc>
      </w:tr>
      <w:tr w:rsidR="00D84719" w:rsidRPr="00D84719" w14:paraId="463B9397" w14:textId="77777777" w:rsidTr="00F831D6">
        <w:trPr>
          <w:trHeight w:val="285"/>
          <w:jc w:val="center"/>
        </w:trPr>
        <w:tc>
          <w:tcPr>
            <w:tcW w:w="140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F1F7BE6" w14:textId="77777777" w:rsidR="00D84719" w:rsidRPr="00D84719" w:rsidRDefault="00D84719" w:rsidP="00D84719">
            <w:pPr>
              <w:spacing w:before="80" w:line="276" w:lineRule="auto"/>
              <w:jc w:val="both"/>
              <w:rPr>
                <w:rFonts w:ascii="Times New Roman" w:eastAsia="Times New Roman" w:hAnsi="Times New Roman" w:cs="Times New Roman"/>
                <w:b/>
                <w:bCs/>
                <w:color w:val="000000"/>
                <w:sz w:val="18"/>
                <w:szCs w:val="18"/>
              </w:rPr>
            </w:pPr>
            <w:r w:rsidRPr="00D84719">
              <w:rPr>
                <w:rFonts w:ascii="Times New Roman" w:eastAsia="Times New Roman" w:hAnsi="Times New Roman" w:cs="Times New Roman"/>
                <w:b/>
                <w:bCs/>
                <w:color w:val="000000"/>
                <w:sz w:val="18"/>
                <w:szCs w:val="18"/>
              </w:rPr>
              <w:t>HCB</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E1153A" w14:textId="77777777" w:rsidR="00D84719" w:rsidRPr="00D84719" w:rsidRDefault="00D84719" w:rsidP="00D84719">
            <w:pPr>
              <w:spacing w:before="80" w:line="276" w:lineRule="auto"/>
              <w:jc w:val="center"/>
              <w:rPr>
                <w:rFonts w:ascii="Times New Roman" w:eastAsia="Times New Roman" w:hAnsi="Times New Roman" w:cs="Times New Roman"/>
                <w:color w:val="000000"/>
                <w:sz w:val="18"/>
                <w:szCs w:val="18"/>
              </w:rPr>
            </w:pPr>
            <w:r w:rsidRPr="00D84719">
              <w:rPr>
                <w:rFonts w:ascii="Times New Roman" w:eastAsia="Times New Roman" w:hAnsi="Times New Roman" w:cs="Times New Roman"/>
                <w:color w:val="000000"/>
                <w:sz w:val="18"/>
                <w:szCs w:val="18"/>
              </w:rPr>
              <w:t>kg</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F8106A" w14:textId="77777777" w:rsidR="00D84719" w:rsidRPr="00D84719" w:rsidRDefault="00D84719" w:rsidP="00D84719">
            <w:pPr>
              <w:spacing w:before="80" w:line="276" w:lineRule="auto"/>
              <w:jc w:val="center"/>
              <w:rPr>
                <w:rFonts w:ascii="Times New Roman" w:eastAsia="Times New Roman" w:hAnsi="Times New Roman" w:cs="Times New Roman"/>
                <w:color w:val="000000"/>
                <w:sz w:val="18"/>
                <w:szCs w:val="18"/>
              </w:rPr>
            </w:pPr>
            <w:r w:rsidRPr="00D84719">
              <w:rPr>
                <w:rFonts w:ascii="Times New Roman" w:eastAsia="Times New Roman" w:hAnsi="Times New Roman" w:cs="Times New Roman"/>
                <w:color w:val="000000"/>
                <w:sz w:val="18"/>
                <w:szCs w:val="18"/>
              </w:rPr>
              <w:t>7</w:t>
            </w:r>
            <w:r w:rsidR="00A20CBB">
              <w:rPr>
                <w:rFonts w:ascii="Times New Roman" w:eastAsia="Times New Roman" w:hAnsi="Times New Roman" w:cs="Times New Roman"/>
                <w:color w:val="000000"/>
                <w:sz w:val="18"/>
                <w:szCs w:val="18"/>
              </w:rPr>
              <w:t>,</w:t>
            </w:r>
            <w:r w:rsidRPr="00D84719">
              <w:rPr>
                <w:rFonts w:ascii="Times New Roman" w:eastAsia="Times New Roman" w:hAnsi="Times New Roman" w:cs="Times New Roman"/>
                <w:color w:val="000000"/>
                <w:sz w:val="18"/>
                <w:szCs w:val="18"/>
              </w:rPr>
              <w:t>09</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9A6AC8" w14:textId="77777777" w:rsidR="00D84719" w:rsidRPr="00D84719" w:rsidRDefault="00D84719" w:rsidP="00D84719">
            <w:pPr>
              <w:spacing w:before="80" w:line="276" w:lineRule="auto"/>
              <w:jc w:val="center"/>
              <w:rPr>
                <w:rFonts w:ascii="Times New Roman" w:eastAsia="Times New Roman" w:hAnsi="Times New Roman" w:cs="Times New Roman"/>
                <w:color w:val="000000"/>
                <w:sz w:val="18"/>
                <w:szCs w:val="18"/>
              </w:rPr>
            </w:pPr>
            <w:r w:rsidRPr="00D84719">
              <w:rPr>
                <w:rFonts w:ascii="Times New Roman" w:eastAsia="Times New Roman" w:hAnsi="Times New Roman" w:cs="Times New Roman"/>
                <w:color w:val="000000"/>
                <w:sz w:val="18"/>
                <w:szCs w:val="18"/>
              </w:rPr>
              <w:t>6</w:t>
            </w:r>
            <w:r w:rsidR="00A20CBB">
              <w:rPr>
                <w:rFonts w:ascii="Times New Roman" w:eastAsia="Times New Roman" w:hAnsi="Times New Roman" w:cs="Times New Roman"/>
                <w:color w:val="000000"/>
                <w:sz w:val="18"/>
                <w:szCs w:val="18"/>
              </w:rPr>
              <w:t>,</w:t>
            </w:r>
            <w:r w:rsidRPr="00D84719">
              <w:rPr>
                <w:rFonts w:ascii="Times New Roman" w:eastAsia="Times New Roman" w:hAnsi="Times New Roman" w:cs="Times New Roman"/>
                <w:color w:val="000000"/>
                <w:sz w:val="18"/>
                <w:szCs w:val="18"/>
              </w:rPr>
              <w:t>4</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FFF3DF1" w14:textId="77777777" w:rsidR="00D84719" w:rsidRPr="00D84719" w:rsidRDefault="00D84719" w:rsidP="00D84719">
            <w:pPr>
              <w:spacing w:before="80" w:line="276" w:lineRule="auto"/>
              <w:jc w:val="center"/>
              <w:rPr>
                <w:rFonts w:ascii="Times New Roman" w:eastAsia="Times New Roman" w:hAnsi="Times New Roman" w:cs="Times New Roman"/>
                <w:color w:val="000000"/>
                <w:sz w:val="18"/>
                <w:szCs w:val="18"/>
              </w:rPr>
            </w:pPr>
            <w:r w:rsidRPr="00D84719">
              <w:rPr>
                <w:rFonts w:ascii="Times New Roman" w:eastAsia="Times New Roman" w:hAnsi="Times New Roman" w:cs="Times New Roman"/>
                <w:color w:val="000000"/>
                <w:sz w:val="18"/>
                <w:szCs w:val="18"/>
              </w:rPr>
              <w:t>2</w:t>
            </w:r>
            <w:r w:rsidR="00A20CBB">
              <w:rPr>
                <w:rFonts w:ascii="Times New Roman" w:eastAsia="Times New Roman" w:hAnsi="Times New Roman" w:cs="Times New Roman"/>
                <w:color w:val="000000"/>
                <w:sz w:val="18"/>
                <w:szCs w:val="18"/>
              </w:rPr>
              <w:t>,</w:t>
            </w:r>
            <w:r w:rsidRPr="00D84719">
              <w:rPr>
                <w:rFonts w:ascii="Times New Roman" w:eastAsia="Times New Roman" w:hAnsi="Times New Roman" w:cs="Times New Roman"/>
                <w:color w:val="000000"/>
                <w:sz w:val="18"/>
                <w:szCs w:val="18"/>
              </w:rPr>
              <w:t>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DF824BC" w14:textId="77777777" w:rsidR="00D84719" w:rsidRPr="00D84719" w:rsidRDefault="00D84719" w:rsidP="00D84719">
            <w:pPr>
              <w:spacing w:before="80" w:line="276" w:lineRule="auto"/>
              <w:jc w:val="center"/>
              <w:rPr>
                <w:rFonts w:ascii="Times New Roman" w:eastAsia="Times New Roman" w:hAnsi="Times New Roman" w:cs="Times New Roman"/>
                <w:color w:val="000000"/>
                <w:sz w:val="18"/>
                <w:szCs w:val="18"/>
              </w:rPr>
            </w:pPr>
            <w:r w:rsidRPr="00D84719">
              <w:rPr>
                <w:rFonts w:ascii="Times New Roman" w:eastAsia="Times New Roman" w:hAnsi="Times New Roman" w:cs="Times New Roman"/>
                <w:color w:val="000000"/>
                <w:sz w:val="18"/>
                <w:szCs w:val="18"/>
              </w:rPr>
              <w:t>0</w:t>
            </w:r>
            <w:r w:rsidR="00A20CBB">
              <w:rPr>
                <w:rFonts w:ascii="Times New Roman" w:eastAsia="Times New Roman" w:hAnsi="Times New Roman" w:cs="Times New Roman"/>
                <w:color w:val="000000"/>
                <w:sz w:val="18"/>
                <w:szCs w:val="18"/>
              </w:rPr>
              <w:t>,</w:t>
            </w:r>
            <w:r w:rsidRPr="00D84719">
              <w:rPr>
                <w:rFonts w:ascii="Times New Roman" w:eastAsia="Times New Roman" w:hAnsi="Times New Roman" w:cs="Times New Roman"/>
                <w:color w:val="000000"/>
                <w:sz w:val="18"/>
                <w:szCs w:val="18"/>
              </w:rPr>
              <w:t>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A62681" w14:textId="77777777" w:rsidR="00D84719" w:rsidRPr="00D84719" w:rsidRDefault="00D84719" w:rsidP="00D84719">
            <w:pPr>
              <w:spacing w:before="80" w:line="276" w:lineRule="auto"/>
              <w:jc w:val="center"/>
              <w:rPr>
                <w:rFonts w:ascii="Times New Roman" w:eastAsia="Times New Roman" w:hAnsi="Times New Roman" w:cs="Times New Roman"/>
                <w:color w:val="000000"/>
                <w:sz w:val="18"/>
                <w:szCs w:val="18"/>
              </w:rPr>
            </w:pPr>
            <w:r w:rsidRPr="00D84719">
              <w:rPr>
                <w:rFonts w:ascii="Times New Roman" w:eastAsia="Times New Roman" w:hAnsi="Times New Roman" w:cs="Times New Roman"/>
                <w:color w:val="000000"/>
                <w:sz w:val="18"/>
                <w:szCs w:val="18"/>
              </w:rPr>
              <w:t>0</w:t>
            </w:r>
            <w:r w:rsidR="00A20CBB">
              <w:rPr>
                <w:rFonts w:ascii="Times New Roman" w:eastAsia="Times New Roman" w:hAnsi="Times New Roman" w:cs="Times New Roman"/>
                <w:color w:val="000000"/>
                <w:sz w:val="18"/>
                <w:szCs w:val="18"/>
              </w:rPr>
              <w:t>,</w:t>
            </w:r>
            <w:r w:rsidRPr="00D84719">
              <w:rPr>
                <w:rFonts w:ascii="Times New Roman" w:eastAsia="Times New Roman" w:hAnsi="Times New Roman" w:cs="Times New Roman"/>
                <w:color w:val="000000"/>
                <w:sz w:val="18"/>
                <w:szCs w:val="18"/>
              </w:rPr>
              <w:t>9</w:t>
            </w:r>
          </w:p>
        </w:tc>
        <w:tc>
          <w:tcPr>
            <w:tcW w:w="8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81FCD0C" w14:textId="77777777" w:rsidR="00D84719" w:rsidRPr="00D84719" w:rsidRDefault="00D84719" w:rsidP="00D84719">
            <w:pPr>
              <w:spacing w:before="80" w:line="276" w:lineRule="auto"/>
              <w:jc w:val="center"/>
              <w:rPr>
                <w:rFonts w:ascii="Times New Roman" w:eastAsia="Times New Roman" w:hAnsi="Times New Roman" w:cs="Times New Roman"/>
                <w:color w:val="000000"/>
                <w:sz w:val="18"/>
                <w:szCs w:val="18"/>
              </w:rPr>
            </w:pPr>
            <w:r w:rsidRPr="00D84719">
              <w:rPr>
                <w:rFonts w:ascii="Times New Roman" w:eastAsia="Times New Roman" w:hAnsi="Times New Roman" w:cs="Times New Roman"/>
                <w:color w:val="000000"/>
                <w:sz w:val="18"/>
                <w:szCs w:val="18"/>
              </w:rPr>
              <w:t>0</w:t>
            </w:r>
            <w:r w:rsidR="00A20CBB">
              <w:rPr>
                <w:rFonts w:ascii="Times New Roman" w:eastAsia="Times New Roman" w:hAnsi="Times New Roman" w:cs="Times New Roman"/>
                <w:color w:val="000000"/>
                <w:sz w:val="18"/>
                <w:szCs w:val="18"/>
              </w:rPr>
              <w:t>,</w:t>
            </w:r>
            <w:r w:rsidRPr="00D84719">
              <w:rPr>
                <w:rFonts w:ascii="Times New Roman" w:eastAsia="Times New Roman" w:hAnsi="Times New Roman" w:cs="Times New Roman"/>
                <w:color w:val="000000"/>
                <w:sz w:val="18"/>
                <w:szCs w:val="18"/>
              </w:rPr>
              <w:t>4</w:t>
            </w:r>
          </w:p>
        </w:tc>
        <w:tc>
          <w:tcPr>
            <w:tcW w:w="66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0A2951" w14:textId="77777777" w:rsidR="00D84719" w:rsidRPr="00D84719" w:rsidRDefault="00D84719" w:rsidP="00D84719">
            <w:pPr>
              <w:spacing w:before="80" w:line="276" w:lineRule="auto"/>
              <w:jc w:val="center"/>
              <w:rPr>
                <w:rFonts w:ascii="Times New Roman" w:eastAsia="Times New Roman" w:hAnsi="Times New Roman" w:cs="Times New Roman"/>
                <w:color w:val="000000"/>
                <w:sz w:val="18"/>
                <w:szCs w:val="18"/>
              </w:rPr>
            </w:pPr>
            <w:r w:rsidRPr="00D84719">
              <w:rPr>
                <w:rFonts w:ascii="Times New Roman" w:eastAsia="Times New Roman" w:hAnsi="Times New Roman" w:cs="Times New Roman"/>
                <w:color w:val="000000"/>
                <w:sz w:val="18"/>
                <w:szCs w:val="18"/>
              </w:rPr>
              <w:t>0</w:t>
            </w:r>
            <w:r w:rsidR="00A20CBB">
              <w:rPr>
                <w:rFonts w:ascii="Times New Roman" w:eastAsia="Times New Roman" w:hAnsi="Times New Roman" w:cs="Times New Roman"/>
                <w:color w:val="000000"/>
                <w:sz w:val="18"/>
                <w:szCs w:val="18"/>
              </w:rPr>
              <w:t>,</w:t>
            </w:r>
            <w:r w:rsidRPr="00D84719">
              <w:rPr>
                <w:rFonts w:ascii="Times New Roman" w:eastAsia="Times New Roman" w:hAnsi="Times New Roman" w:cs="Times New Roman"/>
                <w:color w:val="000000"/>
                <w:sz w:val="18"/>
                <w:szCs w:val="18"/>
              </w:rPr>
              <w:t>5</w:t>
            </w:r>
          </w:p>
        </w:tc>
        <w:tc>
          <w:tcPr>
            <w:tcW w:w="66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DFC7BD" w14:textId="77777777" w:rsidR="00D84719" w:rsidRPr="00D84719" w:rsidRDefault="00D84719" w:rsidP="00D84719">
            <w:pPr>
              <w:spacing w:before="80" w:line="276" w:lineRule="auto"/>
              <w:jc w:val="center"/>
              <w:rPr>
                <w:rFonts w:ascii="Times New Roman" w:eastAsia="Times New Roman" w:hAnsi="Times New Roman" w:cs="Times New Roman"/>
                <w:color w:val="000000"/>
                <w:sz w:val="18"/>
                <w:szCs w:val="18"/>
              </w:rPr>
            </w:pPr>
            <w:r w:rsidRPr="00D84719">
              <w:rPr>
                <w:rFonts w:ascii="Times New Roman" w:eastAsia="Times New Roman" w:hAnsi="Times New Roman" w:cs="Times New Roman"/>
                <w:color w:val="000000"/>
                <w:sz w:val="18"/>
                <w:szCs w:val="18"/>
              </w:rPr>
              <w:t>0</w:t>
            </w:r>
            <w:r w:rsidR="00A20CBB">
              <w:rPr>
                <w:rFonts w:ascii="Times New Roman" w:eastAsia="Times New Roman" w:hAnsi="Times New Roman" w:cs="Times New Roman"/>
                <w:color w:val="000000"/>
                <w:sz w:val="18"/>
                <w:szCs w:val="18"/>
              </w:rPr>
              <w:t>,</w:t>
            </w:r>
            <w:r w:rsidRPr="00D84719">
              <w:rPr>
                <w:rFonts w:ascii="Times New Roman" w:eastAsia="Times New Roman" w:hAnsi="Times New Roman" w:cs="Times New Roman"/>
                <w:color w:val="000000"/>
                <w:sz w:val="18"/>
                <w:szCs w:val="18"/>
              </w:rPr>
              <w:t>5</w:t>
            </w:r>
          </w:p>
        </w:tc>
        <w:tc>
          <w:tcPr>
            <w:tcW w:w="78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2FE8A28" w14:textId="77777777" w:rsidR="00D84719" w:rsidRPr="00D84719" w:rsidRDefault="00D84719" w:rsidP="00D84719">
            <w:pPr>
              <w:spacing w:before="80" w:line="276" w:lineRule="auto"/>
              <w:jc w:val="center"/>
              <w:rPr>
                <w:rFonts w:ascii="Times New Roman" w:eastAsia="Times New Roman" w:hAnsi="Times New Roman" w:cs="Times New Roman"/>
                <w:color w:val="000000"/>
                <w:sz w:val="18"/>
                <w:szCs w:val="18"/>
              </w:rPr>
            </w:pPr>
            <w:r w:rsidRPr="00D84719">
              <w:rPr>
                <w:rFonts w:ascii="Times New Roman" w:eastAsia="Times New Roman" w:hAnsi="Times New Roman" w:cs="Times New Roman"/>
                <w:color w:val="000000"/>
                <w:sz w:val="18"/>
                <w:szCs w:val="18"/>
              </w:rPr>
              <w:t>0</w:t>
            </w:r>
            <w:r w:rsidR="00A20CBB">
              <w:rPr>
                <w:rFonts w:ascii="Times New Roman" w:eastAsia="Times New Roman" w:hAnsi="Times New Roman" w:cs="Times New Roman"/>
                <w:color w:val="000000"/>
                <w:sz w:val="18"/>
                <w:szCs w:val="18"/>
              </w:rPr>
              <w:t>,</w:t>
            </w:r>
            <w:r w:rsidRPr="00D84719">
              <w:rPr>
                <w:rFonts w:ascii="Times New Roman" w:eastAsia="Times New Roman" w:hAnsi="Times New Roman" w:cs="Times New Roman"/>
                <w:color w:val="000000"/>
                <w:sz w:val="18"/>
                <w:szCs w:val="18"/>
              </w:rPr>
              <w:t>6</w:t>
            </w:r>
          </w:p>
        </w:tc>
        <w:tc>
          <w:tcPr>
            <w:tcW w:w="10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06FAF8" w14:textId="579C77B0" w:rsidR="00D84719" w:rsidRPr="00D84719" w:rsidRDefault="00D84719" w:rsidP="00D84719">
            <w:pPr>
              <w:spacing w:before="80" w:line="276" w:lineRule="auto"/>
              <w:jc w:val="center"/>
              <w:rPr>
                <w:rFonts w:ascii="Times New Roman" w:eastAsia="Times New Roman" w:hAnsi="Times New Roman" w:cs="Times New Roman"/>
                <w:color w:val="000000"/>
                <w:sz w:val="18"/>
                <w:szCs w:val="18"/>
              </w:rPr>
            </w:pPr>
            <w:r w:rsidRPr="00D84719">
              <w:rPr>
                <w:rFonts w:ascii="Times New Roman" w:eastAsia="Times New Roman" w:hAnsi="Times New Roman" w:cs="Times New Roman"/>
                <w:color w:val="000000"/>
                <w:sz w:val="18"/>
                <w:szCs w:val="18"/>
              </w:rPr>
              <w:t>-92</w:t>
            </w:r>
            <w:r w:rsidR="00A20CBB">
              <w:rPr>
                <w:rFonts w:ascii="Times New Roman" w:eastAsia="Times New Roman" w:hAnsi="Times New Roman" w:cs="Times New Roman"/>
                <w:color w:val="000000"/>
                <w:sz w:val="18"/>
                <w:szCs w:val="18"/>
              </w:rPr>
              <w:t>,</w:t>
            </w:r>
            <w:r w:rsidRPr="00D84719">
              <w:rPr>
                <w:rFonts w:ascii="Times New Roman" w:eastAsia="Times New Roman" w:hAnsi="Times New Roman" w:cs="Times New Roman"/>
                <w:color w:val="000000"/>
                <w:sz w:val="18"/>
                <w:szCs w:val="18"/>
              </w:rPr>
              <w:t>0</w:t>
            </w:r>
            <w:r w:rsidR="00D4589D">
              <w:rPr>
                <w:rFonts w:ascii="Times New Roman" w:eastAsia="Times New Roman" w:hAnsi="Times New Roman" w:cs="Times New Roman"/>
                <w:color w:val="000000"/>
                <w:sz w:val="18"/>
                <w:szCs w:val="18"/>
              </w:rPr>
              <w:t xml:space="preserve">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D6DF26" w14:textId="6ED0A993" w:rsidR="00D84719" w:rsidRPr="00D84719" w:rsidRDefault="00D84719" w:rsidP="00D84719">
            <w:pPr>
              <w:spacing w:before="80" w:line="276" w:lineRule="auto"/>
              <w:jc w:val="center"/>
              <w:rPr>
                <w:rFonts w:ascii="Times New Roman" w:eastAsia="Times New Roman" w:hAnsi="Times New Roman" w:cs="Times New Roman"/>
                <w:color w:val="000000"/>
                <w:sz w:val="18"/>
                <w:szCs w:val="18"/>
              </w:rPr>
            </w:pPr>
            <w:r w:rsidRPr="00D84719">
              <w:rPr>
                <w:rFonts w:ascii="Times New Roman" w:eastAsia="Times New Roman" w:hAnsi="Times New Roman" w:cs="Times New Roman"/>
                <w:color w:val="000000"/>
                <w:sz w:val="18"/>
                <w:szCs w:val="18"/>
              </w:rPr>
              <w:t>21</w:t>
            </w:r>
            <w:r w:rsidR="00A20CBB">
              <w:rPr>
                <w:rFonts w:ascii="Times New Roman" w:eastAsia="Times New Roman" w:hAnsi="Times New Roman" w:cs="Times New Roman"/>
                <w:color w:val="000000"/>
                <w:sz w:val="18"/>
                <w:szCs w:val="18"/>
              </w:rPr>
              <w:t>,</w:t>
            </w:r>
            <w:r w:rsidRPr="00D84719">
              <w:rPr>
                <w:rFonts w:ascii="Times New Roman" w:eastAsia="Times New Roman" w:hAnsi="Times New Roman" w:cs="Times New Roman"/>
                <w:color w:val="000000"/>
                <w:sz w:val="18"/>
                <w:szCs w:val="18"/>
              </w:rPr>
              <w:t>5</w:t>
            </w:r>
            <w:r w:rsidR="00D4589D">
              <w:rPr>
                <w:rFonts w:ascii="Times New Roman" w:eastAsia="Times New Roman" w:hAnsi="Times New Roman" w:cs="Times New Roman"/>
                <w:color w:val="000000"/>
                <w:sz w:val="18"/>
                <w:szCs w:val="18"/>
              </w:rPr>
              <w:t xml:space="preserve"> %</w:t>
            </w:r>
          </w:p>
        </w:tc>
      </w:tr>
      <w:tr w:rsidR="00D84719" w:rsidRPr="00D84719" w14:paraId="687A3F07" w14:textId="77777777" w:rsidTr="00F831D6">
        <w:trPr>
          <w:trHeight w:val="285"/>
          <w:jc w:val="center"/>
        </w:trPr>
        <w:tc>
          <w:tcPr>
            <w:tcW w:w="140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699D913" w14:textId="77777777" w:rsidR="00D84719" w:rsidRPr="00D84719" w:rsidRDefault="00D84719" w:rsidP="00D84719">
            <w:pPr>
              <w:spacing w:before="80" w:line="276" w:lineRule="auto"/>
              <w:jc w:val="both"/>
              <w:rPr>
                <w:rFonts w:ascii="Times New Roman" w:eastAsia="Times New Roman" w:hAnsi="Times New Roman" w:cs="Times New Roman"/>
                <w:b/>
                <w:bCs/>
                <w:color w:val="000000"/>
                <w:sz w:val="18"/>
                <w:szCs w:val="18"/>
              </w:rPr>
            </w:pPr>
            <w:r w:rsidRPr="00D84719">
              <w:rPr>
                <w:rFonts w:ascii="Times New Roman" w:eastAsia="Times New Roman" w:hAnsi="Times New Roman" w:cs="Times New Roman"/>
                <w:b/>
                <w:bCs/>
                <w:color w:val="000000"/>
                <w:sz w:val="18"/>
                <w:szCs w:val="18"/>
              </w:rPr>
              <w:t>PCB</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29AA36" w14:textId="77777777" w:rsidR="00D84719" w:rsidRPr="00D84719" w:rsidRDefault="00D84719" w:rsidP="00D84719">
            <w:pPr>
              <w:spacing w:before="80" w:line="276" w:lineRule="auto"/>
              <w:jc w:val="center"/>
              <w:rPr>
                <w:rFonts w:ascii="Times New Roman" w:eastAsia="Times New Roman" w:hAnsi="Times New Roman" w:cs="Times New Roman"/>
                <w:color w:val="000000"/>
                <w:sz w:val="18"/>
                <w:szCs w:val="18"/>
              </w:rPr>
            </w:pPr>
            <w:r w:rsidRPr="00D84719">
              <w:rPr>
                <w:rFonts w:ascii="Times New Roman" w:eastAsia="Times New Roman" w:hAnsi="Times New Roman" w:cs="Times New Roman"/>
                <w:color w:val="000000"/>
                <w:sz w:val="18"/>
                <w:szCs w:val="18"/>
              </w:rPr>
              <w:t>kg</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739A47" w14:textId="77777777" w:rsidR="00D84719" w:rsidRPr="00D84719" w:rsidRDefault="00D84719" w:rsidP="00D84719">
            <w:pPr>
              <w:spacing w:before="80" w:line="276" w:lineRule="auto"/>
              <w:jc w:val="center"/>
              <w:rPr>
                <w:rFonts w:ascii="Times New Roman" w:eastAsia="Times New Roman" w:hAnsi="Times New Roman" w:cs="Times New Roman"/>
                <w:color w:val="000000"/>
                <w:sz w:val="18"/>
                <w:szCs w:val="18"/>
              </w:rPr>
            </w:pPr>
            <w:r w:rsidRPr="00D84719">
              <w:rPr>
                <w:rFonts w:ascii="Times New Roman" w:eastAsia="Times New Roman" w:hAnsi="Times New Roman" w:cs="Times New Roman"/>
                <w:color w:val="000000"/>
                <w:sz w:val="18"/>
                <w:szCs w:val="18"/>
              </w:rPr>
              <w:t>482</w:t>
            </w:r>
            <w:r w:rsidR="00A20CBB">
              <w:rPr>
                <w:rFonts w:ascii="Times New Roman" w:eastAsia="Times New Roman" w:hAnsi="Times New Roman" w:cs="Times New Roman"/>
                <w:color w:val="000000"/>
                <w:sz w:val="18"/>
                <w:szCs w:val="18"/>
              </w:rPr>
              <w:t>,</w:t>
            </w:r>
            <w:r w:rsidRPr="00D84719">
              <w:rPr>
                <w:rFonts w:ascii="Times New Roman" w:eastAsia="Times New Roman" w:hAnsi="Times New Roman" w:cs="Times New Roman"/>
                <w:color w:val="000000"/>
                <w:sz w:val="18"/>
                <w:szCs w:val="18"/>
              </w:rPr>
              <w:t>8</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F28CA1" w14:textId="77777777" w:rsidR="00D84719" w:rsidRPr="00D84719" w:rsidRDefault="00D84719" w:rsidP="00D84719">
            <w:pPr>
              <w:spacing w:before="80" w:line="276" w:lineRule="auto"/>
              <w:jc w:val="center"/>
              <w:rPr>
                <w:rFonts w:ascii="Times New Roman" w:eastAsia="Times New Roman" w:hAnsi="Times New Roman" w:cs="Times New Roman"/>
                <w:color w:val="000000"/>
                <w:sz w:val="18"/>
                <w:szCs w:val="18"/>
              </w:rPr>
            </w:pPr>
            <w:r w:rsidRPr="00D84719">
              <w:rPr>
                <w:rFonts w:ascii="Times New Roman" w:eastAsia="Times New Roman" w:hAnsi="Times New Roman" w:cs="Times New Roman"/>
                <w:color w:val="000000"/>
                <w:sz w:val="18"/>
                <w:szCs w:val="18"/>
              </w:rPr>
              <w:t>468</w:t>
            </w:r>
            <w:r w:rsidR="00A20CBB">
              <w:rPr>
                <w:rFonts w:ascii="Times New Roman" w:eastAsia="Times New Roman" w:hAnsi="Times New Roman" w:cs="Times New Roman"/>
                <w:color w:val="000000"/>
                <w:sz w:val="18"/>
                <w:szCs w:val="18"/>
              </w:rPr>
              <w:t>,</w:t>
            </w:r>
            <w:r w:rsidRPr="00D84719">
              <w:rPr>
                <w:rFonts w:ascii="Times New Roman" w:eastAsia="Times New Roman" w:hAnsi="Times New Roman" w:cs="Times New Roman"/>
                <w:color w:val="000000"/>
                <w:sz w:val="18"/>
                <w:szCs w:val="18"/>
              </w:rPr>
              <w:t>2</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09D97A" w14:textId="77777777" w:rsidR="00D84719" w:rsidRPr="00D84719" w:rsidRDefault="00D84719" w:rsidP="00D84719">
            <w:pPr>
              <w:spacing w:before="80" w:line="276" w:lineRule="auto"/>
              <w:jc w:val="center"/>
              <w:rPr>
                <w:rFonts w:ascii="Times New Roman" w:eastAsia="Times New Roman" w:hAnsi="Times New Roman" w:cs="Times New Roman"/>
                <w:color w:val="000000"/>
                <w:sz w:val="18"/>
                <w:szCs w:val="18"/>
              </w:rPr>
            </w:pPr>
            <w:r w:rsidRPr="00D84719">
              <w:rPr>
                <w:rFonts w:ascii="Times New Roman" w:eastAsia="Times New Roman" w:hAnsi="Times New Roman" w:cs="Times New Roman"/>
                <w:color w:val="000000"/>
                <w:sz w:val="18"/>
                <w:szCs w:val="18"/>
              </w:rPr>
              <w:t>441</w:t>
            </w:r>
            <w:r w:rsidR="00A20CBB">
              <w:rPr>
                <w:rFonts w:ascii="Times New Roman" w:eastAsia="Times New Roman" w:hAnsi="Times New Roman" w:cs="Times New Roman"/>
                <w:color w:val="000000"/>
                <w:sz w:val="18"/>
                <w:szCs w:val="18"/>
              </w:rPr>
              <w:t>,</w:t>
            </w:r>
            <w:r w:rsidRPr="00D84719">
              <w:rPr>
                <w:rFonts w:ascii="Times New Roman" w:eastAsia="Times New Roman" w:hAnsi="Times New Roman" w:cs="Times New Roman"/>
                <w:color w:val="000000"/>
                <w:sz w:val="18"/>
                <w:szCs w:val="18"/>
              </w:rPr>
              <w:t>4</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E8E0C2" w14:textId="77777777" w:rsidR="00D84719" w:rsidRPr="00D84719" w:rsidRDefault="00D84719" w:rsidP="00D84719">
            <w:pPr>
              <w:spacing w:before="80" w:line="276" w:lineRule="auto"/>
              <w:jc w:val="center"/>
              <w:rPr>
                <w:rFonts w:ascii="Times New Roman" w:eastAsia="Times New Roman" w:hAnsi="Times New Roman" w:cs="Times New Roman"/>
                <w:color w:val="000000"/>
                <w:sz w:val="18"/>
                <w:szCs w:val="18"/>
              </w:rPr>
            </w:pPr>
            <w:r w:rsidRPr="00D84719">
              <w:rPr>
                <w:rFonts w:ascii="Times New Roman" w:eastAsia="Times New Roman" w:hAnsi="Times New Roman" w:cs="Times New Roman"/>
                <w:color w:val="000000"/>
                <w:sz w:val="18"/>
                <w:szCs w:val="18"/>
              </w:rPr>
              <w:t>435</w:t>
            </w:r>
            <w:r w:rsidR="00A20CBB">
              <w:rPr>
                <w:rFonts w:ascii="Times New Roman" w:eastAsia="Times New Roman" w:hAnsi="Times New Roman" w:cs="Times New Roman"/>
                <w:color w:val="000000"/>
                <w:sz w:val="18"/>
                <w:szCs w:val="18"/>
              </w:rPr>
              <w:t>,</w:t>
            </w:r>
            <w:r w:rsidRPr="00D84719">
              <w:rPr>
                <w:rFonts w:ascii="Times New Roman" w:eastAsia="Times New Roman" w:hAnsi="Times New Roman" w:cs="Times New Roman"/>
                <w:color w:val="000000"/>
                <w:sz w:val="18"/>
                <w:szCs w:val="18"/>
              </w:rPr>
              <w:t>7</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03383D" w14:textId="77777777" w:rsidR="00D84719" w:rsidRPr="00D84719" w:rsidRDefault="00D84719" w:rsidP="00D84719">
            <w:pPr>
              <w:spacing w:before="80" w:line="276" w:lineRule="auto"/>
              <w:jc w:val="center"/>
              <w:rPr>
                <w:rFonts w:ascii="Times New Roman" w:eastAsia="Times New Roman" w:hAnsi="Times New Roman" w:cs="Times New Roman"/>
                <w:color w:val="000000"/>
                <w:sz w:val="18"/>
                <w:szCs w:val="18"/>
              </w:rPr>
            </w:pPr>
            <w:r w:rsidRPr="00D84719">
              <w:rPr>
                <w:rFonts w:ascii="Times New Roman" w:eastAsia="Times New Roman" w:hAnsi="Times New Roman" w:cs="Times New Roman"/>
                <w:color w:val="000000"/>
                <w:sz w:val="18"/>
                <w:szCs w:val="18"/>
              </w:rPr>
              <w:t>433</w:t>
            </w:r>
            <w:r w:rsidR="00A20CBB">
              <w:rPr>
                <w:rFonts w:ascii="Times New Roman" w:eastAsia="Times New Roman" w:hAnsi="Times New Roman" w:cs="Times New Roman"/>
                <w:color w:val="000000"/>
                <w:sz w:val="18"/>
                <w:szCs w:val="18"/>
              </w:rPr>
              <w:t>,</w:t>
            </w:r>
            <w:r w:rsidRPr="00D84719">
              <w:rPr>
                <w:rFonts w:ascii="Times New Roman" w:eastAsia="Times New Roman" w:hAnsi="Times New Roman" w:cs="Times New Roman"/>
                <w:color w:val="000000"/>
                <w:sz w:val="18"/>
                <w:szCs w:val="18"/>
              </w:rPr>
              <w:t>7</w:t>
            </w:r>
          </w:p>
        </w:tc>
        <w:tc>
          <w:tcPr>
            <w:tcW w:w="8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C9133C1" w14:textId="77777777" w:rsidR="00D84719" w:rsidRPr="00D84719" w:rsidRDefault="00D84719" w:rsidP="00D84719">
            <w:pPr>
              <w:spacing w:before="80" w:line="276" w:lineRule="auto"/>
              <w:jc w:val="center"/>
              <w:rPr>
                <w:rFonts w:ascii="Times New Roman" w:eastAsia="Times New Roman" w:hAnsi="Times New Roman" w:cs="Times New Roman"/>
                <w:color w:val="000000"/>
                <w:sz w:val="18"/>
                <w:szCs w:val="18"/>
              </w:rPr>
            </w:pPr>
            <w:r w:rsidRPr="00D84719">
              <w:rPr>
                <w:rFonts w:ascii="Times New Roman" w:eastAsia="Times New Roman" w:hAnsi="Times New Roman" w:cs="Times New Roman"/>
                <w:color w:val="000000"/>
                <w:sz w:val="18"/>
                <w:szCs w:val="18"/>
              </w:rPr>
              <w:t>424</w:t>
            </w:r>
            <w:r w:rsidR="00A20CBB">
              <w:rPr>
                <w:rFonts w:ascii="Times New Roman" w:eastAsia="Times New Roman" w:hAnsi="Times New Roman" w:cs="Times New Roman"/>
                <w:color w:val="000000"/>
                <w:sz w:val="18"/>
                <w:szCs w:val="18"/>
              </w:rPr>
              <w:t>,</w:t>
            </w:r>
            <w:r w:rsidRPr="00D84719">
              <w:rPr>
                <w:rFonts w:ascii="Times New Roman" w:eastAsia="Times New Roman" w:hAnsi="Times New Roman" w:cs="Times New Roman"/>
                <w:color w:val="000000"/>
                <w:sz w:val="18"/>
                <w:szCs w:val="18"/>
              </w:rPr>
              <w:t>9</w:t>
            </w:r>
          </w:p>
        </w:tc>
        <w:tc>
          <w:tcPr>
            <w:tcW w:w="66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7B6AC6" w14:textId="77777777" w:rsidR="00D84719" w:rsidRPr="00D84719" w:rsidRDefault="00D84719" w:rsidP="00D84719">
            <w:pPr>
              <w:spacing w:before="80" w:line="276" w:lineRule="auto"/>
              <w:jc w:val="center"/>
              <w:rPr>
                <w:rFonts w:ascii="Times New Roman" w:eastAsia="Times New Roman" w:hAnsi="Times New Roman" w:cs="Times New Roman"/>
                <w:color w:val="000000"/>
                <w:sz w:val="18"/>
                <w:szCs w:val="18"/>
              </w:rPr>
            </w:pPr>
            <w:r w:rsidRPr="00D84719">
              <w:rPr>
                <w:rFonts w:ascii="Times New Roman" w:eastAsia="Times New Roman" w:hAnsi="Times New Roman" w:cs="Times New Roman"/>
                <w:color w:val="000000"/>
                <w:sz w:val="18"/>
                <w:szCs w:val="18"/>
              </w:rPr>
              <w:t>422</w:t>
            </w:r>
            <w:r w:rsidR="00A20CBB">
              <w:rPr>
                <w:rFonts w:ascii="Times New Roman" w:eastAsia="Times New Roman" w:hAnsi="Times New Roman" w:cs="Times New Roman"/>
                <w:color w:val="000000"/>
                <w:sz w:val="18"/>
                <w:szCs w:val="18"/>
              </w:rPr>
              <w:t>,</w:t>
            </w:r>
            <w:r w:rsidRPr="00D84719">
              <w:rPr>
                <w:rFonts w:ascii="Times New Roman" w:eastAsia="Times New Roman" w:hAnsi="Times New Roman" w:cs="Times New Roman"/>
                <w:color w:val="000000"/>
                <w:sz w:val="18"/>
                <w:szCs w:val="18"/>
              </w:rPr>
              <w:t>1</w:t>
            </w:r>
          </w:p>
        </w:tc>
        <w:tc>
          <w:tcPr>
            <w:tcW w:w="66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BC0AEB" w14:textId="77777777" w:rsidR="00D84719" w:rsidRPr="00D84719" w:rsidRDefault="00D84719" w:rsidP="00D84719">
            <w:pPr>
              <w:spacing w:before="80" w:line="276" w:lineRule="auto"/>
              <w:jc w:val="center"/>
              <w:rPr>
                <w:rFonts w:ascii="Times New Roman" w:eastAsia="Times New Roman" w:hAnsi="Times New Roman" w:cs="Times New Roman"/>
                <w:color w:val="000000"/>
                <w:sz w:val="18"/>
                <w:szCs w:val="18"/>
              </w:rPr>
            </w:pPr>
            <w:r w:rsidRPr="00D84719">
              <w:rPr>
                <w:rFonts w:ascii="Times New Roman" w:eastAsia="Times New Roman" w:hAnsi="Times New Roman" w:cs="Times New Roman"/>
                <w:color w:val="000000"/>
                <w:sz w:val="18"/>
                <w:szCs w:val="18"/>
              </w:rPr>
              <w:t>415</w:t>
            </w:r>
            <w:r w:rsidR="00A20CBB">
              <w:rPr>
                <w:rFonts w:ascii="Times New Roman" w:eastAsia="Times New Roman" w:hAnsi="Times New Roman" w:cs="Times New Roman"/>
                <w:color w:val="000000"/>
                <w:sz w:val="18"/>
                <w:szCs w:val="18"/>
              </w:rPr>
              <w:t>,</w:t>
            </w:r>
            <w:r w:rsidRPr="00D84719">
              <w:rPr>
                <w:rFonts w:ascii="Times New Roman" w:eastAsia="Times New Roman" w:hAnsi="Times New Roman" w:cs="Times New Roman"/>
                <w:color w:val="000000"/>
                <w:sz w:val="18"/>
                <w:szCs w:val="18"/>
              </w:rPr>
              <w:t>3</w:t>
            </w:r>
          </w:p>
        </w:tc>
        <w:tc>
          <w:tcPr>
            <w:tcW w:w="78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EFB9CCE" w14:textId="77777777" w:rsidR="00D84719" w:rsidRPr="00D84719" w:rsidRDefault="00D84719" w:rsidP="00D84719">
            <w:pPr>
              <w:spacing w:before="80" w:line="276" w:lineRule="auto"/>
              <w:jc w:val="center"/>
              <w:rPr>
                <w:rFonts w:ascii="Times New Roman" w:eastAsia="Times New Roman" w:hAnsi="Times New Roman" w:cs="Times New Roman"/>
                <w:color w:val="000000"/>
                <w:sz w:val="18"/>
                <w:szCs w:val="18"/>
              </w:rPr>
            </w:pPr>
            <w:r w:rsidRPr="00D84719">
              <w:rPr>
                <w:rFonts w:ascii="Times New Roman" w:eastAsia="Times New Roman" w:hAnsi="Times New Roman" w:cs="Times New Roman"/>
                <w:color w:val="000000"/>
                <w:sz w:val="18"/>
                <w:szCs w:val="18"/>
              </w:rPr>
              <w:t>411</w:t>
            </w:r>
            <w:r w:rsidR="00A20CBB">
              <w:rPr>
                <w:rFonts w:ascii="Times New Roman" w:eastAsia="Times New Roman" w:hAnsi="Times New Roman" w:cs="Times New Roman"/>
                <w:color w:val="000000"/>
                <w:sz w:val="18"/>
                <w:szCs w:val="18"/>
              </w:rPr>
              <w:t>,</w:t>
            </w:r>
            <w:r w:rsidRPr="00D84719">
              <w:rPr>
                <w:rFonts w:ascii="Times New Roman" w:eastAsia="Times New Roman" w:hAnsi="Times New Roman" w:cs="Times New Roman"/>
                <w:color w:val="000000"/>
                <w:sz w:val="18"/>
                <w:szCs w:val="18"/>
              </w:rPr>
              <w:t>8</w:t>
            </w:r>
          </w:p>
        </w:tc>
        <w:tc>
          <w:tcPr>
            <w:tcW w:w="10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BB76F6" w14:textId="607EDD6E" w:rsidR="00D84719" w:rsidRPr="00D84719" w:rsidRDefault="00D84719" w:rsidP="00D84719">
            <w:pPr>
              <w:spacing w:before="80" w:line="276" w:lineRule="auto"/>
              <w:jc w:val="center"/>
              <w:rPr>
                <w:rFonts w:ascii="Times New Roman" w:eastAsia="Times New Roman" w:hAnsi="Times New Roman" w:cs="Times New Roman"/>
                <w:color w:val="000000"/>
                <w:sz w:val="18"/>
                <w:szCs w:val="18"/>
              </w:rPr>
            </w:pPr>
            <w:r w:rsidRPr="00D84719">
              <w:rPr>
                <w:rFonts w:ascii="Times New Roman" w:eastAsia="Times New Roman" w:hAnsi="Times New Roman" w:cs="Times New Roman"/>
                <w:color w:val="000000"/>
                <w:sz w:val="18"/>
                <w:szCs w:val="18"/>
              </w:rPr>
              <w:t>-14</w:t>
            </w:r>
            <w:r w:rsidR="00A20CBB">
              <w:rPr>
                <w:rFonts w:ascii="Times New Roman" w:eastAsia="Times New Roman" w:hAnsi="Times New Roman" w:cs="Times New Roman"/>
                <w:color w:val="000000"/>
                <w:sz w:val="18"/>
                <w:szCs w:val="18"/>
              </w:rPr>
              <w:t>,</w:t>
            </w:r>
            <w:r w:rsidRPr="00D84719">
              <w:rPr>
                <w:rFonts w:ascii="Times New Roman" w:eastAsia="Times New Roman" w:hAnsi="Times New Roman" w:cs="Times New Roman"/>
                <w:color w:val="000000"/>
                <w:sz w:val="18"/>
                <w:szCs w:val="18"/>
              </w:rPr>
              <w:t>7</w:t>
            </w:r>
            <w:r w:rsidR="00D4589D">
              <w:rPr>
                <w:rFonts w:ascii="Times New Roman" w:eastAsia="Times New Roman" w:hAnsi="Times New Roman" w:cs="Times New Roman"/>
                <w:color w:val="000000"/>
                <w:sz w:val="18"/>
                <w:szCs w:val="18"/>
              </w:rPr>
              <w:t xml:space="preserve">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CF72F7" w14:textId="305BC634" w:rsidR="00D84719" w:rsidRPr="00D84719" w:rsidRDefault="00D84719" w:rsidP="00D84719">
            <w:pPr>
              <w:spacing w:before="80" w:line="276" w:lineRule="auto"/>
              <w:jc w:val="center"/>
              <w:rPr>
                <w:rFonts w:ascii="Times New Roman" w:eastAsia="Times New Roman" w:hAnsi="Times New Roman" w:cs="Times New Roman"/>
                <w:color w:val="000000"/>
                <w:sz w:val="18"/>
                <w:szCs w:val="18"/>
              </w:rPr>
            </w:pPr>
            <w:r w:rsidRPr="00D84719">
              <w:rPr>
                <w:rFonts w:ascii="Times New Roman" w:eastAsia="Times New Roman" w:hAnsi="Times New Roman" w:cs="Times New Roman"/>
                <w:color w:val="000000"/>
                <w:sz w:val="18"/>
                <w:szCs w:val="18"/>
              </w:rPr>
              <w:t>-0</w:t>
            </w:r>
            <w:r w:rsidR="00A20CBB">
              <w:rPr>
                <w:rFonts w:ascii="Times New Roman" w:eastAsia="Times New Roman" w:hAnsi="Times New Roman" w:cs="Times New Roman"/>
                <w:color w:val="000000"/>
                <w:sz w:val="18"/>
                <w:szCs w:val="18"/>
              </w:rPr>
              <w:t>,</w:t>
            </w:r>
            <w:r w:rsidRPr="00D84719">
              <w:rPr>
                <w:rFonts w:ascii="Times New Roman" w:eastAsia="Times New Roman" w:hAnsi="Times New Roman" w:cs="Times New Roman"/>
                <w:color w:val="000000"/>
                <w:sz w:val="18"/>
                <w:szCs w:val="18"/>
              </w:rPr>
              <w:t>8</w:t>
            </w:r>
            <w:r w:rsidR="00D4589D">
              <w:rPr>
                <w:rFonts w:ascii="Times New Roman" w:eastAsia="Times New Roman" w:hAnsi="Times New Roman" w:cs="Times New Roman"/>
                <w:color w:val="000000"/>
                <w:sz w:val="18"/>
                <w:szCs w:val="18"/>
              </w:rPr>
              <w:t xml:space="preserve"> %</w:t>
            </w:r>
          </w:p>
        </w:tc>
      </w:tr>
    </w:tbl>
    <w:p w14:paraId="34D0CC74" w14:textId="77777777" w:rsidR="00D84719" w:rsidRPr="00D84719" w:rsidRDefault="00D84719" w:rsidP="00D84719">
      <w:pPr>
        <w:spacing w:before="80" w:line="276" w:lineRule="auto"/>
        <w:jc w:val="both"/>
        <w:rPr>
          <w:rFonts w:ascii="Times New Roman" w:eastAsia="Times New Roman" w:hAnsi="Times New Roman" w:cs="Times New Roman"/>
          <w:color w:val="000000"/>
          <w:szCs w:val="24"/>
        </w:rPr>
      </w:pPr>
    </w:p>
    <w:p w14:paraId="494060F9" w14:textId="77777777" w:rsidR="00D84719" w:rsidRPr="00D84719" w:rsidRDefault="00D84719" w:rsidP="00D84719">
      <w:pPr>
        <w:spacing w:before="80" w:line="276" w:lineRule="auto"/>
        <w:jc w:val="both"/>
        <w:rPr>
          <w:rFonts w:ascii="Times New Roman" w:eastAsia="Times New Roman" w:hAnsi="Times New Roman" w:cs="Times New Roman"/>
          <w:color w:val="000000"/>
          <w:szCs w:val="24"/>
        </w:rPr>
      </w:pPr>
    </w:p>
    <w:p w14:paraId="45D4FA56" w14:textId="77777777" w:rsidR="00D84719" w:rsidRPr="00D84719" w:rsidRDefault="00D84719" w:rsidP="00F309A1">
      <w:pPr>
        <w:pStyle w:val="Naslov3"/>
      </w:pPr>
      <w:bookmarkStart w:id="118" w:name="_Toc64460716"/>
      <w:r w:rsidRPr="00D84719">
        <w:t>UNEP metodologija korištenja za proračun emisija PCDD/PCDF-a prema obvezama Stockholmske konvencije</w:t>
      </w:r>
      <w:bookmarkEnd w:id="118"/>
    </w:p>
    <w:p w14:paraId="169492D5" w14:textId="248AC1DA"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 xml:space="preserve">Prvi proračun emisija PCDD/PCDF-a u Republici Hrvatskoj izrađen je na temelju UNEP metodologije </w:t>
      </w:r>
      <w:proofErr w:type="spellStart"/>
      <w:r w:rsidRPr="00D84719">
        <w:rPr>
          <w:rFonts w:ascii="Times New Roman" w:eastAsia="Times New Roman" w:hAnsi="Times New Roman" w:cs="Times New Roman"/>
          <w:color w:val="000000"/>
          <w:sz w:val="24"/>
          <w:szCs w:val="24"/>
          <w:lang w:bidi="en-US"/>
        </w:rPr>
        <w:t>Standardized</w:t>
      </w:r>
      <w:proofErr w:type="spellEnd"/>
      <w:r w:rsidRPr="00D84719">
        <w:rPr>
          <w:rFonts w:ascii="Times New Roman" w:eastAsia="Times New Roman" w:hAnsi="Times New Roman" w:cs="Times New Roman"/>
          <w:color w:val="000000"/>
          <w:sz w:val="24"/>
          <w:szCs w:val="24"/>
          <w:lang w:bidi="en-US"/>
        </w:rPr>
        <w:t xml:space="preserve"> </w:t>
      </w:r>
      <w:proofErr w:type="spellStart"/>
      <w:r w:rsidRPr="00D84719">
        <w:rPr>
          <w:rFonts w:ascii="Times New Roman" w:eastAsia="Times New Roman" w:hAnsi="Times New Roman" w:cs="Times New Roman"/>
          <w:color w:val="000000"/>
          <w:sz w:val="24"/>
          <w:szCs w:val="24"/>
          <w:lang w:bidi="en-US"/>
        </w:rPr>
        <w:t>Toolkit</w:t>
      </w:r>
      <w:proofErr w:type="spellEnd"/>
      <w:r w:rsidRPr="00D84719">
        <w:rPr>
          <w:rFonts w:ascii="Times New Roman" w:eastAsia="Times New Roman" w:hAnsi="Times New Roman" w:cs="Times New Roman"/>
          <w:color w:val="000000"/>
          <w:sz w:val="24"/>
          <w:szCs w:val="24"/>
          <w:lang w:bidi="en-US"/>
        </w:rPr>
        <w:t xml:space="preserve"> for </w:t>
      </w:r>
      <w:proofErr w:type="spellStart"/>
      <w:r w:rsidRPr="00D84719">
        <w:rPr>
          <w:rFonts w:ascii="Times New Roman" w:eastAsia="Times New Roman" w:hAnsi="Times New Roman" w:cs="Times New Roman"/>
          <w:color w:val="000000"/>
          <w:sz w:val="24"/>
          <w:szCs w:val="24"/>
          <w:lang w:bidi="en-US"/>
        </w:rPr>
        <w:t>Identification</w:t>
      </w:r>
      <w:proofErr w:type="spellEnd"/>
      <w:r w:rsidRPr="00D84719">
        <w:rPr>
          <w:rFonts w:ascii="Times New Roman" w:eastAsia="Times New Roman" w:hAnsi="Times New Roman" w:cs="Times New Roman"/>
          <w:color w:val="000000"/>
          <w:sz w:val="24"/>
          <w:szCs w:val="24"/>
          <w:lang w:bidi="en-US"/>
        </w:rPr>
        <w:t xml:space="preserve"> </w:t>
      </w:r>
      <w:proofErr w:type="spellStart"/>
      <w:r w:rsidRPr="00D84719">
        <w:rPr>
          <w:rFonts w:ascii="Times New Roman" w:eastAsia="Times New Roman" w:hAnsi="Times New Roman" w:cs="Times New Roman"/>
          <w:color w:val="000000"/>
          <w:sz w:val="24"/>
          <w:szCs w:val="24"/>
          <w:lang w:bidi="en-US"/>
        </w:rPr>
        <w:t>and</w:t>
      </w:r>
      <w:proofErr w:type="spellEnd"/>
      <w:r w:rsidRPr="00D84719">
        <w:rPr>
          <w:rFonts w:ascii="Times New Roman" w:eastAsia="Times New Roman" w:hAnsi="Times New Roman" w:cs="Times New Roman"/>
          <w:color w:val="000000"/>
          <w:sz w:val="24"/>
          <w:szCs w:val="24"/>
          <w:lang w:bidi="en-US"/>
        </w:rPr>
        <w:t xml:space="preserve"> </w:t>
      </w:r>
      <w:proofErr w:type="spellStart"/>
      <w:r w:rsidRPr="00D84719">
        <w:rPr>
          <w:rFonts w:ascii="Times New Roman" w:eastAsia="Times New Roman" w:hAnsi="Times New Roman" w:cs="Times New Roman"/>
          <w:color w:val="000000"/>
          <w:sz w:val="24"/>
          <w:szCs w:val="24"/>
          <w:lang w:bidi="en-US"/>
        </w:rPr>
        <w:t>Quantificaton</w:t>
      </w:r>
      <w:proofErr w:type="spellEnd"/>
      <w:r w:rsidRPr="00D84719">
        <w:rPr>
          <w:rFonts w:ascii="Times New Roman" w:eastAsia="Times New Roman" w:hAnsi="Times New Roman" w:cs="Times New Roman"/>
          <w:color w:val="000000"/>
          <w:sz w:val="24"/>
          <w:szCs w:val="24"/>
          <w:lang w:bidi="en-US"/>
        </w:rPr>
        <w:t xml:space="preserve"> </w:t>
      </w:r>
      <w:proofErr w:type="spellStart"/>
      <w:r w:rsidRPr="00D84719">
        <w:rPr>
          <w:rFonts w:ascii="Times New Roman" w:eastAsia="Times New Roman" w:hAnsi="Times New Roman" w:cs="Times New Roman"/>
          <w:color w:val="000000"/>
          <w:sz w:val="24"/>
          <w:szCs w:val="24"/>
          <w:lang w:bidi="en-US"/>
        </w:rPr>
        <w:t>of</w:t>
      </w:r>
      <w:proofErr w:type="spellEnd"/>
      <w:r w:rsidRPr="00D84719">
        <w:rPr>
          <w:rFonts w:ascii="Times New Roman" w:eastAsia="Times New Roman" w:hAnsi="Times New Roman" w:cs="Times New Roman"/>
          <w:color w:val="000000"/>
          <w:sz w:val="24"/>
          <w:szCs w:val="24"/>
          <w:lang w:bidi="en-US"/>
        </w:rPr>
        <w:t xml:space="preserve"> </w:t>
      </w:r>
      <w:proofErr w:type="spellStart"/>
      <w:r w:rsidRPr="00D84719">
        <w:rPr>
          <w:rFonts w:ascii="Times New Roman" w:eastAsia="Times New Roman" w:hAnsi="Times New Roman" w:cs="Times New Roman"/>
          <w:color w:val="000000"/>
          <w:sz w:val="24"/>
          <w:szCs w:val="24"/>
          <w:lang w:bidi="en-US"/>
        </w:rPr>
        <w:t>Dioxin</w:t>
      </w:r>
      <w:proofErr w:type="spellEnd"/>
      <w:r w:rsidRPr="00D84719">
        <w:rPr>
          <w:rFonts w:ascii="Times New Roman" w:eastAsia="Times New Roman" w:hAnsi="Times New Roman" w:cs="Times New Roman"/>
          <w:color w:val="000000"/>
          <w:sz w:val="24"/>
          <w:szCs w:val="24"/>
          <w:lang w:bidi="en-US"/>
        </w:rPr>
        <w:t xml:space="preserve"> </w:t>
      </w:r>
      <w:proofErr w:type="spellStart"/>
      <w:r w:rsidRPr="00D84719">
        <w:rPr>
          <w:rFonts w:ascii="Times New Roman" w:eastAsia="Times New Roman" w:hAnsi="Times New Roman" w:cs="Times New Roman"/>
          <w:color w:val="000000"/>
          <w:sz w:val="24"/>
          <w:szCs w:val="24"/>
          <w:lang w:bidi="en-US"/>
        </w:rPr>
        <w:t>and</w:t>
      </w:r>
      <w:proofErr w:type="spellEnd"/>
      <w:r w:rsidRPr="00D84719">
        <w:rPr>
          <w:rFonts w:ascii="Times New Roman" w:eastAsia="Times New Roman" w:hAnsi="Times New Roman" w:cs="Times New Roman"/>
          <w:color w:val="000000"/>
          <w:sz w:val="24"/>
          <w:szCs w:val="24"/>
          <w:lang w:bidi="en-US"/>
        </w:rPr>
        <w:t xml:space="preserve"> Furan </w:t>
      </w:r>
      <w:proofErr w:type="spellStart"/>
      <w:r w:rsidRPr="00D84719">
        <w:rPr>
          <w:rFonts w:ascii="Times New Roman" w:eastAsia="Times New Roman" w:hAnsi="Times New Roman" w:cs="Times New Roman"/>
          <w:color w:val="000000"/>
          <w:sz w:val="24"/>
          <w:szCs w:val="24"/>
          <w:lang w:bidi="en-US"/>
        </w:rPr>
        <w:t>Releases</w:t>
      </w:r>
      <w:proofErr w:type="spellEnd"/>
      <w:r w:rsidRPr="00D84719">
        <w:rPr>
          <w:rFonts w:ascii="Times New Roman" w:eastAsia="Times New Roman" w:hAnsi="Times New Roman" w:cs="Times New Roman"/>
          <w:color w:val="000000"/>
          <w:sz w:val="24"/>
          <w:szCs w:val="24"/>
          <w:lang w:bidi="en-US"/>
        </w:rPr>
        <w:t xml:space="preserve"> (Standardizirani vodič za utvrđivanje i kvantifikaciju ispuštanja dioksina i furana, UNEP, 2001.), za 2001</w:t>
      </w:r>
      <w:r w:rsidR="004C449C">
        <w:rPr>
          <w:rFonts w:ascii="Times New Roman" w:eastAsia="Times New Roman" w:hAnsi="Times New Roman" w:cs="Times New Roman"/>
          <w:color w:val="000000"/>
          <w:sz w:val="24"/>
          <w:szCs w:val="24"/>
          <w:lang w:bidi="en-US"/>
        </w:rPr>
        <w:t>.</w:t>
      </w:r>
      <w:r w:rsidRPr="00D84719">
        <w:rPr>
          <w:rFonts w:ascii="Times New Roman" w:eastAsia="Times New Roman" w:hAnsi="Times New Roman" w:cs="Times New Roman"/>
          <w:color w:val="000000"/>
          <w:sz w:val="24"/>
          <w:szCs w:val="24"/>
          <w:lang w:bidi="en-US"/>
        </w:rPr>
        <w:t xml:space="preserve"> prilikom izrade Prvog NIP-a.</w:t>
      </w:r>
    </w:p>
    <w:p w14:paraId="5CD1A3D5" w14:textId="1C017146"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 xml:space="preserve">Tijekom procesa inventarizacije u sklopu Projekta revizije NIP-a za izradu revizije proračuna PCDD/PCDF za 2001 godinu i proračuna za 2007., 2009., 2013., 2015. i 2017., primijenila se UNEP metodologija, </w:t>
      </w:r>
      <w:proofErr w:type="spellStart"/>
      <w:r w:rsidRPr="00D84719">
        <w:rPr>
          <w:rFonts w:ascii="Times New Roman" w:eastAsia="Times New Roman" w:hAnsi="Times New Roman" w:cs="Times New Roman"/>
          <w:color w:val="000000"/>
          <w:sz w:val="24"/>
          <w:szCs w:val="24"/>
          <w:lang w:bidi="en-US"/>
        </w:rPr>
        <w:t>Toolkit</w:t>
      </w:r>
      <w:proofErr w:type="spellEnd"/>
      <w:r w:rsidRPr="00D84719">
        <w:rPr>
          <w:rFonts w:ascii="Times New Roman" w:eastAsia="Times New Roman" w:hAnsi="Times New Roman" w:cs="Times New Roman"/>
          <w:color w:val="000000"/>
          <w:sz w:val="24"/>
          <w:szCs w:val="24"/>
          <w:lang w:bidi="en-US"/>
        </w:rPr>
        <w:t xml:space="preserve"> for </w:t>
      </w:r>
      <w:proofErr w:type="spellStart"/>
      <w:r w:rsidRPr="00D84719">
        <w:rPr>
          <w:rFonts w:ascii="Times New Roman" w:eastAsia="Times New Roman" w:hAnsi="Times New Roman" w:cs="Times New Roman"/>
          <w:color w:val="000000"/>
          <w:sz w:val="24"/>
          <w:szCs w:val="24"/>
          <w:lang w:bidi="en-US"/>
        </w:rPr>
        <w:t>Identification</w:t>
      </w:r>
      <w:proofErr w:type="spellEnd"/>
      <w:r w:rsidRPr="00D84719">
        <w:rPr>
          <w:rFonts w:ascii="Times New Roman" w:eastAsia="Times New Roman" w:hAnsi="Times New Roman" w:cs="Times New Roman"/>
          <w:color w:val="000000"/>
          <w:sz w:val="24"/>
          <w:szCs w:val="24"/>
          <w:lang w:bidi="en-US"/>
        </w:rPr>
        <w:t xml:space="preserve"> </w:t>
      </w:r>
      <w:proofErr w:type="spellStart"/>
      <w:r w:rsidRPr="00D84719">
        <w:rPr>
          <w:rFonts w:ascii="Times New Roman" w:eastAsia="Times New Roman" w:hAnsi="Times New Roman" w:cs="Times New Roman"/>
          <w:color w:val="000000"/>
          <w:sz w:val="24"/>
          <w:szCs w:val="24"/>
          <w:lang w:bidi="en-US"/>
        </w:rPr>
        <w:t>and</w:t>
      </w:r>
      <w:proofErr w:type="spellEnd"/>
      <w:r w:rsidRPr="00D84719">
        <w:rPr>
          <w:rFonts w:ascii="Times New Roman" w:eastAsia="Times New Roman" w:hAnsi="Times New Roman" w:cs="Times New Roman"/>
          <w:color w:val="000000"/>
          <w:sz w:val="24"/>
          <w:szCs w:val="24"/>
          <w:lang w:bidi="en-US"/>
        </w:rPr>
        <w:t xml:space="preserve"> </w:t>
      </w:r>
      <w:proofErr w:type="spellStart"/>
      <w:r w:rsidRPr="00D84719">
        <w:rPr>
          <w:rFonts w:ascii="Times New Roman" w:eastAsia="Times New Roman" w:hAnsi="Times New Roman" w:cs="Times New Roman"/>
          <w:color w:val="000000"/>
          <w:sz w:val="24"/>
          <w:szCs w:val="24"/>
          <w:lang w:bidi="en-US"/>
        </w:rPr>
        <w:t>Quantification</w:t>
      </w:r>
      <w:proofErr w:type="spellEnd"/>
      <w:r w:rsidRPr="00D84719">
        <w:rPr>
          <w:rFonts w:ascii="Times New Roman" w:eastAsia="Times New Roman" w:hAnsi="Times New Roman" w:cs="Times New Roman"/>
          <w:color w:val="000000"/>
          <w:sz w:val="24"/>
          <w:szCs w:val="24"/>
          <w:lang w:bidi="en-US"/>
        </w:rPr>
        <w:t xml:space="preserve"> </w:t>
      </w:r>
      <w:proofErr w:type="spellStart"/>
      <w:r w:rsidRPr="00D84719">
        <w:rPr>
          <w:rFonts w:ascii="Times New Roman" w:eastAsia="Times New Roman" w:hAnsi="Times New Roman" w:cs="Times New Roman"/>
          <w:color w:val="000000"/>
          <w:sz w:val="24"/>
          <w:szCs w:val="24"/>
          <w:lang w:bidi="en-US"/>
        </w:rPr>
        <w:t>of</w:t>
      </w:r>
      <w:proofErr w:type="spellEnd"/>
      <w:r w:rsidRPr="00D84719">
        <w:rPr>
          <w:rFonts w:ascii="Times New Roman" w:eastAsia="Times New Roman" w:hAnsi="Times New Roman" w:cs="Times New Roman"/>
          <w:color w:val="000000"/>
          <w:sz w:val="24"/>
          <w:szCs w:val="24"/>
          <w:lang w:bidi="en-US"/>
        </w:rPr>
        <w:t xml:space="preserve"> </w:t>
      </w:r>
      <w:proofErr w:type="spellStart"/>
      <w:r w:rsidRPr="00D84719">
        <w:rPr>
          <w:rFonts w:ascii="Times New Roman" w:eastAsia="Times New Roman" w:hAnsi="Times New Roman" w:cs="Times New Roman"/>
          <w:color w:val="000000"/>
          <w:sz w:val="24"/>
          <w:szCs w:val="24"/>
          <w:lang w:bidi="en-US"/>
        </w:rPr>
        <w:t>Releases</w:t>
      </w:r>
      <w:proofErr w:type="spellEnd"/>
      <w:r w:rsidRPr="00D84719">
        <w:rPr>
          <w:rFonts w:ascii="Times New Roman" w:eastAsia="Times New Roman" w:hAnsi="Times New Roman" w:cs="Times New Roman"/>
          <w:color w:val="000000"/>
          <w:sz w:val="24"/>
          <w:szCs w:val="24"/>
          <w:lang w:bidi="en-US"/>
        </w:rPr>
        <w:t xml:space="preserve"> </w:t>
      </w:r>
      <w:proofErr w:type="spellStart"/>
      <w:r w:rsidRPr="00D84719">
        <w:rPr>
          <w:rFonts w:ascii="Times New Roman" w:eastAsia="Times New Roman" w:hAnsi="Times New Roman" w:cs="Times New Roman"/>
          <w:color w:val="000000"/>
          <w:sz w:val="24"/>
          <w:szCs w:val="24"/>
          <w:lang w:bidi="en-US"/>
        </w:rPr>
        <w:t>of</w:t>
      </w:r>
      <w:proofErr w:type="spellEnd"/>
      <w:r w:rsidRPr="00D84719">
        <w:rPr>
          <w:rFonts w:ascii="Times New Roman" w:eastAsia="Times New Roman" w:hAnsi="Times New Roman" w:cs="Times New Roman"/>
          <w:color w:val="000000"/>
          <w:sz w:val="24"/>
          <w:szCs w:val="24"/>
          <w:lang w:bidi="en-US"/>
        </w:rPr>
        <w:t xml:space="preserve"> </w:t>
      </w:r>
      <w:proofErr w:type="spellStart"/>
      <w:r w:rsidRPr="00D84719">
        <w:rPr>
          <w:rFonts w:ascii="Times New Roman" w:eastAsia="Times New Roman" w:hAnsi="Times New Roman" w:cs="Times New Roman"/>
          <w:color w:val="000000"/>
          <w:sz w:val="24"/>
          <w:szCs w:val="24"/>
          <w:lang w:bidi="en-US"/>
        </w:rPr>
        <w:t>Dioxins</w:t>
      </w:r>
      <w:proofErr w:type="spellEnd"/>
      <w:r w:rsidRPr="00D84719">
        <w:rPr>
          <w:rFonts w:ascii="Times New Roman" w:eastAsia="Times New Roman" w:hAnsi="Times New Roman" w:cs="Times New Roman"/>
          <w:color w:val="000000"/>
          <w:sz w:val="24"/>
          <w:szCs w:val="24"/>
          <w:lang w:bidi="en-US"/>
        </w:rPr>
        <w:t xml:space="preserve">, </w:t>
      </w:r>
      <w:proofErr w:type="spellStart"/>
      <w:r w:rsidRPr="00D84719">
        <w:rPr>
          <w:rFonts w:ascii="Times New Roman" w:eastAsia="Times New Roman" w:hAnsi="Times New Roman" w:cs="Times New Roman"/>
          <w:color w:val="000000"/>
          <w:sz w:val="24"/>
          <w:szCs w:val="24"/>
          <w:lang w:bidi="en-US"/>
        </w:rPr>
        <w:t>Furans</w:t>
      </w:r>
      <w:proofErr w:type="spellEnd"/>
      <w:r w:rsidRPr="00D84719">
        <w:rPr>
          <w:rFonts w:ascii="Times New Roman" w:eastAsia="Times New Roman" w:hAnsi="Times New Roman" w:cs="Times New Roman"/>
          <w:color w:val="000000"/>
          <w:sz w:val="24"/>
          <w:szCs w:val="24"/>
          <w:lang w:bidi="en-US"/>
        </w:rPr>
        <w:t xml:space="preserve"> </w:t>
      </w:r>
      <w:proofErr w:type="spellStart"/>
      <w:r w:rsidRPr="00D84719">
        <w:rPr>
          <w:rFonts w:ascii="Times New Roman" w:eastAsia="Times New Roman" w:hAnsi="Times New Roman" w:cs="Times New Roman"/>
          <w:color w:val="000000"/>
          <w:sz w:val="24"/>
          <w:szCs w:val="24"/>
          <w:lang w:bidi="en-US"/>
        </w:rPr>
        <w:t>and</w:t>
      </w:r>
      <w:proofErr w:type="spellEnd"/>
      <w:r w:rsidRPr="00D84719">
        <w:rPr>
          <w:rFonts w:ascii="Times New Roman" w:eastAsia="Times New Roman" w:hAnsi="Times New Roman" w:cs="Times New Roman"/>
          <w:color w:val="000000"/>
          <w:sz w:val="24"/>
          <w:szCs w:val="24"/>
          <w:lang w:bidi="en-US"/>
        </w:rPr>
        <w:t xml:space="preserve"> </w:t>
      </w:r>
      <w:proofErr w:type="spellStart"/>
      <w:r w:rsidRPr="00D84719">
        <w:rPr>
          <w:rFonts w:ascii="Times New Roman" w:eastAsia="Times New Roman" w:hAnsi="Times New Roman" w:cs="Times New Roman"/>
          <w:color w:val="000000"/>
          <w:sz w:val="24"/>
          <w:szCs w:val="24"/>
          <w:lang w:bidi="en-US"/>
        </w:rPr>
        <w:t>Other</w:t>
      </w:r>
      <w:proofErr w:type="spellEnd"/>
      <w:r w:rsidRPr="00D84719">
        <w:rPr>
          <w:rFonts w:ascii="Times New Roman" w:eastAsia="Times New Roman" w:hAnsi="Times New Roman" w:cs="Times New Roman"/>
          <w:color w:val="000000"/>
          <w:sz w:val="24"/>
          <w:szCs w:val="24"/>
          <w:lang w:bidi="en-US"/>
        </w:rPr>
        <w:t xml:space="preserve"> </w:t>
      </w:r>
      <w:proofErr w:type="spellStart"/>
      <w:r w:rsidRPr="00D84719">
        <w:rPr>
          <w:rFonts w:ascii="Times New Roman" w:eastAsia="Times New Roman" w:hAnsi="Times New Roman" w:cs="Times New Roman"/>
          <w:color w:val="000000"/>
          <w:sz w:val="24"/>
          <w:szCs w:val="24"/>
          <w:lang w:bidi="en-US"/>
        </w:rPr>
        <w:t>Unintentional</w:t>
      </w:r>
      <w:proofErr w:type="spellEnd"/>
      <w:r w:rsidRPr="00D84719">
        <w:rPr>
          <w:rFonts w:ascii="Times New Roman" w:eastAsia="Times New Roman" w:hAnsi="Times New Roman" w:cs="Times New Roman"/>
          <w:color w:val="000000"/>
          <w:sz w:val="24"/>
          <w:szCs w:val="24"/>
          <w:lang w:bidi="en-US"/>
        </w:rPr>
        <w:t xml:space="preserve"> POPs </w:t>
      </w:r>
      <w:proofErr w:type="spellStart"/>
      <w:r w:rsidRPr="00D84719">
        <w:rPr>
          <w:rFonts w:ascii="Times New Roman" w:eastAsia="Times New Roman" w:hAnsi="Times New Roman" w:cs="Times New Roman"/>
          <w:color w:val="000000"/>
          <w:sz w:val="24"/>
          <w:szCs w:val="24"/>
          <w:lang w:bidi="en-US"/>
        </w:rPr>
        <w:t>under</w:t>
      </w:r>
      <w:proofErr w:type="spellEnd"/>
      <w:r w:rsidRPr="00D84719">
        <w:rPr>
          <w:rFonts w:ascii="Times New Roman" w:eastAsia="Times New Roman" w:hAnsi="Times New Roman" w:cs="Times New Roman"/>
          <w:color w:val="000000"/>
          <w:sz w:val="24"/>
          <w:szCs w:val="24"/>
          <w:lang w:bidi="en-US"/>
        </w:rPr>
        <w:t xml:space="preserve"> </w:t>
      </w:r>
      <w:proofErr w:type="spellStart"/>
      <w:r w:rsidRPr="00D84719">
        <w:rPr>
          <w:rFonts w:ascii="Times New Roman" w:eastAsia="Times New Roman" w:hAnsi="Times New Roman" w:cs="Times New Roman"/>
          <w:color w:val="000000"/>
          <w:sz w:val="24"/>
          <w:szCs w:val="24"/>
          <w:lang w:bidi="en-US"/>
        </w:rPr>
        <w:t>Article</w:t>
      </w:r>
      <w:proofErr w:type="spellEnd"/>
      <w:r w:rsidRPr="00D84719">
        <w:rPr>
          <w:rFonts w:ascii="Times New Roman" w:eastAsia="Times New Roman" w:hAnsi="Times New Roman" w:cs="Times New Roman"/>
          <w:color w:val="000000"/>
          <w:sz w:val="24"/>
          <w:szCs w:val="24"/>
          <w:lang w:bidi="en-US"/>
        </w:rPr>
        <w:t xml:space="preserve"> 5 </w:t>
      </w:r>
      <w:proofErr w:type="spellStart"/>
      <w:r w:rsidRPr="00D84719">
        <w:rPr>
          <w:rFonts w:ascii="Times New Roman" w:eastAsia="Times New Roman" w:hAnsi="Times New Roman" w:cs="Times New Roman"/>
          <w:color w:val="000000"/>
          <w:sz w:val="24"/>
          <w:szCs w:val="24"/>
          <w:lang w:bidi="en-US"/>
        </w:rPr>
        <w:t>of</w:t>
      </w:r>
      <w:proofErr w:type="spellEnd"/>
      <w:r w:rsidRPr="00D84719">
        <w:rPr>
          <w:rFonts w:ascii="Times New Roman" w:eastAsia="Times New Roman" w:hAnsi="Times New Roman" w:cs="Times New Roman"/>
          <w:color w:val="000000"/>
          <w:sz w:val="24"/>
          <w:szCs w:val="24"/>
          <w:lang w:bidi="en-US"/>
        </w:rPr>
        <w:t xml:space="preserve"> </w:t>
      </w:r>
      <w:proofErr w:type="spellStart"/>
      <w:r w:rsidRPr="00D84719">
        <w:rPr>
          <w:rFonts w:ascii="Times New Roman" w:eastAsia="Times New Roman" w:hAnsi="Times New Roman" w:cs="Times New Roman"/>
          <w:color w:val="000000"/>
          <w:sz w:val="24"/>
          <w:szCs w:val="24"/>
          <w:lang w:bidi="en-US"/>
        </w:rPr>
        <w:t>the</w:t>
      </w:r>
      <w:proofErr w:type="spellEnd"/>
      <w:r w:rsidRPr="00D84719">
        <w:rPr>
          <w:rFonts w:ascii="Times New Roman" w:eastAsia="Times New Roman" w:hAnsi="Times New Roman" w:cs="Times New Roman"/>
          <w:color w:val="000000"/>
          <w:sz w:val="24"/>
          <w:szCs w:val="24"/>
          <w:lang w:bidi="en-US"/>
        </w:rPr>
        <w:t xml:space="preserve"> Stockholm </w:t>
      </w:r>
      <w:proofErr w:type="spellStart"/>
      <w:r w:rsidRPr="00D84719">
        <w:rPr>
          <w:rFonts w:ascii="Times New Roman" w:eastAsia="Times New Roman" w:hAnsi="Times New Roman" w:cs="Times New Roman"/>
          <w:color w:val="000000"/>
          <w:sz w:val="24"/>
          <w:szCs w:val="24"/>
          <w:lang w:bidi="en-US"/>
        </w:rPr>
        <w:t>Convention</w:t>
      </w:r>
      <w:proofErr w:type="spellEnd"/>
      <w:r w:rsidRPr="00D84719">
        <w:rPr>
          <w:rFonts w:ascii="Times New Roman" w:eastAsia="Times New Roman" w:hAnsi="Times New Roman" w:cs="Times New Roman"/>
          <w:color w:val="000000"/>
          <w:sz w:val="24"/>
          <w:szCs w:val="24"/>
          <w:lang w:bidi="en-US"/>
        </w:rPr>
        <w:t xml:space="preserve"> UNEP, 2013 (Standardizirani alat/vodič za utvrđivanje i kvantifikaciju ispuštanja dioksina i furana, UNEP, 2013</w:t>
      </w:r>
      <w:r w:rsidR="004C449C">
        <w:rPr>
          <w:rFonts w:ascii="Times New Roman" w:eastAsia="Times New Roman" w:hAnsi="Times New Roman" w:cs="Times New Roman"/>
          <w:color w:val="000000"/>
          <w:sz w:val="24"/>
          <w:szCs w:val="24"/>
          <w:lang w:bidi="en-US"/>
        </w:rPr>
        <w:t>.</w:t>
      </w:r>
      <w:r w:rsidRPr="00D84719">
        <w:rPr>
          <w:rFonts w:ascii="Times New Roman" w:eastAsia="Times New Roman" w:hAnsi="Times New Roman" w:cs="Times New Roman"/>
          <w:color w:val="000000"/>
          <w:sz w:val="24"/>
          <w:szCs w:val="24"/>
          <w:lang w:bidi="en-US"/>
        </w:rPr>
        <w:t>) (u daljnjem tekstu; Vodič), kojim se osigurava cjeloviti, konzistentni i pregledni inventar emisije PCDD/PCDF-a u okoliš.</w:t>
      </w:r>
    </w:p>
    <w:p w14:paraId="718713E4" w14:textId="77777777" w:rsidR="00D84719" w:rsidRPr="00D84719" w:rsidRDefault="00D84719" w:rsidP="00D84719">
      <w:pPr>
        <w:spacing w:before="80" w:line="276" w:lineRule="auto"/>
        <w:jc w:val="both"/>
        <w:rPr>
          <w:rFonts w:ascii="Times New Roman" w:eastAsia="Times New Roman" w:hAnsi="Times New Roman" w:cs="Times New Roman"/>
          <w:sz w:val="24"/>
          <w:szCs w:val="24"/>
          <w:lang w:bidi="en-US"/>
        </w:rPr>
      </w:pPr>
      <w:r w:rsidRPr="00D84719">
        <w:rPr>
          <w:rFonts w:ascii="Times New Roman" w:eastAsia="Times New Roman" w:hAnsi="Times New Roman" w:cs="Times New Roman"/>
          <w:sz w:val="24"/>
          <w:szCs w:val="24"/>
          <w:lang w:bidi="en-US"/>
        </w:rPr>
        <w:t xml:space="preserve">Ispuštanje PCDD-a i PCDF-a popraćeno je ispuštanjima i ostalih nenamjerno proizvedenih POPs-ova, a koja se mogu smanjiti ili ukloniti provedbom istih mjera kao i za ispuštanja PCDD-a i PCDF-a. Preporuka je Vodiča, da se iz praktičnih razloga, inventar ispuštanja nenamjerno proizvedenih POPs-ova usmjeri na PCDD/PCDF jer su oni indikacija za prisutnost ostalih nenamjerno proizvedenih POPs-ova. Smatra se da su oni dovoljna baza za prepoznavanje izvora i određivanje prioriteta kao i za utvrđivanje kontrolnih mjera i ocjenu njihove učinkovitosti za sve POPs-ove uvrštene u Dodatak </w:t>
      </w:r>
      <w:r w:rsidR="00A64981">
        <w:rPr>
          <w:rFonts w:ascii="Times New Roman" w:eastAsia="Times New Roman" w:hAnsi="Times New Roman" w:cs="Times New Roman"/>
          <w:sz w:val="24"/>
          <w:szCs w:val="24"/>
          <w:lang w:bidi="en-US"/>
        </w:rPr>
        <w:t>C</w:t>
      </w:r>
      <w:r w:rsidRPr="00D84719">
        <w:rPr>
          <w:rFonts w:ascii="Times New Roman" w:eastAsia="Times New Roman" w:hAnsi="Times New Roman" w:cs="Times New Roman"/>
          <w:sz w:val="24"/>
          <w:szCs w:val="24"/>
          <w:lang w:bidi="en-US"/>
        </w:rPr>
        <w:t xml:space="preserve"> Stockholmske konvencije.</w:t>
      </w:r>
    </w:p>
    <w:p w14:paraId="66131926" w14:textId="77777777" w:rsidR="00D84719" w:rsidRPr="00D84719" w:rsidRDefault="00D84719" w:rsidP="00D84719">
      <w:pPr>
        <w:spacing w:before="80" w:line="276" w:lineRule="auto"/>
        <w:jc w:val="both"/>
        <w:rPr>
          <w:rFonts w:ascii="Times New Roman" w:eastAsia="Times New Roman" w:hAnsi="Times New Roman" w:cs="Times New Roman"/>
          <w:sz w:val="24"/>
          <w:szCs w:val="24"/>
          <w:lang w:bidi="en-US"/>
        </w:rPr>
      </w:pPr>
      <w:r w:rsidRPr="00D84719">
        <w:rPr>
          <w:rFonts w:ascii="Times New Roman" w:eastAsia="Times New Roman" w:hAnsi="Times New Roman" w:cs="Times New Roman"/>
          <w:sz w:val="24"/>
          <w:szCs w:val="24"/>
          <w:lang w:bidi="en-US"/>
        </w:rPr>
        <w:t>Vodič/UNEP-ova metodologija predlaže pet osnovnih koraka u postupku inventarizacije PCDD/PCDF-a:</w:t>
      </w:r>
    </w:p>
    <w:p w14:paraId="05B8A272" w14:textId="77777777" w:rsidR="00D84719" w:rsidRPr="00195AD0" w:rsidRDefault="00D84719" w:rsidP="00195AD0">
      <w:pPr>
        <w:pStyle w:val="Odlomakpopisa"/>
        <w:numPr>
          <w:ilvl w:val="0"/>
          <w:numId w:val="31"/>
        </w:numPr>
        <w:spacing w:before="80" w:line="276" w:lineRule="auto"/>
        <w:jc w:val="both"/>
        <w:rPr>
          <w:rFonts w:ascii="Times New Roman" w:eastAsia="Times New Roman" w:hAnsi="Times New Roman" w:cs="Times New Roman"/>
          <w:sz w:val="24"/>
          <w:szCs w:val="24"/>
          <w:lang w:bidi="en-US"/>
        </w:rPr>
      </w:pPr>
      <w:r w:rsidRPr="00195AD0">
        <w:rPr>
          <w:rFonts w:ascii="Times New Roman" w:eastAsia="Times New Roman" w:hAnsi="Times New Roman" w:cs="Times New Roman"/>
          <w:sz w:val="24"/>
          <w:szCs w:val="24"/>
          <w:lang w:bidi="en-US"/>
        </w:rPr>
        <w:t>identifikacija glavnih grupa izvora PCDD/PCDF-a</w:t>
      </w:r>
    </w:p>
    <w:p w14:paraId="173CA883" w14:textId="77777777" w:rsidR="00D84719" w:rsidRPr="00195AD0" w:rsidRDefault="00D84719" w:rsidP="00195AD0">
      <w:pPr>
        <w:pStyle w:val="Odlomakpopisa"/>
        <w:numPr>
          <w:ilvl w:val="0"/>
          <w:numId w:val="31"/>
        </w:numPr>
        <w:spacing w:before="80" w:line="276" w:lineRule="auto"/>
        <w:jc w:val="both"/>
        <w:rPr>
          <w:rFonts w:ascii="Times New Roman" w:eastAsia="Times New Roman" w:hAnsi="Times New Roman" w:cs="Times New Roman"/>
          <w:sz w:val="24"/>
          <w:szCs w:val="24"/>
          <w:lang w:bidi="en-US"/>
        </w:rPr>
      </w:pPr>
      <w:r w:rsidRPr="00195AD0">
        <w:rPr>
          <w:rFonts w:ascii="Times New Roman" w:eastAsia="Times New Roman" w:hAnsi="Times New Roman" w:cs="Times New Roman"/>
          <w:sz w:val="24"/>
          <w:szCs w:val="24"/>
          <w:lang w:bidi="en-US"/>
        </w:rPr>
        <w:lastRenderedPageBreak/>
        <w:t>identifikacija kategorija, postojećih aktivnosti i potencijalnih putova širenja PCDD/PCDF-a u okoliš</w:t>
      </w:r>
    </w:p>
    <w:p w14:paraId="0D196CCE" w14:textId="77777777" w:rsidR="00D84719" w:rsidRPr="00195AD0" w:rsidRDefault="00D84719" w:rsidP="00195AD0">
      <w:pPr>
        <w:pStyle w:val="Odlomakpopisa"/>
        <w:numPr>
          <w:ilvl w:val="0"/>
          <w:numId w:val="31"/>
        </w:numPr>
        <w:spacing w:before="80" w:line="276" w:lineRule="auto"/>
        <w:jc w:val="both"/>
        <w:rPr>
          <w:rFonts w:ascii="Times New Roman" w:eastAsia="Times New Roman" w:hAnsi="Times New Roman" w:cs="Times New Roman"/>
          <w:sz w:val="24"/>
          <w:szCs w:val="24"/>
          <w:lang w:bidi="en-US"/>
        </w:rPr>
      </w:pPr>
      <w:r w:rsidRPr="00195AD0">
        <w:rPr>
          <w:rFonts w:ascii="Times New Roman" w:eastAsia="Times New Roman" w:hAnsi="Times New Roman" w:cs="Times New Roman"/>
          <w:sz w:val="24"/>
          <w:szCs w:val="24"/>
          <w:lang w:bidi="en-US"/>
        </w:rPr>
        <w:t xml:space="preserve">sakupljanje podataka o specifičnim procesima </w:t>
      </w:r>
    </w:p>
    <w:p w14:paraId="236FCBB1" w14:textId="77777777" w:rsidR="00D84719" w:rsidRPr="00195AD0" w:rsidRDefault="00D84719" w:rsidP="00195AD0">
      <w:pPr>
        <w:pStyle w:val="Odlomakpopisa"/>
        <w:numPr>
          <w:ilvl w:val="0"/>
          <w:numId w:val="31"/>
        </w:numPr>
        <w:spacing w:before="80" w:line="276" w:lineRule="auto"/>
        <w:jc w:val="both"/>
        <w:rPr>
          <w:rFonts w:ascii="Times New Roman" w:eastAsia="Times New Roman" w:hAnsi="Times New Roman" w:cs="Times New Roman"/>
          <w:sz w:val="24"/>
          <w:szCs w:val="24"/>
          <w:lang w:bidi="en-US"/>
        </w:rPr>
      </w:pPr>
      <w:r w:rsidRPr="00195AD0">
        <w:rPr>
          <w:rFonts w:ascii="Times New Roman" w:eastAsia="Times New Roman" w:hAnsi="Times New Roman" w:cs="Times New Roman"/>
          <w:sz w:val="24"/>
          <w:szCs w:val="24"/>
          <w:lang w:bidi="en-US"/>
        </w:rPr>
        <w:t>kvantificiranje izvora PCDD/PCDF-a, izračun emisija uz pomoć emisijskih faktora</w:t>
      </w:r>
    </w:p>
    <w:p w14:paraId="12E60944" w14:textId="77777777" w:rsidR="00D84719" w:rsidRPr="00195AD0" w:rsidRDefault="00D84719" w:rsidP="00195AD0">
      <w:pPr>
        <w:pStyle w:val="Odlomakpopisa"/>
        <w:numPr>
          <w:ilvl w:val="0"/>
          <w:numId w:val="31"/>
        </w:numPr>
        <w:spacing w:before="80" w:line="276" w:lineRule="auto"/>
        <w:jc w:val="both"/>
        <w:rPr>
          <w:rFonts w:ascii="Times New Roman" w:eastAsia="Times New Roman" w:hAnsi="Times New Roman" w:cs="Times New Roman"/>
          <w:sz w:val="24"/>
          <w:szCs w:val="24"/>
          <w:lang w:bidi="en-US"/>
        </w:rPr>
      </w:pPr>
      <w:r w:rsidRPr="00195AD0">
        <w:rPr>
          <w:rFonts w:ascii="Times New Roman" w:eastAsia="Times New Roman" w:hAnsi="Times New Roman" w:cs="Times New Roman"/>
          <w:sz w:val="24"/>
          <w:szCs w:val="24"/>
          <w:lang w:bidi="en-US"/>
        </w:rPr>
        <w:t>zbirni rezultati inventarizacije.</w:t>
      </w:r>
    </w:p>
    <w:p w14:paraId="1DFE1F84" w14:textId="77777777" w:rsidR="00D84719" w:rsidRPr="00D84719" w:rsidRDefault="00D84719" w:rsidP="00D84719">
      <w:pPr>
        <w:spacing w:before="80" w:line="276" w:lineRule="auto"/>
        <w:jc w:val="both"/>
        <w:rPr>
          <w:rFonts w:ascii="Times New Roman" w:eastAsia="Times New Roman" w:hAnsi="Times New Roman" w:cs="Times New Roman"/>
          <w:sz w:val="24"/>
          <w:szCs w:val="24"/>
          <w:lang w:bidi="en-US"/>
        </w:rPr>
      </w:pPr>
    </w:p>
    <w:p w14:paraId="390BCC11" w14:textId="77777777" w:rsidR="00D84719" w:rsidRPr="00D84719" w:rsidRDefault="00D84719" w:rsidP="00F309A1">
      <w:pPr>
        <w:pStyle w:val="Naslov3"/>
      </w:pPr>
      <w:bookmarkStart w:id="119" w:name="_Toc64460717"/>
      <w:r w:rsidRPr="00D84719">
        <w:t>Početne procjene ispuštanja i ažuriranja PCDD/PCDF-a</w:t>
      </w:r>
      <w:bookmarkEnd w:id="119"/>
    </w:p>
    <w:p w14:paraId="14A07C19"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Stranke Stockholmske konvencije moraju pripremiti svoje početne procjene ispuštanja te ažurirati procjene u redovitim intervalima s ciljem uspostave i održavanja dosljednosti procjene trendova tijekom vremena.</w:t>
      </w:r>
    </w:p>
    <w:p w14:paraId="6BC58F57"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 xml:space="preserve">Osnovica procjene ispuštanja jest prvi nacionalni (ili regionalni) inventar izvora i ispuštanja POPs-ova iz Dodatka </w:t>
      </w:r>
      <w:r w:rsidR="00A64981">
        <w:rPr>
          <w:rFonts w:ascii="Times New Roman" w:eastAsia="Times New Roman" w:hAnsi="Times New Roman" w:cs="Times New Roman"/>
          <w:color w:val="000000"/>
          <w:sz w:val="24"/>
          <w:szCs w:val="24"/>
        </w:rPr>
        <w:t>C,</w:t>
      </w:r>
      <w:r w:rsidR="00612979">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xml:space="preserve">najčešće u sklopu NIP-a izrađenog na temelju članka 7 Zakona o potvrđivanju Stockholmske konvencije o postojanim organskim onečišćujućim tvarima </w:t>
      </w:r>
      <w:r w:rsidRPr="00C8656F">
        <w:rPr>
          <w:rFonts w:ascii="Times New Roman" w:eastAsia="Times New Roman" w:hAnsi="Times New Roman" w:cs="Times New Roman"/>
          <w:sz w:val="24"/>
          <w:szCs w:val="24"/>
        </w:rPr>
        <w:t>(</w:t>
      </w:r>
      <w:r w:rsidR="0092413D" w:rsidRPr="00C8656F">
        <w:rPr>
          <w:rFonts w:ascii="Times New Roman" w:eastAsia="Times New Roman" w:hAnsi="Times New Roman" w:cs="Times New Roman"/>
          <w:sz w:val="24"/>
          <w:szCs w:val="24"/>
        </w:rPr>
        <w:t>„Narodne novine – Međunarodni ugovori“, broj</w:t>
      </w:r>
      <w:r w:rsidR="00C8656F" w:rsidRPr="00C8656F">
        <w:rPr>
          <w:rFonts w:ascii="Times New Roman" w:eastAsia="Times New Roman" w:hAnsi="Times New Roman" w:cs="Times New Roman"/>
          <w:sz w:val="24"/>
          <w:szCs w:val="24"/>
        </w:rPr>
        <w:t xml:space="preserve"> 11/06)</w:t>
      </w:r>
      <w:r w:rsidRPr="00C8656F">
        <w:rPr>
          <w:rFonts w:ascii="Times New Roman" w:eastAsia="Times New Roman" w:hAnsi="Times New Roman" w:cs="Times New Roman"/>
          <w:sz w:val="24"/>
          <w:szCs w:val="24"/>
        </w:rPr>
        <w:t>.</w:t>
      </w:r>
    </w:p>
    <w:p w14:paraId="1518E8A8"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Ovaj prvi inventar služi kao osnovica prema kojoj se naknadne procjene ispuštanja ažuriraju, kako bi se utvrdili trendovi tijekom vremena i ocijenila učinkovitost usvojenih strategija za smanjenje i/ili uklanjanje nenamjernih ispuštanja PCDD/PCDF-a i ostalih POPs-ova.</w:t>
      </w:r>
    </w:p>
    <w:p w14:paraId="77A225CE"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Prva procjena ispuštanja PCDD/PCDF-a prema UNEP metodologiji/Vodiču iz 2001., kako je već rečeno, za potrebe izrade prvog NIP-a prikazana je u tablici 3.4-3.</w:t>
      </w:r>
    </w:p>
    <w:p w14:paraId="2291598E" w14:textId="73EF1CEE" w:rsidR="00D84719" w:rsidRPr="00D84719" w:rsidRDefault="00D84719" w:rsidP="00D84719">
      <w:pPr>
        <w:keepNext/>
        <w:spacing w:before="80" w:after="0" w:line="276" w:lineRule="auto"/>
        <w:jc w:val="both"/>
        <w:rPr>
          <w:rFonts w:ascii="Times New Roman" w:eastAsia="Times New Roman" w:hAnsi="Times New Roman" w:cs="Times New Roman"/>
          <w:b/>
          <w:bCs/>
          <w:i/>
          <w:sz w:val="20"/>
          <w:szCs w:val="20"/>
        </w:rPr>
      </w:pPr>
      <w:r w:rsidRPr="00D84719">
        <w:rPr>
          <w:rFonts w:ascii="Times New Roman" w:eastAsia="Times New Roman" w:hAnsi="Times New Roman" w:cs="Times New Roman"/>
          <w:b/>
          <w:bCs/>
          <w:i/>
          <w:sz w:val="20"/>
          <w:szCs w:val="20"/>
        </w:rPr>
        <w:t xml:space="preserve">Tablica </w:t>
      </w:r>
      <w:r w:rsidRPr="00D84719">
        <w:rPr>
          <w:rFonts w:ascii="Times New Roman" w:eastAsia="Times New Roman" w:hAnsi="Times New Roman" w:cs="Times New Roman"/>
          <w:b/>
          <w:bCs/>
          <w:i/>
          <w:sz w:val="20"/>
          <w:szCs w:val="20"/>
        </w:rPr>
        <w:fldChar w:fldCharType="begin"/>
      </w:r>
      <w:r w:rsidRPr="00D84719">
        <w:rPr>
          <w:rFonts w:ascii="Times New Roman" w:eastAsia="Times New Roman" w:hAnsi="Times New Roman" w:cs="Times New Roman"/>
          <w:b/>
          <w:bCs/>
          <w:i/>
          <w:sz w:val="20"/>
          <w:szCs w:val="20"/>
        </w:rPr>
        <w:instrText xml:space="preserve"> STYLEREF 2 \s </w:instrText>
      </w:r>
      <w:r w:rsidRPr="00D84719">
        <w:rPr>
          <w:rFonts w:ascii="Times New Roman" w:eastAsia="Times New Roman" w:hAnsi="Times New Roman" w:cs="Times New Roman"/>
          <w:b/>
          <w:bCs/>
          <w:i/>
          <w:sz w:val="20"/>
          <w:szCs w:val="20"/>
        </w:rPr>
        <w:fldChar w:fldCharType="separate"/>
      </w:r>
      <w:r w:rsidRPr="00D84719">
        <w:rPr>
          <w:rFonts w:ascii="Times New Roman" w:eastAsia="Times New Roman" w:hAnsi="Times New Roman" w:cs="Times New Roman"/>
          <w:b/>
          <w:bCs/>
          <w:i/>
          <w:sz w:val="20"/>
          <w:szCs w:val="20"/>
        </w:rPr>
        <w:t>3.4</w:t>
      </w:r>
      <w:r w:rsidRPr="00D84719">
        <w:rPr>
          <w:rFonts w:ascii="Times New Roman" w:eastAsia="Times New Roman" w:hAnsi="Times New Roman" w:cs="Times New Roman"/>
          <w:b/>
          <w:bCs/>
          <w:i/>
          <w:sz w:val="20"/>
          <w:szCs w:val="20"/>
        </w:rPr>
        <w:fldChar w:fldCharType="end"/>
      </w:r>
      <w:r w:rsidRPr="00D84719">
        <w:rPr>
          <w:rFonts w:ascii="Times New Roman" w:eastAsia="Times New Roman" w:hAnsi="Times New Roman" w:cs="Times New Roman"/>
          <w:b/>
          <w:bCs/>
          <w:i/>
          <w:sz w:val="20"/>
          <w:szCs w:val="20"/>
        </w:rPr>
        <w:noBreakHyphen/>
        <w:t>3: Procjena emisija PCDD/PCDF-a u okoliš, u 2001</w:t>
      </w:r>
      <w:r w:rsidR="004C449C">
        <w:rPr>
          <w:rFonts w:ascii="Times New Roman" w:eastAsia="Times New Roman" w:hAnsi="Times New Roman" w:cs="Times New Roman"/>
          <w:b/>
          <w:bCs/>
          <w:i/>
          <w:sz w:val="20"/>
          <w:szCs w:val="20"/>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90"/>
        <w:gridCol w:w="3568"/>
        <w:gridCol w:w="961"/>
        <w:gridCol w:w="961"/>
        <w:gridCol w:w="825"/>
        <w:gridCol w:w="1098"/>
        <w:gridCol w:w="959"/>
      </w:tblGrid>
      <w:tr w:rsidR="00D84719" w:rsidRPr="00D84719" w14:paraId="7D73461D" w14:textId="77777777" w:rsidTr="00D84719">
        <w:trPr>
          <w:trHeight w:val="398"/>
          <w:tblHeader/>
          <w:jc w:val="center"/>
        </w:trPr>
        <w:tc>
          <w:tcPr>
            <w:tcW w:w="381" w:type="pct"/>
            <w:vMerge w:val="restart"/>
            <w:shd w:val="clear" w:color="auto" w:fill="D9D9D9"/>
            <w:tcMar>
              <w:top w:w="0" w:type="dxa"/>
              <w:left w:w="57" w:type="dxa"/>
              <w:bottom w:w="0" w:type="dxa"/>
              <w:right w:w="0" w:type="dxa"/>
            </w:tcMar>
            <w:vAlign w:val="center"/>
          </w:tcPr>
          <w:p w14:paraId="3D257108" w14:textId="77777777" w:rsidR="00D84719" w:rsidRPr="00D84719" w:rsidRDefault="00D84719" w:rsidP="00D84719">
            <w:pPr>
              <w:spacing w:after="0" w:line="240" w:lineRule="auto"/>
              <w:jc w:val="center"/>
              <w:rPr>
                <w:rFonts w:ascii="Times New Roman" w:eastAsia="Times New Roman" w:hAnsi="Times New Roman" w:cs="Times New Roman"/>
                <w:b/>
                <w:color w:val="000000"/>
                <w:sz w:val="20"/>
                <w:szCs w:val="20"/>
              </w:rPr>
            </w:pPr>
            <w:r w:rsidRPr="00D84719">
              <w:rPr>
                <w:rFonts w:ascii="Times New Roman" w:eastAsia="Times New Roman" w:hAnsi="Times New Roman" w:cs="Times New Roman"/>
                <w:b/>
                <w:color w:val="000000"/>
                <w:sz w:val="20"/>
                <w:szCs w:val="20"/>
              </w:rPr>
              <w:t>Br.</w:t>
            </w:r>
          </w:p>
        </w:tc>
        <w:tc>
          <w:tcPr>
            <w:tcW w:w="1969" w:type="pct"/>
            <w:vMerge w:val="restart"/>
            <w:shd w:val="clear" w:color="auto" w:fill="D9D9D9"/>
            <w:tcMar>
              <w:top w:w="0" w:type="dxa"/>
              <w:left w:w="57" w:type="dxa"/>
              <w:bottom w:w="0" w:type="dxa"/>
              <w:right w:w="0" w:type="dxa"/>
            </w:tcMar>
            <w:vAlign w:val="center"/>
          </w:tcPr>
          <w:p w14:paraId="606E0E94" w14:textId="77777777" w:rsidR="00D84719" w:rsidRPr="00D84719" w:rsidRDefault="00D84719" w:rsidP="00D84719">
            <w:pPr>
              <w:spacing w:after="0" w:line="240" w:lineRule="auto"/>
              <w:jc w:val="center"/>
              <w:rPr>
                <w:rFonts w:ascii="Times New Roman" w:eastAsia="Times New Roman" w:hAnsi="Times New Roman" w:cs="Times New Roman"/>
                <w:b/>
                <w:color w:val="000000"/>
                <w:sz w:val="20"/>
                <w:szCs w:val="20"/>
              </w:rPr>
            </w:pPr>
            <w:r w:rsidRPr="00D84719">
              <w:rPr>
                <w:rFonts w:ascii="Times New Roman" w:eastAsia="Times New Roman" w:hAnsi="Times New Roman" w:cs="Times New Roman"/>
                <w:b/>
                <w:color w:val="000000"/>
                <w:sz w:val="20"/>
                <w:szCs w:val="20"/>
              </w:rPr>
              <w:t>Grupe izvora</w:t>
            </w:r>
          </w:p>
        </w:tc>
        <w:tc>
          <w:tcPr>
            <w:tcW w:w="2650" w:type="pct"/>
            <w:gridSpan w:val="5"/>
            <w:shd w:val="clear" w:color="auto" w:fill="D9D9D9"/>
            <w:tcMar>
              <w:top w:w="0" w:type="dxa"/>
              <w:left w:w="57" w:type="dxa"/>
              <w:bottom w:w="0" w:type="dxa"/>
              <w:right w:w="0" w:type="dxa"/>
            </w:tcMar>
            <w:vAlign w:val="center"/>
          </w:tcPr>
          <w:p w14:paraId="79323953" w14:textId="77777777" w:rsidR="00D84719" w:rsidRPr="00D84719" w:rsidRDefault="00D84719" w:rsidP="00D84719">
            <w:pPr>
              <w:spacing w:after="0" w:line="240" w:lineRule="auto"/>
              <w:jc w:val="center"/>
              <w:rPr>
                <w:rFonts w:ascii="Times New Roman" w:eastAsia="Times New Roman" w:hAnsi="Times New Roman" w:cs="Times New Roman"/>
                <w:b/>
                <w:color w:val="000000"/>
                <w:sz w:val="20"/>
                <w:szCs w:val="20"/>
              </w:rPr>
            </w:pPr>
            <w:r w:rsidRPr="00D84719">
              <w:rPr>
                <w:rFonts w:ascii="Times New Roman" w:eastAsia="Times New Roman" w:hAnsi="Times New Roman" w:cs="Times New Roman"/>
                <w:b/>
                <w:color w:val="000000"/>
                <w:sz w:val="20"/>
                <w:szCs w:val="20"/>
              </w:rPr>
              <w:t>Godišnje emisije PCDD/PCDF</w:t>
            </w:r>
          </w:p>
          <w:p w14:paraId="16CE2522" w14:textId="77777777" w:rsidR="00D84719" w:rsidRPr="00D84719" w:rsidRDefault="00D84719" w:rsidP="00D84719">
            <w:pPr>
              <w:spacing w:after="0" w:line="240" w:lineRule="auto"/>
              <w:jc w:val="center"/>
              <w:rPr>
                <w:rFonts w:ascii="Times New Roman" w:eastAsia="Times New Roman" w:hAnsi="Times New Roman" w:cs="Times New Roman"/>
                <w:b/>
                <w:color w:val="000000"/>
                <w:sz w:val="20"/>
                <w:szCs w:val="20"/>
              </w:rPr>
            </w:pPr>
            <w:r w:rsidRPr="00D84719">
              <w:rPr>
                <w:rFonts w:ascii="Times New Roman" w:eastAsia="Times New Roman" w:hAnsi="Times New Roman" w:cs="Times New Roman"/>
                <w:b/>
                <w:color w:val="000000"/>
                <w:sz w:val="20"/>
                <w:szCs w:val="20"/>
              </w:rPr>
              <w:t>(g I-TEQ godina</w:t>
            </w:r>
            <w:r w:rsidRPr="00D84719">
              <w:rPr>
                <w:rFonts w:ascii="Times New Roman" w:eastAsia="Times New Roman" w:hAnsi="Times New Roman" w:cs="Times New Roman"/>
                <w:b/>
                <w:color w:val="000000"/>
                <w:sz w:val="20"/>
                <w:szCs w:val="20"/>
                <w:vertAlign w:val="superscript"/>
              </w:rPr>
              <w:t>-1</w:t>
            </w:r>
            <w:r w:rsidRPr="00D84719">
              <w:rPr>
                <w:rFonts w:ascii="Times New Roman" w:eastAsia="Times New Roman" w:hAnsi="Times New Roman" w:cs="Times New Roman"/>
                <w:b/>
                <w:color w:val="000000"/>
                <w:sz w:val="20"/>
                <w:szCs w:val="20"/>
              </w:rPr>
              <w:t>)</w:t>
            </w:r>
          </w:p>
        </w:tc>
      </w:tr>
      <w:tr w:rsidR="00D84719" w:rsidRPr="00D84719" w14:paraId="27000532" w14:textId="77777777" w:rsidTr="00D84719">
        <w:trPr>
          <w:trHeight w:val="66"/>
          <w:tblHeader/>
          <w:jc w:val="center"/>
        </w:trPr>
        <w:tc>
          <w:tcPr>
            <w:tcW w:w="381" w:type="pct"/>
            <w:vMerge/>
            <w:shd w:val="clear" w:color="auto" w:fill="BFBFBF"/>
            <w:tcMar>
              <w:top w:w="0" w:type="dxa"/>
              <w:left w:w="57" w:type="dxa"/>
              <w:bottom w:w="0" w:type="dxa"/>
              <w:right w:w="0" w:type="dxa"/>
            </w:tcMar>
            <w:vAlign w:val="center"/>
          </w:tcPr>
          <w:p w14:paraId="4A55D2A7" w14:textId="77777777" w:rsidR="00D84719" w:rsidRPr="00D84719" w:rsidRDefault="00D84719" w:rsidP="00D84719">
            <w:pPr>
              <w:spacing w:after="0" w:line="240" w:lineRule="auto"/>
              <w:jc w:val="center"/>
              <w:rPr>
                <w:rFonts w:ascii="Times New Roman" w:eastAsia="Times New Roman" w:hAnsi="Times New Roman" w:cs="Times New Roman"/>
                <w:b/>
                <w:color w:val="000000"/>
                <w:sz w:val="20"/>
                <w:szCs w:val="20"/>
              </w:rPr>
            </w:pPr>
          </w:p>
        </w:tc>
        <w:tc>
          <w:tcPr>
            <w:tcW w:w="1969" w:type="pct"/>
            <w:vMerge/>
            <w:shd w:val="clear" w:color="auto" w:fill="BFBFBF"/>
            <w:tcMar>
              <w:top w:w="0" w:type="dxa"/>
              <w:left w:w="57" w:type="dxa"/>
              <w:bottom w:w="0" w:type="dxa"/>
              <w:right w:w="0" w:type="dxa"/>
            </w:tcMar>
            <w:vAlign w:val="center"/>
          </w:tcPr>
          <w:p w14:paraId="597F1DEB" w14:textId="77777777" w:rsidR="00D84719" w:rsidRPr="00D84719" w:rsidRDefault="00D84719" w:rsidP="00D84719">
            <w:pPr>
              <w:spacing w:after="0" w:line="240" w:lineRule="auto"/>
              <w:jc w:val="center"/>
              <w:rPr>
                <w:rFonts w:ascii="Times New Roman" w:eastAsia="Times New Roman" w:hAnsi="Times New Roman" w:cs="Times New Roman"/>
                <w:b/>
                <w:color w:val="000000"/>
                <w:sz w:val="20"/>
                <w:szCs w:val="20"/>
              </w:rPr>
            </w:pPr>
          </w:p>
        </w:tc>
        <w:tc>
          <w:tcPr>
            <w:tcW w:w="530" w:type="pct"/>
            <w:shd w:val="clear" w:color="auto" w:fill="D9D9D9"/>
            <w:tcMar>
              <w:top w:w="0" w:type="dxa"/>
              <w:left w:w="57" w:type="dxa"/>
              <w:bottom w:w="0" w:type="dxa"/>
              <w:right w:w="0" w:type="dxa"/>
            </w:tcMar>
            <w:vAlign w:val="center"/>
          </w:tcPr>
          <w:p w14:paraId="7CABA49F" w14:textId="77777777" w:rsidR="00D84719" w:rsidRPr="00D84719" w:rsidRDefault="00D84719" w:rsidP="00D84719">
            <w:pPr>
              <w:spacing w:after="0" w:line="240" w:lineRule="auto"/>
              <w:jc w:val="center"/>
              <w:rPr>
                <w:rFonts w:ascii="Times New Roman" w:eastAsia="Times New Roman" w:hAnsi="Times New Roman" w:cs="Times New Roman"/>
                <w:b/>
                <w:color w:val="000000"/>
                <w:sz w:val="20"/>
                <w:szCs w:val="20"/>
              </w:rPr>
            </w:pPr>
            <w:r w:rsidRPr="00D84719">
              <w:rPr>
                <w:rFonts w:ascii="Times New Roman" w:eastAsia="Times New Roman" w:hAnsi="Times New Roman" w:cs="Times New Roman"/>
                <w:b/>
                <w:color w:val="000000"/>
                <w:sz w:val="20"/>
                <w:szCs w:val="20"/>
              </w:rPr>
              <w:t>Zrak</w:t>
            </w:r>
          </w:p>
        </w:tc>
        <w:tc>
          <w:tcPr>
            <w:tcW w:w="530" w:type="pct"/>
            <w:shd w:val="clear" w:color="auto" w:fill="D9D9D9"/>
            <w:tcMar>
              <w:top w:w="0" w:type="dxa"/>
              <w:left w:w="57" w:type="dxa"/>
              <w:bottom w:w="0" w:type="dxa"/>
              <w:right w:w="0" w:type="dxa"/>
            </w:tcMar>
            <w:vAlign w:val="center"/>
          </w:tcPr>
          <w:p w14:paraId="5FD76950" w14:textId="77777777" w:rsidR="00D84719" w:rsidRPr="00D84719" w:rsidRDefault="00D84719" w:rsidP="00D84719">
            <w:pPr>
              <w:spacing w:after="0" w:line="240" w:lineRule="auto"/>
              <w:jc w:val="center"/>
              <w:rPr>
                <w:rFonts w:ascii="Times New Roman" w:eastAsia="Times New Roman" w:hAnsi="Times New Roman" w:cs="Times New Roman"/>
                <w:b/>
                <w:color w:val="000000"/>
                <w:sz w:val="20"/>
                <w:szCs w:val="20"/>
              </w:rPr>
            </w:pPr>
            <w:r w:rsidRPr="00D84719">
              <w:rPr>
                <w:rFonts w:ascii="Times New Roman" w:eastAsia="Times New Roman" w:hAnsi="Times New Roman" w:cs="Times New Roman"/>
                <w:b/>
                <w:color w:val="000000"/>
                <w:sz w:val="20"/>
                <w:szCs w:val="20"/>
              </w:rPr>
              <w:t>Voda</w:t>
            </w:r>
          </w:p>
        </w:tc>
        <w:tc>
          <w:tcPr>
            <w:tcW w:w="455" w:type="pct"/>
            <w:shd w:val="clear" w:color="auto" w:fill="D9D9D9"/>
            <w:tcMar>
              <w:top w:w="0" w:type="dxa"/>
              <w:left w:w="57" w:type="dxa"/>
              <w:bottom w:w="0" w:type="dxa"/>
              <w:right w:w="0" w:type="dxa"/>
            </w:tcMar>
            <w:vAlign w:val="center"/>
          </w:tcPr>
          <w:p w14:paraId="65EFFE26" w14:textId="77777777" w:rsidR="00D84719" w:rsidRPr="00D84719" w:rsidRDefault="00D84719" w:rsidP="00D84719">
            <w:pPr>
              <w:spacing w:after="0" w:line="240" w:lineRule="auto"/>
              <w:jc w:val="center"/>
              <w:rPr>
                <w:rFonts w:ascii="Times New Roman" w:eastAsia="Times New Roman" w:hAnsi="Times New Roman" w:cs="Times New Roman"/>
                <w:b/>
                <w:color w:val="000000"/>
                <w:sz w:val="20"/>
                <w:szCs w:val="20"/>
              </w:rPr>
            </w:pPr>
            <w:r w:rsidRPr="00D84719">
              <w:rPr>
                <w:rFonts w:ascii="Times New Roman" w:eastAsia="Times New Roman" w:hAnsi="Times New Roman" w:cs="Times New Roman"/>
                <w:b/>
                <w:color w:val="000000"/>
                <w:sz w:val="20"/>
                <w:szCs w:val="20"/>
              </w:rPr>
              <w:t>Tlo</w:t>
            </w:r>
          </w:p>
        </w:tc>
        <w:tc>
          <w:tcPr>
            <w:tcW w:w="606" w:type="pct"/>
            <w:shd w:val="clear" w:color="auto" w:fill="D9D9D9"/>
            <w:tcMar>
              <w:top w:w="0" w:type="dxa"/>
              <w:left w:w="57" w:type="dxa"/>
              <w:bottom w:w="0" w:type="dxa"/>
              <w:right w:w="0" w:type="dxa"/>
            </w:tcMar>
            <w:vAlign w:val="center"/>
          </w:tcPr>
          <w:p w14:paraId="42F5DAB6" w14:textId="77777777" w:rsidR="00D84719" w:rsidRPr="00D84719" w:rsidRDefault="00D84719" w:rsidP="00D84719">
            <w:pPr>
              <w:spacing w:after="0" w:line="240" w:lineRule="auto"/>
              <w:jc w:val="center"/>
              <w:rPr>
                <w:rFonts w:ascii="Times New Roman" w:eastAsia="Times New Roman" w:hAnsi="Times New Roman" w:cs="Times New Roman"/>
                <w:b/>
                <w:color w:val="000000"/>
                <w:sz w:val="20"/>
                <w:szCs w:val="20"/>
              </w:rPr>
            </w:pPr>
            <w:r w:rsidRPr="00D84719">
              <w:rPr>
                <w:rFonts w:ascii="Times New Roman" w:eastAsia="Times New Roman" w:hAnsi="Times New Roman" w:cs="Times New Roman"/>
                <w:b/>
                <w:color w:val="000000"/>
                <w:sz w:val="20"/>
                <w:szCs w:val="20"/>
              </w:rPr>
              <w:t>Proizvodi</w:t>
            </w:r>
          </w:p>
        </w:tc>
        <w:tc>
          <w:tcPr>
            <w:tcW w:w="530" w:type="pct"/>
            <w:shd w:val="clear" w:color="auto" w:fill="D9D9D9"/>
            <w:tcMar>
              <w:top w:w="0" w:type="dxa"/>
              <w:left w:w="57" w:type="dxa"/>
              <w:bottom w:w="0" w:type="dxa"/>
              <w:right w:w="0" w:type="dxa"/>
            </w:tcMar>
            <w:vAlign w:val="center"/>
          </w:tcPr>
          <w:p w14:paraId="6CD448F6" w14:textId="77777777" w:rsidR="00D84719" w:rsidRPr="00D84719" w:rsidRDefault="00D84719" w:rsidP="00D84719">
            <w:pPr>
              <w:spacing w:after="0" w:line="240" w:lineRule="auto"/>
              <w:jc w:val="center"/>
              <w:rPr>
                <w:rFonts w:ascii="Times New Roman" w:eastAsia="Times New Roman" w:hAnsi="Times New Roman" w:cs="Times New Roman"/>
                <w:b/>
                <w:color w:val="000000"/>
                <w:sz w:val="20"/>
                <w:szCs w:val="20"/>
              </w:rPr>
            </w:pPr>
            <w:r w:rsidRPr="00D84719">
              <w:rPr>
                <w:rFonts w:ascii="Times New Roman" w:eastAsia="Times New Roman" w:hAnsi="Times New Roman" w:cs="Times New Roman"/>
                <w:b/>
                <w:color w:val="000000"/>
                <w:sz w:val="20"/>
                <w:szCs w:val="20"/>
              </w:rPr>
              <w:t>Otpad</w:t>
            </w:r>
          </w:p>
        </w:tc>
      </w:tr>
      <w:tr w:rsidR="00D84719" w:rsidRPr="00D84719" w14:paraId="33D811D8" w14:textId="77777777" w:rsidTr="00F831D6">
        <w:trPr>
          <w:trHeight w:val="249"/>
          <w:jc w:val="center"/>
        </w:trPr>
        <w:tc>
          <w:tcPr>
            <w:tcW w:w="381" w:type="pct"/>
            <w:tcMar>
              <w:top w:w="0" w:type="dxa"/>
              <w:left w:w="57" w:type="dxa"/>
              <w:bottom w:w="0" w:type="dxa"/>
              <w:right w:w="0" w:type="dxa"/>
            </w:tcMar>
            <w:vAlign w:val="center"/>
          </w:tcPr>
          <w:p w14:paraId="46D42482"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1.</w:t>
            </w:r>
          </w:p>
        </w:tc>
        <w:tc>
          <w:tcPr>
            <w:tcW w:w="1969" w:type="pct"/>
            <w:tcMar>
              <w:top w:w="0" w:type="dxa"/>
              <w:left w:w="57" w:type="dxa"/>
              <w:bottom w:w="0" w:type="dxa"/>
              <w:right w:w="0" w:type="dxa"/>
            </w:tcMar>
            <w:vAlign w:val="center"/>
          </w:tcPr>
          <w:p w14:paraId="538964CB" w14:textId="77777777" w:rsidR="00D84719" w:rsidRPr="00D84719" w:rsidRDefault="00D84719" w:rsidP="00D84719">
            <w:pPr>
              <w:spacing w:after="0" w:line="240" w:lineRule="auto"/>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Termička obrada otpada</w:t>
            </w:r>
          </w:p>
        </w:tc>
        <w:tc>
          <w:tcPr>
            <w:tcW w:w="530" w:type="pct"/>
            <w:tcMar>
              <w:top w:w="0" w:type="dxa"/>
              <w:left w:w="57" w:type="dxa"/>
              <w:bottom w:w="0" w:type="dxa"/>
              <w:right w:w="0" w:type="dxa"/>
            </w:tcMar>
            <w:vAlign w:val="center"/>
          </w:tcPr>
          <w:p w14:paraId="58ECAA38"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1</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4</w:t>
            </w:r>
          </w:p>
        </w:tc>
        <w:tc>
          <w:tcPr>
            <w:tcW w:w="530" w:type="pct"/>
            <w:tcMar>
              <w:top w:w="0" w:type="dxa"/>
              <w:left w:w="57" w:type="dxa"/>
              <w:bottom w:w="0" w:type="dxa"/>
              <w:right w:w="0" w:type="dxa"/>
            </w:tcMar>
            <w:vAlign w:val="center"/>
          </w:tcPr>
          <w:p w14:paraId="0A4B0475"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p>
        </w:tc>
        <w:tc>
          <w:tcPr>
            <w:tcW w:w="455" w:type="pct"/>
            <w:tcMar>
              <w:top w:w="0" w:type="dxa"/>
              <w:left w:w="57" w:type="dxa"/>
              <w:bottom w:w="0" w:type="dxa"/>
              <w:right w:w="0" w:type="dxa"/>
            </w:tcMar>
            <w:vAlign w:val="center"/>
          </w:tcPr>
          <w:p w14:paraId="7AF6B55F"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p>
        </w:tc>
        <w:tc>
          <w:tcPr>
            <w:tcW w:w="606" w:type="pct"/>
            <w:tcMar>
              <w:top w:w="0" w:type="dxa"/>
              <w:left w:w="57" w:type="dxa"/>
              <w:bottom w:w="0" w:type="dxa"/>
              <w:right w:w="0" w:type="dxa"/>
            </w:tcMar>
            <w:vAlign w:val="center"/>
          </w:tcPr>
          <w:p w14:paraId="6598F88B"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p>
        </w:tc>
        <w:tc>
          <w:tcPr>
            <w:tcW w:w="530" w:type="pct"/>
            <w:tcMar>
              <w:top w:w="0" w:type="dxa"/>
              <w:left w:w="57" w:type="dxa"/>
              <w:bottom w:w="0" w:type="dxa"/>
              <w:right w:w="0" w:type="dxa"/>
            </w:tcMar>
            <w:vAlign w:val="center"/>
          </w:tcPr>
          <w:p w14:paraId="3883D03A"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3</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6</w:t>
            </w:r>
          </w:p>
        </w:tc>
      </w:tr>
      <w:tr w:rsidR="00D84719" w:rsidRPr="00D84719" w14:paraId="60A2F1B4" w14:textId="77777777" w:rsidTr="00F831D6">
        <w:trPr>
          <w:trHeight w:val="249"/>
          <w:jc w:val="center"/>
        </w:trPr>
        <w:tc>
          <w:tcPr>
            <w:tcW w:w="381" w:type="pct"/>
            <w:tcMar>
              <w:top w:w="0" w:type="dxa"/>
              <w:left w:w="57" w:type="dxa"/>
              <w:bottom w:w="0" w:type="dxa"/>
              <w:right w:w="0" w:type="dxa"/>
            </w:tcMar>
            <w:vAlign w:val="center"/>
          </w:tcPr>
          <w:p w14:paraId="03315DF8"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2.</w:t>
            </w:r>
          </w:p>
        </w:tc>
        <w:tc>
          <w:tcPr>
            <w:tcW w:w="1969" w:type="pct"/>
            <w:tcMar>
              <w:top w:w="0" w:type="dxa"/>
              <w:left w:w="57" w:type="dxa"/>
              <w:bottom w:w="0" w:type="dxa"/>
              <w:right w:w="0" w:type="dxa"/>
            </w:tcMar>
            <w:vAlign w:val="center"/>
          </w:tcPr>
          <w:p w14:paraId="17EEA60C" w14:textId="77777777" w:rsidR="00D84719" w:rsidRPr="00D84719" w:rsidRDefault="00D84719" w:rsidP="00D84719">
            <w:pPr>
              <w:spacing w:after="0" w:line="240" w:lineRule="auto"/>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Proizvodnja željeza i obojanih metala</w:t>
            </w:r>
          </w:p>
        </w:tc>
        <w:tc>
          <w:tcPr>
            <w:tcW w:w="530" w:type="pct"/>
            <w:tcMar>
              <w:top w:w="0" w:type="dxa"/>
              <w:left w:w="57" w:type="dxa"/>
              <w:bottom w:w="0" w:type="dxa"/>
              <w:right w:w="0" w:type="dxa"/>
            </w:tcMar>
            <w:vAlign w:val="center"/>
          </w:tcPr>
          <w:p w14:paraId="3964E19F"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3</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1</w:t>
            </w:r>
          </w:p>
        </w:tc>
        <w:tc>
          <w:tcPr>
            <w:tcW w:w="530" w:type="pct"/>
            <w:tcMar>
              <w:top w:w="0" w:type="dxa"/>
              <w:left w:w="57" w:type="dxa"/>
              <w:bottom w:w="0" w:type="dxa"/>
              <w:right w:w="0" w:type="dxa"/>
            </w:tcMar>
            <w:vAlign w:val="center"/>
          </w:tcPr>
          <w:p w14:paraId="6E305146"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w:t>
            </w:r>
          </w:p>
        </w:tc>
        <w:tc>
          <w:tcPr>
            <w:tcW w:w="455" w:type="pct"/>
            <w:tcMar>
              <w:top w:w="0" w:type="dxa"/>
              <w:left w:w="57" w:type="dxa"/>
              <w:bottom w:w="0" w:type="dxa"/>
              <w:right w:w="0" w:type="dxa"/>
            </w:tcMar>
            <w:vAlign w:val="center"/>
          </w:tcPr>
          <w:p w14:paraId="4EAAD354"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w:t>
            </w:r>
          </w:p>
        </w:tc>
        <w:tc>
          <w:tcPr>
            <w:tcW w:w="606" w:type="pct"/>
            <w:tcMar>
              <w:top w:w="0" w:type="dxa"/>
              <w:left w:w="57" w:type="dxa"/>
              <w:bottom w:w="0" w:type="dxa"/>
              <w:right w:w="0" w:type="dxa"/>
            </w:tcMar>
            <w:vAlign w:val="center"/>
          </w:tcPr>
          <w:p w14:paraId="0A7A22BF"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p>
        </w:tc>
        <w:tc>
          <w:tcPr>
            <w:tcW w:w="530" w:type="pct"/>
            <w:tcMar>
              <w:top w:w="0" w:type="dxa"/>
              <w:left w:w="57" w:type="dxa"/>
              <w:bottom w:w="0" w:type="dxa"/>
              <w:right w:w="0" w:type="dxa"/>
            </w:tcMar>
            <w:vAlign w:val="center"/>
          </w:tcPr>
          <w:p w14:paraId="0A93BC14"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22</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3</w:t>
            </w:r>
          </w:p>
        </w:tc>
      </w:tr>
      <w:tr w:rsidR="00D84719" w:rsidRPr="00D84719" w14:paraId="3E671918" w14:textId="77777777" w:rsidTr="00F831D6">
        <w:trPr>
          <w:trHeight w:val="249"/>
          <w:jc w:val="center"/>
        </w:trPr>
        <w:tc>
          <w:tcPr>
            <w:tcW w:w="381" w:type="pct"/>
            <w:tcMar>
              <w:top w:w="0" w:type="dxa"/>
              <w:left w:w="57" w:type="dxa"/>
              <w:bottom w:w="0" w:type="dxa"/>
              <w:right w:w="0" w:type="dxa"/>
            </w:tcMar>
            <w:vAlign w:val="center"/>
          </w:tcPr>
          <w:p w14:paraId="661F6732"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3.</w:t>
            </w:r>
          </w:p>
        </w:tc>
        <w:tc>
          <w:tcPr>
            <w:tcW w:w="1969" w:type="pct"/>
            <w:tcMar>
              <w:top w:w="0" w:type="dxa"/>
              <w:left w:w="57" w:type="dxa"/>
              <w:bottom w:w="0" w:type="dxa"/>
              <w:right w:w="0" w:type="dxa"/>
            </w:tcMar>
            <w:vAlign w:val="center"/>
          </w:tcPr>
          <w:p w14:paraId="5DC6DD14" w14:textId="77777777" w:rsidR="00D84719" w:rsidRPr="00D84719" w:rsidRDefault="00D84719" w:rsidP="00D84719">
            <w:pPr>
              <w:spacing w:after="0" w:line="240" w:lineRule="auto"/>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Proizvodnja električne i toplinske energije</w:t>
            </w:r>
          </w:p>
        </w:tc>
        <w:tc>
          <w:tcPr>
            <w:tcW w:w="530" w:type="pct"/>
            <w:tcMar>
              <w:top w:w="0" w:type="dxa"/>
              <w:left w:w="57" w:type="dxa"/>
              <w:bottom w:w="0" w:type="dxa"/>
              <w:right w:w="0" w:type="dxa"/>
            </w:tcMar>
            <w:vAlign w:val="center"/>
          </w:tcPr>
          <w:p w14:paraId="311C2208"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105</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7?</w:t>
            </w:r>
          </w:p>
        </w:tc>
        <w:tc>
          <w:tcPr>
            <w:tcW w:w="530" w:type="pct"/>
            <w:tcMar>
              <w:top w:w="0" w:type="dxa"/>
              <w:left w:w="57" w:type="dxa"/>
              <w:bottom w:w="0" w:type="dxa"/>
              <w:right w:w="0" w:type="dxa"/>
            </w:tcMar>
            <w:vAlign w:val="center"/>
          </w:tcPr>
          <w:p w14:paraId="1F52579D"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p>
        </w:tc>
        <w:tc>
          <w:tcPr>
            <w:tcW w:w="455" w:type="pct"/>
            <w:tcMar>
              <w:top w:w="0" w:type="dxa"/>
              <w:left w:w="57" w:type="dxa"/>
              <w:bottom w:w="0" w:type="dxa"/>
              <w:right w:w="0" w:type="dxa"/>
            </w:tcMar>
            <w:vAlign w:val="center"/>
          </w:tcPr>
          <w:p w14:paraId="34F7D92F"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p>
        </w:tc>
        <w:tc>
          <w:tcPr>
            <w:tcW w:w="606" w:type="pct"/>
            <w:tcMar>
              <w:top w:w="0" w:type="dxa"/>
              <w:left w:w="57" w:type="dxa"/>
              <w:bottom w:w="0" w:type="dxa"/>
              <w:right w:w="0" w:type="dxa"/>
            </w:tcMar>
            <w:vAlign w:val="center"/>
          </w:tcPr>
          <w:p w14:paraId="2353ADED"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p>
        </w:tc>
        <w:tc>
          <w:tcPr>
            <w:tcW w:w="530" w:type="pct"/>
            <w:tcMar>
              <w:top w:w="0" w:type="dxa"/>
              <w:left w:w="57" w:type="dxa"/>
              <w:bottom w:w="0" w:type="dxa"/>
              <w:right w:w="0" w:type="dxa"/>
            </w:tcMar>
            <w:vAlign w:val="center"/>
          </w:tcPr>
          <w:p w14:paraId="5C442C5F"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20</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6</w:t>
            </w:r>
          </w:p>
        </w:tc>
      </w:tr>
      <w:tr w:rsidR="00D84719" w:rsidRPr="00D84719" w14:paraId="7C4C08D4" w14:textId="77777777" w:rsidTr="00F831D6">
        <w:trPr>
          <w:trHeight w:val="249"/>
          <w:jc w:val="center"/>
        </w:trPr>
        <w:tc>
          <w:tcPr>
            <w:tcW w:w="381" w:type="pct"/>
            <w:tcMar>
              <w:top w:w="0" w:type="dxa"/>
              <w:left w:w="57" w:type="dxa"/>
              <w:bottom w:w="0" w:type="dxa"/>
              <w:right w:w="0" w:type="dxa"/>
            </w:tcMar>
            <w:vAlign w:val="center"/>
          </w:tcPr>
          <w:p w14:paraId="143A8CBB"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4.</w:t>
            </w:r>
          </w:p>
        </w:tc>
        <w:tc>
          <w:tcPr>
            <w:tcW w:w="1969" w:type="pct"/>
            <w:tcMar>
              <w:top w:w="0" w:type="dxa"/>
              <w:left w:w="57" w:type="dxa"/>
              <w:bottom w:w="0" w:type="dxa"/>
              <w:right w:w="0" w:type="dxa"/>
            </w:tcMar>
            <w:vAlign w:val="center"/>
          </w:tcPr>
          <w:p w14:paraId="2535A1B3" w14:textId="77777777" w:rsidR="00D84719" w:rsidRPr="00D84719" w:rsidRDefault="00D84719" w:rsidP="00D84719">
            <w:pPr>
              <w:spacing w:after="0" w:line="240" w:lineRule="auto"/>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Proizvodnja mineralnih proizvoda</w:t>
            </w:r>
          </w:p>
        </w:tc>
        <w:tc>
          <w:tcPr>
            <w:tcW w:w="530" w:type="pct"/>
            <w:tcMar>
              <w:top w:w="0" w:type="dxa"/>
              <w:left w:w="57" w:type="dxa"/>
              <w:bottom w:w="0" w:type="dxa"/>
              <w:right w:w="0" w:type="dxa"/>
            </w:tcMar>
            <w:vAlign w:val="center"/>
          </w:tcPr>
          <w:p w14:paraId="1589199C"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2</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3</w:t>
            </w:r>
          </w:p>
        </w:tc>
        <w:tc>
          <w:tcPr>
            <w:tcW w:w="530" w:type="pct"/>
            <w:tcMar>
              <w:top w:w="0" w:type="dxa"/>
              <w:left w:w="57" w:type="dxa"/>
              <w:bottom w:w="0" w:type="dxa"/>
              <w:right w:w="0" w:type="dxa"/>
            </w:tcMar>
            <w:vAlign w:val="center"/>
          </w:tcPr>
          <w:p w14:paraId="47A83762"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p>
        </w:tc>
        <w:tc>
          <w:tcPr>
            <w:tcW w:w="455" w:type="pct"/>
            <w:tcMar>
              <w:top w:w="0" w:type="dxa"/>
              <w:left w:w="57" w:type="dxa"/>
              <w:bottom w:w="0" w:type="dxa"/>
              <w:right w:w="0" w:type="dxa"/>
            </w:tcMar>
            <w:vAlign w:val="center"/>
          </w:tcPr>
          <w:p w14:paraId="1B618FE8"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p>
        </w:tc>
        <w:tc>
          <w:tcPr>
            <w:tcW w:w="606" w:type="pct"/>
            <w:tcMar>
              <w:top w:w="0" w:type="dxa"/>
              <w:left w:w="57" w:type="dxa"/>
              <w:bottom w:w="0" w:type="dxa"/>
              <w:right w:w="0" w:type="dxa"/>
            </w:tcMar>
            <w:vAlign w:val="center"/>
          </w:tcPr>
          <w:p w14:paraId="08DA80F1"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p>
        </w:tc>
        <w:tc>
          <w:tcPr>
            <w:tcW w:w="530" w:type="pct"/>
            <w:tcMar>
              <w:top w:w="0" w:type="dxa"/>
              <w:left w:w="57" w:type="dxa"/>
              <w:bottom w:w="0" w:type="dxa"/>
              <w:right w:w="0" w:type="dxa"/>
            </w:tcMar>
            <w:vAlign w:val="center"/>
          </w:tcPr>
          <w:p w14:paraId="41913FDE"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01?</w:t>
            </w:r>
          </w:p>
        </w:tc>
      </w:tr>
      <w:tr w:rsidR="00D84719" w:rsidRPr="00D84719" w14:paraId="396A746E" w14:textId="77777777" w:rsidTr="00F831D6">
        <w:trPr>
          <w:trHeight w:val="249"/>
          <w:jc w:val="center"/>
        </w:trPr>
        <w:tc>
          <w:tcPr>
            <w:tcW w:w="381" w:type="pct"/>
            <w:tcMar>
              <w:top w:w="0" w:type="dxa"/>
              <w:left w:w="57" w:type="dxa"/>
              <w:bottom w:w="0" w:type="dxa"/>
              <w:right w:w="0" w:type="dxa"/>
            </w:tcMar>
            <w:vAlign w:val="center"/>
          </w:tcPr>
          <w:p w14:paraId="0BFB9D69"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5.</w:t>
            </w:r>
          </w:p>
        </w:tc>
        <w:tc>
          <w:tcPr>
            <w:tcW w:w="1969" w:type="pct"/>
            <w:tcMar>
              <w:top w:w="0" w:type="dxa"/>
              <w:left w:w="57" w:type="dxa"/>
              <w:bottom w:w="0" w:type="dxa"/>
              <w:right w:w="0" w:type="dxa"/>
            </w:tcMar>
            <w:vAlign w:val="center"/>
          </w:tcPr>
          <w:p w14:paraId="4ED28A4E" w14:textId="77777777" w:rsidR="00D84719" w:rsidRPr="00D84719" w:rsidRDefault="00D84719" w:rsidP="00D84719">
            <w:pPr>
              <w:spacing w:after="0" w:line="240" w:lineRule="auto"/>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Promet</w:t>
            </w:r>
          </w:p>
        </w:tc>
        <w:tc>
          <w:tcPr>
            <w:tcW w:w="530" w:type="pct"/>
            <w:tcMar>
              <w:top w:w="0" w:type="dxa"/>
              <w:left w:w="57" w:type="dxa"/>
              <w:bottom w:w="0" w:type="dxa"/>
              <w:right w:w="0" w:type="dxa"/>
            </w:tcMar>
            <w:vAlign w:val="center"/>
          </w:tcPr>
          <w:p w14:paraId="7E109EE9"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9</w:t>
            </w:r>
          </w:p>
        </w:tc>
        <w:tc>
          <w:tcPr>
            <w:tcW w:w="530" w:type="pct"/>
            <w:tcMar>
              <w:top w:w="0" w:type="dxa"/>
              <w:left w:w="57" w:type="dxa"/>
              <w:bottom w:w="0" w:type="dxa"/>
              <w:right w:w="0" w:type="dxa"/>
            </w:tcMar>
            <w:vAlign w:val="center"/>
          </w:tcPr>
          <w:p w14:paraId="5EAD42E9"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p>
        </w:tc>
        <w:tc>
          <w:tcPr>
            <w:tcW w:w="455" w:type="pct"/>
            <w:tcMar>
              <w:top w:w="0" w:type="dxa"/>
              <w:left w:w="57" w:type="dxa"/>
              <w:bottom w:w="0" w:type="dxa"/>
              <w:right w:w="0" w:type="dxa"/>
            </w:tcMar>
            <w:vAlign w:val="center"/>
          </w:tcPr>
          <w:p w14:paraId="37ECBEA2"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p>
        </w:tc>
        <w:tc>
          <w:tcPr>
            <w:tcW w:w="606" w:type="pct"/>
            <w:tcMar>
              <w:top w:w="0" w:type="dxa"/>
              <w:left w:w="57" w:type="dxa"/>
              <w:bottom w:w="0" w:type="dxa"/>
              <w:right w:w="0" w:type="dxa"/>
            </w:tcMar>
            <w:vAlign w:val="center"/>
          </w:tcPr>
          <w:p w14:paraId="105A2C77"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p>
        </w:tc>
        <w:tc>
          <w:tcPr>
            <w:tcW w:w="530" w:type="pct"/>
            <w:tcMar>
              <w:top w:w="0" w:type="dxa"/>
              <w:left w:w="57" w:type="dxa"/>
              <w:bottom w:w="0" w:type="dxa"/>
              <w:right w:w="0" w:type="dxa"/>
            </w:tcMar>
            <w:vAlign w:val="center"/>
          </w:tcPr>
          <w:p w14:paraId="6E687C03"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p>
        </w:tc>
      </w:tr>
      <w:tr w:rsidR="00D84719" w:rsidRPr="00D84719" w14:paraId="05004BC2" w14:textId="77777777" w:rsidTr="00F831D6">
        <w:trPr>
          <w:trHeight w:val="249"/>
          <w:jc w:val="center"/>
        </w:trPr>
        <w:tc>
          <w:tcPr>
            <w:tcW w:w="381" w:type="pct"/>
            <w:tcMar>
              <w:top w:w="0" w:type="dxa"/>
              <w:left w:w="57" w:type="dxa"/>
              <w:bottom w:w="0" w:type="dxa"/>
              <w:right w:w="0" w:type="dxa"/>
            </w:tcMar>
            <w:vAlign w:val="center"/>
          </w:tcPr>
          <w:p w14:paraId="440164D2"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6.</w:t>
            </w:r>
          </w:p>
        </w:tc>
        <w:tc>
          <w:tcPr>
            <w:tcW w:w="1969" w:type="pct"/>
            <w:tcMar>
              <w:top w:w="0" w:type="dxa"/>
              <w:left w:w="57" w:type="dxa"/>
              <w:bottom w:w="0" w:type="dxa"/>
              <w:right w:w="0" w:type="dxa"/>
            </w:tcMar>
            <w:vAlign w:val="center"/>
          </w:tcPr>
          <w:p w14:paraId="0485A35C" w14:textId="77777777" w:rsidR="00D84719" w:rsidRPr="00D84719" w:rsidRDefault="00D84719" w:rsidP="00D84719">
            <w:pPr>
              <w:spacing w:after="0" w:line="240" w:lineRule="auto"/>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Nekontrolirani procesi izgaranja</w:t>
            </w:r>
          </w:p>
        </w:tc>
        <w:tc>
          <w:tcPr>
            <w:tcW w:w="530" w:type="pct"/>
            <w:tcMar>
              <w:top w:w="0" w:type="dxa"/>
              <w:left w:w="57" w:type="dxa"/>
              <w:bottom w:w="0" w:type="dxa"/>
              <w:right w:w="0" w:type="dxa"/>
            </w:tcMar>
            <w:vAlign w:val="center"/>
          </w:tcPr>
          <w:p w14:paraId="15D8B673"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2</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2?</w:t>
            </w:r>
          </w:p>
        </w:tc>
        <w:tc>
          <w:tcPr>
            <w:tcW w:w="530" w:type="pct"/>
            <w:tcMar>
              <w:top w:w="0" w:type="dxa"/>
              <w:left w:w="57" w:type="dxa"/>
              <w:bottom w:w="0" w:type="dxa"/>
              <w:right w:w="0" w:type="dxa"/>
            </w:tcMar>
            <w:vAlign w:val="center"/>
          </w:tcPr>
          <w:p w14:paraId="35DC0BD5"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p>
        </w:tc>
        <w:tc>
          <w:tcPr>
            <w:tcW w:w="455" w:type="pct"/>
            <w:tcMar>
              <w:top w:w="0" w:type="dxa"/>
              <w:left w:w="57" w:type="dxa"/>
              <w:bottom w:w="0" w:type="dxa"/>
              <w:right w:w="0" w:type="dxa"/>
            </w:tcMar>
            <w:vAlign w:val="center"/>
          </w:tcPr>
          <w:p w14:paraId="55BEAABE"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1</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7</w:t>
            </w:r>
          </w:p>
        </w:tc>
        <w:tc>
          <w:tcPr>
            <w:tcW w:w="606" w:type="pct"/>
            <w:tcMar>
              <w:top w:w="0" w:type="dxa"/>
              <w:left w:w="57" w:type="dxa"/>
              <w:bottom w:w="0" w:type="dxa"/>
              <w:right w:w="0" w:type="dxa"/>
            </w:tcMar>
            <w:vAlign w:val="center"/>
          </w:tcPr>
          <w:p w14:paraId="0EA915FD"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p>
        </w:tc>
        <w:tc>
          <w:tcPr>
            <w:tcW w:w="530" w:type="pct"/>
            <w:tcMar>
              <w:top w:w="0" w:type="dxa"/>
              <w:left w:w="57" w:type="dxa"/>
              <w:bottom w:w="0" w:type="dxa"/>
              <w:right w:w="0" w:type="dxa"/>
            </w:tcMar>
            <w:vAlign w:val="center"/>
          </w:tcPr>
          <w:p w14:paraId="07BD5205"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w:t>
            </w:r>
          </w:p>
        </w:tc>
      </w:tr>
      <w:tr w:rsidR="00D84719" w:rsidRPr="00D84719" w14:paraId="19D15D64" w14:textId="77777777" w:rsidTr="00F831D6">
        <w:trPr>
          <w:trHeight w:val="249"/>
          <w:jc w:val="center"/>
        </w:trPr>
        <w:tc>
          <w:tcPr>
            <w:tcW w:w="381" w:type="pct"/>
            <w:tcMar>
              <w:top w:w="0" w:type="dxa"/>
              <w:left w:w="57" w:type="dxa"/>
              <w:bottom w:w="0" w:type="dxa"/>
              <w:right w:w="0" w:type="dxa"/>
            </w:tcMar>
            <w:vAlign w:val="center"/>
          </w:tcPr>
          <w:p w14:paraId="7766FEF4"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7.</w:t>
            </w:r>
          </w:p>
        </w:tc>
        <w:tc>
          <w:tcPr>
            <w:tcW w:w="1969" w:type="pct"/>
            <w:tcMar>
              <w:top w:w="0" w:type="dxa"/>
              <w:left w:w="57" w:type="dxa"/>
              <w:bottom w:w="0" w:type="dxa"/>
              <w:right w:w="0" w:type="dxa"/>
            </w:tcMar>
            <w:vAlign w:val="center"/>
          </w:tcPr>
          <w:p w14:paraId="454FE0A9" w14:textId="77777777" w:rsidR="00D84719" w:rsidRPr="00D84719" w:rsidRDefault="00D84719" w:rsidP="00D84719">
            <w:pPr>
              <w:spacing w:after="0" w:line="240" w:lineRule="auto"/>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Proizvodnja kemikalija i roba</w:t>
            </w:r>
          </w:p>
        </w:tc>
        <w:tc>
          <w:tcPr>
            <w:tcW w:w="530" w:type="pct"/>
            <w:tcMar>
              <w:top w:w="0" w:type="dxa"/>
              <w:left w:w="57" w:type="dxa"/>
              <w:bottom w:w="0" w:type="dxa"/>
              <w:right w:w="0" w:type="dxa"/>
            </w:tcMar>
            <w:vAlign w:val="center"/>
          </w:tcPr>
          <w:p w14:paraId="246A7D5A"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1</w:t>
            </w:r>
          </w:p>
        </w:tc>
        <w:tc>
          <w:tcPr>
            <w:tcW w:w="530" w:type="pct"/>
            <w:tcMar>
              <w:top w:w="0" w:type="dxa"/>
              <w:left w:w="57" w:type="dxa"/>
              <w:bottom w:w="0" w:type="dxa"/>
              <w:right w:w="0" w:type="dxa"/>
            </w:tcMar>
            <w:vAlign w:val="center"/>
          </w:tcPr>
          <w:p w14:paraId="2457A3E3"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002?</w:t>
            </w:r>
          </w:p>
        </w:tc>
        <w:tc>
          <w:tcPr>
            <w:tcW w:w="455" w:type="pct"/>
            <w:tcMar>
              <w:top w:w="0" w:type="dxa"/>
              <w:left w:w="57" w:type="dxa"/>
              <w:bottom w:w="0" w:type="dxa"/>
              <w:right w:w="0" w:type="dxa"/>
            </w:tcMar>
            <w:vAlign w:val="center"/>
          </w:tcPr>
          <w:p w14:paraId="51370C29"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p>
        </w:tc>
        <w:tc>
          <w:tcPr>
            <w:tcW w:w="606" w:type="pct"/>
            <w:tcMar>
              <w:top w:w="0" w:type="dxa"/>
              <w:left w:w="57" w:type="dxa"/>
              <w:bottom w:w="0" w:type="dxa"/>
              <w:right w:w="0" w:type="dxa"/>
            </w:tcMar>
            <w:vAlign w:val="center"/>
          </w:tcPr>
          <w:p w14:paraId="47DA72C9"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8</w:t>
            </w:r>
          </w:p>
        </w:tc>
        <w:tc>
          <w:tcPr>
            <w:tcW w:w="530" w:type="pct"/>
            <w:tcMar>
              <w:top w:w="0" w:type="dxa"/>
              <w:left w:w="57" w:type="dxa"/>
              <w:bottom w:w="0" w:type="dxa"/>
              <w:right w:w="0" w:type="dxa"/>
            </w:tcMar>
            <w:vAlign w:val="center"/>
          </w:tcPr>
          <w:p w14:paraId="22726675"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3?</w:t>
            </w:r>
          </w:p>
        </w:tc>
      </w:tr>
      <w:tr w:rsidR="00D84719" w:rsidRPr="00D84719" w14:paraId="0AEE3154" w14:textId="77777777" w:rsidTr="00F831D6">
        <w:trPr>
          <w:trHeight w:val="249"/>
          <w:jc w:val="center"/>
        </w:trPr>
        <w:tc>
          <w:tcPr>
            <w:tcW w:w="381" w:type="pct"/>
            <w:tcMar>
              <w:top w:w="0" w:type="dxa"/>
              <w:left w:w="57" w:type="dxa"/>
              <w:bottom w:w="0" w:type="dxa"/>
              <w:right w:w="0" w:type="dxa"/>
            </w:tcMar>
            <w:vAlign w:val="center"/>
          </w:tcPr>
          <w:p w14:paraId="0FF8725D"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8.</w:t>
            </w:r>
          </w:p>
        </w:tc>
        <w:tc>
          <w:tcPr>
            <w:tcW w:w="1969" w:type="pct"/>
            <w:tcMar>
              <w:top w:w="0" w:type="dxa"/>
              <w:left w:w="57" w:type="dxa"/>
              <w:bottom w:w="0" w:type="dxa"/>
              <w:right w:w="0" w:type="dxa"/>
            </w:tcMar>
            <w:vAlign w:val="center"/>
          </w:tcPr>
          <w:p w14:paraId="494813A1" w14:textId="77777777" w:rsidR="00D84719" w:rsidRPr="00D84719" w:rsidRDefault="00D84719" w:rsidP="00D84719">
            <w:pPr>
              <w:spacing w:after="0" w:line="240" w:lineRule="auto"/>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Ostalo</w:t>
            </w:r>
          </w:p>
        </w:tc>
        <w:tc>
          <w:tcPr>
            <w:tcW w:w="530" w:type="pct"/>
            <w:tcMar>
              <w:top w:w="0" w:type="dxa"/>
              <w:left w:w="57" w:type="dxa"/>
              <w:bottom w:w="0" w:type="dxa"/>
              <w:right w:w="0" w:type="dxa"/>
            </w:tcMar>
            <w:vAlign w:val="center"/>
          </w:tcPr>
          <w:p w14:paraId="6D25EA04"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001?</w:t>
            </w:r>
          </w:p>
        </w:tc>
        <w:tc>
          <w:tcPr>
            <w:tcW w:w="530" w:type="pct"/>
            <w:tcMar>
              <w:top w:w="0" w:type="dxa"/>
              <w:left w:w="57" w:type="dxa"/>
              <w:bottom w:w="0" w:type="dxa"/>
              <w:right w:w="0" w:type="dxa"/>
            </w:tcMar>
            <w:vAlign w:val="center"/>
          </w:tcPr>
          <w:p w14:paraId="628F962F"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p>
        </w:tc>
        <w:tc>
          <w:tcPr>
            <w:tcW w:w="455" w:type="pct"/>
            <w:tcMar>
              <w:top w:w="0" w:type="dxa"/>
              <w:left w:w="57" w:type="dxa"/>
              <w:bottom w:w="0" w:type="dxa"/>
              <w:right w:w="0" w:type="dxa"/>
            </w:tcMar>
            <w:vAlign w:val="center"/>
          </w:tcPr>
          <w:p w14:paraId="3981774B"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p>
        </w:tc>
        <w:tc>
          <w:tcPr>
            <w:tcW w:w="606" w:type="pct"/>
            <w:tcMar>
              <w:top w:w="0" w:type="dxa"/>
              <w:left w:w="57" w:type="dxa"/>
              <w:bottom w:w="0" w:type="dxa"/>
              <w:right w:w="0" w:type="dxa"/>
            </w:tcMar>
            <w:vAlign w:val="center"/>
          </w:tcPr>
          <w:p w14:paraId="36CA5981"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w:t>
            </w:r>
          </w:p>
        </w:tc>
        <w:tc>
          <w:tcPr>
            <w:tcW w:w="530" w:type="pct"/>
            <w:tcMar>
              <w:top w:w="0" w:type="dxa"/>
              <w:left w:w="57" w:type="dxa"/>
              <w:bottom w:w="0" w:type="dxa"/>
              <w:right w:w="0" w:type="dxa"/>
            </w:tcMar>
            <w:vAlign w:val="center"/>
          </w:tcPr>
          <w:p w14:paraId="0BD87ADD"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w:t>
            </w:r>
          </w:p>
        </w:tc>
      </w:tr>
      <w:tr w:rsidR="00D84719" w:rsidRPr="00D84719" w14:paraId="1241C949" w14:textId="77777777" w:rsidTr="00F831D6">
        <w:trPr>
          <w:trHeight w:val="249"/>
          <w:jc w:val="center"/>
        </w:trPr>
        <w:tc>
          <w:tcPr>
            <w:tcW w:w="381" w:type="pct"/>
            <w:tcBorders>
              <w:bottom w:val="single" w:sz="4" w:space="0" w:color="auto"/>
            </w:tcBorders>
            <w:tcMar>
              <w:top w:w="0" w:type="dxa"/>
              <w:left w:w="57" w:type="dxa"/>
              <w:bottom w:w="0" w:type="dxa"/>
              <w:right w:w="0" w:type="dxa"/>
            </w:tcMar>
            <w:vAlign w:val="center"/>
          </w:tcPr>
          <w:p w14:paraId="6EE70A1A"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9.</w:t>
            </w:r>
          </w:p>
        </w:tc>
        <w:tc>
          <w:tcPr>
            <w:tcW w:w="1969" w:type="pct"/>
            <w:tcBorders>
              <w:bottom w:val="single" w:sz="4" w:space="0" w:color="auto"/>
            </w:tcBorders>
            <w:tcMar>
              <w:top w:w="0" w:type="dxa"/>
              <w:left w:w="57" w:type="dxa"/>
              <w:bottom w:w="0" w:type="dxa"/>
              <w:right w:w="0" w:type="dxa"/>
            </w:tcMar>
            <w:vAlign w:val="center"/>
          </w:tcPr>
          <w:p w14:paraId="307B7631" w14:textId="77777777" w:rsidR="00D84719" w:rsidRPr="00D84719" w:rsidRDefault="00D84719" w:rsidP="00D84719">
            <w:pPr>
              <w:spacing w:after="0" w:line="240" w:lineRule="auto"/>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Oporaba i zbrinjavanje otpada</w:t>
            </w:r>
          </w:p>
        </w:tc>
        <w:tc>
          <w:tcPr>
            <w:tcW w:w="530" w:type="pct"/>
            <w:tcBorders>
              <w:bottom w:val="single" w:sz="4" w:space="0" w:color="auto"/>
            </w:tcBorders>
            <w:tcMar>
              <w:top w:w="0" w:type="dxa"/>
              <w:left w:w="57" w:type="dxa"/>
              <w:bottom w:w="0" w:type="dxa"/>
              <w:right w:w="0" w:type="dxa"/>
            </w:tcMar>
            <w:vAlign w:val="center"/>
          </w:tcPr>
          <w:p w14:paraId="0B71FB43"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w:t>
            </w:r>
          </w:p>
        </w:tc>
        <w:tc>
          <w:tcPr>
            <w:tcW w:w="530" w:type="pct"/>
            <w:tcBorders>
              <w:bottom w:val="single" w:sz="4" w:space="0" w:color="auto"/>
            </w:tcBorders>
            <w:tcMar>
              <w:top w:w="0" w:type="dxa"/>
              <w:left w:w="57" w:type="dxa"/>
              <w:bottom w:w="0" w:type="dxa"/>
              <w:right w:w="0" w:type="dxa"/>
            </w:tcMar>
            <w:vAlign w:val="center"/>
          </w:tcPr>
          <w:p w14:paraId="2EC0FB6E"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w:t>
            </w:r>
          </w:p>
        </w:tc>
        <w:tc>
          <w:tcPr>
            <w:tcW w:w="455" w:type="pct"/>
            <w:tcBorders>
              <w:bottom w:val="single" w:sz="4" w:space="0" w:color="auto"/>
            </w:tcBorders>
            <w:tcMar>
              <w:top w:w="0" w:type="dxa"/>
              <w:left w:w="57" w:type="dxa"/>
              <w:bottom w:w="0" w:type="dxa"/>
              <w:right w:w="0" w:type="dxa"/>
            </w:tcMar>
            <w:vAlign w:val="center"/>
          </w:tcPr>
          <w:p w14:paraId="3C7A6661"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w:t>
            </w:r>
          </w:p>
        </w:tc>
        <w:tc>
          <w:tcPr>
            <w:tcW w:w="606" w:type="pct"/>
            <w:tcBorders>
              <w:bottom w:val="single" w:sz="4" w:space="0" w:color="auto"/>
            </w:tcBorders>
            <w:tcMar>
              <w:top w:w="0" w:type="dxa"/>
              <w:left w:w="57" w:type="dxa"/>
              <w:bottom w:w="0" w:type="dxa"/>
              <w:right w:w="0" w:type="dxa"/>
            </w:tcMar>
            <w:vAlign w:val="center"/>
          </w:tcPr>
          <w:p w14:paraId="3EB672A7"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p>
        </w:tc>
        <w:tc>
          <w:tcPr>
            <w:tcW w:w="530" w:type="pct"/>
            <w:tcBorders>
              <w:bottom w:val="single" w:sz="4" w:space="0" w:color="auto"/>
            </w:tcBorders>
            <w:tcMar>
              <w:top w:w="0" w:type="dxa"/>
              <w:left w:w="57" w:type="dxa"/>
              <w:bottom w:w="0" w:type="dxa"/>
              <w:right w:w="0" w:type="dxa"/>
            </w:tcMar>
            <w:vAlign w:val="center"/>
          </w:tcPr>
          <w:p w14:paraId="78593B38"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2</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7</w:t>
            </w:r>
          </w:p>
        </w:tc>
      </w:tr>
      <w:tr w:rsidR="00D84719" w:rsidRPr="00D84719" w14:paraId="76240678" w14:textId="77777777" w:rsidTr="00F831D6">
        <w:trPr>
          <w:trHeight w:val="249"/>
          <w:jc w:val="center"/>
        </w:trPr>
        <w:tc>
          <w:tcPr>
            <w:tcW w:w="381" w:type="pct"/>
            <w:shd w:val="clear" w:color="auto" w:fill="auto"/>
            <w:tcMar>
              <w:top w:w="0" w:type="dxa"/>
              <w:left w:w="57" w:type="dxa"/>
              <w:bottom w:w="0" w:type="dxa"/>
              <w:right w:w="0" w:type="dxa"/>
            </w:tcMar>
            <w:vAlign w:val="center"/>
          </w:tcPr>
          <w:p w14:paraId="00D3A567" w14:textId="77777777" w:rsidR="00D84719" w:rsidRPr="00D84719" w:rsidRDefault="00D84719" w:rsidP="00D84719">
            <w:pPr>
              <w:spacing w:after="0" w:line="240" w:lineRule="auto"/>
              <w:jc w:val="center"/>
              <w:rPr>
                <w:rFonts w:ascii="Times New Roman" w:eastAsia="Times New Roman" w:hAnsi="Times New Roman" w:cs="Times New Roman"/>
                <w:b/>
                <w:color w:val="000000"/>
                <w:sz w:val="20"/>
                <w:szCs w:val="20"/>
              </w:rPr>
            </w:pPr>
            <w:r w:rsidRPr="00D84719">
              <w:rPr>
                <w:rFonts w:ascii="Times New Roman" w:eastAsia="Times New Roman" w:hAnsi="Times New Roman" w:cs="Times New Roman"/>
                <w:b/>
                <w:color w:val="000000"/>
                <w:sz w:val="20"/>
                <w:szCs w:val="20"/>
              </w:rPr>
              <w:t>1-9</w:t>
            </w:r>
          </w:p>
        </w:tc>
        <w:tc>
          <w:tcPr>
            <w:tcW w:w="1969" w:type="pct"/>
            <w:shd w:val="clear" w:color="auto" w:fill="auto"/>
            <w:tcMar>
              <w:top w:w="0" w:type="dxa"/>
              <w:left w:w="57" w:type="dxa"/>
              <w:bottom w:w="0" w:type="dxa"/>
              <w:right w:w="0" w:type="dxa"/>
            </w:tcMar>
            <w:vAlign w:val="center"/>
          </w:tcPr>
          <w:p w14:paraId="527D1684" w14:textId="77777777" w:rsidR="00D84719" w:rsidRPr="00D84719" w:rsidRDefault="00D84719" w:rsidP="00D84719">
            <w:pPr>
              <w:spacing w:after="0" w:line="240" w:lineRule="auto"/>
              <w:rPr>
                <w:rFonts w:ascii="Times New Roman" w:eastAsia="Times New Roman" w:hAnsi="Times New Roman" w:cs="Times New Roman"/>
                <w:b/>
                <w:color w:val="000000"/>
                <w:sz w:val="20"/>
                <w:szCs w:val="20"/>
              </w:rPr>
            </w:pPr>
            <w:r w:rsidRPr="00D84719">
              <w:rPr>
                <w:rFonts w:ascii="Times New Roman" w:eastAsia="Times New Roman" w:hAnsi="Times New Roman" w:cs="Times New Roman"/>
                <w:b/>
                <w:color w:val="000000"/>
                <w:sz w:val="20"/>
                <w:szCs w:val="20"/>
              </w:rPr>
              <w:t>Ukupno</w:t>
            </w:r>
          </w:p>
        </w:tc>
        <w:tc>
          <w:tcPr>
            <w:tcW w:w="530" w:type="pct"/>
            <w:shd w:val="clear" w:color="auto" w:fill="auto"/>
            <w:tcMar>
              <w:top w:w="0" w:type="dxa"/>
              <w:left w:w="57" w:type="dxa"/>
              <w:bottom w:w="0" w:type="dxa"/>
              <w:right w:w="0" w:type="dxa"/>
            </w:tcMar>
            <w:vAlign w:val="center"/>
          </w:tcPr>
          <w:p w14:paraId="23D5A557" w14:textId="77777777" w:rsidR="00D84719" w:rsidRPr="00D84719" w:rsidRDefault="00D84719" w:rsidP="00D84719">
            <w:pPr>
              <w:spacing w:after="0" w:line="240" w:lineRule="auto"/>
              <w:jc w:val="center"/>
              <w:rPr>
                <w:rFonts w:ascii="Times New Roman" w:eastAsia="Times New Roman" w:hAnsi="Times New Roman" w:cs="Times New Roman"/>
                <w:b/>
                <w:color w:val="000000"/>
                <w:sz w:val="20"/>
                <w:szCs w:val="20"/>
              </w:rPr>
            </w:pPr>
            <w:r w:rsidRPr="00D84719">
              <w:rPr>
                <w:rFonts w:ascii="Times New Roman" w:eastAsia="Times New Roman" w:hAnsi="Times New Roman" w:cs="Times New Roman"/>
                <w:b/>
                <w:color w:val="000000"/>
                <w:sz w:val="20"/>
                <w:szCs w:val="20"/>
              </w:rPr>
              <w:t>115</w:t>
            </w:r>
            <w:r w:rsidR="00A20CBB">
              <w:rPr>
                <w:rFonts w:ascii="Times New Roman" w:eastAsia="Times New Roman" w:hAnsi="Times New Roman" w:cs="Times New Roman"/>
                <w:b/>
                <w:color w:val="000000"/>
                <w:sz w:val="20"/>
                <w:szCs w:val="20"/>
              </w:rPr>
              <w:t>,</w:t>
            </w:r>
            <w:r w:rsidRPr="00D84719">
              <w:rPr>
                <w:rFonts w:ascii="Times New Roman" w:eastAsia="Times New Roman" w:hAnsi="Times New Roman" w:cs="Times New Roman"/>
                <w:b/>
                <w:color w:val="000000"/>
                <w:sz w:val="20"/>
                <w:szCs w:val="20"/>
              </w:rPr>
              <w:t>7?</w:t>
            </w:r>
          </w:p>
        </w:tc>
        <w:tc>
          <w:tcPr>
            <w:tcW w:w="530" w:type="pct"/>
            <w:shd w:val="clear" w:color="auto" w:fill="auto"/>
            <w:tcMar>
              <w:top w:w="0" w:type="dxa"/>
              <w:left w:w="57" w:type="dxa"/>
              <w:bottom w:w="0" w:type="dxa"/>
              <w:right w:w="0" w:type="dxa"/>
            </w:tcMar>
            <w:vAlign w:val="center"/>
          </w:tcPr>
          <w:p w14:paraId="5634C250" w14:textId="77777777" w:rsidR="00D84719" w:rsidRPr="00D84719" w:rsidRDefault="00D84719" w:rsidP="00D84719">
            <w:pPr>
              <w:spacing w:after="0" w:line="240" w:lineRule="auto"/>
              <w:jc w:val="center"/>
              <w:rPr>
                <w:rFonts w:ascii="Times New Roman" w:eastAsia="Times New Roman" w:hAnsi="Times New Roman" w:cs="Times New Roman"/>
                <w:b/>
                <w:color w:val="000000"/>
                <w:sz w:val="20"/>
                <w:szCs w:val="20"/>
              </w:rPr>
            </w:pPr>
            <w:r w:rsidRPr="00D84719">
              <w:rPr>
                <w:rFonts w:ascii="Times New Roman" w:eastAsia="Times New Roman" w:hAnsi="Times New Roman" w:cs="Times New Roman"/>
                <w:b/>
                <w:color w:val="000000"/>
                <w:sz w:val="20"/>
                <w:szCs w:val="20"/>
              </w:rPr>
              <w:t>0</w:t>
            </w:r>
            <w:r w:rsidR="00A20CBB">
              <w:rPr>
                <w:rFonts w:ascii="Times New Roman" w:eastAsia="Times New Roman" w:hAnsi="Times New Roman" w:cs="Times New Roman"/>
                <w:b/>
                <w:color w:val="000000"/>
                <w:sz w:val="20"/>
                <w:szCs w:val="20"/>
              </w:rPr>
              <w:t>,</w:t>
            </w:r>
            <w:r w:rsidRPr="00D84719">
              <w:rPr>
                <w:rFonts w:ascii="Times New Roman" w:eastAsia="Times New Roman" w:hAnsi="Times New Roman" w:cs="Times New Roman"/>
                <w:b/>
                <w:color w:val="000000"/>
                <w:sz w:val="20"/>
                <w:szCs w:val="20"/>
              </w:rPr>
              <w:t>002?</w:t>
            </w:r>
          </w:p>
        </w:tc>
        <w:tc>
          <w:tcPr>
            <w:tcW w:w="455" w:type="pct"/>
            <w:shd w:val="clear" w:color="auto" w:fill="auto"/>
            <w:tcMar>
              <w:top w:w="0" w:type="dxa"/>
              <w:left w:w="57" w:type="dxa"/>
              <w:bottom w:w="0" w:type="dxa"/>
              <w:right w:w="0" w:type="dxa"/>
            </w:tcMar>
            <w:vAlign w:val="center"/>
          </w:tcPr>
          <w:p w14:paraId="410F4A62" w14:textId="77777777" w:rsidR="00D84719" w:rsidRPr="00D84719" w:rsidRDefault="00D84719" w:rsidP="00D84719">
            <w:pPr>
              <w:spacing w:after="0" w:line="240" w:lineRule="auto"/>
              <w:jc w:val="center"/>
              <w:rPr>
                <w:rFonts w:ascii="Times New Roman" w:eastAsia="Times New Roman" w:hAnsi="Times New Roman" w:cs="Times New Roman"/>
                <w:b/>
                <w:color w:val="000000"/>
                <w:sz w:val="20"/>
                <w:szCs w:val="20"/>
              </w:rPr>
            </w:pPr>
            <w:r w:rsidRPr="00D84719">
              <w:rPr>
                <w:rFonts w:ascii="Times New Roman" w:eastAsia="Times New Roman" w:hAnsi="Times New Roman" w:cs="Times New Roman"/>
                <w:b/>
                <w:color w:val="000000"/>
                <w:sz w:val="20"/>
                <w:szCs w:val="20"/>
              </w:rPr>
              <w:t>1</w:t>
            </w:r>
            <w:r w:rsidR="00A20CBB">
              <w:rPr>
                <w:rFonts w:ascii="Times New Roman" w:eastAsia="Times New Roman" w:hAnsi="Times New Roman" w:cs="Times New Roman"/>
                <w:b/>
                <w:color w:val="000000"/>
                <w:sz w:val="20"/>
                <w:szCs w:val="20"/>
              </w:rPr>
              <w:t>,</w:t>
            </w:r>
            <w:r w:rsidRPr="00D84719">
              <w:rPr>
                <w:rFonts w:ascii="Times New Roman" w:eastAsia="Times New Roman" w:hAnsi="Times New Roman" w:cs="Times New Roman"/>
                <w:b/>
                <w:color w:val="000000"/>
                <w:sz w:val="20"/>
                <w:szCs w:val="20"/>
              </w:rPr>
              <w:t>7?</w:t>
            </w:r>
          </w:p>
        </w:tc>
        <w:tc>
          <w:tcPr>
            <w:tcW w:w="606" w:type="pct"/>
            <w:shd w:val="clear" w:color="auto" w:fill="auto"/>
            <w:tcMar>
              <w:top w:w="0" w:type="dxa"/>
              <w:left w:w="57" w:type="dxa"/>
              <w:bottom w:w="0" w:type="dxa"/>
              <w:right w:w="0" w:type="dxa"/>
            </w:tcMar>
            <w:vAlign w:val="center"/>
          </w:tcPr>
          <w:p w14:paraId="02A56AD8" w14:textId="77777777" w:rsidR="00D84719" w:rsidRPr="00D84719" w:rsidRDefault="00D84719" w:rsidP="00D84719">
            <w:pPr>
              <w:spacing w:after="0" w:line="240" w:lineRule="auto"/>
              <w:jc w:val="center"/>
              <w:rPr>
                <w:rFonts w:ascii="Times New Roman" w:eastAsia="Times New Roman" w:hAnsi="Times New Roman" w:cs="Times New Roman"/>
                <w:b/>
                <w:color w:val="000000"/>
                <w:sz w:val="20"/>
                <w:szCs w:val="20"/>
              </w:rPr>
            </w:pPr>
            <w:r w:rsidRPr="00D84719">
              <w:rPr>
                <w:rFonts w:ascii="Times New Roman" w:eastAsia="Times New Roman" w:hAnsi="Times New Roman" w:cs="Times New Roman"/>
                <w:b/>
                <w:color w:val="000000"/>
                <w:sz w:val="20"/>
                <w:szCs w:val="20"/>
              </w:rPr>
              <w:t>0</w:t>
            </w:r>
            <w:r w:rsidR="00A20CBB">
              <w:rPr>
                <w:rFonts w:ascii="Times New Roman" w:eastAsia="Times New Roman" w:hAnsi="Times New Roman" w:cs="Times New Roman"/>
                <w:b/>
                <w:color w:val="000000"/>
                <w:sz w:val="20"/>
                <w:szCs w:val="20"/>
              </w:rPr>
              <w:t>,</w:t>
            </w:r>
            <w:r w:rsidRPr="00D84719">
              <w:rPr>
                <w:rFonts w:ascii="Times New Roman" w:eastAsia="Times New Roman" w:hAnsi="Times New Roman" w:cs="Times New Roman"/>
                <w:b/>
                <w:color w:val="000000"/>
                <w:sz w:val="20"/>
                <w:szCs w:val="20"/>
              </w:rPr>
              <w:t>8?</w:t>
            </w:r>
          </w:p>
        </w:tc>
        <w:tc>
          <w:tcPr>
            <w:tcW w:w="530" w:type="pct"/>
            <w:shd w:val="clear" w:color="auto" w:fill="auto"/>
            <w:tcMar>
              <w:top w:w="0" w:type="dxa"/>
              <w:left w:w="57" w:type="dxa"/>
              <w:bottom w:w="0" w:type="dxa"/>
              <w:right w:w="0" w:type="dxa"/>
            </w:tcMar>
            <w:vAlign w:val="center"/>
          </w:tcPr>
          <w:p w14:paraId="1F00A0C2" w14:textId="77777777" w:rsidR="00D84719" w:rsidRPr="00D84719" w:rsidRDefault="00D84719" w:rsidP="00D84719">
            <w:pPr>
              <w:spacing w:after="0" w:line="240" w:lineRule="auto"/>
              <w:jc w:val="center"/>
              <w:rPr>
                <w:rFonts w:ascii="Times New Roman" w:eastAsia="Times New Roman" w:hAnsi="Times New Roman" w:cs="Times New Roman"/>
                <w:b/>
                <w:color w:val="000000"/>
                <w:sz w:val="20"/>
                <w:szCs w:val="20"/>
              </w:rPr>
            </w:pPr>
            <w:r w:rsidRPr="00D84719">
              <w:rPr>
                <w:rFonts w:ascii="Times New Roman" w:eastAsia="Times New Roman" w:hAnsi="Times New Roman" w:cs="Times New Roman"/>
                <w:b/>
                <w:color w:val="000000"/>
                <w:sz w:val="20"/>
                <w:szCs w:val="20"/>
              </w:rPr>
              <w:t>49</w:t>
            </w:r>
            <w:r w:rsidR="00A20CBB">
              <w:rPr>
                <w:rFonts w:ascii="Times New Roman" w:eastAsia="Times New Roman" w:hAnsi="Times New Roman" w:cs="Times New Roman"/>
                <w:b/>
                <w:color w:val="000000"/>
                <w:sz w:val="20"/>
                <w:szCs w:val="20"/>
              </w:rPr>
              <w:t>,</w:t>
            </w:r>
            <w:r w:rsidRPr="00D84719">
              <w:rPr>
                <w:rFonts w:ascii="Times New Roman" w:eastAsia="Times New Roman" w:hAnsi="Times New Roman" w:cs="Times New Roman"/>
                <w:b/>
                <w:color w:val="000000"/>
                <w:sz w:val="20"/>
                <w:szCs w:val="20"/>
              </w:rPr>
              <w:t>5?</w:t>
            </w:r>
          </w:p>
        </w:tc>
      </w:tr>
    </w:tbl>
    <w:p w14:paraId="5F193230" w14:textId="77777777" w:rsidR="00D84719" w:rsidRPr="00F309A1" w:rsidRDefault="00D84719" w:rsidP="00F309A1">
      <w:pPr>
        <w:spacing w:before="60" w:after="60" w:line="240" w:lineRule="auto"/>
        <w:jc w:val="both"/>
        <w:rPr>
          <w:rFonts w:ascii="Times New Roman" w:eastAsia="Times New Roman" w:hAnsi="Times New Roman" w:cs="Times New Roman"/>
          <w:color w:val="000000"/>
          <w:sz w:val="18"/>
          <w:szCs w:val="18"/>
          <w:lang w:bidi="en-US"/>
        </w:rPr>
      </w:pPr>
      <w:r w:rsidRPr="00F309A1">
        <w:rPr>
          <w:rFonts w:ascii="Times New Roman" w:eastAsia="Times New Roman" w:hAnsi="Times New Roman" w:cs="Times New Roman"/>
          <w:color w:val="000000"/>
          <w:sz w:val="18"/>
          <w:szCs w:val="18"/>
          <w:lang w:bidi="en-US"/>
        </w:rPr>
        <w:t xml:space="preserve">* Prikazane vrijednosti su medijani; prazna polja pokazuju neznatne utjecaje potencijalnih puteva ispuštanja. </w:t>
      </w:r>
    </w:p>
    <w:p w14:paraId="64A73A5F" w14:textId="77777777" w:rsidR="00D84719" w:rsidRPr="00F309A1" w:rsidRDefault="00D84719" w:rsidP="00F309A1">
      <w:pPr>
        <w:spacing w:before="60" w:after="60" w:line="240" w:lineRule="auto"/>
        <w:jc w:val="both"/>
        <w:rPr>
          <w:rFonts w:ascii="Times New Roman" w:eastAsia="Times New Roman" w:hAnsi="Times New Roman" w:cs="Times New Roman"/>
          <w:color w:val="000000"/>
          <w:sz w:val="18"/>
          <w:szCs w:val="18"/>
          <w:lang w:bidi="en-US"/>
        </w:rPr>
      </w:pPr>
      <w:r w:rsidRPr="00F309A1">
        <w:rPr>
          <w:rFonts w:ascii="Times New Roman" w:eastAsia="Times New Roman" w:hAnsi="Times New Roman" w:cs="Times New Roman"/>
          <w:color w:val="000000"/>
          <w:sz w:val="18"/>
          <w:szCs w:val="18"/>
          <w:lang w:bidi="en-US"/>
        </w:rPr>
        <w:t xml:space="preserve">? Potencijalni put ispuštanja je značajan, nema podataka ili aktivnost nedostaje. </w:t>
      </w:r>
    </w:p>
    <w:p w14:paraId="7E772DAB" w14:textId="77777777" w:rsidR="00D84719" w:rsidRPr="00F309A1" w:rsidRDefault="00D84719" w:rsidP="00F309A1">
      <w:pPr>
        <w:spacing w:before="60" w:after="60" w:line="240" w:lineRule="auto"/>
        <w:jc w:val="both"/>
        <w:rPr>
          <w:rFonts w:ascii="Times New Roman" w:eastAsia="Times New Roman" w:hAnsi="Times New Roman" w:cs="Times New Roman"/>
          <w:color w:val="000000"/>
          <w:sz w:val="18"/>
          <w:szCs w:val="18"/>
          <w:lang w:bidi="en-US"/>
        </w:rPr>
      </w:pPr>
      <w:r w:rsidRPr="00F309A1">
        <w:rPr>
          <w:rFonts w:ascii="Times New Roman" w:eastAsia="Times New Roman" w:hAnsi="Times New Roman" w:cs="Times New Roman"/>
          <w:color w:val="000000"/>
          <w:sz w:val="18"/>
          <w:szCs w:val="18"/>
          <w:lang w:bidi="en-US"/>
        </w:rPr>
        <w:t>? Nakon broja znači da broj (podatak) nije reprezentativan jer neke potkategorije nisu u potpunosti obrađene.</w:t>
      </w:r>
    </w:p>
    <w:p w14:paraId="3D1FED2F" w14:textId="77777777" w:rsidR="00F309A1" w:rsidRDefault="00F309A1" w:rsidP="00D84719">
      <w:pPr>
        <w:spacing w:after="0" w:line="276" w:lineRule="auto"/>
        <w:jc w:val="both"/>
        <w:rPr>
          <w:rFonts w:ascii="Times New Roman" w:eastAsia="Times New Roman" w:hAnsi="Times New Roman" w:cs="Times New Roman"/>
          <w:color w:val="000000"/>
          <w:sz w:val="24"/>
          <w:szCs w:val="24"/>
          <w:lang w:bidi="en-US"/>
        </w:rPr>
      </w:pPr>
    </w:p>
    <w:p w14:paraId="0CDB0BDA" w14:textId="3C5FF3FA" w:rsidR="00D84719" w:rsidRDefault="00D84719" w:rsidP="00D84719">
      <w:pPr>
        <w:spacing w:after="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Proračun je revidiran unutar Drugog NIP-a uzimajući u obzir izmjene/promjene po novom revidiranom UNEP Vodiču iz 2013., kao i novim podacima o aktivnostima. Rezultati revidiranog proračuna emisija PCDD/PCDF-a za 2001</w:t>
      </w:r>
      <w:r w:rsidR="004C449C">
        <w:rPr>
          <w:rFonts w:ascii="Times New Roman" w:eastAsia="Times New Roman" w:hAnsi="Times New Roman" w:cs="Times New Roman"/>
          <w:color w:val="000000"/>
          <w:sz w:val="24"/>
          <w:szCs w:val="24"/>
          <w:lang w:bidi="en-US"/>
        </w:rPr>
        <w:t>.</w:t>
      </w:r>
      <w:r w:rsidRPr="00D84719">
        <w:rPr>
          <w:rFonts w:ascii="Times New Roman" w:eastAsia="Times New Roman" w:hAnsi="Times New Roman" w:cs="Times New Roman"/>
          <w:color w:val="000000"/>
          <w:sz w:val="24"/>
          <w:szCs w:val="24"/>
          <w:lang w:bidi="en-US"/>
        </w:rPr>
        <w:t xml:space="preserve"> dani su u tablici 3.4-4.</w:t>
      </w:r>
    </w:p>
    <w:p w14:paraId="4A6273A0" w14:textId="77777777" w:rsidR="00A21507" w:rsidRPr="00D84719" w:rsidRDefault="00A21507" w:rsidP="00D84719">
      <w:pPr>
        <w:spacing w:after="0" w:line="276" w:lineRule="auto"/>
        <w:jc w:val="both"/>
        <w:rPr>
          <w:rFonts w:ascii="Times New Roman" w:eastAsia="Times New Roman" w:hAnsi="Times New Roman" w:cs="Times New Roman"/>
          <w:color w:val="000000"/>
          <w:sz w:val="24"/>
          <w:szCs w:val="24"/>
          <w:lang w:bidi="en-US"/>
        </w:rPr>
      </w:pPr>
    </w:p>
    <w:p w14:paraId="3DFA9B44" w14:textId="7438231A" w:rsidR="00D84719" w:rsidRPr="00D84719" w:rsidRDefault="00D84719" w:rsidP="00D84719">
      <w:pPr>
        <w:keepNext/>
        <w:spacing w:before="80" w:after="0" w:line="276" w:lineRule="auto"/>
        <w:jc w:val="both"/>
        <w:rPr>
          <w:rFonts w:ascii="Times New Roman" w:eastAsia="Times New Roman" w:hAnsi="Times New Roman" w:cs="Times New Roman"/>
          <w:b/>
          <w:bCs/>
          <w:i/>
          <w:sz w:val="20"/>
          <w:szCs w:val="20"/>
        </w:rPr>
      </w:pPr>
      <w:r w:rsidRPr="00D84719">
        <w:rPr>
          <w:rFonts w:ascii="Times New Roman" w:eastAsia="Times New Roman" w:hAnsi="Times New Roman" w:cs="Times New Roman"/>
          <w:b/>
          <w:bCs/>
          <w:i/>
          <w:sz w:val="20"/>
          <w:szCs w:val="20"/>
        </w:rPr>
        <w:t xml:space="preserve">Tablica </w:t>
      </w:r>
      <w:r w:rsidRPr="00D84719">
        <w:rPr>
          <w:rFonts w:ascii="Times New Roman" w:eastAsia="Times New Roman" w:hAnsi="Times New Roman" w:cs="Times New Roman"/>
          <w:b/>
          <w:bCs/>
          <w:i/>
          <w:sz w:val="20"/>
          <w:szCs w:val="20"/>
        </w:rPr>
        <w:fldChar w:fldCharType="begin"/>
      </w:r>
      <w:r w:rsidRPr="00D84719">
        <w:rPr>
          <w:rFonts w:ascii="Times New Roman" w:eastAsia="Times New Roman" w:hAnsi="Times New Roman" w:cs="Times New Roman"/>
          <w:b/>
          <w:bCs/>
          <w:i/>
          <w:sz w:val="20"/>
          <w:szCs w:val="20"/>
        </w:rPr>
        <w:instrText xml:space="preserve"> STYLEREF 2 \s </w:instrText>
      </w:r>
      <w:r w:rsidRPr="00D84719">
        <w:rPr>
          <w:rFonts w:ascii="Times New Roman" w:eastAsia="Times New Roman" w:hAnsi="Times New Roman" w:cs="Times New Roman"/>
          <w:b/>
          <w:bCs/>
          <w:i/>
          <w:sz w:val="20"/>
          <w:szCs w:val="20"/>
        </w:rPr>
        <w:fldChar w:fldCharType="separate"/>
      </w:r>
      <w:r w:rsidRPr="00D84719">
        <w:rPr>
          <w:rFonts w:ascii="Times New Roman" w:eastAsia="Times New Roman" w:hAnsi="Times New Roman" w:cs="Times New Roman"/>
          <w:b/>
          <w:bCs/>
          <w:i/>
          <w:sz w:val="20"/>
          <w:szCs w:val="20"/>
        </w:rPr>
        <w:t>3.4</w:t>
      </w:r>
      <w:r w:rsidRPr="00D84719">
        <w:rPr>
          <w:rFonts w:ascii="Times New Roman" w:eastAsia="Times New Roman" w:hAnsi="Times New Roman" w:cs="Times New Roman"/>
          <w:b/>
          <w:bCs/>
          <w:i/>
          <w:sz w:val="20"/>
          <w:szCs w:val="20"/>
        </w:rPr>
        <w:fldChar w:fldCharType="end"/>
      </w:r>
      <w:r w:rsidRPr="00D84719">
        <w:rPr>
          <w:rFonts w:ascii="Times New Roman" w:eastAsia="Times New Roman" w:hAnsi="Times New Roman" w:cs="Times New Roman"/>
          <w:b/>
          <w:bCs/>
          <w:i/>
          <w:sz w:val="20"/>
          <w:szCs w:val="20"/>
        </w:rPr>
        <w:noBreakHyphen/>
        <w:t>4: Rezultati revidiranog proračuna procjene emisija PCDD/PCDF-a za 2001</w:t>
      </w:r>
      <w:r w:rsidR="004C449C">
        <w:rPr>
          <w:rFonts w:ascii="Times New Roman" w:eastAsia="Times New Roman" w:hAnsi="Times New Roman" w:cs="Times New Roman"/>
          <w:b/>
          <w:bCs/>
          <w:i/>
          <w:sz w:val="20"/>
          <w:szCs w:val="20"/>
        </w:rPr>
        <w:t>.</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85"/>
        <w:gridCol w:w="3763"/>
        <w:gridCol w:w="966"/>
        <w:gridCol w:w="975"/>
        <w:gridCol w:w="791"/>
        <w:gridCol w:w="1072"/>
        <w:gridCol w:w="900"/>
      </w:tblGrid>
      <w:tr w:rsidR="00D84719" w:rsidRPr="00D84719" w14:paraId="74A5DB4C" w14:textId="77777777" w:rsidTr="00D84719">
        <w:trPr>
          <w:trHeight w:val="255"/>
          <w:jc w:val="center"/>
        </w:trPr>
        <w:tc>
          <w:tcPr>
            <w:tcW w:w="335" w:type="pct"/>
            <w:vMerge w:val="restart"/>
            <w:shd w:val="clear" w:color="auto" w:fill="D9D9D9"/>
            <w:noWrap/>
            <w:vAlign w:val="center"/>
            <w:hideMark/>
          </w:tcPr>
          <w:p w14:paraId="522346E2" w14:textId="77777777" w:rsidR="00D84719" w:rsidRPr="00D84719" w:rsidRDefault="00D84719" w:rsidP="00D84719">
            <w:pPr>
              <w:spacing w:after="0" w:line="240" w:lineRule="auto"/>
              <w:jc w:val="center"/>
              <w:rPr>
                <w:rFonts w:ascii="Times New Roman" w:eastAsia="Times New Roman" w:hAnsi="Times New Roman" w:cs="Times New Roman"/>
                <w:b/>
                <w:bCs/>
                <w:color w:val="000000"/>
                <w:sz w:val="20"/>
                <w:szCs w:val="20"/>
              </w:rPr>
            </w:pPr>
            <w:r w:rsidRPr="00D84719">
              <w:rPr>
                <w:rFonts w:ascii="Times New Roman" w:eastAsia="Times New Roman" w:hAnsi="Times New Roman" w:cs="Times New Roman"/>
                <w:b/>
                <w:bCs/>
                <w:color w:val="000000"/>
                <w:sz w:val="20"/>
                <w:szCs w:val="20"/>
              </w:rPr>
              <w:t>Br.</w:t>
            </w:r>
          </w:p>
        </w:tc>
        <w:tc>
          <w:tcPr>
            <w:tcW w:w="2090" w:type="pct"/>
            <w:vMerge w:val="restart"/>
            <w:shd w:val="clear" w:color="auto" w:fill="D9D9D9"/>
            <w:noWrap/>
            <w:vAlign w:val="center"/>
            <w:hideMark/>
          </w:tcPr>
          <w:p w14:paraId="2E633B5F" w14:textId="77777777" w:rsidR="00D84719" w:rsidRPr="00D84719" w:rsidRDefault="00D84719" w:rsidP="00D84719">
            <w:pPr>
              <w:spacing w:after="0" w:line="240" w:lineRule="auto"/>
              <w:jc w:val="center"/>
              <w:rPr>
                <w:rFonts w:ascii="Times New Roman" w:eastAsia="Times New Roman" w:hAnsi="Times New Roman" w:cs="Times New Roman"/>
                <w:b/>
                <w:bCs/>
                <w:color w:val="000000"/>
                <w:sz w:val="20"/>
                <w:szCs w:val="20"/>
              </w:rPr>
            </w:pPr>
            <w:r w:rsidRPr="00D84719">
              <w:rPr>
                <w:rFonts w:ascii="Times New Roman" w:eastAsia="Times New Roman" w:hAnsi="Times New Roman" w:cs="Times New Roman"/>
                <w:b/>
                <w:bCs/>
                <w:color w:val="000000"/>
                <w:sz w:val="20"/>
                <w:szCs w:val="20"/>
              </w:rPr>
              <w:t>Grupe izvora</w:t>
            </w:r>
          </w:p>
        </w:tc>
        <w:tc>
          <w:tcPr>
            <w:tcW w:w="2575" w:type="pct"/>
            <w:gridSpan w:val="5"/>
            <w:shd w:val="clear" w:color="auto" w:fill="D9D9D9"/>
            <w:noWrap/>
            <w:vAlign w:val="center"/>
            <w:hideMark/>
          </w:tcPr>
          <w:p w14:paraId="2FE97B3D" w14:textId="77777777" w:rsidR="00D84719" w:rsidRPr="00D84719" w:rsidRDefault="00D84719" w:rsidP="00D84719">
            <w:pPr>
              <w:spacing w:after="0" w:line="240" w:lineRule="auto"/>
              <w:jc w:val="center"/>
              <w:rPr>
                <w:rFonts w:ascii="Times New Roman" w:eastAsia="Times New Roman" w:hAnsi="Times New Roman" w:cs="Times New Roman"/>
                <w:b/>
                <w:color w:val="000000"/>
                <w:sz w:val="20"/>
                <w:szCs w:val="20"/>
              </w:rPr>
            </w:pPr>
            <w:r w:rsidRPr="00D84719">
              <w:rPr>
                <w:rFonts w:ascii="Times New Roman" w:eastAsia="Times New Roman" w:hAnsi="Times New Roman" w:cs="Times New Roman"/>
                <w:b/>
                <w:color w:val="000000"/>
                <w:sz w:val="20"/>
                <w:szCs w:val="20"/>
              </w:rPr>
              <w:t>Godišnje emisije PCDD/PCDF</w:t>
            </w:r>
          </w:p>
          <w:p w14:paraId="2B2990D4" w14:textId="77777777" w:rsidR="00D84719" w:rsidRPr="00D84719" w:rsidRDefault="00D84719" w:rsidP="00D84719">
            <w:pPr>
              <w:spacing w:after="0" w:line="240" w:lineRule="auto"/>
              <w:jc w:val="center"/>
              <w:rPr>
                <w:rFonts w:ascii="Times New Roman" w:eastAsia="Times New Roman" w:hAnsi="Times New Roman" w:cs="Times New Roman"/>
                <w:b/>
                <w:bCs/>
                <w:color w:val="000000"/>
                <w:sz w:val="20"/>
                <w:szCs w:val="20"/>
              </w:rPr>
            </w:pPr>
            <w:r w:rsidRPr="00D84719">
              <w:rPr>
                <w:rFonts w:ascii="Times New Roman" w:eastAsia="Times New Roman" w:hAnsi="Times New Roman" w:cs="Times New Roman"/>
                <w:b/>
                <w:color w:val="000000"/>
                <w:sz w:val="20"/>
                <w:szCs w:val="20"/>
              </w:rPr>
              <w:lastRenderedPageBreak/>
              <w:t>(g I-TEQ godina</w:t>
            </w:r>
            <w:r w:rsidRPr="00D84719">
              <w:rPr>
                <w:rFonts w:ascii="Times New Roman" w:eastAsia="Times New Roman" w:hAnsi="Times New Roman" w:cs="Times New Roman"/>
                <w:b/>
                <w:color w:val="000000"/>
                <w:sz w:val="20"/>
                <w:szCs w:val="20"/>
                <w:vertAlign w:val="superscript"/>
              </w:rPr>
              <w:t>-1</w:t>
            </w:r>
            <w:r w:rsidRPr="00D84719">
              <w:rPr>
                <w:rFonts w:ascii="Times New Roman" w:eastAsia="Times New Roman" w:hAnsi="Times New Roman" w:cs="Times New Roman"/>
                <w:b/>
                <w:color w:val="000000"/>
                <w:sz w:val="20"/>
                <w:szCs w:val="20"/>
              </w:rPr>
              <w:t>)</w:t>
            </w:r>
          </w:p>
        </w:tc>
      </w:tr>
      <w:tr w:rsidR="00D84719" w:rsidRPr="00D84719" w14:paraId="7F703B13" w14:textId="77777777" w:rsidTr="00D84719">
        <w:trPr>
          <w:trHeight w:val="60"/>
          <w:jc w:val="center"/>
        </w:trPr>
        <w:tc>
          <w:tcPr>
            <w:tcW w:w="335" w:type="pct"/>
            <w:vMerge/>
            <w:shd w:val="clear" w:color="auto" w:fill="BFBFBF"/>
            <w:vAlign w:val="center"/>
            <w:hideMark/>
          </w:tcPr>
          <w:p w14:paraId="19DADAFD" w14:textId="77777777" w:rsidR="00D84719" w:rsidRPr="00D84719" w:rsidRDefault="00D84719" w:rsidP="00D84719">
            <w:pPr>
              <w:spacing w:after="0" w:line="240" w:lineRule="auto"/>
              <w:jc w:val="center"/>
              <w:rPr>
                <w:rFonts w:ascii="Times New Roman" w:eastAsia="Times New Roman" w:hAnsi="Times New Roman" w:cs="Times New Roman"/>
                <w:b/>
                <w:bCs/>
                <w:color w:val="000000"/>
                <w:sz w:val="20"/>
                <w:szCs w:val="20"/>
              </w:rPr>
            </w:pPr>
          </w:p>
        </w:tc>
        <w:tc>
          <w:tcPr>
            <w:tcW w:w="2090" w:type="pct"/>
            <w:vMerge/>
            <w:shd w:val="clear" w:color="auto" w:fill="BFBFBF"/>
            <w:vAlign w:val="center"/>
            <w:hideMark/>
          </w:tcPr>
          <w:p w14:paraId="7C0FD06E" w14:textId="77777777" w:rsidR="00D84719" w:rsidRPr="00D84719" w:rsidRDefault="00D84719" w:rsidP="00D84719">
            <w:pPr>
              <w:spacing w:after="0" w:line="240" w:lineRule="auto"/>
              <w:jc w:val="center"/>
              <w:rPr>
                <w:rFonts w:ascii="Times New Roman" w:eastAsia="Times New Roman" w:hAnsi="Times New Roman" w:cs="Times New Roman"/>
                <w:b/>
                <w:bCs/>
                <w:color w:val="000000"/>
                <w:sz w:val="20"/>
                <w:szCs w:val="20"/>
              </w:rPr>
            </w:pPr>
          </w:p>
        </w:tc>
        <w:tc>
          <w:tcPr>
            <w:tcW w:w="466" w:type="pct"/>
            <w:shd w:val="clear" w:color="auto" w:fill="D9D9D9"/>
            <w:noWrap/>
            <w:vAlign w:val="center"/>
            <w:hideMark/>
          </w:tcPr>
          <w:p w14:paraId="05BC18D4" w14:textId="77777777" w:rsidR="00D84719" w:rsidRPr="00D84719" w:rsidRDefault="00D84719" w:rsidP="00D84719">
            <w:pPr>
              <w:spacing w:after="0" w:line="240" w:lineRule="auto"/>
              <w:jc w:val="center"/>
              <w:rPr>
                <w:rFonts w:ascii="Times New Roman" w:eastAsia="Times New Roman" w:hAnsi="Times New Roman" w:cs="Times New Roman"/>
                <w:b/>
                <w:color w:val="000000"/>
                <w:sz w:val="20"/>
                <w:szCs w:val="20"/>
              </w:rPr>
            </w:pPr>
            <w:r w:rsidRPr="00D84719">
              <w:rPr>
                <w:rFonts w:ascii="Times New Roman" w:eastAsia="Times New Roman" w:hAnsi="Times New Roman" w:cs="Times New Roman"/>
                <w:b/>
                <w:color w:val="000000"/>
                <w:sz w:val="20"/>
                <w:szCs w:val="20"/>
              </w:rPr>
              <w:t>Zrak</w:t>
            </w:r>
          </w:p>
        </w:tc>
        <w:tc>
          <w:tcPr>
            <w:tcW w:w="550" w:type="pct"/>
            <w:shd w:val="clear" w:color="auto" w:fill="D9D9D9"/>
            <w:noWrap/>
            <w:vAlign w:val="center"/>
            <w:hideMark/>
          </w:tcPr>
          <w:p w14:paraId="1C114313" w14:textId="77777777" w:rsidR="00D84719" w:rsidRPr="00D84719" w:rsidRDefault="00D84719" w:rsidP="00D84719">
            <w:pPr>
              <w:spacing w:after="0" w:line="240" w:lineRule="auto"/>
              <w:jc w:val="center"/>
              <w:rPr>
                <w:rFonts w:ascii="Times New Roman" w:eastAsia="Times New Roman" w:hAnsi="Times New Roman" w:cs="Times New Roman"/>
                <w:b/>
                <w:color w:val="000000"/>
                <w:sz w:val="20"/>
                <w:szCs w:val="20"/>
              </w:rPr>
            </w:pPr>
            <w:r w:rsidRPr="00D84719">
              <w:rPr>
                <w:rFonts w:ascii="Times New Roman" w:eastAsia="Times New Roman" w:hAnsi="Times New Roman" w:cs="Times New Roman"/>
                <w:b/>
                <w:color w:val="000000"/>
                <w:sz w:val="20"/>
                <w:szCs w:val="20"/>
              </w:rPr>
              <w:t>Voda</w:t>
            </w:r>
          </w:p>
        </w:tc>
        <w:tc>
          <w:tcPr>
            <w:tcW w:w="448" w:type="pct"/>
            <w:shd w:val="clear" w:color="auto" w:fill="D9D9D9"/>
            <w:noWrap/>
            <w:vAlign w:val="center"/>
            <w:hideMark/>
          </w:tcPr>
          <w:p w14:paraId="5D47035F" w14:textId="77777777" w:rsidR="00D84719" w:rsidRPr="00D84719" w:rsidRDefault="00D84719" w:rsidP="00D84719">
            <w:pPr>
              <w:spacing w:after="0" w:line="240" w:lineRule="auto"/>
              <w:jc w:val="center"/>
              <w:rPr>
                <w:rFonts w:ascii="Times New Roman" w:eastAsia="Times New Roman" w:hAnsi="Times New Roman" w:cs="Times New Roman"/>
                <w:b/>
                <w:color w:val="000000"/>
                <w:sz w:val="20"/>
                <w:szCs w:val="20"/>
              </w:rPr>
            </w:pPr>
            <w:r w:rsidRPr="00D84719">
              <w:rPr>
                <w:rFonts w:ascii="Times New Roman" w:eastAsia="Times New Roman" w:hAnsi="Times New Roman" w:cs="Times New Roman"/>
                <w:b/>
                <w:color w:val="000000"/>
                <w:sz w:val="20"/>
                <w:szCs w:val="20"/>
              </w:rPr>
              <w:t>Tlo</w:t>
            </w:r>
          </w:p>
        </w:tc>
        <w:tc>
          <w:tcPr>
            <w:tcW w:w="603" w:type="pct"/>
            <w:shd w:val="clear" w:color="auto" w:fill="D9D9D9"/>
            <w:noWrap/>
            <w:vAlign w:val="center"/>
            <w:hideMark/>
          </w:tcPr>
          <w:p w14:paraId="08593AB1" w14:textId="77777777" w:rsidR="00D84719" w:rsidRPr="00D84719" w:rsidRDefault="00D84719" w:rsidP="00D84719">
            <w:pPr>
              <w:spacing w:after="0" w:line="240" w:lineRule="auto"/>
              <w:jc w:val="center"/>
              <w:rPr>
                <w:rFonts w:ascii="Times New Roman" w:eastAsia="Times New Roman" w:hAnsi="Times New Roman" w:cs="Times New Roman"/>
                <w:b/>
                <w:color w:val="000000"/>
                <w:sz w:val="20"/>
                <w:szCs w:val="20"/>
              </w:rPr>
            </w:pPr>
            <w:r w:rsidRPr="00D84719">
              <w:rPr>
                <w:rFonts w:ascii="Times New Roman" w:eastAsia="Times New Roman" w:hAnsi="Times New Roman" w:cs="Times New Roman"/>
                <w:b/>
                <w:color w:val="000000"/>
                <w:sz w:val="20"/>
                <w:szCs w:val="20"/>
              </w:rPr>
              <w:t>Proizvodi</w:t>
            </w:r>
          </w:p>
        </w:tc>
        <w:tc>
          <w:tcPr>
            <w:tcW w:w="508" w:type="pct"/>
            <w:shd w:val="clear" w:color="auto" w:fill="D9D9D9"/>
            <w:noWrap/>
            <w:vAlign w:val="center"/>
            <w:hideMark/>
          </w:tcPr>
          <w:p w14:paraId="622D5058" w14:textId="77777777" w:rsidR="00D84719" w:rsidRPr="00D84719" w:rsidRDefault="00D84719" w:rsidP="00D84719">
            <w:pPr>
              <w:spacing w:after="0" w:line="240" w:lineRule="auto"/>
              <w:jc w:val="center"/>
              <w:rPr>
                <w:rFonts w:ascii="Times New Roman" w:eastAsia="Times New Roman" w:hAnsi="Times New Roman" w:cs="Times New Roman"/>
                <w:b/>
                <w:color w:val="000000"/>
                <w:sz w:val="20"/>
                <w:szCs w:val="20"/>
              </w:rPr>
            </w:pPr>
            <w:r w:rsidRPr="00D84719">
              <w:rPr>
                <w:rFonts w:ascii="Times New Roman" w:eastAsia="Times New Roman" w:hAnsi="Times New Roman" w:cs="Times New Roman"/>
                <w:b/>
                <w:color w:val="000000"/>
                <w:sz w:val="20"/>
                <w:szCs w:val="20"/>
              </w:rPr>
              <w:t>Otpad</w:t>
            </w:r>
          </w:p>
        </w:tc>
      </w:tr>
      <w:tr w:rsidR="00D84719" w:rsidRPr="00D84719" w14:paraId="6A90B627" w14:textId="77777777" w:rsidTr="00F831D6">
        <w:trPr>
          <w:trHeight w:val="181"/>
          <w:jc w:val="center"/>
        </w:trPr>
        <w:tc>
          <w:tcPr>
            <w:tcW w:w="335" w:type="pct"/>
            <w:shd w:val="clear" w:color="auto" w:fill="auto"/>
            <w:noWrap/>
            <w:vAlign w:val="center"/>
            <w:hideMark/>
          </w:tcPr>
          <w:p w14:paraId="0F973274"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1.</w:t>
            </w:r>
          </w:p>
        </w:tc>
        <w:tc>
          <w:tcPr>
            <w:tcW w:w="2090" w:type="pct"/>
            <w:shd w:val="clear" w:color="auto" w:fill="auto"/>
            <w:noWrap/>
            <w:vAlign w:val="center"/>
            <w:hideMark/>
          </w:tcPr>
          <w:p w14:paraId="36774B02" w14:textId="77777777" w:rsidR="00D84719" w:rsidRPr="00D84719" w:rsidRDefault="00D84719" w:rsidP="00D84719">
            <w:pPr>
              <w:spacing w:after="0" w:line="240" w:lineRule="auto"/>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Termička obrada otpada</w:t>
            </w:r>
          </w:p>
        </w:tc>
        <w:tc>
          <w:tcPr>
            <w:tcW w:w="466" w:type="pct"/>
            <w:shd w:val="clear" w:color="auto" w:fill="auto"/>
            <w:noWrap/>
            <w:vAlign w:val="center"/>
            <w:hideMark/>
          </w:tcPr>
          <w:p w14:paraId="19854E6A"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1,3885</w:t>
            </w:r>
          </w:p>
        </w:tc>
        <w:tc>
          <w:tcPr>
            <w:tcW w:w="550" w:type="pct"/>
            <w:shd w:val="clear" w:color="auto" w:fill="auto"/>
            <w:noWrap/>
            <w:vAlign w:val="center"/>
            <w:hideMark/>
          </w:tcPr>
          <w:p w14:paraId="2A1E0550"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0,0000</w:t>
            </w:r>
          </w:p>
        </w:tc>
        <w:tc>
          <w:tcPr>
            <w:tcW w:w="448" w:type="pct"/>
            <w:shd w:val="clear" w:color="auto" w:fill="auto"/>
            <w:noWrap/>
            <w:vAlign w:val="center"/>
            <w:hideMark/>
          </w:tcPr>
          <w:p w14:paraId="5CBE8881"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0,0000</w:t>
            </w:r>
          </w:p>
        </w:tc>
        <w:tc>
          <w:tcPr>
            <w:tcW w:w="603" w:type="pct"/>
            <w:shd w:val="clear" w:color="auto" w:fill="auto"/>
            <w:noWrap/>
            <w:vAlign w:val="center"/>
            <w:hideMark/>
          </w:tcPr>
          <w:p w14:paraId="1487B0C8"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0,0000</w:t>
            </w:r>
          </w:p>
        </w:tc>
        <w:tc>
          <w:tcPr>
            <w:tcW w:w="508" w:type="pct"/>
            <w:shd w:val="clear" w:color="auto" w:fill="auto"/>
            <w:noWrap/>
            <w:vAlign w:val="center"/>
            <w:hideMark/>
          </w:tcPr>
          <w:p w14:paraId="34959C0F"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3,5703</w:t>
            </w:r>
          </w:p>
        </w:tc>
      </w:tr>
      <w:tr w:rsidR="00D84719" w:rsidRPr="00D84719" w14:paraId="70464501" w14:textId="77777777" w:rsidTr="00F831D6">
        <w:trPr>
          <w:trHeight w:val="255"/>
          <w:jc w:val="center"/>
        </w:trPr>
        <w:tc>
          <w:tcPr>
            <w:tcW w:w="335" w:type="pct"/>
            <w:shd w:val="clear" w:color="auto" w:fill="auto"/>
            <w:noWrap/>
            <w:vAlign w:val="center"/>
            <w:hideMark/>
          </w:tcPr>
          <w:p w14:paraId="4CA8D3AE"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2.</w:t>
            </w:r>
          </w:p>
        </w:tc>
        <w:tc>
          <w:tcPr>
            <w:tcW w:w="2090" w:type="pct"/>
            <w:shd w:val="clear" w:color="auto" w:fill="auto"/>
            <w:noWrap/>
            <w:vAlign w:val="center"/>
            <w:hideMark/>
          </w:tcPr>
          <w:p w14:paraId="03CD8811" w14:textId="77777777" w:rsidR="00D84719" w:rsidRPr="00D84719" w:rsidRDefault="00D84719" w:rsidP="00D84719">
            <w:pPr>
              <w:spacing w:after="0" w:line="240" w:lineRule="auto"/>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 xml:space="preserve">Proizvodnja željeza i obojanih metala </w:t>
            </w:r>
          </w:p>
        </w:tc>
        <w:tc>
          <w:tcPr>
            <w:tcW w:w="466" w:type="pct"/>
            <w:shd w:val="clear" w:color="auto" w:fill="auto"/>
            <w:noWrap/>
            <w:vAlign w:val="center"/>
            <w:hideMark/>
          </w:tcPr>
          <w:p w14:paraId="7EE99D15"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1,5216</w:t>
            </w:r>
          </w:p>
        </w:tc>
        <w:tc>
          <w:tcPr>
            <w:tcW w:w="550" w:type="pct"/>
            <w:shd w:val="clear" w:color="auto" w:fill="auto"/>
            <w:noWrap/>
            <w:vAlign w:val="center"/>
            <w:hideMark/>
          </w:tcPr>
          <w:p w14:paraId="633C3593"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0,0010</w:t>
            </w:r>
          </w:p>
        </w:tc>
        <w:tc>
          <w:tcPr>
            <w:tcW w:w="448" w:type="pct"/>
            <w:shd w:val="clear" w:color="auto" w:fill="auto"/>
            <w:noWrap/>
            <w:vAlign w:val="center"/>
            <w:hideMark/>
          </w:tcPr>
          <w:p w14:paraId="17E0277D"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0,0000</w:t>
            </w:r>
          </w:p>
        </w:tc>
        <w:tc>
          <w:tcPr>
            <w:tcW w:w="603" w:type="pct"/>
            <w:shd w:val="clear" w:color="auto" w:fill="auto"/>
            <w:noWrap/>
            <w:vAlign w:val="center"/>
            <w:hideMark/>
          </w:tcPr>
          <w:p w14:paraId="0D57AD25"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0,0000</w:t>
            </w:r>
          </w:p>
        </w:tc>
        <w:tc>
          <w:tcPr>
            <w:tcW w:w="508" w:type="pct"/>
            <w:shd w:val="clear" w:color="auto" w:fill="auto"/>
            <w:noWrap/>
            <w:vAlign w:val="center"/>
            <w:hideMark/>
          </w:tcPr>
          <w:p w14:paraId="779A29E6"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23,2100</w:t>
            </w:r>
          </w:p>
        </w:tc>
      </w:tr>
      <w:tr w:rsidR="00D84719" w:rsidRPr="00D84719" w14:paraId="0F9ECED2" w14:textId="77777777" w:rsidTr="00F831D6">
        <w:trPr>
          <w:trHeight w:val="255"/>
          <w:jc w:val="center"/>
        </w:trPr>
        <w:tc>
          <w:tcPr>
            <w:tcW w:w="335" w:type="pct"/>
            <w:shd w:val="clear" w:color="auto" w:fill="auto"/>
            <w:noWrap/>
            <w:vAlign w:val="center"/>
            <w:hideMark/>
          </w:tcPr>
          <w:p w14:paraId="52D2194B"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3.</w:t>
            </w:r>
          </w:p>
        </w:tc>
        <w:tc>
          <w:tcPr>
            <w:tcW w:w="2090" w:type="pct"/>
            <w:shd w:val="clear" w:color="auto" w:fill="auto"/>
            <w:noWrap/>
            <w:vAlign w:val="center"/>
            <w:hideMark/>
          </w:tcPr>
          <w:p w14:paraId="61213BAB" w14:textId="77777777" w:rsidR="00D84719" w:rsidRPr="00D84719" w:rsidRDefault="00D84719" w:rsidP="00D84719">
            <w:pPr>
              <w:spacing w:after="0" w:line="240" w:lineRule="auto"/>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Proizvodnja električne i toplinske energije</w:t>
            </w:r>
          </w:p>
        </w:tc>
        <w:tc>
          <w:tcPr>
            <w:tcW w:w="466" w:type="pct"/>
            <w:shd w:val="clear" w:color="auto" w:fill="auto"/>
            <w:noWrap/>
            <w:vAlign w:val="center"/>
            <w:hideMark/>
          </w:tcPr>
          <w:p w14:paraId="52FAFEC3"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111,1563</w:t>
            </w:r>
          </w:p>
        </w:tc>
        <w:tc>
          <w:tcPr>
            <w:tcW w:w="550" w:type="pct"/>
            <w:shd w:val="clear" w:color="auto" w:fill="auto"/>
            <w:noWrap/>
            <w:vAlign w:val="center"/>
            <w:hideMark/>
          </w:tcPr>
          <w:p w14:paraId="020C7169"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0,0000</w:t>
            </w:r>
          </w:p>
        </w:tc>
        <w:tc>
          <w:tcPr>
            <w:tcW w:w="448" w:type="pct"/>
            <w:shd w:val="clear" w:color="auto" w:fill="auto"/>
            <w:noWrap/>
            <w:vAlign w:val="center"/>
            <w:hideMark/>
          </w:tcPr>
          <w:p w14:paraId="32677235"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0,0000</w:t>
            </w:r>
          </w:p>
        </w:tc>
        <w:tc>
          <w:tcPr>
            <w:tcW w:w="603" w:type="pct"/>
            <w:shd w:val="clear" w:color="auto" w:fill="auto"/>
            <w:noWrap/>
            <w:vAlign w:val="center"/>
            <w:hideMark/>
          </w:tcPr>
          <w:p w14:paraId="4595236A"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0,0000</w:t>
            </w:r>
          </w:p>
        </w:tc>
        <w:tc>
          <w:tcPr>
            <w:tcW w:w="508" w:type="pct"/>
            <w:shd w:val="clear" w:color="auto" w:fill="auto"/>
            <w:noWrap/>
            <w:vAlign w:val="center"/>
            <w:hideMark/>
          </w:tcPr>
          <w:p w14:paraId="057C60EB"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0,2750</w:t>
            </w:r>
          </w:p>
        </w:tc>
      </w:tr>
      <w:tr w:rsidR="00D84719" w:rsidRPr="00D84719" w14:paraId="13BC0230" w14:textId="77777777" w:rsidTr="00F831D6">
        <w:trPr>
          <w:trHeight w:val="255"/>
          <w:jc w:val="center"/>
        </w:trPr>
        <w:tc>
          <w:tcPr>
            <w:tcW w:w="335" w:type="pct"/>
            <w:shd w:val="clear" w:color="auto" w:fill="auto"/>
            <w:noWrap/>
            <w:vAlign w:val="center"/>
            <w:hideMark/>
          </w:tcPr>
          <w:p w14:paraId="5A7111A6"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4.</w:t>
            </w:r>
          </w:p>
        </w:tc>
        <w:tc>
          <w:tcPr>
            <w:tcW w:w="2090" w:type="pct"/>
            <w:shd w:val="clear" w:color="auto" w:fill="auto"/>
            <w:noWrap/>
            <w:vAlign w:val="center"/>
            <w:hideMark/>
          </w:tcPr>
          <w:p w14:paraId="3EBEF275" w14:textId="77777777" w:rsidR="00D84719" w:rsidRPr="00D84719" w:rsidRDefault="00D84719" w:rsidP="00D84719">
            <w:pPr>
              <w:spacing w:after="0" w:line="240" w:lineRule="auto"/>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 xml:space="preserve">Proizvodnja mineralnih proizvoda </w:t>
            </w:r>
          </w:p>
        </w:tc>
        <w:tc>
          <w:tcPr>
            <w:tcW w:w="466" w:type="pct"/>
            <w:shd w:val="clear" w:color="auto" w:fill="auto"/>
            <w:noWrap/>
            <w:vAlign w:val="center"/>
            <w:hideMark/>
          </w:tcPr>
          <w:p w14:paraId="3E685496"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2,2806</w:t>
            </w:r>
          </w:p>
        </w:tc>
        <w:tc>
          <w:tcPr>
            <w:tcW w:w="550" w:type="pct"/>
            <w:shd w:val="clear" w:color="auto" w:fill="auto"/>
            <w:noWrap/>
            <w:vAlign w:val="center"/>
            <w:hideMark/>
          </w:tcPr>
          <w:p w14:paraId="4381CF6A"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0,0000</w:t>
            </w:r>
          </w:p>
        </w:tc>
        <w:tc>
          <w:tcPr>
            <w:tcW w:w="448" w:type="pct"/>
            <w:shd w:val="clear" w:color="auto" w:fill="auto"/>
            <w:noWrap/>
            <w:vAlign w:val="center"/>
            <w:hideMark/>
          </w:tcPr>
          <w:p w14:paraId="65FEF5F0"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0,0000</w:t>
            </w:r>
          </w:p>
        </w:tc>
        <w:tc>
          <w:tcPr>
            <w:tcW w:w="603" w:type="pct"/>
            <w:shd w:val="clear" w:color="auto" w:fill="auto"/>
            <w:noWrap/>
            <w:vAlign w:val="center"/>
            <w:hideMark/>
          </w:tcPr>
          <w:p w14:paraId="012DEFA1"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0,1118</w:t>
            </w:r>
          </w:p>
        </w:tc>
        <w:tc>
          <w:tcPr>
            <w:tcW w:w="508" w:type="pct"/>
            <w:shd w:val="clear" w:color="auto" w:fill="auto"/>
            <w:noWrap/>
            <w:vAlign w:val="center"/>
            <w:hideMark/>
          </w:tcPr>
          <w:p w14:paraId="5A4E9521"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0,0373</w:t>
            </w:r>
          </w:p>
        </w:tc>
      </w:tr>
      <w:tr w:rsidR="00D84719" w:rsidRPr="00D84719" w14:paraId="648BD1BC" w14:textId="77777777" w:rsidTr="00F831D6">
        <w:trPr>
          <w:trHeight w:val="255"/>
          <w:jc w:val="center"/>
        </w:trPr>
        <w:tc>
          <w:tcPr>
            <w:tcW w:w="335" w:type="pct"/>
            <w:shd w:val="clear" w:color="auto" w:fill="auto"/>
            <w:noWrap/>
            <w:vAlign w:val="center"/>
            <w:hideMark/>
          </w:tcPr>
          <w:p w14:paraId="2EAC994C"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5.</w:t>
            </w:r>
          </w:p>
        </w:tc>
        <w:tc>
          <w:tcPr>
            <w:tcW w:w="2090" w:type="pct"/>
            <w:shd w:val="clear" w:color="auto" w:fill="auto"/>
            <w:noWrap/>
            <w:vAlign w:val="center"/>
            <w:hideMark/>
          </w:tcPr>
          <w:p w14:paraId="2E81B261" w14:textId="77777777" w:rsidR="00D84719" w:rsidRPr="00D84719" w:rsidRDefault="00D84719" w:rsidP="00D84719">
            <w:pPr>
              <w:spacing w:after="0" w:line="240" w:lineRule="auto"/>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Promet</w:t>
            </w:r>
          </w:p>
        </w:tc>
        <w:tc>
          <w:tcPr>
            <w:tcW w:w="466" w:type="pct"/>
            <w:shd w:val="clear" w:color="auto" w:fill="auto"/>
            <w:noWrap/>
            <w:vAlign w:val="center"/>
            <w:hideMark/>
          </w:tcPr>
          <w:p w14:paraId="40A50ECD"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0,7083</w:t>
            </w:r>
          </w:p>
        </w:tc>
        <w:tc>
          <w:tcPr>
            <w:tcW w:w="550" w:type="pct"/>
            <w:shd w:val="clear" w:color="auto" w:fill="auto"/>
            <w:noWrap/>
            <w:vAlign w:val="center"/>
            <w:hideMark/>
          </w:tcPr>
          <w:p w14:paraId="1735A6F7"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0,0000</w:t>
            </w:r>
          </w:p>
        </w:tc>
        <w:tc>
          <w:tcPr>
            <w:tcW w:w="448" w:type="pct"/>
            <w:shd w:val="clear" w:color="auto" w:fill="auto"/>
            <w:noWrap/>
            <w:vAlign w:val="center"/>
            <w:hideMark/>
          </w:tcPr>
          <w:p w14:paraId="00531911"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0,0000</w:t>
            </w:r>
          </w:p>
        </w:tc>
        <w:tc>
          <w:tcPr>
            <w:tcW w:w="603" w:type="pct"/>
            <w:shd w:val="clear" w:color="auto" w:fill="auto"/>
            <w:noWrap/>
            <w:vAlign w:val="center"/>
            <w:hideMark/>
          </w:tcPr>
          <w:p w14:paraId="0EF551A8"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0,0000</w:t>
            </w:r>
          </w:p>
        </w:tc>
        <w:tc>
          <w:tcPr>
            <w:tcW w:w="508" w:type="pct"/>
            <w:shd w:val="clear" w:color="auto" w:fill="auto"/>
            <w:noWrap/>
            <w:vAlign w:val="center"/>
            <w:hideMark/>
          </w:tcPr>
          <w:p w14:paraId="744A6183"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0,0000</w:t>
            </w:r>
          </w:p>
        </w:tc>
      </w:tr>
      <w:tr w:rsidR="00D84719" w:rsidRPr="00D84719" w14:paraId="5BB14B75" w14:textId="77777777" w:rsidTr="00F831D6">
        <w:trPr>
          <w:trHeight w:val="255"/>
          <w:jc w:val="center"/>
        </w:trPr>
        <w:tc>
          <w:tcPr>
            <w:tcW w:w="335" w:type="pct"/>
            <w:shd w:val="clear" w:color="auto" w:fill="auto"/>
            <w:noWrap/>
            <w:vAlign w:val="center"/>
            <w:hideMark/>
          </w:tcPr>
          <w:p w14:paraId="62FA01F8"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6.</w:t>
            </w:r>
          </w:p>
        </w:tc>
        <w:tc>
          <w:tcPr>
            <w:tcW w:w="2090" w:type="pct"/>
            <w:shd w:val="clear" w:color="auto" w:fill="auto"/>
            <w:noWrap/>
            <w:vAlign w:val="center"/>
            <w:hideMark/>
          </w:tcPr>
          <w:p w14:paraId="2C2A7DC8" w14:textId="77777777" w:rsidR="00D84719" w:rsidRPr="00D84719" w:rsidRDefault="00D84719" w:rsidP="00D84719">
            <w:pPr>
              <w:spacing w:after="0" w:line="240" w:lineRule="auto"/>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Procesi gorenja na otvorenom</w:t>
            </w:r>
          </w:p>
        </w:tc>
        <w:tc>
          <w:tcPr>
            <w:tcW w:w="466" w:type="pct"/>
            <w:shd w:val="clear" w:color="auto" w:fill="auto"/>
            <w:noWrap/>
            <w:vAlign w:val="center"/>
            <w:hideMark/>
          </w:tcPr>
          <w:p w14:paraId="752830B4"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0,0577</w:t>
            </w:r>
          </w:p>
        </w:tc>
        <w:tc>
          <w:tcPr>
            <w:tcW w:w="550" w:type="pct"/>
            <w:shd w:val="clear" w:color="auto" w:fill="auto"/>
            <w:noWrap/>
            <w:vAlign w:val="center"/>
            <w:hideMark/>
          </w:tcPr>
          <w:p w14:paraId="21E15B6F"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0,0000</w:t>
            </w:r>
          </w:p>
        </w:tc>
        <w:tc>
          <w:tcPr>
            <w:tcW w:w="448" w:type="pct"/>
            <w:shd w:val="clear" w:color="auto" w:fill="auto"/>
            <w:noWrap/>
            <w:vAlign w:val="center"/>
            <w:hideMark/>
          </w:tcPr>
          <w:p w14:paraId="5D7D767B"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0,0087</w:t>
            </w:r>
          </w:p>
        </w:tc>
        <w:tc>
          <w:tcPr>
            <w:tcW w:w="603" w:type="pct"/>
            <w:shd w:val="clear" w:color="auto" w:fill="auto"/>
            <w:noWrap/>
            <w:vAlign w:val="center"/>
            <w:hideMark/>
          </w:tcPr>
          <w:p w14:paraId="31373FA0"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0,0000</w:t>
            </w:r>
          </w:p>
        </w:tc>
        <w:tc>
          <w:tcPr>
            <w:tcW w:w="508" w:type="pct"/>
            <w:shd w:val="clear" w:color="auto" w:fill="auto"/>
            <w:noWrap/>
            <w:vAlign w:val="center"/>
            <w:hideMark/>
          </w:tcPr>
          <w:p w14:paraId="2F90A907"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0,0000</w:t>
            </w:r>
          </w:p>
        </w:tc>
      </w:tr>
      <w:tr w:rsidR="00D84719" w:rsidRPr="00D84719" w14:paraId="5B94C2DB" w14:textId="77777777" w:rsidTr="00F831D6">
        <w:trPr>
          <w:trHeight w:val="255"/>
          <w:jc w:val="center"/>
        </w:trPr>
        <w:tc>
          <w:tcPr>
            <w:tcW w:w="335" w:type="pct"/>
            <w:shd w:val="clear" w:color="auto" w:fill="auto"/>
            <w:noWrap/>
            <w:vAlign w:val="center"/>
            <w:hideMark/>
          </w:tcPr>
          <w:p w14:paraId="3BA8A025"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7.</w:t>
            </w:r>
          </w:p>
        </w:tc>
        <w:tc>
          <w:tcPr>
            <w:tcW w:w="2090" w:type="pct"/>
            <w:shd w:val="clear" w:color="auto" w:fill="auto"/>
            <w:noWrap/>
            <w:vAlign w:val="center"/>
            <w:hideMark/>
          </w:tcPr>
          <w:p w14:paraId="4F1480B6" w14:textId="77777777" w:rsidR="00D84719" w:rsidRPr="00D84719" w:rsidRDefault="00D84719" w:rsidP="00D84719">
            <w:pPr>
              <w:spacing w:after="0" w:line="240" w:lineRule="auto"/>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 xml:space="preserve">Proizvodnja kemikalija i roba </w:t>
            </w:r>
          </w:p>
        </w:tc>
        <w:tc>
          <w:tcPr>
            <w:tcW w:w="466" w:type="pct"/>
            <w:shd w:val="clear" w:color="auto" w:fill="auto"/>
            <w:noWrap/>
            <w:vAlign w:val="center"/>
            <w:hideMark/>
          </w:tcPr>
          <w:p w14:paraId="609A94B7"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0,0001</w:t>
            </w:r>
          </w:p>
        </w:tc>
        <w:tc>
          <w:tcPr>
            <w:tcW w:w="550" w:type="pct"/>
            <w:shd w:val="clear" w:color="auto" w:fill="auto"/>
            <w:noWrap/>
            <w:vAlign w:val="center"/>
            <w:hideMark/>
          </w:tcPr>
          <w:p w14:paraId="25481F14"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0,0320</w:t>
            </w:r>
          </w:p>
        </w:tc>
        <w:tc>
          <w:tcPr>
            <w:tcW w:w="448" w:type="pct"/>
            <w:shd w:val="clear" w:color="auto" w:fill="auto"/>
            <w:noWrap/>
            <w:vAlign w:val="center"/>
            <w:hideMark/>
          </w:tcPr>
          <w:p w14:paraId="5ADCF9A3"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0,0000</w:t>
            </w:r>
          </w:p>
        </w:tc>
        <w:tc>
          <w:tcPr>
            <w:tcW w:w="603" w:type="pct"/>
            <w:shd w:val="clear" w:color="auto" w:fill="auto"/>
            <w:noWrap/>
            <w:vAlign w:val="center"/>
            <w:hideMark/>
          </w:tcPr>
          <w:p w14:paraId="6A61C4F8"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0,7169</w:t>
            </w:r>
          </w:p>
        </w:tc>
        <w:tc>
          <w:tcPr>
            <w:tcW w:w="508" w:type="pct"/>
            <w:shd w:val="clear" w:color="auto" w:fill="auto"/>
            <w:noWrap/>
            <w:vAlign w:val="center"/>
            <w:hideMark/>
          </w:tcPr>
          <w:p w14:paraId="43CE475E"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0,2325</w:t>
            </w:r>
          </w:p>
        </w:tc>
      </w:tr>
      <w:tr w:rsidR="00D84719" w:rsidRPr="00D84719" w14:paraId="38359C20" w14:textId="77777777" w:rsidTr="00F831D6">
        <w:trPr>
          <w:trHeight w:val="255"/>
          <w:jc w:val="center"/>
        </w:trPr>
        <w:tc>
          <w:tcPr>
            <w:tcW w:w="335" w:type="pct"/>
            <w:shd w:val="clear" w:color="auto" w:fill="auto"/>
            <w:noWrap/>
            <w:vAlign w:val="center"/>
            <w:hideMark/>
          </w:tcPr>
          <w:p w14:paraId="75042000"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8.</w:t>
            </w:r>
          </w:p>
        </w:tc>
        <w:tc>
          <w:tcPr>
            <w:tcW w:w="2090" w:type="pct"/>
            <w:shd w:val="clear" w:color="auto" w:fill="auto"/>
            <w:noWrap/>
            <w:vAlign w:val="center"/>
            <w:hideMark/>
          </w:tcPr>
          <w:p w14:paraId="3A4C950A" w14:textId="77777777" w:rsidR="00D84719" w:rsidRPr="00D84719" w:rsidRDefault="00D84719" w:rsidP="00D84719">
            <w:pPr>
              <w:spacing w:after="0" w:line="240" w:lineRule="auto"/>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Ostalo</w:t>
            </w:r>
          </w:p>
        </w:tc>
        <w:tc>
          <w:tcPr>
            <w:tcW w:w="466" w:type="pct"/>
            <w:shd w:val="clear" w:color="auto" w:fill="auto"/>
            <w:noWrap/>
            <w:vAlign w:val="center"/>
            <w:hideMark/>
          </w:tcPr>
          <w:p w14:paraId="26FE6FFC"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0,0030</w:t>
            </w:r>
          </w:p>
        </w:tc>
        <w:tc>
          <w:tcPr>
            <w:tcW w:w="550" w:type="pct"/>
            <w:shd w:val="clear" w:color="auto" w:fill="auto"/>
            <w:noWrap/>
            <w:vAlign w:val="center"/>
            <w:hideMark/>
          </w:tcPr>
          <w:p w14:paraId="0A1AD7BD"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0,0000</w:t>
            </w:r>
          </w:p>
        </w:tc>
        <w:tc>
          <w:tcPr>
            <w:tcW w:w="448" w:type="pct"/>
            <w:shd w:val="clear" w:color="auto" w:fill="auto"/>
            <w:noWrap/>
            <w:vAlign w:val="center"/>
            <w:hideMark/>
          </w:tcPr>
          <w:p w14:paraId="42D3222F"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0,0000</w:t>
            </w:r>
          </w:p>
        </w:tc>
        <w:tc>
          <w:tcPr>
            <w:tcW w:w="603" w:type="pct"/>
            <w:shd w:val="clear" w:color="auto" w:fill="auto"/>
            <w:noWrap/>
            <w:vAlign w:val="center"/>
            <w:hideMark/>
          </w:tcPr>
          <w:p w14:paraId="38D34B94"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0,0000</w:t>
            </w:r>
          </w:p>
        </w:tc>
        <w:tc>
          <w:tcPr>
            <w:tcW w:w="508" w:type="pct"/>
            <w:shd w:val="clear" w:color="auto" w:fill="auto"/>
            <w:noWrap/>
            <w:vAlign w:val="center"/>
            <w:hideMark/>
          </w:tcPr>
          <w:p w14:paraId="1D0732D3"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0,0092</w:t>
            </w:r>
          </w:p>
        </w:tc>
      </w:tr>
      <w:tr w:rsidR="00D84719" w:rsidRPr="00D84719" w14:paraId="31D5F8DA" w14:textId="77777777" w:rsidTr="00F831D6">
        <w:trPr>
          <w:trHeight w:val="255"/>
          <w:jc w:val="center"/>
        </w:trPr>
        <w:tc>
          <w:tcPr>
            <w:tcW w:w="335" w:type="pct"/>
            <w:shd w:val="clear" w:color="auto" w:fill="auto"/>
            <w:noWrap/>
            <w:vAlign w:val="center"/>
            <w:hideMark/>
          </w:tcPr>
          <w:p w14:paraId="7BB3386F"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9.</w:t>
            </w:r>
          </w:p>
        </w:tc>
        <w:tc>
          <w:tcPr>
            <w:tcW w:w="2090" w:type="pct"/>
            <w:shd w:val="clear" w:color="auto" w:fill="auto"/>
            <w:noWrap/>
            <w:vAlign w:val="center"/>
            <w:hideMark/>
          </w:tcPr>
          <w:p w14:paraId="2588FF19" w14:textId="77777777" w:rsidR="00D84719" w:rsidRPr="00D84719" w:rsidRDefault="00D84719" w:rsidP="00D84719">
            <w:pPr>
              <w:spacing w:after="0" w:line="240" w:lineRule="auto"/>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Oporaba i zbrinjavanje otpada</w:t>
            </w:r>
          </w:p>
        </w:tc>
        <w:tc>
          <w:tcPr>
            <w:tcW w:w="466" w:type="pct"/>
            <w:shd w:val="clear" w:color="auto" w:fill="auto"/>
            <w:noWrap/>
            <w:vAlign w:val="center"/>
            <w:hideMark/>
          </w:tcPr>
          <w:p w14:paraId="13AF36D4"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0,0000</w:t>
            </w:r>
          </w:p>
        </w:tc>
        <w:tc>
          <w:tcPr>
            <w:tcW w:w="550" w:type="pct"/>
            <w:shd w:val="clear" w:color="auto" w:fill="auto"/>
            <w:noWrap/>
            <w:vAlign w:val="center"/>
            <w:hideMark/>
          </w:tcPr>
          <w:p w14:paraId="43D72733"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0,1555</w:t>
            </w:r>
          </w:p>
        </w:tc>
        <w:tc>
          <w:tcPr>
            <w:tcW w:w="448" w:type="pct"/>
            <w:shd w:val="clear" w:color="auto" w:fill="auto"/>
            <w:noWrap/>
            <w:vAlign w:val="center"/>
            <w:hideMark/>
          </w:tcPr>
          <w:p w14:paraId="3007B49B"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0,0000</w:t>
            </w:r>
          </w:p>
        </w:tc>
        <w:tc>
          <w:tcPr>
            <w:tcW w:w="603" w:type="pct"/>
            <w:shd w:val="clear" w:color="auto" w:fill="auto"/>
            <w:noWrap/>
            <w:vAlign w:val="center"/>
            <w:hideMark/>
          </w:tcPr>
          <w:p w14:paraId="32A8796C"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0,9158</w:t>
            </w:r>
          </w:p>
        </w:tc>
        <w:tc>
          <w:tcPr>
            <w:tcW w:w="508" w:type="pct"/>
            <w:shd w:val="clear" w:color="auto" w:fill="auto"/>
            <w:noWrap/>
            <w:vAlign w:val="center"/>
            <w:hideMark/>
          </w:tcPr>
          <w:p w14:paraId="0446F948"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5,4350</w:t>
            </w:r>
          </w:p>
        </w:tc>
      </w:tr>
      <w:tr w:rsidR="00D84719" w:rsidRPr="00D84719" w14:paraId="28C18D9B" w14:textId="77777777" w:rsidTr="00F831D6">
        <w:trPr>
          <w:trHeight w:val="270"/>
          <w:jc w:val="center"/>
        </w:trPr>
        <w:tc>
          <w:tcPr>
            <w:tcW w:w="335" w:type="pct"/>
            <w:tcBorders>
              <w:bottom w:val="single" w:sz="8" w:space="0" w:color="auto"/>
            </w:tcBorders>
            <w:shd w:val="clear" w:color="auto" w:fill="auto"/>
            <w:noWrap/>
            <w:vAlign w:val="center"/>
            <w:hideMark/>
          </w:tcPr>
          <w:p w14:paraId="78B897C9"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10.</w:t>
            </w:r>
          </w:p>
        </w:tc>
        <w:tc>
          <w:tcPr>
            <w:tcW w:w="2090" w:type="pct"/>
            <w:tcBorders>
              <w:bottom w:val="single" w:sz="8" w:space="0" w:color="auto"/>
            </w:tcBorders>
            <w:shd w:val="clear" w:color="auto" w:fill="auto"/>
            <w:noWrap/>
            <w:vAlign w:val="center"/>
            <w:hideMark/>
          </w:tcPr>
          <w:p w14:paraId="5CA3FCFE" w14:textId="77777777" w:rsidR="00D84719" w:rsidRPr="00D84719" w:rsidRDefault="00D84719" w:rsidP="00D84719">
            <w:pPr>
              <w:spacing w:after="0" w:line="240" w:lineRule="auto"/>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Identifikacija potencijalnih kriznih točaka</w:t>
            </w:r>
          </w:p>
        </w:tc>
        <w:tc>
          <w:tcPr>
            <w:tcW w:w="466" w:type="pct"/>
            <w:tcBorders>
              <w:bottom w:val="single" w:sz="8" w:space="0" w:color="auto"/>
            </w:tcBorders>
            <w:shd w:val="clear" w:color="auto" w:fill="auto"/>
            <w:noWrap/>
            <w:vAlign w:val="center"/>
            <w:hideMark/>
          </w:tcPr>
          <w:p w14:paraId="1A2D8999"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 </w:t>
            </w:r>
          </w:p>
        </w:tc>
        <w:tc>
          <w:tcPr>
            <w:tcW w:w="550" w:type="pct"/>
            <w:tcBorders>
              <w:bottom w:val="single" w:sz="8" w:space="0" w:color="auto"/>
            </w:tcBorders>
            <w:shd w:val="clear" w:color="auto" w:fill="auto"/>
            <w:noWrap/>
            <w:vAlign w:val="center"/>
            <w:hideMark/>
          </w:tcPr>
          <w:p w14:paraId="60046695"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 </w:t>
            </w:r>
          </w:p>
        </w:tc>
        <w:tc>
          <w:tcPr>
            <w:tcW w:w="448" w:type="pct"/>
            <w:tcBorders>
              <w:bottom w:val="single" w:sz="8" w:space="0" w:color="auto"/>
            </w:tcBorders>
            <w:shd w:val="clear" w:color="auto" w:fill="auto"/>
            <w:noWrap/>
            <w:vAlign w:val="center"/>
            <w:hideMark/>
          </w:tcPr>
          <w:p w14:paraId="23E03E38"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 </w:t>
            </w:r>
          </w:p>
        </w:tc>
        <w:tc>
          <w:tcPr>
            <w:tcW w:w="603" w:type="pct"/>
            <w:tcBorders>
              <w:bottom w:val="single" w:sz="8" w:space="0" w:color="auto"/>
            </w:tcBorders>
            <w:shd w:val="clear" w:color="auto" w:fill="auto"/>
            <w:noWrap/>
            <w:vAlign w:val="center"/>
            <w:hideMark/>
          </w:tcPr>
          <w:p w14:paraId="6CBFA6E2"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0,0000</w:t>
            </w:r>
          </w:p>
        </w:tc>
        <w:tc>
          <w:tcPr>
            <w:tcW w:w="508" w:type="pct"/>
            <w:tcBorders>
              <w:bottom w:val="single" w:sz="8" w:space="0" w:color="auto"/>
            </w:tcBorders>
            <w:shd w:val="clear" w:color="auto" w:fill="auto"/>
            <w:noWrap/>
            <w:vAlign w:val="center"/>
            <w:hideMark/>
          </w:tcPr>
          <w:p w14:paraId="0F722351"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0,0000</w:t>
            </w:r>
          </w:p>
        </w:tc>
      </w:tr>
      <w:tr w:rsidR="00D84719" w:rsidRPr="00D84719" w14:paraId="4C5B5383" w14:textId="77777777" w:rsidTr="00F831D6">
        <w:trPr>
          <w:trHeight w:val="270"/>
          <w:jc w:val="center"/>
        </w:trPr>
        <w:tc>
          <w:tcPr>
            <w:tcW w:w="335" w:type="pct"/>
            <w:shd w:val="clear" w:color="000000" w:fill="auto"/>
            <w:noWrap/>
            <w:vAlign w:val="center"/>
            <w:hideMark/>
          </w:tcPr>
          <w:p w14:paraId="2462291C" w14:textId="77777777" w:rsidR="00D84719" w:rsidRPr="00D84719" w:rsidRDefault="00D84719" w:rsidP="00D84719">
            <w:pPr>
              <w:spacing w:after="0" w:line="240" w:lineRule="auto"/>
              <w:jc w:val="center"/>
              <w:rPr>
                <w:rFonts w:ascii="Times New Roman" w:eastAsia="Times New Roman" w:hAnsi="Times New Roman" w:cs="Times New Roman"/>
                <w:b/>
                <w:bCs/>
                <w:color w:val="000000"/>
                <w:sz w:val="20"/>
                <w:szCs w:val="20"/>
              </w:rPr>
            </w:pPr>
            <w:r w:rsidRPr="00D84719">
              <w:rPr>
                <w:rFonts w:ascii="Times New Roman" w:eastAsia="Times New Roman" w:hAnsi="Times New Roman" w:cs="Times New Roman"/>
                <w:b/>
                <w:bCs/>
                <w:color w:val="000000"/>
                <w:sz w:val="20"/>
                <w:szCs w:val="20"/>
              </w:rPr>
              <w:t>1-10</w:t>
            </w:r>
          </w:p>
        </w:tc>
        <w:tc>
          <w:tcPr>
            <w:tcW w:w="2090" w:type="pct"/>
            <w:shd w:val="clear" w:color="000000" w:fill="auto"/>
            <w:noWrap/>
            <w:vAlign w:val="center"/>
            <w:hideMark/>
          </w:tcPr>
          <w:p w14:paraId="64CFDAAE" w14:textId="77777777" w:rsidR="00D84719" w:rsidRPr="00D84719" w:rsidRDefault="00D84719" w:rsidP="00D84719">
            <w:pPr>
              <w:spacing w:after="0" w:line="240" w:lineRule="auto"/>
              <w:jc w:val="both"/>
              <w:rPr>
                <w:rFonts w:ascii="Times New Roman" w:eastAsia="Times New Roman" w:hAnsi="Times New Roman" w:cs="Times New Roman"/>
                <w:b/>
                <w:bCs/>
                <w:color w:val="000000"/>
                <w:sz w:val="20"/>
                <w:szCs w:val="20"/>
              </w:rPr>
            </w:pPr>
            <w:r w:rsidRPr="00D84719">
              <w:rPr>
                <w:rFonts w:ascii="Times New Roman" w:eastAsia="Times New Roman" w:hAnsi="Times New Roman" w:cs="Times New Roman"/>
                <w:b/>
                <w:bCs/>
                <w:color w:val="000000"/>
                <w:sz w:val="20"/>
                <w:szCs w:val="20"/>
              </w:rPr>
              <w:t>Ukupno</w:t>
            </w:r>
          </w:p>
        </w:tc>
        <w:tc>
          <w:tcPr>
            <w:tcW w:w="466" w:type="pct"/>
            <w:shd w:val="clear" w:color="000000" w:fill="auto"/>
            <w:noWrap/>
            <w:vAlign w:val="center"/>
            <w:hideMark/>
          </w:tcPr>
          <w:p w14:paraId="1505384E" w14:textId="77777777" w:rsidR="00D84719" w:rsidRPr="00D84719" w:rsidRDefault="00D84719" w:rsidP="00D84719">
            <w:pPr>
              <w:spacing w:after="0" w:line="240" w:lineRule="auto"/>
              <w:jc w:val="both"/>
              <w:rPr>
                <w:rFonts w:ascii="Times New Roman" w:eastAsia="Times New Roman" w:hAnsi="Times New Roman" w:cs="Times New Roman"/>
                <w:b/>
                <w:bCs/>
                <w:color w:val="000000"/>
                <w:sz w:val="20"/>
                <w:szCs w:val="20"/>
              </w:rPr>
            </w:pPr>
            <w:r w:rsidRPr="00D84719">
              <w:rPr>
                <w:rFonts w:ascii="Times New Roman" w:eastAsia="Times New Roman" w:hAnsi="Times New Roman" w:cs="Times New Roman"/>
                <w:b/>
                <w:bCs/>
                <w:color w:val="000000"/>
                <w:sz w:val="20"/>
                <w:szCs w:val="20"/>
              </w:rPr>
              <w:t>117,116</w:t>
            </w:r>
          </w:p>
        </w:tc>
        <w:tc>
          <w:tcPr>
            <w:tcW w:w="550" w:type="pct"/>
            <w:shd w:val="clear" w:color="000000" w:fill="auto"/>
            <w:noWrap/>
            <w:vAlign w:val="center"/>
            <w:hideMark/>
          </w:tcPr>
          <w:p w14:paraId="044DBBD1" w14:textId="77777777" w:rsidR="00D84719" w:rsidRPr="00D84719" w:rsidRDefault="00D84719" w:rsidP="00D84719">
            <w:pPr>
              <w:spacing w:after="0" w:line="240" w:lineRule="auto"/>
              <w:jc w:val="both"/>
              <w:rPr>
                <w:rFonts w:ascii="Times New Roman" w:eastAsia="Times New Roman" w:hAnsi="Times New Roman" w:cs="Times New Roman"/>
                <w:b/>
                <w:bCs/>
                <w:color w:val="000000"/>
                <w:sz w:val="20"/>
                <w:szCs w:val="20"/>
              </w:rPr>
            </w:pPr>
            <w:r w:rsidRPr="00D84719">
              <w:rPr>
                <w:rFonts w:ascii="Times New Roman" w:eastAsia="Times New Roman" w:hAnsi="Times New Roman" w:cs="Times New Roman"/>
                <w:b/>
                <w:bCs/>
                <w:color w:val="000000"/>
                <w:sz w:val="20"/>
                <w:szCs w:val="20"/>
              </w:rPr>
              <w:t>0,189</w:t>
            </w:r>
          </w:p>
        </w:tc>
        <w:tc>
          <w:tcPr>
            <w:tcW w:w="448" w:type="pct"/>
            <w:shd w:val="clear" w:color="000000" w:fill="auto"/>
            <w:noWrap/>
            <w:vAlign w:val="center"/>
            <w:hideMark/>
          </w:tcPr>
          <w:p w14:paraId="352AEC3C" w14:textId="77777777" w:rsidR="00D84719" w:rsidRPr="00D84719" w:rsidRDefault="00D84719" w:rsidP="00D84719">
            <w:pPr>
              <w:spacing w:after="0" w:line="240" w:lineRule="auto"/>
              <w:jc w:val="both"/>
              <w:rPr>
                <w:rFonts w:ascii="Times New Roman" w:eastAsia="Times New Roman" w:hAnsi="Times New Roman" w:cs="Times New Roman"/>
                <w:b/>
                <w:bCs/>
                <w:color w:val="000000"/>
                <w:sz w:val="20"/>
                <w:szCs w:val="20"/>
              </w:rPr>
            </w:pPr>
            <w:r w:rsidRPr="00D84719">
              <w:rPr>
                <w:rFonts w:ascii="Times New Roman" w:eastAsia="Times New Roman" w:hAnsi="Times New Roman" w:cs="Times New Roman"/>
                <w:b/>
                <w:bCs/>
                <w:color w:val="000000"/>
                <w:sz w:val="20"/>
                <w:szCs w:val="20"/>
              </w:rPr>
              <w:t>0,009</w:t>
            </w:r>
          </w:p>
        </w:tc>
        <w:tc>
          <w:tcPr>
            <w:tcW w:w="603" w:type="pct"/>
            <w:shd w:val="clear" w:color="000000" w:fill="auto"/>
            <w:noWrap/>
            <w:vAlign w:val="center"/>
            <w:hideMark/>
          </w:tcPr>
          <w:p w14:paraId="4AB59330" w14:textId="77777777" w:rsidR="00D84719" w:rsidRPr="00D84719" w:rsidRDefault="00D84719" w:rsidP="00D84719">
            <w:pPr>
              <w:spacing w:after="0" w:line="240" w:lineRule="auto"/>
              <w:jc w:val="both"/>
              <w:rPr>
                <w:rFonts w:ascii="Times New Roman" w:eastAsia="Times New Roman" w:hAnsi="Times New Roman" w:cs="Times New Roman"/>
                <w:b/>
                <w:bCs/>
                <w:color w:val="000000"/>
                <w:sz w:val="20"/>
                <w:szCs w:val="20"/>
              </w:rPr>
            </w:pPr>
            <w:r w:rsidRPr="00D84719">
              <w:rPr>
                <w:rFonts w:ascii="Times New Roman" w:eastAsia="Times New Roman" w:hAnsi="Times New Roman" w:cs="Times New Roman"/>
                <w:b/>
                <w:bCs/>
                <w:color w:val="000000"/>
                <w:sz w:val="20"/>
                <w:szCs w:val="20"/>
              </w:rPr>
              <w:t>1,744</w:t>
            </w:r>
          </w:p>
        </w:tc>
        <w:tc>
          <w:tcPr>
            <w:tcW w:w="508" w:type="pct"/>
            <w:shd w:val="clear" w:color="000000" w:fill="auto"/>
            <w:noWrap/>
            <w:vAlign w:val="center"/>
            <w:hideMark/>
          </w:tcPr>
          <w:p w14:paraId="32DC66AA" w14:textId="77777777" w:rsidR="00D84719" w:rsidRPr="00D84719" w:rsidRDefault="00D84719" w:rsidP="00D84719">
            <w:pPr>
              <w:spacing w:after="0" w:line="240" w:lineRule="auto"/>
              <w:jc w:val="both"/>
              <w:rPr>
                <w:rFonts w:ascii="Times New Roman" w:eastAsia="Times New Roman" w:hAnsi="Times New Roman" w:cs="Times New Roman"/>
                <w:b/>
                <w:bCs/>
                <w:color w:val="000000"/>
                <w:sz w:val="20"/>
                <w:szCs w:val="20"/>
              </w:rPr>
            </w:pPr>
            <w:r w:rsidRPr="00D84719">
              <w:rPr>
                <w:rFonts w:ascii="Times New Roman" w:eastAsia="Times New Roman" w:hAnsi="Times New Roman" w:cs="Times New Roman"/>
                <w:b/>
                <w:bCs/>
                <w:color w:val="000000"/>
                <w:sz w:val="20"/>
                <w:szCs w:val="20"/>
              </w:rPr>
              <w:t>32,769</w:t>
            </w:r>
          </w:p>
        </w:tc>
      </w:tr>
      <w:tr w:rsidR="00D84719" w:rsidRPr="00D84719" w14:paraId="34B5623D" w14:textId="77777777" w:rsidTr="00F831D6">
        <w:trPr>
          <w:trHeight w:val="270"/>
          <w:jc w:val="center"/>
        </w:trPr>
        <w:tc>
          <w:tcPr>
            <w:tcW w:w="335" w:type="pct"/>
            <w:shd w:val="clear" w:color="000000" w:fill="auto"/>
            <w:noWrap/>
            <w:vAlign w:val="center"/>
            <w:hideMark/>
          </w:tcPr>
          <w:p w14:paraId="669F9491" w14:textId="77777777" w:rsidR="00D84719" w:rsidRPr="00D84719" w:rsidRDefault="00D84719" w:rsidP="00D84719">
            <w:pPr>
              <w:spacing w:after="0" w:line="240" w:lineRule="auto"/>
              <w:jc w:val="both"/>
              <w:rPr>
                <w:rFonts w:ascii="Times New Roman" w:eastAsia="Times New Roman" w:hAnsi="Times New Roman" w:cs="Times New Roman"/>
                <w:b/>
                <w:color w:val="000000"/>
                <w:sz w:val="20"/>
                <w:szCs w:val="20"/>
              </w:rPr>
            </w:pPr>
            <w:r w:rsidRPr="00D84719">
              <w:rPr>
                <w:rFonts w:ascii="Times New Roman" w:eastAsia="Times New Roman" w:hAnsi="Times New Roman" w:cs="Times New Roman"/>
                <w:b/>
                <w:color w:val="000000"/>
                <w:sz w:val="20"/>
                <w:szCs w:val="20"/>
              </w:rPr>
              <w:t> </w:t>
            </w:r>
          </w:p>
        </w:tc>
        <w:tc>
          <w:tcPr>
            <w:tcW w:w="2090" w:type="pct"/>
            <w:shd w:val="clear" w:color="000000" w:fill="auto"/>
            <w:noWrap/>
            <w:vAlign w:val="center"/>
            <w:hideMark/>
          </w:tcPr>
          <w:p w14:paraId="13135F90" w14:textId="77777777" w:rsidR="00D84719" w:rsidRPr="00D84719" w:rsidRDefault="00D84719" w:rsidP="00D84719">
            <w:pPr>
              <w:spacing w:after="0" w:line="240" w:lineRule="auto"/>
              <w:jc w:val="both"/>
              <w:rPr>
                <w:rFonts w:ascii="Times New Roman" w:eastAsia="Times New Roman" w:hAnsi="Times New Roman" w:cs="Times New Roman"/>
                <w:b/>
                <w:color w:val="000000"/>
                <w:sz w:val="20"/>
                <w:szCs w:val="20"/>
              </w:rPr>
            </w:pPr>
            <w:r w:rsidRPr="00D84719">
              <w:rPr>
                <w:rFonts w:ascii="Times New Roman" w:eastAsia="Times New Roman" w:hAnsi="Times New Roman" w:cs="Times New Roman"/>
                <w:b/>
                <w:color w:val="000000"/>
                <w:sz w:val="20"/>
                <w:szCs w:val="20"/>
              </w:rPr>
              <w:t>SVEUKUPNO</w:t>
            </w:r>
          </w:p>
        </w:tc>
        <w:tc>
          <w:tcPr>
            <w:tcW w:w="2575" w:type="pct"/>
            <w:gridSpan w:val="5"/>
            <w:shd w:val="clear" w:color="000000" w:fill="auto"/>
            <w:noWrap/>
            <w:vAlign w:val="center"/>
            <w:hideMark/>
          </w:tcPr>
          <w:p w14:paraId="6945C577" w14:textId="77777777" w:rsidR="00D84719" w:rsidRPr="00D84719" w:rsidRDefault="00D84719" w:rsidP="00D84719">
            <w:pPr>
              <w:spacing w:after="0" w:line="240" w:lineRule="auto"/>
              <w:jc w:val="both"/>
              <w:rPr>
                <w:rFonts w:ascii="Times New Roman" w:eastAsia="Times New Roman" w:hAnsi="Times New Roman" w:cs="Times New Roman"/>
                <w:b/>
                <w:bCs/>
                <w:color w:val="000000"/>
                <w:sz w:val="20"/>
                <w:szCs w:val="20"/>
              </w:rPr>
            </w:pPr>
            <w:r w:rsidRPr="00D84719">
              <w:rPr>
                <w:rFonts w:ascii="Times New Roman" w:eastAsia="Times New Roman" w:hAnsi="Times New Roman" w:cs="Times New Roman"/>
                <w:b/>
                <w:bCs/>
                <w:color w:val="000000"/>
                <w:sz w:val="20"/>
                <w:szCs w:val="20"/>
              </w:rPr>
              <w:t>152</w:t>
            </w:r>
          </w:p>
        </w:tc>
      </w:tr>
    </w:tbl>
    <w:p w14:paraId="2D86893D" w14:textId="77777777" w:rsidR="00D84719" w:rsidRPr="00D84719" w:rsidRDefault="00D84719" w:rsidP="000A016F">
      <w:pPr>
        <w:spacing w:before="80" w:line="276" w:lineRule="auto"/>
        <w:jc w:val="both"/>
        <w:rPr>
          <w:rFonts w:ascii="Times New Roman" w:eastAsia="Times New Roman" w:hAnsi="Times New Roman" w:cs="Times New Roman"/>
          <w:color w:val="000000"/>
          <w:lang w:bidi="en-US"/>
        </w:rPr>
      </w:pPr>
    </w:p>
    <w:p w14:paraId="1D4BC327" w14:textId="77777777" w:rsidR="00D84719" w:rsidRPr="00D84719" w:rsidRDefault="00D84719" w:rsidP="00682E97">
      <w:pPr>
        <w:pStyle w:val="Naslov3"/>
      </w:pPr>
      <w:bookmarkStart w:id="120" w:name="_Toc64460718"/>
      <w:r w:rsidRPr="00D84719">
        <w:t>Pregled trenda ispuštanja u okoliš</w:t>
      </w:r>
      <w:bookmarkEnd w:id="120"/>
    </w:p>
    <w:p w14:paraId="7E8A6869"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U Republici Hrvatskoj trenutno ne postoje spalionice komunalnog otpada (u 2002. zatvorena je jedina takva spalionica). Tri cementare posjeduju važeće dozvole za energetsku oporabu nekih vrsta gorivog otpada.</w:t>
      </w:r>
    </w:p>
    <w:p w14:paraId="1ED47BA8" w14:textId="49565A5B" w:rsidR="00D84719" w:rsidRPr="00D84719" w:rsidRDefault="009C020E" w:rsidP="00D84719">
      <w:pPr>
        <w:spacing w:before="80" w:line="276" w:lineRule="auto"/>
        <w:jc w:val="both"/>
        <w:rPr>
          <w:rFonts w:ascii="Times New Roman" w:eastAsia="Times New Roman" w:hAnsi="Times New Roman" w:cs="Times New Roman"/>
          <w:color w:val="000000"/>
          <w:sz w:val="24"/>
          <w:szCs w:val="24"/>
        </w:rPr>
      </w:pPr>
      <w:r w:rsidRPr="009C020E">
        <w:rPr>
          <w:rFonts w:ascii="Times New Roman" w:eastAsia="Times New Roman" w:hAnsi="Times New Roman" w:cs="Times New Roman"/>
          <w:color w:val="000000"/>
          <w:sz w:val="24"/>
          <w:szCs w:val="24"/>
        </w:rPr>
        <w:t>Proizvodnja metala u Republici Hrvatskoj</w:t>
      </w:r>
      <w:r w:rsidRPr="009C020E" w:rsidDel="009C020E">
        <w:rPr>
          <w:rFonts w:ascii="Times New Roman" w:eastAsia="Times New Roman" w:hAnsi="Times New Roman" w:cs="Times New Roman"/>
          <w:color w:val="000000"/>
          <w:sz w:val="24"/>
          <w:szCs w:val="24"/>
        </w:rPr>
        <w:t xml:space="preserve"> </w:t>
      </w:r>
      <w:r w:rsidR="00D84719" w:rsidRPr="00D84719">
        <w:rPr>
          <w:rFonts w:ascii="Times New Roman" w:eastAsia="Times New Roman" w:hAnsi="Times New Roman" w:cs="Times New Roman"/>
          <w:color w:val="000000"/>
          <w:sz w:val="24"/>
          <w:szCs w:val="24"/>
        </w:rPr>
        <w:t xml:space="preserve">obuhvaća proizvodnju čelika, šavnih i bešavnih čeličnih cijevi, armatura, valjanih žica, žičanih mreža za građevinske radove i lijevanje metala. Primarna proizvodnja sirovog željeza proizvedenog u visokim pećima je postojala do 1992.. Treba napomenuti da je 1990. i 1991. potrebna količina </w:t>
      </w:r>
      <w:proofErr w:type="spellStart"/>
      <w:r w:rsidR="00D84719" w:rsidRPr="00D84719">
        <w:rPr>
          <w:rFonts w:ascii="Times New Roman" w:eastAsia="Times New Roman" w:hAnsi="Times New Roman" w:cs="Times New Roman"/>
          <w:color w:val="000000"/>
          <w:sz w:val="24"/>
          <w:szCs w:val="24"/>
        </w:rPr>
        <w:t>sintera</w:t>
      </w:r>
      <w:proofErr w:type="spellEnd"/>
      <w:r w:rsidR="00D84719" w:rsidRPr="00D84719">
        <w:rPr>
          <w:rFonts w:ascii="Times New Roman" w:eastAsia="Times New Roman" w:hAnsi="Times New Roman" w:cs="Times New Roman"/>
          <w:color w:val="000000"/>
          <w:sz w:val="24"/>
          <w:szCs w:val="24"/>
        </w:rPr>
        <w:t xml:space="preserve"> i peleta potrebnih za proizvodnju sirovog željeza uvezena iz inozemstva, tako da ove aktivnosti nisu bile prisutne u Republici Hrvatskoj u to vrijeme. Čelik se proizvodio postupkom u pećima s otvorenim izgaranjem Siemens </w:t>
      </w:r>
      <w:proofErr w:type="spellStart"/>
      <w:r w:rsidR="00D84719" w:rsidRPr="00D84719">
        <w:rPr>
          <w:rFonts w:ascii="Times New Roman" w:eastAsia="Times New Roman" w:hAnsi="Times New Roman" w:cs="Times New Roman"/>
          <w:color w:val="000000"/>
          <w:sz w:val="24"/>
          <w:szCs w:val="24"/>
        </w:rPr>
        <w:t>Marten</w:t>
      </w:r>
      <w:proofErr w:type="spellEnd"/>
      <w:r w:rsidR="00D84719" w:rsidRPr="00D84719">
        <w:rPr>
          <w:rFonts w:ascii="Times New Roman" w:eastAsia="Times New Roman" w:hAnsi="Times New Roman" w:cs="Times New Roman"/>
          <w:color w:val="000000"/>
          <w:sz w:val="24"/>
          <w:szCs w:val="24"/>
        </w:rPr>
        <w:t xml:space="preserve"> do 1991</w:t>
      </w:r>
      <w:r w:rsidR="005C26BD">
        <w:rPr>
          <w:rFonts w:ascii="Times New Roman" w:eastAsia="Times New Roman" w:hAnsi="Times New Roman" w:cs="Times New Roman"/>
          <w:color w:val="000000"/>
          <w:sz w:val="24"/>
          <w:szCs w:val="24"/>
        </w:rPr>
        <w:t>.</w:t>
      </w:r>
      <w:r w:rsidR="00D84719" w:rsidRPr="00D84719">
        <w:rPr>
          <w:rFonts w:ascii="Times New Roman" w:eastAsia="Times New Roman" w:hAnsi="Times New Roman" w:cs="Times New Roman"/>
          <w:color w:val="000000"/>
          <w:sz w:val="24"/>
          <w:szCs w:val="24"/>
        </w:rPr>
        <w:t xml:space="preserve"> i postupkom elektrolučnih peći, koji je još uvijek prisutan u Republici Hrvatskoj. U Republici Hrvatskoj postoje dva proizvođača čelika. Postojao je samo jedan objekt za primarnu proizvodnju aluminija, zatvoren tijekom 1991..</w:t>
      </w:r>
    </w:p>
    <w:p w14:paraId="5898AB14"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Sustav gospodarenja otpadom je uspostavljen, a provedba integriranog sustava gospodarenja otpadom osigurava se primjenom i ispunjavanjem ciljeva definiranih Zakonom o održivom gospodarenju otpadom („Narodne novine“, br. 94/13, 73/17, 14/19, 98/19), Strategijom gospodarenja otpadom („Narodne novine“, broj 130/05) i Planom gospodarenja otpadom u Republici Hrvatskoj za razdoblje 2017.–2022. („Narodne novine“, broj 03/17).</w:t>
      </w:r>
    </w:p>
    <w:p w14:paraId="73E8104E" w14:textId="567D963D"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Kako bi se prikazao trend emisija, ista metodologija za proračun emisije PCDD/PCDF-a korištena je u 2007., 2009., 2011., 2013., 2015. i 2017</w:t>
      </w:r>
      <w:r w:rsidR="004C449C">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 Ukupne emisije PCDD/PCDF po kategoriji izvora za spomenute godine prikazane su u tablicama 3-4.5.– 3-4.10.</w:t>
      </w:r>
    </w:p>
    <w:p w14:paraId="28C66BB6" w14:textId="68CA45B4"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Proračuni emisija PCDD/PCDF-a za 2007., 2009., 2011. i 2013</w:t>
      </w:r>
      <w:r w:rsidR="004C449C">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 xml:space="preserve"> preuzeti su iz Drugog NIP-a.</w:t>
      </w:r>
    </w:p>
    <w:p w14:paraId="5F1EE3D5" w14:textId="08CF6B69" w:rsidR="00D84719" w:rsidRPr="00D84719" w:rsidRDefault="00D84719" w:rsidP="00D84719">
      <w:pPr>
        <w:spacing w:before="80" w:line="276" w:lineRule="auto"/>
        <w:jc w:val="both"/>
        <w:rPr>
          <w:rFonts w:ascii="Times New Roman" w:eastAsia="Times New Roman" w:hAnsi="Times New Roman" w:cs="Times New Roman"/>
          <w:sz w:val="24"/>
          <w:szCs w:val="24"/>
        </w:rPr>
      </w:pPr>
      <w:r w:rsidRPr="00D84719">
        <w:rPr>
          <w:rFonts w:ascii="Times New Roman" w:eastAsia="Times New Roman" w:hAnsi="Times New Roman" w:cs="Times New Roman"/>
          <w:sz w:val="24"/>
          <w:szCs w:val="24"/>
        </w:rPr>
        <w:t>Proračuni emisija za 2015. i 2017</w:t>
      </w:r>
      <w:r w:rsidR="004C449C">
        <w:rPr>
          <w:rFonts w:ascii="Times New Roman" w:eastAsia="Times New Roman" w:hAnsi="Times New Roman" w:cs="Times New Roman"/>
          <w:sz w:val="24"/>
          <w:szCs w:val="24"/>
        </w:rPr>
        <w:t>.</w:t>
      </w:r>
      <w:r w:rsidRPr="00D84719">
        <w:rPr>
          <w:rFonts w:ascii="Times New Roman" w:eastAsia="Times New Roman" w:hAnsi="Times New Roman" w:cs="Times New Roman"/>
          <w:sz w:val="24"/>
          <w:szCs w:val="24"/>
        </w:rPr>
        <w:t>, kao i prethodni proračuni emisija provedeni su pomoću Vodiča, a podacima grupama onečišćivača preuzeti su od:</w:t>
      </w:r>
    </w:p>
    <w:p w14:paraId="3F173D7E" w14:textId="77777777" w:rsidR="00D84719" w:rsidRPr="00D84719" w:rsidRDefault="00D84719" w:rsidP="00F61CE7">
      <w:pPr>
        <w:numPr>
          <w:ilvl w:val="0"/>
          <w:numId w:val="19"/>
        </w:numPr>
        <w:tabs>
          <w:tab w:val="left" w:pos="1755"/>
        </w:tabs>
        <w:autoSpaceDE w:val="0"/>
        <w:autoSpaceDN w:val="0"/>
        <w:adjustRightInd w:val="0"/>
        <w:spacing w:before="80" w:after="0" w:line="240" w:lineRule="auto"/>
        <w:jc w:val="both"/>
        <w:rPr>
          <w:rFonts w:ascii="Times New Roman" w:eastAsia="Calibri" w:hAnsi="Times New Roman" w:cs="Times New Roman"/>
          <w:sz w:val="24"/>
          <w:szCs w:val="24"/>
        </w:rPr>
      </w:pPr>
      <w:r w:rsidRPr="00D84719">
        <w:rPr>
          <w:rFonts w:ascii="Times New Roman" w:eastAsia="Calibri" w:hAnsi="Times New Roman" w:cs="Times New Roman"/>
          <w:sz w:val="24"/>
          <w:szCs w:val="24"/>
        </w:rPr>
        <w:t>PC AXIS baze podataka, DZS</w:t>
      </w:r>
    </w:p>
    <w:p w14:paraId="799EDFD0" w14:textId="77777777" w:rsidR="00D84719" w:rsidRPr="00D84719" w:rsidRDefault="00D84719" w:rsidP="00F61CE7">
      <w:pPr>
        <w:numPr>
          <w:ilvl w:val="0"/>
          <w:numId w:val="19"/>
        </w:numPr>
        <w:tabs>
          <w:tab w:val="left" w:pos="1755"/>
        </w:tabs>
        <w:autoSpaceDE w:val="0"/>
        <w:autoSpaceDN w:val="0"/>
        <w:adjustRightInd w:val="0"/>
        <w:spacing w:before="80" w:after="0" w:line="240" w:lineRule="auto"/>
        <w:jc w:val="both"/>
        <w:rPr>
          <w:rFonts w:ascii="Times New Roman" w:eastAsia="Calibri" w:hAnsi="Times New Roman" w:cs="Times New Roman"/>
          <w:sz w:val="24"/>
          <w:szCs w:val="24"/>
        </w:rPr>
      </w:pPr>
      <w:r w:rsidRPr="00D84719">
        <w:rPr>
          <w:rFonts w:ascii="Times New Roman" w:eastAsia="Calibri" w:hAnsi="Times New Roman" w:cs="Times New Roman"/>
          <w:sz w:val="24"/>
          <w:szCs w:val="24"/>
        </w:rPr>
        <w:t>Publikacije HZJZ</w:t>
      </w:r>
    </w:p>
    <w:p w14:paraId="5EFD34FB" w14:textId="77777777" w:rsidR="00D84719" w:rsidRPr="00D84719" w:rsidRDefault="00D84719" w:rsidP="00F61CE7">
      <w:pPr>
        <w:numPr>
          <w:ilvl w:val="0"/>
          <w:numId w:val="19"/>
        </w:numPr>
        <w:tabs>
          <w:tab w:val="left" w:pos="1755"/>
        </w:tabs>
        <w:autoSpaceDE w:val="0"/>
        <w:autoSpaceDN w:val="0"/>
        <w:adjustRightInd w:val="0"/>
        <w:spacing w:before="80" w:after="0" w:line="240" w:lineRule="auto"/>
        <w:jc w:val="both"/>
        <w:rPr>
          <w:rFonts w:ascii="Times New Roman" w:eastAsia="Calibri" w:hAnsi="Times New Roman" w:cs="Times New Roman"/>
          <w:sz w:val="24"/>
          <w:szCs w:val="24"/>
        </w:rPr>
      </w:pPr>
      <w:r w:rsidRPr="00D84719">
        <w:rPr>
          <w:rFonts w:ascii="Times New Roman" w:eastAsia="Calibri" w:hAnsi="Times New Roman" w:cs="Times New Roman"/>
          <w:sz w:val="24"/>
          <w:szCs w:val="24"/>
        </w:rPr>
        <w:lastRenderedPageBreak/>
        <w:t xml:space="preserve">Baze podataka (ROO i RPOT/OPVN) ZZOP </w:t>
      </w:r>
    </w:p>
    <w:p w14:paraId="32E67C4B" w14:textId="77777777" w:rsidR="00D84719" w:rsidRPr="00D84719" w:rsidRDefault="00D84719" w:rsidP="00F61CE7">
      <w:pPr>
        <w:numPr>
          <w:ilvl w:val="0"/>
          <w:numId w:val="19"/>
        </w:numPr>
        <w:tabs>
          <w:tab w:val="left" w:pos="1755"/>
        </w:tabs>
        <w:autoSpaceDE w:val="0"/>
        <w:autoSpaceDN w:val="0"/>
        <w:adjustRightInd w:val="0"/>
        <w:spacing w:before="80" w:after="0" w:line="240" w:lineRule="auto"/>
        <w:jc w:val="both"/>
        <w:rPr>
          <w:rFonts w:ascii="Times New Roman" w:eastAsia="Calibri" w:hAnsi="Times New Roman" w:cs="Times New Roman"/>
          <w:sz w:val="24"/>
          <w:szCs w:val="24"/>
        </w:rPr>
      </w:pPr>
      <w:r w:rsidRPr="00D84719">
        <w:rPr>
          <w:rFonts w:ascii="Times New Roman" w:eastAsia="Calibri" w:hAnsi="Times New Roman" w:cs="Times New Roman"/>
          <w:sz w:val="24"/>
          <w:szCs w:val="24"/>
        </w:rPr>
        <w:t>Godišnja izvješća o praćenju emisija onečišćujućih tvari u zrak iz nepokretnih izvora ZZOP</w:t>
      </w:r>
    </w:p>
    <w:p w14:paraId="4F3B0D6E" w14:textId="77777777" w:rsidR="00D84719" w:rsidRPr="00D84719" w:rsidRDefault="00D84719" w:rsidP="00F61CE7">
      <w:pPr>
        <w:numPr>
          <w:ilvl w:val="0"/>
          <w:numId w:val="19"/>
        </w:numPr>
        <w:tabs>
          <w:tab w:val="left" w:pos="1755"/>
        </w:tabs>
        <w:autoSpaceDE w:val="0"/>
        <w:autoSpaceDN w:val="0"/>
        <w:adjustRightInd w:val="0"/>
        <w:spacing w:before="80" w:after="0" w:line="240" w:lineRule="auto"/>
        <w:jc w:val="both"/>
        <w:rPr>
          <w:rFonts w:ascii="Times New Roman" w:eastAsia="Calibri" w:hAnsi="Times New Roman" w:cs="Times New Roman"/>
          <w:sz w:val="24"/>
          <w:szCs w:val="24"/>
        </w:rPr>
      </w:pPr>
      <w:r w:rsidRPr="00D84719">
        <w:rPr>
          <w:rFonts w:ascii="Times New Roman" w:eastAsia="Calibri" w:hAnsi="Times New Roman" w:cs="Times New Roman"/>
          <w:sz w:val="24"/>
          <w:szCs w:val="24"/>
        </w:rPr>
        <w:t>Očevidnik uporabnih dozvola i rješenja o objedinjenim uvjetima zaštite okoliša ZZOP</w:t>
      </w:r>
    </w:p>
    <w:p w14:paraId="277F1A0B" w14:textId="77777777" w:rsidR="00D84719" w:rsidRPr="00D84719" w:rsidRDefault="00D84719" w:rsidP="00F61CE7">
      <w:pPr>
        <w:numPr>
          <w:ilvl w:val="0"/>
          <w:numId w:val="19"/>
        </w:numPr>
        <w:tabs>
          <w:tab w:val="left" w:pos="1755"/>
        </w:tabs>
        <w:autoSpaceDE w:val="0"/>
        <w:autoSpaceDN w:val="0"/>
        <w:adjustRightInd w:val="0"/>
        <w:spacing w:before="80" w:after="0" w:line="240" w:lineRule="auto"/>
        <w:jc w:val="both"/>
        <w:rPr>
          <w:rFonts w:ascii="Times New Roman" w:eastAsia="Calibri" w:hAnsi="Times New Roman" w:cs="Times New Roman"/>
          <w:sz w:val="24"/>
          <w:szCs w:val="24"/>
        </w:rPr>
      </w:pPr>
      <w:r w:rsidRPr="00D84719">
        <w:rPr>
          <w:rFonts w:ascii="Times New Roman" w:eastAsia="Calibri" w:hAnsi="Times New Roman" w:cs="Times New Roman"/>
          <w:sz w:val="24"/>
          <w:szCs w:val="24"/>
        </w:rPr>
        <w:t>Registar dozvola i potvrda za gospodarenje otpadom ZZOP</w:t>
      </w:r>
    </w:p>
    <w:p w14:paraId="5216CCBF" w14:textId="77777777" w:rsidR="00D84719" w:rsidRPr="00D84719" w:rsidRDefault="00D84719" w:rsidP="00F61CE7">
      <w:pPr>
        <w:numPr>
          <w:ilvl w:val="0"/>
          <w:numId w:val="19"/>
        </w:numPr>
        <w:tabs>
          <w:tab w:val="left" w:pos="1755"/>
        </w:tabs>
        <w:autoSpaceDE w:val="0"/>
        <w:autoSpaceDN w:val="0"/>
        <w:adjustRightInd w:val="0"/>
        <w:spacing w:before="80" w:after="0" w:line="240" w:lineRule="auto"/>
        <w:jc w:val="both"/>
        <w:rPr>
          <w:rFonts w:ascii="Times New Roman" w:eastAsia="Calibri" w:hAnsi="Times New Roman" w:cs="Times New Roman"/>
          <w:sz w:val="24"/>
          <w:szCs w:val="24"/>
        </w:rPr>
      </w:pPr>
      <w:r w:rsidRPr="00D84719">
        <w:rPr>
          <w:rFonts w:ascii="Times New Roman" w:eastAsia="Calibri" w:hAnsi="Times New Roman" w:cs="Times New Roman"/>
          <w:sz w:val="24"/>
          <w:szCs w:val="24"/>
        </w:rPr>
        <w:t>Izvješća o komunalnom otpadu ZZOP</w:t>
      </w:r>
    </w:p>
    <w:p w14:paraId="4FB9906E" w14:textId="77777777" w:rsidR="00D84719" w:rsidRPr="00D84719" w:rsidRDefault="00D84719" w:rsidP="00F61CE7">
      <w:pPr>
        <w:numPr>
          <w:ilvl w:val="0"/>
          <w:numId w:val="19"/>
        </w:numPr>
        <w:tabs>
          <w:tab w:val="left" w:pos="1755"/>
        </w:tabs>
        <w:autoSpaceDE w:val="0"/>
        <w:autoSpaceDN w:val="0"/>
        <w:adjustRightInd w:val="0"/>
        <w:spacing w:before="80" w:after="0" w:line="240" w:lineRule="auto"/>
        <w:jc w:val="both"/>
        <w:rPr>
          <w:rFonts w:ascii="Times New Roman" w:eastAsia="Calibri" w:hAnsi="Times New Roman" w:cs="Times New Roman"/>
          <w:sz w:val="24"/>
          <w:szCs w:val="24"/>
        </w:rPr>
      </w:pPr>
      <w:r w:rsidRPr="00D84719">
        <w:rPr>
          <w:rFonts w:ascii="Times New Roman" w:eastAsia="Calibri" w:hAnsi="Times New Roman" w:cs="Times New Roman"/>
          <w:sz w:val="24"/>
          <w:szCs w:val="24"/>
        </w:rPr>
        <w:t>Pregled podataka o odlaganju i odlagalištima otpada ZZOP</w:t>
      </w:r>
    </w:p>
    <w:p w14:paraId="1CE6AC05" w14:textId="77777777" w:rsidR="00D84719" w:rsidRPr="00D84719" w:rsidRDefault="00D84719" w:rsidP="00F61CE7">
      <w:pPr>
        <w:numPr>
          <w:ilvl w:val="0"/>
          <w:numId w:val="19"/>
        </w:numPr>
        <w:tabs>
          <w:tab w:val="left" w:pos="1755"/>
        </w:tabs>
        <w:autoSpaceDE w:val="0"/>
        <w:autoSpaceDN w:val="0"/>
        <w:adjustRightInd w:val="0"/>
        <w:spacing w:before="80" w:after="0" w:line="240" w:lineRule="auto"/>
        <w:jc w:val="both"/>
        <w:rPr>
          <w:rFonts w:ascii="Times New Roman" w:eastAsia="Calibri" w:hAnsi="Times New Roman" w:cs="Times New Roman"/>
          <w:sz w:val="24"/>
          <w:szCs w:val="24"/>
        </w:rPr>
      </w:pPr>
      <w:r w:rsidRPr="00D84719">
        <w:rPr>
          <w:rFonts w:ascii="Times New Roman" w:eastAsia="Calibri" w:hAnsi="Times New Roman" w:cs="Times New Roman"/>
          <w:sz w:val="24"/>
          <w:szCs w:val="24"/>
        </w:rPr>
        <w:t>Očevidnik uporabnih dozvola i rješenja o objedinjenim uvjetima zaštite okoliša ZZOP</w:t>
      </w:r>
    </w:p>
    <w:p w14:paraId="58621069" w14:textId="77777777" w:rsidR="00D84719" w:rsidRPr="00D84719" w:rsidRDefault="00D84719" w:rsidP="00F61CE7">
      <w:pPr>
        <w:numPr>
          <w:ilvl w:val="0"/>
          <w:numId w:val="19"/>
        </w:numPr>
        <w:tabs>
          <w:tab w:val="left" w:pos="1755"/>
        </w:tabs>
        <w:autoSpaceDE w:val="0"/>
        <w:autoSpaceDN w:val="0"/>
        <w:adjustRightInd w:val="0"/>
        <w:spacing w:before="80" w:after="0" w:line="240" w:lineRule="auto"/>
        <w:jc w:val="both"/>
        <w:rPr>
          <w:rFonts w:ascii="Times New Roman" w:eastAsia="Calibri" w:hAnsi="Times New Roman" w:cs="Times New Roman"/>
          <w:sz w:val="24"/>
          <w:szCs w:val="24"/>
        </w:rPr>
      </w:pPr>
      <w:r w:rsidRPr="00D84719">
        <w:rPr>
          <w:rFonts w:ascii="Times New Roman" w:eastAsia="Calibri" w:hAnsi="Times New Roman" w:cs="Times New Roman"/>
          <w:sz w:val="24"/>
          <w:szCs w:val="24"/>
        </w:rPr>
        <w:t>Energija u Hrvatskoj: Godišnji energetski pregled, MINGO</w:t>
      </w:r>
    </w:p>
    <w:p w14:paraId="451C68C2" w14:textId="77777777" w:rsidR="00D84719" w:rsidRPr="00D84719" w:rsidRDefault="00D84719" w:rsidP="00F61CE7">
      <w:pPr>
        <w:numPr>
          <w:ilvl w:val="0"/>
          <w:numId w:val="19"/>
        </w:numPr>
        <w:tabs>
          <w:tab w:val="left" w:pos="1755"/>
        </w:tabs>
        <w:autoSpaceDE w:val="0"/>
        <w:autoSpaceDN w:val="0"/>
        <w:adjustRightInd w:val="0"/>
        <w:spacing w:before="80" w:after="0" w:line="240" w:lineRule="auto"/>
        <w:jc w:val="both"/>
        <w:rPr>
          <w:rFonts w:ascii="Times New Roman" w:eastAsia="Calibri" w:hAnsi="Times New Roman" w:cs="Times New Roman"/>
          <w:sz w:val="24"/>
          <w:szCs w:val="24"/>
        </w:rPr>
      </w:pPr>
      <w:r w:rsidRPr="00D84719">
        <w:rPr>
          <w:rFonts w:ascii="Times New Roman" w:eastAsia="Calibri" w:hAnsi="Times New Roman" w:cs="Times New Roman"/>
          <w:sz w:val="24"/>
          <w:szCs w:val="24"/>
        </w:rPr>
        <w:t>Godišnja energetska statistika, DZS.</w:t>
      </w:r>
    </w:p>
    <w:p w14:paraId="6DEBA16E"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p>
    <w:p w14:paraId="039CF9B1" w14:textId="2C6394DA" w:rsidR="00D84719" w:rsidRPr="00D84719" w:rsidRDefault="00D84719" w:rsidP="00D84719">
      <w:pPr>
        <w:keepNext/>
        <w:spacing w:before="80" w:after="0" w:line="276" w:lineRule="auto"/>
        <w:jc w:val="both"/>
        <w:rPr>
          <w:rFonts w:ascii="Times New Roman" w:eastAsia="Times New Roman" w:hAnsi="Times New Roman" w:cs="Times New Roman"/>
          <w:b/>
          <w:bCs/>
          <w:i/>
          <w:sz w:val="20"/>
          <w:szCs w:val="20"/>
        </w:rPr>
      </w:pPr>
      <w:r w:rsidRPr="00D84719">
        <w:rPr>
          <w:rFonts w:ascii="Times New Roman" w:eastAsia="Times New Roman" w:hAnsi="Times New Roman" w:cs="Times New Roman"/>
          <w:b/>
          <w:bCs/>
          <w:i/>
          <w:sz w:val="20"/>
          <w:szCs w:val="20"/>
        </w:rPr>
        <w:t xml:space="preserve">Tablica </w:t>
      </w:r>
      <w:r w:rsidRPr="00D84719">
        <w:rPr>
          <w:rFonts w:ascii="Times New Roman" w:eastAsia="Times New Roman" w:hAnsi="Times New Roman" w:cs="Times New Roman"/>
          <w:b/>
          <w:bCs/>
          <w:i/>
          <w:sz w:val="20"/>
          <w:szCs w:val="20"/>
        </w:rPr>
        <w:fldChar w:fldCharType="begin"/>
      </w:r>
      <w:r w:rsidRPr="00D84719">
        <w:rPr>
          <w:rFonts w:ascii="Times New Roman" w:eastAsia="Times New Roman" w:hAnsi="Times New Roman" w:cs="Times New Roman"/>
          <w:b/>
          <w:bCs/>
          <w:i/>
          <w:sz w:val="20"/>
          <w:szCs w:val="20"/>
        </w:rPr>
        <w:instrText xml:space="preserve"> STYLEREF 2 \s </w:instrText>
      </w:r>
      <w:r w:rsidRPr="00D84719">
        <w:rPr>
          <w:rFonts w:ascii="Times New Roman" w:eastAsia="Times New Roman" w:hAnsi="Times New Roman" w:cs="Times New Roman"/>
          <w:b/>
          <w:bCs/>
          <w:i/>
          <w:sz w:val="20"/>
          <w:szCs w:val="20"/>
        </w:rPr>
        <w:fldChar w:fldCharType="separate"/>
      </w:r>
      <w:r w:rsidRPr="00D84719">
        <w:rPr>
          <w:rFonts w:ascii="Times New Roman" w:eastAsia="Times New Roman" w:hAnsi="Times New Roman" w:cs="Times New Roman"/>
          <w:b/>
          <w:bCs/>
          <w:i/>
          <w:sz w:val="20"/>
          <w:szCs w:val="20"/>
        </w:rPr>
        <w:t>3.4</w:t>
      </w:r>
      <w:r w:rsidRPr="00D84719">
        <w:rPr>
          <w:rFonts w:ascii="Times New Roman" w:eastAsia="Times New Roman" w:hAnsi="Times New Roman" w:cs="Times New Roman"/>
          <w:b/>
          <w:bCs/>
          <w:i/>
          <w:sz w:val="20"/>
          <w:szCs w:val="20"/>
        </w:rPr>
        <w:fldChar w:fldCharType="end"/>
      </w:r>
      <w:r w:rsidRPr="00D84719">
        <w:rPr>
          <w:rFonts w:ascii="Times New Roman" w:eastAsia="Times New Roman" w:hAnsi="Times New Roman" w:cs="Times New Roman"/>
          <w:b/>
          <w:bCs/>
          <w:i/>
          <w:sz w:val="20"/>
          <w:szCs w:val="20"/>
        </w:rPr>
        <w:noBreakHyphen/>
        <w:t>5: Ukupne emisije PCDD/PCDF-a prema glavnim kategorijama u 2007</w:t>
      </w:r>
      <w:r w:rsidR="004C449C">
        <w:rPr>
          <w:rFonts w:ascii="Times New Roman" w:eastAsia="Times New Roman" w:hAnsi="Times New Roman" w:cs="Times New Roman"/>
          <w:b/>
          <w:bCs/>
          <w:i/>
          <w:sz w:val="20"/>
          <w:szCs w:val="20"/>
        </w:rPr>
        <w:t>.</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733"/>
        <w:gridCol w:w="3829"/>
        <w:gridCol w:w="842"/>
        <w:gridCol w:w="844"/>
        <w:gridCol w:w="842"/>
        <w:gridCol w:w="981"/>
        <w:gridCol w:w="981"/>
      </w:tblGrid>
      <w:tr w:rsidR="00D84719" w:rsidRPr="00D84719" w14:paraId="1AFA23FA" w14:textId="77777777" w:rsidTr="00D84719">
        <w:trPr>
          <w:trHeight w:val="300"/>
          <w:tblHeader/>
          <w:jc w:val="center"/>
        </w:trPr>
        <w:tc>
          <w:tcPr>
            <w:tcW w:w="405" w:type="pct"/>
            <w:vMerge w:val="restart"/>
            <w:shd w:val="clear" w:color="auto" w:fill="D9D9D9"/>
            <w:noWrap/>
            <w:vAlign w:val="center"/>
            <w:hideMark/>
          </w:tcPr>
          <w:p w14:paraId="3823B12D" w14:textId="77777777" w:rsidR="00D84719" w:rsidRPr="00D84719" w:rsidRDefault="00D84719" w:rsidP="00D84719">
            <w:pPr>
              <w:spacing w:after="0" w:line="240" w:lineRule="auto"/>
              <w:jc w:val="center"/>
              <w:rPr>
                <w:rFonts w:ascii="Times New Roman" w:eastAsia="Times New Roman" w:hAnsi="Times New Roman" w:cs="Times New Roman"/>
                <w:b/>
                <w:color w:val="000000"/>
                <w:sz w:val="20"/>
                <w:szCs w:val="20"/>
                <w:lang w:eastAsia="hr-HR"/>
              </w:rPr>
            </w:pPr>
            <w:r w:rsidRPr="00D84719">
              <w:rPr>
                <w:rFonts w:ascii="Times New Roman" w:eastAsia="Times New Roman" w:hAnsi="Times New Roman" w:cs="Times New Roman"/>
                <w:b/>
                <w:color w:val="000000"/>
                <w:sz w:val="20"/>
                <w:szCs w:val="20"/>
                <w:lang w:eastAsia="hr-HR"/>
              </w:rPr>
              <w:t>Br.</w:t>
            </w:r>
          </w:p>
        </w:tc>
        <w:tc>
          <w:tcPr>
            <w:tcW w:w="2115" w:type="pct"/>
            <w:vMerge w:val="restart"/>
            <w:shd w:val="clear" w:color="auto" w:fill="D9D9D9"/>
            <w:noWrap/>
            <w:vAlign w:val="center"/>
            <w:hideMark/>
          </w:tcPr>
          <w:p w14:paraId="4C50D5D3" w14:textId="77777777" w:rsidR="00D84719" w:rsidRPr="00D84719" w:rsidRDefault="00D84719" w:rsidP="00D84719">
            <w:pPr>
              <w:spacing w:after="0" w:line="240" w:lineRule="auto"/>
              <w:jc w:val="center"/>
              <w:rPr>
                <w:rFonts w:ascii="Times New Roman" w:eastAsia="Times New Roman" w:hAnsi="Times New Roman" w:cs="Times New Roman"/>
                <w:b/>
                <w:color w:val="000000"/>
                <w:sz w:val="20"/>
                <w:szCs w:val="20"/>
                <w:lang w:eastAsia="hr-HR"/>
              </w:rPr>
            </w:pPr>
            <w:r w:rsidRPr="00D84719">
              <w:rPr>
                <w:rFonts w:ascii="Times New Roman" w:eastAsia="Times New Roman" w:hAnsi="Times New Roman" w:cs="Times New Roman"/>
                <w:b/>
                <w:color w:val="000000"/>
                <w:sz w:val="20"/>
                <w:szCs w:val="20"/>
              </w:rPr>
              <w:t>Grupe izvora</w:t>
            </w:r>
          </w:p>
        </w:tc>
        <w:tc>
          <w:tcPr>
            <w:tcW w:w="2480" w:type="pct"/>
            <w:gridSpan w:val="5"/>
            <w:shd w:val="clear" w:color="auto" w:fill="D9D9D9"/>
            <w:noWrap/>
            <w:vAlign w:val="center"/>
            <w:hideMark/>
          </w:tcPr>
          <w:p w14:paraId="5427EE9F" w14:textId="77777777" w:rsidR="00D84719" w:rsidRPr="00D84719" w:rsidRDefault="00D84719" w:rsidP="00D84719">
            <w:pPr>
              <w:spacing w:after="0" w:line="240" w:lineRule="auto"/>
              <w:jc w:val="center"/>
              <w:rPr>
                <w:rFonts w:ascii="Times New Roman" w:eastAsia="Times New Roman" w:hAnsi="Times New Roman" w:cs="Times New Roman"/>
                <w:b/>
                <w:color w:val="000000"/>
                <w:sz w:val="20"/>
                <w:szCs w:val="20"/>
                <w:lang w:eastAsia="hr-HR"/>
              </w:rPr>
            </w:pPr>
            <w:r w:rsidRPr="00D84719">
              <w:rPr>
                <w:rFonts w:ascii="Times New Roman" w:eastAsia="Times New Roman" w:hAnsi="Times New Roman" w:cs="Times New Roman"/>
                <w:b/>
                <w:color w:val="000000"/>
                <w:sz w:val="20"/>
                <w:szCs w:val="20"/>
                <w:lang w:eastAsia="hr-HR"/>
              </w:rPr>
              <w:t>Godišnje ispuštanje (g TEQ godina</w:t>
            </w:r>
            <w:r w:rsidRPr="00D84719">
              <w:rPr>
                <w:rFonts w:ascii="Times New Roman" w:eastAsia="Times New Roman" w:hAnsi="Times New Roman" w:cs="Times New Roman"/>
                <w:b/>
                <w:color w:val="000000"/>
                <w:sz w:val="20"/>
                <w:szCs w:val="20"/>
                <w:vertAlign w:val="superscript"/>
                <w:lang w:eastAsia="hr-HR"/>
              </w:rPr>
              <w:t>-1</w:t>
            </w:r>
            <w:r w:rsidRPr="00D84719">
              <w:rPr>
                <w:rFonts w:ascii="Times New Roman" w:eastAsia="Times New Roman" w:hAnsi="Times New Roman" w:cs="Times New Roman"/>
                <w:b/>
                <w:color w:val="000000"/>
                <w:sz w:val="20"/>
                <w:szCs w:val="20"/>
                <w:lang w:eastAsia="hr-HR"/>
              </w:rPr>
              <w:t>)</w:t>
            </w:r>
          </w:p>
        </w:tc>
      </w:tr>
      <w:tr w:rsidR="00D84719" w:rsidRPr="00D84719" w14:paraId="73BF9543" w14:textId="77777777" w:rsidTr="00D84719">
        <w:trPr>
          <w:trHeight w:val="315"/>
          <w:tblHeader/>
          <w:jc w:val="center"/>
        </w:trPr>
        <w:tc>
          <w:tcPr>
            <w:tcW w:w="405" w:type="pct"/>
            <w:vMerge/>
            <w:shd w:val="clear" w:color="auto" w:fill="D9D9D9"/>
            <w:noWrap/>
            <w:vAlign w:val="center"/>
            <w:hideMark/>
          </w:tcPr>
          <w:p w14:paraId="0942FBF9" w14:textId="77777777" w:rsidR="00D84719" w:rsidRPr="00D84719" w:rsidRDefault="00D84719" w:rsidP="00D84719">
            <w:pPr>
              <w:spacing w:after="0" w:line="240" w:lineRule="auto"/>
              <w:jc w:val="center"/>
              <w:rPr>
                <w:rFonts w:ascii="Times New Roman" w:eastAsia="Times New Roman" w:hAnsi="Times New Roman" w:cs="Times New Roman"/>
                <w:b/>
                <w:color w:val="000000"/>
                <w:sz w:val="20"/>
                <w:szCs w:val="20"/>
                <w:lang w:eastAsia="hr-HR"/>
              </w:rPr>
            </w:pPr>
          </w:p>
        </w:tc>
        <w:tc>
          <w:tcPr>
            <w:tcW w:w="2115" w:type="pct"/>
            <w:vMerge/>
            <w:shd w:val="clear" w:color="auto" w:fill="D9D9D9"/>
            <w:noWrap/>
            <w:vAlign w:val="center"/>
            <w:hideMark/>
          </w:tcPr>
          <w:p w14:paraId="69C9443D" w14:textId="77777777" w:rsidR="00D84719" w:rsidRPr="00D84719" w:rsidRDefault="00D84719" w:rsidP="00D84719">
            <w:pPr>
              <w:spacing w:after="0" w:line="240" w:lineRule="auto"/>
              <w:jc w:val="both"/>
              <w:rPr>
                <w:rFonts w:ascii="Times New Roman" w:eastAsia="Times New Roman" w:hAnsi="Times New Roman" w:cs="Times New Roman"/>
                <w:b/>
                <w:color w:val="000000"/>
                <w:sz w:val="20"/>
                <w:szCs w:val="20"/>
                <w:lang w:eastAsia="hr-HR"/>
              </w:rPr>
            </w:pPr>
          </w:p>
        </w:tc>
        <w:tc>
          <w:tcPr>
            <w:tcW w:w="465" w:type="pct"/>
            <w:shd w:val="clear" w:color="auto" w:fill="D9D9D9"/>
            <w:noWrap/>
            <w:vAlign w:val="center"/>
            <w:hideMark/>
          </w:tcPr>
          <w:p w14:paraId="694BCE9F" w14:textId="77777777" w:rsidR="00D84719" w:rsidRPr="00D84719" w:rsidRDefault="00D84719" w:rsidP="00D84719">
            <w:pPr>
              <w:spacing w:after="0" w:line="240" w:lineRule="auto"/>
              <w:jc w:val="center"/>
              <w:rPr>
                <w:rFonts w:ascii="Times New Roman" w:eastAsia="Times New Roman" w:hAnsi="Times New Roman" w:cs="Times New Roman"/>
                <w:b/>
                <w:color w:val="000000"/>
                <w:sz w:val="20"/>
                <w:szCs w:val="20"/>
                <w:lang w:eastAsia="hr-HR"/>
              </w:rPr>
            </w:pPr>
            <w:r w:rsidRPr="00D84719">
              <w:rPr>
                <w:rFonts w:ascii="Times New Roman" w:eastAsia="Times New Roman" w:hAnsi="Times New Roman" w:cs="Times New Roman"/>
                <w:b/>
                <w:color w:val="000000"/>
                <w:sz w:val="20"/>
                <w:szCs w:val="20"/>
                <w:lang w:eastAsia="hr-HR"/>
              </w:rPr>
              <w:t>Zrak</w:t>
            </w:r>
          </w:p>
        </w:tc>
        <w:tc>
          <w:tcPr>
            <w:tcW w:w="466" w:type="pct"/>
            <w:shd w:val="clear" w:color="auto" w:fill="D9D9D9"/>
            <w:noWrap/>
            <w:vAlign w:val="center"/>
            <w:hideMark/>
          </w:tcPr>
          <w:p w14:paraId="1C428A46" w14:textId="77777777" w:rsidR="00D84719" w:rsidRPr="00D84719" w:rsidRDefault="00D84719" w:rsidP="00D84719">
            <w:pPr>
              <w:spacing w:after="0" w:line="240" w:lineRule="auto"/>
              <w:jc w:val="center"/>
              <w:rPr>
                <w:rFonts w:ascii="Times New Roman" w:eastAsia="Times New Roman" w:hAnsi="Times New Roman" w:cs="Times New Roman"/>
                <w:b/>
                <w:color w:val="000000"/>
                <w:sz w:val="20"/>
                <w:szCs w:val="20"/>
                <w:lang w:eastAsia="hr-HR"/>
              </w:rPr>
            </w:pPr>
            <w:r w:rsidRPr="00D84719">
              <w:rPr>
                <w:rFonts w:ascii="Times New Roman" w:eastAsia="Times New Roman" w:hAnsi="Times New Roman" w:cs="Times New Roman"/>
                <w:b/>
                <w:color w:val="000000"/>
                <w:sz w:val="20"/>
                <w:szCs w:val="20"/>
                <w:lang w:eastAsia="hr-HR"/>
              </w:rPr>
              <w:t>Vode</w:t>
            </w:r>
          </w:p>
        </w:tc>
        <w:tc>
          <w:tcPr>
            <w:tcW w:w="465" w:type="pct"/>
            <w:shd w:val="clear" w:color="auto" w:fill="D9D9D9"/>
            <w:noWrap/>
            <w:vAlign w:val="center"/>
            <w:hideMark/>
          </w:tcPr>
          <w:p w14:paraId="3FBF511C" w14:textId="77777777" w:rsidR="00D84719" w:rsidRPr="00D84719" w:rsidRDefault="00D84719" w:rsidP="00D84719">
            <w:pPr>
              <w:spacing w:after="0" w:line="240" w:lineRule="auto"/>
              <w:jc w:val="center"/>
              <w:rPr>
                <w:rFonts w:ascii="Times New Roman" w:eastAsia="Times New Roman" w:hAnsi="Times New Roman" w:cs="Times New Roman"/>
                <w:b/>
                <w:color w:val="000000"/>
                <w:sz w:val="20"/>
                <w:szCs w:val="20"/>
                <w:lang w:eastAsia="hr-HR"/>
              </w:rPr>
            </w:pPr>
            <w:r w:rsidRPr="00D84719">
              <w:rPr>
                <w:rFonts w:ascii="Times New Roman" w:eastAsia="Times New Roman" w:hAnsi="Times New Roman" w:cs="Times New Roman"/>
                <w:b/>
                <w:color w:val="000000"/>
                <w:sz w:val="20"/>
                <w:szCs w:val="20"/>
                <w:lang w:eastAsia="hr-HR"/>
              </w:rPr>
              <w:t>Tlo</w:t>
            </w:r>
          </w:p>
        </w:tc>
        <w:tc>
          <w:tcPr>
            <w:tcW w:w="542" w:type="pct"/>
            <w:shd w:val="clear" w:color="auto" w:fill="D9D9D9"/>
            <w:noWrap/>
            <w:vAlign w:val="center"/>
            <w:hideMark/>
          </w:tcPr>
          <w:p w14:paraId="2997630F" w14:textId="77777777" w:rsidR="00D84719" w:rsidRPr="00D84719" w:rsidRDefault="00D84719" w:rsidP="00D84719">
            <w:pPr>
              <w:spacing w:after="0" w:line="240" w:lineRule="auto"/>
              <w:jc w:val="center"/>
              <w:rPr>
                <w:rFonts w:ascii="Times New Roman" w:eastAsia="Times New Roman" w:hAnsi="Times New Roman" w:cs="Times New Roman"/>
                <w:b/>
                <w:color w:val="000000"/>
                <w:sz w:val="20"/>
                <w:szCs w:val="20"/>
                <w:lang w:eastAsia="hr-HR"/>
              </w:rPr>
            </w:pPr>
            <w:r w:rsidRPr="00D84719">
              <w:rPr>
                <w:rFonts w:ascii="Times New Roman" w:eastAsia="Times New Roman" w:hAnsi="Times New Roman" w:cs="Times New Roman"/>
                <w:b/>
                <w:color w:val="000000"/>
                <w:sz w:val="20"/>
                <w:szCs w:val="20"/>
                <w:lang w:eastAsia="hr-HR"/>
              </w:rPr>
              <w:t>Produkt</w:t>
            </w:r>
          </w:p>
        </w:tc>
        <w:tc>
          <w:tcPr>
            <w:tcW w:w="542" w:type="pct"/>
            <w:shd w:val="clear" w:color="auto" w:fill="D9D9D9"/>
            <w:noWrap/>
            <w:vAlign w:val="center"/>
            <w:hideMark/>
          </w:tcPr>
          <w:p w14:paraId="2FBFFFA8" w14:textId="77777777" w:rsidR="00D84719" w:rsidRPr="00D84719" w:rsidRDefault="00D84719" w:rsidP="00D84719">
            <w:pPr>
              <w:spacing w:after="0" w:line="240" w:lineRule="auto"/>
              <w:jc w:val="center"/>
              <w:rPr>
                <w:rFonts w:ascii="Times New Roman" w:eastAsia="Times New Roman" w:hAnsi="Times New Roman" w:cs="Times New Roman"/>
                <w:b/>
                <w:color w:val="000000"/>
                <w:sz w:val="20"/>
                <w:szCs w:val="20"/>
                <w:lang w:eastAsia="hr-HR"/>
              </w:rPr>
            </w:pPr>
            <w:r w:rsidRPr="00D84719">
              <w:rPr>
                <w:rFonts w:ascii="Times New Roman" w:eastAsia="Times New Roman" w:hAnsi="Times New Roman" w:cs="Times New Roman"/>
                <w:b/>
                <w:color w:val="000000"/>
                <w:sz w:val="20"/>
                <w:szCs w:val="20"/>
                <w:lang w:eastAsia="hr-HR"/>
              </w:rPr>
              <w:t>Ostatak</w:t>
            </w:r>
          </w:p>
        </w:tc>
      </w:tr>
      <w:tr w:rsidR="00D84719" w:rsidRPr="00D84719" w14:paraId="4FB9A792" w14:textId="77777777" w:rsidTr="00D84719">
        <w:trPr>
          <w:trHeight w:val="300"/>
          <w:jc w:val="center"/>
        </w:trPr>
        <w:tc>
          <w:tcPr>
            <w:tcW w:w="405" w:type="pct"/>
            <w:shd w:val="clear" w:color="auto" w:fill="auto"/>
            <w:noWrap/>
            <w:vAlign w:val="center"/>
            <w:hideMark/>
          </w:tcPr>
          <w:p w14:paraId="17CE2540"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1.</w:t>
            </w:r>
          </w:p>
        </w:tc>
        <w:tc>
          <w:tcPr>
            <w:tcW w:w="2115" w:type="pct"/>
            <w:shd w:val="clear" w:color="auto" w:fill="auto"/>
            <w:noWrap/>
            <w:vAlign w:val="center"/>
            <w:hideMark/>
          </w:tcPr>
          <w:p w14:paraId="5A77D01B" w14:textId="77777777" w:rsidR="00D84719" w:rsidRPr="00D84719" w:rsidRDefault="00D84719" w:rsidP="00D84719">
            <w:pPr>
              <w:spacing w:after="0" w:line="240" w:lineRule="auto"/>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Spalionice</w:t>
            </w:r>
          </w:p>
        </w:tc>
        <w:tc>
          <w:tcPr>
            <w:tcW w:w="465" w:type="pct"/>
            <w:shd w:val="clear" w:color="auto" w:fill="auto"/>
            <w:noWrap/>
            <w:vAlign w:val="center"/>
            <w:hideMark/>
          </w:tcPr>
          <w:p w14:paraId="41777D11"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0,600</w:t>
            </w:r>
          </w:p>
        </w:tc>
        <w:tc>
          <w:tcPr>
            <w:tcW w:w="466" w:type="pct"/>
            <w:shd w:val="clear" w:color="auto" w:fill="auto"/>
            <w:noWrap/>
            <w:vAlign w:val="center"/>
            <w:hideMark/>
          </w:tcPr>
          <w:p w14:paraId="2005C62D"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0,000</w:t>
            </w:r>
          </w:p>
        </w:tc>
        <w:tc>
          <w:tcPr>
            <w:tcW w:w="465" w:type="pct"/>
            <w:shd w:val="clear" w:color="auto" w:fill="auto"/>
            <w:noWrap/>
            <w:vAlign w:val="center"/>
            <w:hideMark/>
          </w:tcPr>
          <w:p w14:paraId="18906D63"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0,000</w:t>
            </w:r>
          </w:p>
        </w:tc>
        <w:tc>
          <w:tcPr>
            <w:tcW w:w="542" w:type="pct"/>
            <w:shd w:val="clear" w:color="auto" w:fill="auto"/>
            <w:noWrap/>
            <w:vAlign w:val="center"/>
            <w:hideMark/>
          </w:tcPr>
          <w:p w14:paraId="77C13BEA"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0,000</w:t>
            </w:r>
          </w:p>
        </w:tc>
        <w:tc>
          <w:tcPr>
            <w:tcW w:w="542" w:type="pct"/>
            <w:shd w:val="clear" w:color="auto" w:fill="auto"/>
            <w:noWrap/>
            <w:vAlign w:val="center"/>
            <w:hideMark/>
          </w:tcPr>
          <w:p w14:paraId="4B246EC0"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0,004</w:t>
            </w:r>
          </w:p>
        </w:tc>
      </w:tr>
      <w:tr w:rsidR="00D84719" w:rsidRPr="00D84719" w14:paraId="498FAFDE" w14:textId="77777777" w:rsidTr="00D84719">
        <w:trPr>
          <w:trHeight w:val="300"/>
          <w:jc w:val="center"/>
        </w:trPr>
        <w:tc>
          <w:tcPr>
            <w:tcW w:w="405" w:type="pct"/>
            <w:shd w:val="clear" w:color="auto" w:fill="auto"/>
            <w:noWrap/>
            <w:vAlign w:val="center"/>
            <w:hideMark/>
          </w:tcPr>
          <w:p w14:paraId="205E747E"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2.</w:t>
            </w:r>
          </w:p>
        </w:tc>
        <w:tc>
          <w:tcPr>
            <w:tcW w:w="2115" w:type="pct"/>
            <w:shd w:val="clear" w:color="auto" w:fill="auto"/>
            <w:noWrap/>
            <w:vAlign w:val="center"/>
            <w:hideMark/>
          </w:tcPr>
          <w:p w14:paraId="62A7C131" w14:textId="77777777" w:rsidR="00D84719" w:rsidRPr="00D84719" w:rsidRDefault="00D84719" w:rsidP="00D84719">
            <w:pPr>
              <w:spacing w:after="0" w:line="240" w:lineRule="auto"/>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 xml:space="preserve">Željezo i obojeni metali </w:t>
            </w:r>
          </w:p>
        </w:tc>
        <w:tc>
          <w:tcPr>
            <w:tcW w:w="465" w:type="pct"/>
            <w:shd w:val="clear" w:color="auto" w:fill="auto"/>
            <w:noWrap/>
            <w:vAlign w:val="center"/>
            <w:hideMark/>
          </w:tcPr>
          <w:p w14:paraId="58AB5036"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0,008</w:t>
            </w:r>
          </w:p>
        </w:tc>
        <w:tc>
          <w:tcPr>
            <w:tcW w:w="466" w:type="pct"/>
            <w:shd w:val="clear" w:color="auto" w:fill="auto"/>
            <w:noWrap/>
            <w:vAlign w:val="center"/>
            <w:hideMark/>
          </w:tcPr>
          <w:p w14:paraId="3F311889"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0,000</w:t>
            </w:r>
          </w:p>
        </w:tc>
        <w:tc>
          <w:tcPr>
            <w:tcW w:w="465" w:type="pct"/>
            <w:shd w:val="clear" w:color="auto" w:fill="auto"/>
            <w:noWrap/>
            <w:vAlign w:val="center"/>
            <w:hideMark/>
          </w:tcPr>
          <w:p w14:paraId="59870F58"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0,000</w:t>
            </w:r>
          </w:p>
        </w:tc>
        <w:tc>
          <w:tcPr>
            <w:tcW w:w="542" w:type="pct"/>
            <w:shd w:val="clear" w:color="auto" w:fill="auto"/>
            <w:noWrap/>
            <w:vAlign w:val="center"/>
            <w:hideMark/>
          </w:tcPr>
          <w:p w14:paraId="2D647910"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0,000</w:t>
            </w:r>
          </w:p>
        </w:tc>
        <w:tc>
          <w:tcPr>
            <w:tcW w:w="542" w:type="pct"/>
            <w:shd w:val="clear" w:color="auto" w:fill="auto"/>
            <w:noWrap/>
            <w:vAlign w:val="center"/>
            <w:hideMark/>
          </w:tcPr>
          <w:p w14:paraId="02852957"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0,008</w:t>
            </w:r>
          </w:p>
        </w:tc>
      </w:tr>
      <w:tr w:rsidR="00D84719" w:rsidRPr="00D84719" w14:paraId="69B465FF" w14:textId="77777777" w:rsidTr="00D84719">
        <w:trPr>
          <w:trHeight w:val="300"/>
          <w:jc w:val="center"/>
        </w:trPr>
        <w:tc>
          <w:tcPr>
            <w:tcW w:w="405" w:type="pct"/>
            <w:shd w:val="clear" w:color="auto" w:fill="auto"/>
            <w:noWrap/>
            <w:vAlign w:val="center"/>
            <w:hideMark/>
          </w:tcPr>
          <w:p w14:paraId="285AB982"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3.</w:t>
            </w:r>
          </w:p>
        </w:tc>
        <w:tc>
          <w:tcPr>
            <w:tcW w:w="2115" w:type="pct"/>
            <w:shd w:val="clear" w:color="auto" w:fill="auto"/>
            <w:noWrap/>
            <w:vAlign w:val="center"/>
            <w:hideMark/>
          </w:tcPr>
          <w:p w14:paraId="3B8B833F" w14:textId="77777777" w:rsidR="00D84719" w:rsidRPr="00D84719" w:rsidRDefault="00D84719" w:rsidP="00D84719">
            <w:pPr>
              <w:spacing w:after="0" w:line="240" w:lineRule="auto"/>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Proizvodnja energije i topline</w:t>
            </w:r>
          </w:p>
        </w:tc>
        <w:tc>
          <w:tcPr>
            <w:tcW w:w="465" w:type="pct"/>
            <w:shd w:val="clear" w:color="auto" w:fill="auto"/>
            <w:noWrap/>
            <w:vAlign w:val="center"/>
            <w:hideMark/>
          </w:tcPr>
          <w:p w14:paraId="7236EB9D"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13,498</w:t>
            </w:r>
          </w:p>
        </w:tc>
        <w:tc>
          <w:tcPr>
            <w:tcW w:w="466" w:type="pct"/>
            <w:shd w:val="clear" w:color="auto" w:fill="auto"/>
            <w:noWrap/>
            <w:vAlign w:val="center"/>
            <w:hideMark/>
          </w:tcPr>
          <w:p w14:paraId="3FF9DD2C"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0,000</w:t>
            </w:r>
          </w:p>
        </w:tc>
        <w:tc>
          <w:tcPr>
            <w:tcW w:w="465" w:type="pct"/>
            <w:shd w:val="clear" w:color="auto" w:fill="auto"/>
            <w:noWrap/>
            <w:vAlign w:val="center"/>
            <w:hideMark/>
          </w:tcPr>
          <w:p w14:paraId="6FA6B3A1"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0,000</w:t>
            </w:r>
          </w:p>
        </w:tc>
        <w:tc>
          <w:tcPr>
            <w:tcW w:w="542" w:type="pct"/>
            <w:shd w:val="clear" w:color="auto" w:fill="auto"/>
            <w:noWrap/>
            <w:vAlign w:val="center"/>
            <w:hideMark/>
          </w:tcPr>
          <w:p w14:paraId="69460EBD"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0,000</w:t>
            </w:r>
          </w:p>
        </w:tc>
        <w:tc>
          <w:tcPr>
            <w:tcW w:w="542" w:type="pct"/>
            <w:shd w:val="clear" w:color="auto" w:fill="auto"/>
            <w:noWrap/>
            <w:vAlign w:val="center"/>
            <w:hideMark/>
          </w:tcPr>
          <w:p w14:paraId="3FB04E30"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0,466</w:t>
            </w:r>
          </w:p>
        </w:tc>
      </w:tr>
      <w:tr w:rsidR="00D84719" w:rsidRPr="00D84719" w14:paraId="041B676B" w14:textId="77777777" w:rsidTr="00D84719">
        <w:trPr>
          <w:trHeight w:val="300"/>
          <w:jc w:val="center"/>
        </w:trPr>
        <w:tc>
          <w:tcPr>
            <w:tcW w:w="405" w:type="pct"/>
            <w:shd w:val="clear" w:color="auto" w:fill="auto"/>
            <w:noWrap/>
            <w:vAlign w:val="center"/>
            <w:hideMark/>
          </w:tcPr>
          <w:p w14:paraId="48B9CA51"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4.</w:t>
            </w:r>
          </w:p>
        </w:tc>
        <w:tc>
          <w:tcPr>
            <w:tcW w:w="2115" w:type="pct"/>
            <w:shd w:val="clear" w:color="auto" w:fill="auto"/>
            <w:noWrap/>
            <w:vAlign w:val="center"/>
            <w:hideMark/>
          </w:tcPr>
          <w:p w14:paraId="1A9367BC" w14:textId="77777777" w:rsidR="00D84719" w:rsidRPr="00D84719" w:rsidRDefault="00D84719" w:rsidP="00D84719">
            <w:pPr>
              <w:spacing w:after="0" w:line="240" w:lineRule="auto"/>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Proizvodnja minerala</w:t>
            </w:r>
          </w:p>
        </w:tc>
        <w:tc>
          <w:tcPr>
            <w:tcW w:w="465" w:type="pct"/>
            <w:shd w:val="clear" w:color="auto" w:fill="auto"/>
            <w:noWrap/>
            <w:vAlign w:val="center"/>
            <w:hideMark/>
          </w:tcPr>
          <w:p w14:paraId="23FF56C3"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0,267</w:t>
            </w:r>
          </w:p>
        </w:tc>
        <w:tc>
          <w:tcPr>
            <w:tcW w:w="466" w:type="pct"/>
            <w:shd w:val="clear" w:color="auto" w:fill="auto"/>
            <w:noWrap/>
            <w:vAlign w:val="center"/>
            <w:hideMark/>
          </w:tcPr>
          <w:p w14:paraId="15B04AEA"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0,000</w:t>
            </w:r>
          </w:p>
        </w:tc>
        <w:tc>
          <w:tcPr>
            <w:tcW w:w="465" w:type="pct"/>
            <w:shd w:val="clear" w:color="auto" w:fill="auto"/>
            <w:noWrap/>
            <w:vAlign w:val="center"/>
            <w:hideMark/>
          </w:tcPr>
          <w:p w14:paraId="27369ED8"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0,000</w:t>
            </w:r>
          </w:p>
        </w:tc>
        <w:tc>
          <w:tcPr>
            <w:tcW w:w="542" w:type="pct"/>
            <w:shd w:val="clear" w:color="auto" w:fill="auto"/>
            <w:noWrap/>
            <w:vAlign w:val="center"/>
            <w:hideMark/>
          </w:tcPr>
          <w:p w14:paraId="757881E8"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0,022</w:t>
            </w:r>
          </w:p>
        </w:tc>
        <w:tc>
          <w:tcPr>
            <w:tcW w:w="542" w:type="pct"/>
            <w:shd w:val="clear" w:color="auto" w:fill="auto"/>
            <w:noWrap/>
            <w:vAlign w:val="center"/>
            <w:hideMark/>
          </w:tcPr>
          <w:p w14:paraId="2B1C9F63"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0,007</w:t>
            </w:r>
          </w:p>
        </w:tc>
      </w:tr>
      <w:tr w:rsidR="00D84719" w:rsidRPr="00D84719" w14:paraId="10A156B6" w14:textId="77777777" w:rsidTr="00D84719">
        <w:trPr>
          <w:trHeight w:val="300"/>
          <w:jc w:val="center"/>
        </w:trPr>
        <w:tc>
          <w:tcPr>
            <w:tcW w:w="405" w:type="pct"/>
            <w:shd w:val="clear" w:color="auto" w:fill="auto"/>
            <w:noWrap/>
            <w:vAlign w:val="center"/>
            <w:hideMark/>
          </w:tcPr>
          <w:p w14:paraId="2A5B2E2B"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5.</w:t>
            </w:r>
          </w:p>
        </w:tc>
        <w:tc>
          <w:tcPr>
            <w:tcW w:w="2115" w:type="pct"/>
            <w:shd w:val="clear" w:color="auto" w:fill="auto"/>
            <w:noWrap/>
            <w:vAlign w:val="center"/>
            <w:hideMark/>
          </w:tcPr>
          <w:p w14:paraId="0706E73D" w14:textId="77777777" w:rsidR="00D84719" w:rsidRPr="00D84719" w:rsidRDefault="00D84719" w:rsidP="00D84719">
            <w:pPr>
              <w:spacing w:after="0" w:line="240" w:lineRule="auto"/>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Promet</w:t>
            </w:r>
          </w:p>
        </w:tc>
        <w:tc>
          <w:tcPr>
            <w:tcW w:w="465" w:type="pct"/>
            <w:shd w:val="clear" w:color="auto" w:fill="auto"/>
            <w:noWrap/>
            <w:vAlign w:val="center"/>
            <w:hideMark/>
          </w:tcPr>
          <w:p w14:paraId="2EE1CACE"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0,245</w:t>
            </w:r>
          </w:p>
        </w:tc>
        <w:tc>
          <w:tcPr>
            <w:tcW w:w="466" w:type="pct"/>
            <w:shd w:val="clear" w:color="auto" w:fill="auto"/>
            <w:noWrap/>
            <w:vAlign w:val="center"/>
            <w:hideMark/>
          </w:tcPr>
          <w:p w14:paraId="272E0ACB"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0,000</w:t>
            </w:r>
          </w:p>
        </w:tc>
        <w:tc>
          <w:tcPr>
            <w:tcW w:w="465" w:type="pct"/>
            <w:shd w:val="clear" w:color="auto" w:fill="auto"/>
            <w:noWrap/>
            <w:vAlign w:val="center"/>
            <w:hideMark/>
          </w:tcPr>
          <w:p w14:paraId="2C60CBF0"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0,000</w:t>
            </w:r>
          </w:p>
        </w:tc>
        <w:tc>
          <w:tcPr>
            <w:tcW w:w="542" w:type="pct"/>
            <w:shd w:val="clear" w:color="auto" w:fill="auto"/>
            <w:noWrap/>
            <w:vAlign w:val="center"/>
            <w:hideMark/>
          </w:tcPr>
          <w:p w14:paraId="187C86E3"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0,000</w:t>
            </w:r>
          </w:p>
        </w:tc>
        <w:tc>
          <w:tcPr>
            <w:tcW w:w="542" w:type="pct"/>
            <w:shd w:val="clear" w:color="auto" w:fill="auto"/>
            <w:noWrap/>
            <w:vAlign w:val="center"/>
            <w:hideMark/>
          </w:tcPr>
          <w:p w14:paraId="7C4F7DFD"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0,000</w:t>
            </w:r>
          </w:p>
        </w:tc>
      </w:tr>
      <w:tr w:rsidR="00D84719" w:rsidRPr="00D84719" w14:paraId="463044E2" w14:textId="77777777" w:rsidTr="00D84719">
        <w:trPr>
          <w:trHeight w:val="300"/>
          <w:jc w:val="center"/>
        </w:trPr>
        <w:tc>
          <w:tcPr>
            <w:tcW w:w="405" w:type="pct"/>
            <w:shd w:val="clear" w:color="auto" w:fill="auto"/>
            <w:noWrap/>
            <w:vAlign w:val="center"/>
            <w:hideMark/>
          </w:tcPr>
          <w:p w14:paraId="18884B14"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6.</w:t>
            </w:r>
          </w:p>
        </w:tc>
        <w:tc>
          <w:tcPr>
            <w:tcW w:w="2115" w:type="pct"/>
            <w:shd w:val="clear" w:color="auto" w:fill="auto"/>
            <w:noWrap/>
            <w:vAlign w:val="center"/>
            <w:hideMark/>
          </w:tcPr>
          <w:p w14:paraId="3FB4F244" w14:textId="77777777" w:rsidR="00D84719" w:rsidRPr="00D84719" w:rsidRDefault="00D84719" w:rsidP="00D84719">
            <w:pPr>
              <w:spacing w:after="0" w:line="240" w:lineRule="auto"/>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Procesi gorenja na otvorenom</w:t>
            </w:r>
          </w:p>
        </w:tc>
        <w:tc>
          <w:tcPr>
            <w:tcW w:w="465" w:type="pct"/>
            <w:shd w:val="clear" w:color="auto" w:fill="auto"/>
            <w:noWrap/>
            <w:vAlign w:val="center"/>
            <w:hideMark/>
          </w:tcPr>
          <w:p w14:paraId="1BBEF6CB"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0,126</w:t>
            </w:r>
          </w:p>
        </w:tc>
        <w:tc>
          <w:tcPr>
            <w:tcW w:w="466" w:type="pct"/>
            <w:shd w:val="clear" w:color="auto" w:fill="auto"/>
            <w:noWrap/>
            <w:vAlign w:val="center"/>
            <w:hideMark/>
          </w:tcPr>
          <w:p w14:paraId="080E864B"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0,000</w:t>
            </w:r>
          </w:p>
        </w:tc>
        <w:tc>
          <w:tcPr>
            <w:tcW w:w="465" w:type="pct"/>
            <w:shd w:val="clear" w:color="auto" w:fill="auto"/>
            <w:noWrap/>
            <w:vAlign w:val="center"/>
            <w:hideMark/>
          </w:tcPr>
          <w:p w14:paraId="304295BB"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0,019</w:t>
            </w:r>
          </w:p>
        </w:tc>
        <w:tc>
          <w:tcPr>
            <w:tcW w:w="542" w:type="pct"/>
            <w:shd w:val="clear" w:color="auto" w:fill="auto"/>
            <w:noWrap/>
            <w:vAlign w:val="center"/>
            <w:hideMark/>
          </w:tcPr>
          <w:p w14:paraId="05770067"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0,000</w:t>
            </w:r>
          </w:p>
        </w:tc>
        <w:tc>
          <w:tcPr>
            <w:tcW w:w="542" w:type="pct"/>
            <w:shd w:val="clear" w:color="auto" w:fill="auto"/>
            <w:noWrap/>
            <w:vAlign w:val="center"/>
            <w:hideMark/>
          </w:tcPr>
          <w:p w14:paraId="41571E40"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0,000</w:t>
            </w:r>
          </w:p>
        </w:tc>
      </w:tr>
      <w:tr w:rsidR="00D84719" w:rsidRPr="00D84719" w14:paraId="4BBDD104" w14:textId="77777777" w:rsidTr="00D84719">
        <w:trPr>
          <w:trHeight w:val="300"/>
          <w:jc w:val="center"/>
        </w:trPr>
        <w:tc>
          <w:tcPr>
            <w:tcW w:w="405" w:type="pct"/>
            <w:shd w:val="clear" w:color="auto" w:fill="auto"/>
            <w:noWrap/>
            <w:vAlign w:val="center"/>
            <w:hideMark/>
          </w:tcPr>
          <w:p w14:paraId="44CF5E74"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7.</w:t>
            </w:r>
          </w:p>
        </w:tc>
        <w:tc>
          <w:tcPr>
            <w:tcW w:w="2115" w:type="pct"/>
            <w:shd w:val="clear" w:color="auto" w:fill="auto"/>
            <w:noWrap/>
            <w:vAlign w:val="center"/>
            <w:hideMark/>
          </w:tcPr>
          <w:p w14:paraId="62676580" w14:textId="77777777" w:rsidR="00D84719" w:rsidRPr="00D84719" w:rsidRDefault="00D84719" w:rsidP="00D84719">
            <w:pPr>
              <w:spacing w:after="0" w:line="240" w:lineRule="auto"/>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 xml:space="preserve">Proizvodnja kemikalija i potrošačkih roba </w:t>
            </w:r>
          </w:p>
        </w:tc>
        <w:tc>
          <w:tcPr>
            <w:tcW w:w="465" w:type="pct"/>
            <w:shd w:val="clear" w:color="auto" w:fill="auto"/>
            <w:noWrap/>
            <w:vAlign w:val="center"/>
            <w:hideMark/>
          </w:tcPr>
          <w:p w14:paraId="33ADC5C7"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0,001</w:t>
            </w:r>
          </w:p>
        </w:tc>
        <w:tc>
          <w:tcPr>
            <w:tcW w:w="466" w:type="pct"/>
            <w:shd w:val="clear" w:color="auto" w:fill="auto"/>
            <w:noWrap/>
            <w:vAlign w:val="center"/>
            <w:hideMark/>
          </w:tcPr>
          <w:p w14:paraId="2C893AD0"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0,000</w:t>
            </w:r>
          </w:p>
        </w:tc>
        <w:tc>
          <w:tcPr>
            <w:tcW w:w="465" w:type="pct"/>
            <w:shd w:val="clear" w:color="auto" w:fill="auto"/>
            <w:noWrap/>
            <w:vAlign w:val="center"/>
            <w:hideMark/>
          </w:tcPr>
          <w:p w14:paraId="27A1F709"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0,000</w:t>
            </w:r>
          </w:p>
        </w:tc>
        <w:tc>
          <w:tcPr>
            <w:tcW w:w="542" w:type="pct"/>
            <w:shd w:val="clear" w:color="auto" w:fill="auto"/>
            <w:noWrap/>
            <w:vAlign w:val="center"/>
            <w:hideMark/>
          </w:tcPr>
          <w:p w14:paraId="0B8ED3F6"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0,005</w:t>
            </w:r>
          </w:p>
        </w:tc>
        <w:tc>
          <w:tcPr>
            <w:tcW w:w="542" w:type="pct"/>
            <w:shd w:val="clear" w:color="auto" w:fill="auto"/>
            <w:noWrap/>
            <w:vAlign w:val="center"/>
            <w:hideMark/>
          </w:tcPr>
          <w:p w14:paraId="016646FC"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0,001</w:t>
            </w:r>
          </w:p>
        </w:tc>
      </w:tr>
      <w:tr w:rsidR="00D84719" w:rsidRPr="00D84719" w14:paraId="568FB78C" w14:textId="77777777" w:rsidTr="00D84719">
        <w:trPr>
          <w:trHeight w:val="300"/>
          <w:jc w:val="center"/>
        </w:trPr>
        <w:tc>
          <w:tcPr>
            <w:tcW w:w="405" w:type="pct"/>
            <w:shd w:val="clear" w:color="auto" w:fill="auto"/>
            <w:noWrap/>
            <w:vAlign w:val="center"/>
            <w:hideMark/>
          </w:tcPr>
          <w:p w14:paraId="4C086B62"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8.</w:t>
            </w:r>
          </w:p>
        </w:tc>
        <w:tc>
          <w:tcPr>
            <w:tcW w:w="2115" w:type="pct"/>
            <w:shd w:val="clear" w:color="auto" w:fill="auto"/>
            <w:noWrap/>
            <w:vAlign w:val="center"/>
            <w:hideMark/>
          </w:tcPr>
          <w:p w14:paraId="7A0C673D" w14:textId="77777777" w:rsidR="00D84719" w:rsidRPr="00D84719" w:rsidRDefault="00D84719" w:rsidP="00D84719">
            <w:pPr>
              <w:spacing w:after="0" w:line="240" w:lineRule="auto"/>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Razno</w:t>
            </w:r>
          </w:p>
        </w:tc>
        <w:tc>
          <w:tcPr>
            <w:tcW w:w="465" w:type="pct"/>
            <w:shd w:val="clear" w:color="auto" w:fill="auto"/>
            <w:noWrap/>
            <w:vAlign w:val="center"/>
            <w:hideMark/>
          </w:tcPr>
          <w:p w14:paraId="48E18ACB"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0,003</w:t>
            </w:r>
          </w:p>
        </w:tc>
        <w:tc>
          <w:tcPr>
            <w:tcW w:w="466" w:type="pct"/>
            <w:shd w:val="clear" w:color="auto" w:fill="auto"/>
            <w:noWrap/>
            <w:vAlign w:val="center"/>
            <w:hideMark/>
          </w:tcPr>
          <w:p w14:paraId="0F965C80"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0,000</w:t>
            </w:r>
          </w:p>
        </w:tc>
        <w:tc>
          <w:tcPr>
            <w:tcW w:w="465" w:type="pct"/>
            <w:shd w:val="clear" w:color="auto" w:fill="auto"/>
            <w:noWrap/>
            <w:vAlign w:val="center"/>
            <w:hideMark/>
          </w:tcPr>
          <w:p w14:paraId="16674A4F"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0,000</w:t>
            </w:r>
          </w:p>
        </w:tc>
        <w:tc>
          <w:tcPr>
            <w:tcW w:w="542" w:type="pct"/>
            <w:shd w:val="clear" w:color="auto" w:fill="auto"/>
            <w:noWrap/>
            <w:vAlign w:val="center"/>
            <w:hideMark/>
          </w:tcPr>
          <w:p w14:paraId="139A67D5"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0,000</w:t>
            </w:r>
          </w:p>
        </w:tc>
        <w:tc>
          <w:tcPr>
            <w:tcW w:w="542" w:type="pct"/>
            <w:shd w:val="clear" w:color="auto" w:fill="auto"/>
            <w:noWrap/>
            <w:vAlign w:val="center"/>
            <w:hideMark/>
          </w:tcPr>
          <w:p w14:paraId="258E1386"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0,011</w:t>
            </w:r>
          </w:p>
        </w:tc>
      </w:tr>
      <w:tr w:rsidR="00D84719" w:rsidRPr="00D84719" w14:paraId="030A8625" w14:textId="77777777" w:rsidTr="00D84719">
        <w:trPr>
          <w:trHeight w:val="300"/>
          <w:jc w:val="center"/>
        </w:trPr>
        <w:tc>
          <w:tcPr>
            <w:tcW w:w="405" w:type="pct"/>
            <w:shd w:val="clear" w:color="auto" w:fill="auto"/>
            <w:noWrap/>
            <w:vAlign w:val="center"/>
            <w:hideMark/>
          </w:tcPr>
          <w:p w14:paraId="628154B8"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9.</w:t>
            </w:r>
          </w:p>
        </w:tc>
        <w:tc>
          <w:tcPr>
            <w:tcW w:w="2115" w:type="pct"/>
            <w:shd w:val="clear" w:color="auto" w:fill="auto"/>
            <w:noWrap/>
            <w:vAlign w:val="center"/>
            <w:hideMark/>
          </w:tcPr>
          <w:p w14:paraId="169BEF0A" w14:textId="77777777" w:rsidR="00D84719" w:rsidRPr="00D84719" w:rsidRDefault="00D84719" w:rsidP="00D84719">
            <w:pPr>
              <w:spacing w:after="0" w:line="240" w:lineRule="auto"/>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Odlaganje otpada</w:t>
            </w:r>
          </w:p>
        </w:tc>
        <w:tc>
          <w:tcPr>
            <w:tcW w:w="465" w:type="pct"/>
            <w:shd w:val="clear" w:color="auto" w:fill="auto"/>
            <w:noWrap/>
            <w:vAlign w:val="center"/>
            <w:hideMark/>
          </w:tcPr>
          <w:p w14:paraId="772DFE17"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0,000</w:t>
            </w:r>
          </w:p>
        </w:tc>
        <w:tc>
          <w:tcPr>
            <w:tcW w:w="466" w:type="pct"/>
            <w:shd w:val="clear" w:color="auto" w:fill="auto"/>
            <w:noWrap/>
            <w:vAlign w:val="center"/>
            <w:hideMark/>
          </w:tcPr>
          <w:p w14:paraId="3A799FAF"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0,207</w:t>
            </w:r>
          </w:p>
        </w:tc>
        <w:tc>
          <w:tcPr>
            <w:tcW w:w="465" w:type="pct"/>
            <w:shd w:val="clear" w:color="auto" w:fill="auto"/>
            <w:noWrap/>
            <w:vAlign w:val="center"/>
            <w:hideMark/>
          </w:tcPr>
          <w:p w14:paraId="66EFC2A1"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0,000</w:t>
            </w:r>
          </w:p>
        </w:tc>
        <w:tc>
          <w:tcPr>
            <w:tcW w:w="542" w:type="pct"/>
            <w:shd w:val="clear" w:color="auto" w:fill="auto"/>
            <w:noWrap/>
            <w:vAlign w:val="center"/>
            <w:hideMark/>
          </w:tcPr>
          <w:p w14:paraId="170A9453"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0,076</w:t>
            </w:r>
          </w:p>
        </w:tc>
        <w:tc>
          <w:tcPr>
            <w:tcW w:w="542" w:type="pct"/>
            <w:shd w:val="clear" w:color="auto" w:fill="auto"/>
            <w:noWrap/>
            <w:vAlign w:val="center"/>
            <w:hideMark/>
          </w:tcPr>
          <w:p w14:paraId="0BE8F4F8"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7,917</w:t>
            </w:r>
          </w:p>
        </w:tc>
      </w:tr>
      <w:tr w:rsidR="00D84719" w:rsidRPr="00D84719" w14:paraId="0F806F31" w14:textId="77777777" w:rsidTr="00D84719">
        <w:trPr>
          <w:trHeight w:val="315"/>
          <w:jc w:val="center"/>
        </w:trPr>
        <w:tc>
          <w:tcPr>
            <w:tcW w:w="405" w:type="pct"/>
            <w:shd w:val="clear" w:color="auto" w:fill="auto"/>
            <w:noWrap/>
            <w:vAlign w:val="center"/>
            <w:hideMark/>
          </w:tcPr>
          <w:p w14:paraId="45C8E7D2"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10.</w:t>
            </w:r>
          </w:p>
        </w:tc>
        <w:tc>
          <w:tcPr>
            <w:tcW w:w="2115" w:type="pct"/>
            <w:shd w:val="clear" w:color="auto" w:fill="auto"/>
            <w:noWrap/>
            <w:vAlign w:val="center"/>
            <w:hideMark/>
          </w:tcPr>
          <w:p w14:paraId="47724DD7" w14:textId="77777777" w:rsidR="00D84719" w:rsidRPr="00D84719" w:rsidRDefault="00D84719" w:rsidP="00D84719">
            <w:pPr>
              <w:spacing w:after="0" w:line="240" w:lineRule="auto"/>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Identifikacija potencijalnih žarišnih točki</w:t>
            </w:r>
          </w:p>
        </w:tc>
        <w:tc>
          <w:tcPr>
            <w:tcW w:w="465" w:type="pct"/>
            <w:shd w:val="clear" w:color="auto" w:fill="auto"/>
            <w:noWrap/>
            <w:vAlign w:val="center"/>
            <w:hideMark/>
          </w:tcPr>
          <w:p w14:paraId="072106D4" w14:textId="77777777" w:rsidR="00D84719" w:rsidRPr="00D84719" w:rsidRDefault="00D84719" w:rsidP="00D84719">
            <w:pPr>
              <w:spacing w:after="0" w:line="240" w:lineRule="auto"/>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 </w:t>
            </w:r>
          </w:p>
        </w:tc>
        <w:tc>
          <w:tcPr>
            <w:tcW w:w="466" w:type="pct"/>
            <w:shd w:val="clear" w:color="auto" w:fill="auto"/>
            <w:noWrap/>
            <w:vAlign w:val="center"/>
            <w:hideMark/>
          </w:tcPr>
          <w:p w14:paraId="190F9EB4" w14:textId="77777777" w:rsidR="00D84719" w:rsidRPr="00D84719" w:rsidRDefault="00D84719" w:rsidP="00D84719">
            <w:pPr>
              <w:spacing w:after="0" w:line="240" w:lineRule="auto"/>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 </w:t>
            </w:r>
          </w:p>
        </w:tc>
        <w:tc>
          <w:tcPr>
            <w:tcW w:w="465" w:type="pct"/>
            <w:shd w:val="clear" w:color="auto" w:fill="auto"/>
            <w:noWrap/>
            <w:vAlign w:val="center"/>
            <w:hideMark/>
          </w:tcPr>
          <w:p w14:paraId="07480EE6" w14:textId="77777777" w:rsidR="00D84719" w:rsidRPr="00D84719" w:rsidRDefault="00D84719" w:rsidP="00D84719">
            <w:pPr>
              <w:spacing w:after="0" w:line="240" w:lineRule="auto"/>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 </w:t>
            </w:r>
          </w:p>
        </w:tc>
        <w:tc>
          <w:tcPr>
            <w:tcW w:w="542" w:type="pct"/>
            <w:shd w:val="clear" w:color="auto" w:fill="auto"/>
            <w:noWrap/>
            <w:vAlign w:val="center"/>
            <w:hideMark/>
          </w:tcPr>
          <w:p w14:paraId="7270472C"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0,000</w:t>
            </w:r>
          </w:p>
        </w:tc>
        <w:tc>
          <w:tcPr>
            <w:tcW w:w="542" w:type="pct"/>
            <w:shd w:val="clear" w:color="auto" w:fill="auto"/>
            <w:noWrap/>
            <w:vAlign w:val="center"/>
            <w:hideMark/>
          </w:tcPr>
          <w:p w14:paraId="586756F9"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0,000</w:t>
            </w:r>
          </w:p>
        </w:tc>
      </w:tr>
      <w:tr w:rsidR="00D84719" w:rsidRPr="00D84719" w14:paraId="3D9B119F" w14:textId="77777777" w:rsidTr="00D84719">
        <w:trPr>
          <w:trHeight w:val="300"/>
          <w:jc w:val="center"/>
        </w:trPr>
        <w:tc>
          <w:tcPr>
            <w:tcW w:w="405" w:type="pct"/>
            <w:shd w:val="clear" w:color="auto" w:fill="auto"/>
            <w:noWrap/>
            <w:vAlign w:val="center"/>
            <w:hideMark/>
          </w:tcPr>
          <w:p w14:paraId="4D367162" w14:textId="77777777" w:rsidR="00D84719" w:rsidRPr="00D84719" w:rsidRDefault="00D84719" w:rsidP="00D84719">
            <w:pPr>
              <w:spacing w:after="0" w:line="240" w:lineRule="auto"/>
              <w:jc w:val="center"/>
              <w:rPr>
                <w:rFonts w:ascii="Times New Roman" w:eastAsia="Times New Roman" w:hAnsi="Times New Roman" w:cs="Times New Roman"/>
                <w:b/>
                <w:bCs/>
                <w:color w:val="000000"/>
                <w:sz w:val="20"/>
                <w:szCs w:val="20"/>
                <w:lang w:eastAsia="hr-HR"/>
              </w:rPr>
            </w:pPr>
            <w:r w:rsidRPr="00D84719">
              <w:rPr>
                <w:rFonts w:ascii="Times New Roman" w:eastAsia="Times New Roman" w:hAnsi="Times New Roman" w:cs="Times New Roman"/>
                <w:b/>
                <w:bCs/>
                <w:color w:val="000000"/>
                <w:sz w:val="20"/>
                <w:szCs w:val="20"/>
                <w:lang w:eastAsia="hr-HR"/>
              </w:rPr>
              <w:t>1-10</w:t>
            </w:r>
          </w:p>
        </w:tc>
        <w:tc>
          <w:tcPr>
            <w:tcW w:w="2115" w:type="pct"/>
            <w:shd w:val="clear" w:color="auto" w:fill="auto"/>
            <w:noWrap/>
            <w:vAlign w:val="center"/>
            <w:hideMark/>
          </w:tcPr>
          <w:p w14:paraId="3CA89A7D" w14:textId="77777777" w:rsidR="00D84719" w:rsidRPr="00D84719" w:rsidRDefault="00D84719" w:rsidP="00D84719">
            <w:pPr>
              <w:spacing w:after="0" w:line="240" w:lineRule="auto"/>
              <w:rPr>
                <w:rFonts w:ascii="Times New Roman" w:eastAsia="Times New Roman" w:hAnsi="Times New Roman" w:cs="Times New Roman"/>
                <w:b/>
                <w:bCs/>
                <w:color w:val="000000"/>
                <w:sz w:val="20"/>
                <w:szCs w:val="20"/>
                <w:lang w:eastAsia="hr-HR"/>
              </w:rPr>
            </w:pPr>
            <w:r w:rsidRPr="00D84719">
              <w:rPr>
                <w:rFonts w:ascii="Times New Roman" w:eastAsia="Times New Roman" w:hAnsi="Times New Roman" w:cs="Times New Roman"/>
                <w:b/>
                <w:bCs/>
                <w:color w:val="000000"/>
                <w:sz w:val="20"/>
                <w:szCs w:val="20"/>
                <w:lang w:eastAsia="hr-HR"/>
              </w:rPr>
              <w:t>Ukupno</w:t>
            </w:r>
          </w:p>
        </w:tc>
        <w:tc>
          <w:tcPr>
            <w:tcW w:w="465" w:type="pct"/>
            <w:shd w:val="clear" w:color="auto" w:fill="auto"/>
            <w:noWrap/>
            <w:vAlign w:val="center"/>
            <w:hideMark/>
          </w:tcPr>
          <w:p w14:paraId="2B3B77BE" w14:textId="77777777" w:rsidR="00D84719" w:rsidRPr="00D84719" w:rsidRDefault="00D84719" w:rsidP="00D84719">
            <w:pPr>
              <w:spacing w:after="0" w:line="240" w:lineRule="auto"/>
              <w:jc w:val="right"/>
              <w:rPr>
                <w:rFonts w:ascii="Times New Roman" w:eastAsia="Times New Roman" w:hAnsi="Times New Roman" w:cs="Times New Roman"/>
                <w:b/>
                <w:bCs/>
                <w:color w:val="000000"/>
                <w:sz w:val="20"/>
                <w:szCs w:val="20"/>
                <w:lang w:eastAsia="hr-HR"/>
              </w:rPr>
            </w:pPr>
            <w:r w:rsidRPr="00D84719">
              <w:rPr>
                <w:rFonts w:ascii="Times New Roman" w:eastAsia="Times New Roman" w:hAnsi="Times New Roman" w:cs="Times New Roman"/>
                <w:b/>
                <w:bCs/>
                <w:color w:val="000000"/>
                <w:sz w:val="20"/>
                <w:szCs w:val="20"/>
                <w:lang w:eastAsia="hr-HR"/>
              </w:rPr>
              <w:t>14,747</w:t>
            </w:r>
          </w:p>
        </w:tc>
        <w:tc>
          <w:tcPr>
            <w:tcW w:w="466" w:type="pct"/>
            <w:shd w:val="clear" w:color="auto" w:fill="auto"/>
            <w:noWrap/>
            <w:vAlign w:val="center"/>
            <w:hideMark/>
          </w:tcPr>
          <w:p w14:paraId="236D6EB2" w14:textId="77777777" w:rsidR="00D84719" w:rsidRPr="00D84719" w:rsidRDefault="00D84719" w:rsidP="00D84719">
            <w:pPr>
              <w:spacing w:after="0" w:line="240" w:lineRule="auto"/>
              <w:jc w:val="right"/>
              <w:rPr>
                <w:rFonts w:ascii="Times New Roman" w:eastAsia="Times New Roman" w:hAnsi="Times New Roman" w:cs="Times New Roman"/>
                <w:b/>
                <w:bCs/>
                <w:color w:val="000000"/>
                <w:sz w:val="20"/>
                <w:szCs w:val="20"/>
                <w:lang w:eastAsia="hr-HR"/>
              </w:rPr>
            </w:pPr>
            <w:r w:rsidRPr="00D84719">
              <w:rPr>
                <w:rFonts w:ascii="Times New Roman" w:eastAsia="Times New Roman" w:hAnsi="Times New Roman" w:cs="Times New Roman"/>
                <w:b/>
                <w:bCs/>
                <w:color w:val="000000"/>
                <w:sz w:val="20"/>
                <w:szCs w:val="20"/>
                <w:lang w:eastAsia="hr-HR"/>
              </w:rPr>
              <w:t>0,207</w:t>
            </w:r>
          </w:p>
        </w:tc>
        <w:tc>
          <w:tcPr>
            <w:tcW w:w="465" w:type="pct"/>
            <w:shd w:val="clear" w:color="auto" w:fill="auto"/>
            <w:noWrap/>
            <w:vAlign w:val="center"/>
            <w:hideMark/>
          </w:tcPr>
          <w:p w14:paraId="383C5EC2" w14:textId="77777777" w:rsidR="00D84719" w:rsidRPr="00D84719" w:rsidRDefault="00D84719" w:rsidP="00D84719">
            <w:pPr>
              <w:spacing w:after="0" w:line="240" w:lineRule="auto"/>
              <w:jc w:val="right"/>
              <w:rPr>
                <w:rFonts w:ascii="Times New Roman" w:eastAsia="Times New Roman" w:hAnsi="Times New Roman" w:cs="Times New Roman"/>
                <w:b/>
                <w:bCs/>
                <w:color w:val="000000"/>
                <w:sz w:val="20"/>
                <w:szCs w:val="20"/>
                <w:lang w:eastAsia="hr-HR"/>
              </w:rPr>
            </w:pPr>
            <w:r w:rsidRPr="00D84719">
              <w:rPr>
                <w:rFonts w:ascii="Times New Roman" w:eastAsia="Times New Roman" w:hAnsi="Times New Roman" w:cs="Times New Roman"/>
                <w:b/>
                <w:bCs/>
                <w:color w:val="000000"/>
                <w:sz w:val="20"/>
                <w:szCs w:val="20"/>
                <w:lang w:eastAsia="hr-HR"/>
              </w:rPr>
              <w:t>0,019</w:t>
            </w:r>
          </w:p>
        </w:tc>
        <w:tc>
          <w:tcPr>
            <w:tcW w:w="542" w:type="pct"/>
            <w:shd w:val="clear" w:color="auto" w:fill="auto"/>
            <w:noWrap/>
            <w:vAlign w:val="center"/>
            <w:hideMark/>
          </w:tcPr>
          <w:p w14:paraId="7F0C05E0" w14:textId="77777777" w:rsidR="00D84719" w:rsidRPr="00D84719" w:rsidRDefault="00D84719" w:rsidP="00D84719">
            <w:pPr>
              <w:spacing w:after="0" w:line="240" w:lineRule="auto"/>
              <w:jc w:val="right"/>
              <w:rPr>
                <w:rFonts w:ascii="Times New Roman" w:eastAsia="Times New Roman" w:hAnsi="Times New Roman" w:cs="Times New Roman"/>
                <w:b/>
                <w:bCs/>
                <w:color w:val="000000"/>
                <w:sz w:val="20"/>
                <w:szCs w:val="20"/>
                <w:lang w:eastAsia="hr-HR"/>
              </w:rPr>
            </w:pPr>
            <w:r w:rsidRPr="00D84719">
              <w:rPr>
                <w:rFonts w:ascii="Times New Roman" w:eastAsia="Times New Roman" w:hAnsi="Times New Roman" w:cs="Times New Roman"/>
                <w:b/>
                <w:bCs/>
                <w:color w:val="000000"/>
                <w:sz w:val="20"/>
                <w:szCs w:val="20"/>
                <w:lang w:eastAsia="hr-HR"/>
              </w:rPr>
              <w:t>0,103</w:t>
            </w:r>
          </w:p>
        </w:tc>
        <w:tc>
          <w:tcPr>
            <w:tcW w:w="542" w:type="pct"/>
            <w:shd w:val="clear" w:color="auto" w:fill="auto"/>
            <w:noWrap/>
            <w:vAlign w:val="center"/>
            <w:hideMark/>
          </w:tcPr>
          <w:p w14:paraId="0B4A5492" w14:textId="77777777" w:rsidR="00D84719" w:rsidRPr="00D84719" w:rsidRDefault="00D84719" w:rsidP="00D84719">
            <w:pPr>
              <w:spacing w:after="0" w:line="240" w:lineRule="auto"/>
              <w:jc w:val="right"/>
              <w:rPr>
                <w:rFonts w:ascii="Times New Roman" w:eastAsia="Times New Roman" w:hAnsi="Times New Roman" w:cs="Times New Roman"/>
                <w:b/>
                <w:bCs/>
                <w:color w:val="000000"/>
                <w:sz w:val="20"/>
                <w:szCs w:val="20"/>
                <w:lang w:eastAsia="hr-HR"/>
              </w:rPr>
            </w:pPr>
            <w:r w:rsidRPr="00D84719">
              <w:rPr>
                <w:rFonts w:ascii="Times New Roman" w:eastAsia="Times New Roman" w:hAnsi="Times New Roman" w:cs="Times New Roman"/>
                <w:b/>
                <w:bCs/>
                <w:color w:val="000000"/>
                <w:sz w:val="20"/>
                <w:szCs w:val="20"/>
                <w:lang w:eastAsia="hr-HR"/>
              </w:rPr>
              <w:t>8,413</w:t>
            </w:r>
          </w:p>
        </w:tc>
      </w:tr>
      <w:tr w:rsidR="00D84719" w:rsidRPr="00D84719" w14:paraId="6ABB0386" w14:textId="77777777" w:rsidTr="00D84719">
        <w:trPr>
          <w:trHeight w:val="315"/>
          <w:jc w:val="center"/>
        </w:trPr>
        <w:tc>
          <w:tcPr>
            <w:tcW w:w="2520" w:type="pct"/>
            <w:gridSpan w:val="2"/>
            <w:shd w:val="clear" w:color="auto" w:fill="auto"/>
            <w:noWrap/>
            <w:vAlign w:val="center"/>
            <w:hideMark/>
          </w:tcPr>
          <w:p w14:paraId="00FFDD87" w14:textId="77777777" w:rsidR="00D84719" w:rsidRPr="00D84719" w:rsidRDefault="00D84719" w:rsidP="00D84719">
            <w:pPr>
              <w:spacing w:after="0" w:line="240" w:lineRule="auto"/>
              <w:jc w:val="both"/>
              <w:rPr>
                <w:rFonts w:ascii="Times New Roman" w:eastAsia="Times New Roman" w:hAnsi="Times New Roman" w:cs="Times New Roman"/>
                <w:b/>
                <w:color w:val="000000"/>
                <w:sz w:val="20"/>
                <w:szCs w:val="20"/>
                <w:lang w:eastAsia="hr-HR"/>
              </w:rPr>
            </w:pPr>
            <w:r w:rsidRPr="00D84719">
              <w:rPr>
                <w:rFonts w:ascii="Times New Roman" w:eastAsia="Times New Roman" w:hAnsi="Times New Roman" w:cs="Times New Roman"/>
                <w:b/>
                <w:color w:val="000000"/>
                <w:sz w:val="20"/>
                <w:szCs w:val="20"/>
                <w:lang w:eastAsia="hr-HR"/>
              </w:rPr>
              <w:t>SVEUKUPNO</w:t>
            </w:r>
          </w:p>
        </w:tc>
        <w:tc>
          <w:tcPr>
            <w:tcW w:w="2480" w:type="pct"/>
            <w:gridSpan w:val="5"/>
            <w:shd w:val="clear" w:color="auto" w:fill="auto"/>
            <w:noWrap/>
            <w:hideMark/>
          </w:tcPr>
          <w:p w14:paraId="72E23292" w14:textId="77777777" w:rsidR="00D84719" w:rsidRPr="00D84719" w:rsidRDefault="00D84719" w:rsidP="00D84719">
            <w:pPr>
              <w:spacing w:after="0" w:line="240" w:lineRule="auto"/>
              <w:rPr>
                <w:rFonts w:ascii="Times New Roman" w:eastAsia="Times New Roman" w:hAnsi="Times New Roman" w:cs="Times New Roman"/>
                <w:b/>
                <w:bCs/>
                <w:color w:val="000000"/>
                <w:sz w:val="20"/>
                <w:szCs w:val="20"/>
                <w:lang w:eastAsia="hr-HR"/>
              </w:rPr>
            </w:pPr>
            <w:r w:rsidRPr="00D84719">
              <w:rPr>
                <w:rFonts w:ascii="Times New Roman" w:eastAsia="Times New Roman" w:hAnsi="Times New Roman" w:cs="Times New Roman"/>
                <w:b/>
                <w:bCs/>
                <w:color w:val="000000"/>
                <w:sz w:val="20"/>
                <w:szCs w:val="20"/>
                <w:lang w:eastAsia="hr-HR"/>
              </w:rPr>
              <w:t>23,49</w:t>
            </w:r>
          </w:p>
        </w:tc>
      </w:tr>
    </w:tbl>
    <w:p w14:paraId="2383140F" w14:textId="77777777" w:rsidR="00D84719" w:rsidRPr="00D84719" w:rsidRDefault="00D84719" w:rsidP="00D84719">
      <w:pPr>
        <w:spacing w:before="80" w:line="276" w:lineRule="auto"/>
        <w:jc w:val="both"/>
        <w:rPr>
          <w:rFonts w:ascii="Times New Roman" w:eastAsia="Times New Roman" w:hAnsi="Times New Roman" w:cs="Times New Roman"/>
          <w:color w:val="000000"/>
          <w:szCs w:val="24"/>
          <w:lang w:bidi="en-US"/>
        </w:rPr>
      </w:pPr>
    </w:p>
    <w:p w14:paraId="76A537E5" w14:textId="14359A2D" w:rsidR="00D84719" w:rsidRPr="00D84719" w:rsidRDefault="00D84719" w:rsidP="00D84719">
      <w:pPr>
        <w:keepNext/>
        <w:spacing w:before="80" w:after="0" w:line="276" w:lineRule="auto"/>
        <w:jc w:val="both"/>
        <w:rPr>
          <w:rFonts w:ascii="Times New Roman" w:eastAsia="Times New Roman" w:hAnsi="Times New Roman" w:cs="Times New Roman"/>
          <w:b/>
          <w:bCs/>
          <w:i/>
          <w:sz w:val="20"/>
          <w:szCs w:val="20"/>
        </w:rPr>
      </w:pPr>
      <w:r w:rsidRPr="00D84719">
        <w:rPr>
          <w:rFonts w:ascii="Times New Roman" w:eastAsia="Times New Roman" w:hAnsi="Times New Roman" w:cs="Times New Roman"/>
          <w:b/>
          <w:bCs/>
          <w:i/>
          <w:sz w:val="20"/>
          <w:szCs w:val="20"/>
        </w:rPr>
        <w:t xml:space="preserve">Tablica </w:t>
      </w:r>
      <w:r w:rsidRPr="00D84719">
        <w:rPr>
          <w:rFonts w:ascii="Times New Roman" w:eastAsia="Times New Roman" w:hAnsi="Times New Roman" w:cs="Times New Roman"/>
          <w:b/>
          <w:bCs/>
          <w:i/>
          <w:sz w:val="20"/>
          <w:szCs w:val="20"/>
        </w:rPr>
        <w:fldChar w:fldCharType="begin"/>
      </w:r>
      <w:r w:rsidRPr="00D84719">
        <w:rPr>
          <w:rFonts w:ascii="Times New Roman" w:eastAsia="Times New Roman" w:hAnsi="Times New Roman" w:cs="Times New Roman"/>
          <w:b/>
          <w:bCs/>
          <w:i/>
          <w:sz w:val="20"/>
          <w:szCs w:val="20"/>
        </w:rPr>
        <w:instrText xml:space="preserve"> STYLEREF 2 \s </w:instrText>
      </w:r>
      <w:r w:rsidRPr="00D84719">
        <w:rPr>
          <w:rFonts w:ascii="Times New Roman" w:eastAsia="Times New Roman" w:hAnsi="Times New Roman" w:cs="Times New Roman"/>
          <w:b/>
          <w:bCs/>
          <w:i/>
          <w:sz w:val="20"/>
          <w:szCs w:val="20"/>
        </w:rPr>
        <w:fldChar w:fldCharType="separate"/>
      </w:r>
      <w:r w:rsidRPr="00D84719">
        <w:rPr>
          <w:rFonts w:ascii="Times New Roman" w:eastAsia="Times New Roman" w:hAnsi="Times New Roman" w:cs="Times New Roman"/>
          <w:b/>
          <w:bCs/>
          <w:i/>
          <w:sz w:val="20"/>
          <w:szCs w:val="20"/>
        </w:rPr>
        <w:t>3.4</w:t>
      </w:r>
      <w:r w:rsidRPr="00D84719">
        <w:rPr>
          <w:rFonts w:ascii="Times New Roman" w:eastAsia="Times New Roman" w:hAnsi="Times New Roman" w:cs="Times New Roman"/>
          <w:b/>
          <w:bCs/>
          <w:i/>
          <w:sz w:val="20"/>
          <w:szCs w:val="20"/>
        </w:rPr>
        <w:fldChar w:fldCharType="end"/>
      </w:r>
      <w:r w:rsidRPr="00D84719">
        <w:rPr>
          <w:rFonts w:ascii="Times New Roman" w:eastAsia="Times New Roman" w:hAnsi="Times New Roman" w:cs="Times New Roman"/>
          <w:b/>
          <w:bCs/>
          <w:i/>
          <w:sz w:val="20"/>
          <w:szCs w:val="20"/>
        </w:rPr>
        <w:noBreakHyphen/>
        <w:t>6: Ukupne emisije PCDD/PCDF-a prema glavnim kategorijama u 2009</w:t>
      </w:r>
      <w:r w:rsidR="004C449C">
        <w:rPr>
          <w:rFonts w:ascii="Times New Roman" w:eastAsia="Times New Roman" w:hAnsi="Times New Roman" w:cs="Times New Roman"/>
          <w:b/>
          <w:bCs/>
          <w:i/>
          <w:sz w:val="20"/>
          <w:szCs w:val="20"/>
        </w:rPr>
        <w:t>.</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622"/>
        <w:gridCol w:w="3829"/>
        <w:gridCol w:w="865"/>
        <w:gridCol w:w="867"/>
        <w:gridCol w:w="865"/>
        <w:gridCol w:w="1003"/>
        <w:gridCol w:w="1001"/>
      </w:tblGrid>
      <w:tr w:rsidR="00D84719" w:rsidRPr="00D84719" w14:paraId="46E0DAE0" w14:textId="77777777" w:rsidTr="00D84719">
        <w:trPr>
          <w:trHeight w:val="300"/>
          <w:jc w:val="center"/>
        </w:trPr>
        <w:tc>
          <w:tcPr>
            <w:tcW w:w="343" w:type="pct"/>
            <w:vMerge w:val="restart"/>
            <w:shd w:val="clear" w:color="auto" w:fill="D9D9D9"/>
            <w:noWrap/>
            <w:vAlign w:val="center"/>
            <w:hideMark/>
          </w:tcPr>
          <w:p w14:paraId="3B5E5217" w14:textId="77777777" w:rsidR="00D84719" w:rsidRPr="00D84719" w:rsidRDefault="00D84719" w:rsidP="00D84719">
            <w:pPr>
              <w:spacing w:after="0" w:line="240" w:lineRule="auto"/>
              <w:jc w:val="center"/>
              <w:rPr>
                <w:rFonts w:ascii="Times New Roman" w:eastAsia="Times New Roman" w:hAnsi="Times New Roman" w:cs="Times New Roman"/>
                <w:b/>
                <w:color w:val="000000"/>
                <w:sz w:val="20"/>
                <w:szCs w:val="20"/>
                <w:lang w:eastAsia="hr-HR"/>
              </w:rPr>
            </w:pPr>
            <w:r w:rsidRPr="00D84719">
              <w:rPr>
                <w:rFonts w:ascii="Times New Roman" w:eastAsia="Times New Roman" w:hAnsi="Times New Roman" w:cs="Times New Roman"/>
                <w:b/>
                <w:color w:val="000000"/>
                <w:sz w:val="20"/>
                <w:szCs w:val="20"/>
                <w:lang w:eastAsia="hr-HR"/>
              </w:rPr>
              <w:t>Br.</w:t>
            </w:r>
          </w:p>
        </w:tc>
        <w:tc>
          <w:tcPr>
            <w:tcW w:w="2115" w:type="pct"/>
            <w:vMerge w:val="restart"/>
            <w:shd w:val="clear" w:color="auto" w:fill="D9D9D9"/>
            <w:noWrap/>
            <w:vAlign w:val="center"/>
            <w:hideMark/>
          </w:tcPr>
          <w:p w14:paraId="2C80069C" w14:textId="77777777" w:rsidR="00D84719" w:rsidRPr="00D84719" w:rsidRDefault="00D84719" w:rsidP="00D84719">
            <w:pPr>
              <w:spacing w:after="0" w:line="240" w:lineRule="auto"/>
              <w:jc w:val="center"/>
              <w:rPr>
                <w:rFonts w:ascii="Times New Roman" w:eastAsia="Times New Roman" w:hAnsi="Times New Roman" w:cs="Times New Roman"/>
                <w:b/>
                <w:color w:val="000000"/>
                <w:sz w:val="20"/>
                <w:szCs w:val="20"/>
                <w:lang w:eastAsia="hr-HR"/>
              </w:rPr>
            </w:pPr>
            <w:r w:rsidRPr="00D84719">
              <w:rPr>
                <w:rFonts w:ascii="Times New Roman" w:eastAsia="Times New Roman" w:hAnsi="Times New Roman" w:cs="Times New Roman"/>
                <w:b/>
                <w:color w:val="000000"/>
                <w:sz w:val="20"/>
                <w:szCs w:val="20"/>
              </w:rPr>
              <w:t>Grupe izvora</w:t>
            </w:r>
          </w:p>
        </w:tc>
        <w:tc>
          <w:tcPr>
            <w:tcW w:w="2542" w:type="pct"/>
            <w:gridSpan w:val="5"/>
            <w:shd w:val="clear" w:color="auto" w:fill="D9D9D9"/>
            <w:noWrap/>
            <w:vAlign w:val="center"/>
            <w:hideMark/>
          </w:tcPr>
          <w:p w14:paraId="468A68BC" w14:textId="77777777" w:rsidR="00D84719" w:rsidRPr="00D84719" w:rsidRDefault="00D84719" w:rsidP="00D84719">
            <w:pPr>
              <w:spacing w:after="0" w:line="240" w:lineRule="auto"/>
              <w:jc w:val="center"/>
              <w:rPr>
                <w:rFonts w:ascii="Times New Roman" w:eastAsia="Times New Roman" w:hAnsi="Times New Roman" w:cs="Times New Roman"/>
                <w:b/>
                <w:color w:val="000000"/>
                <w:sz w:val="20"/>
                <w:szCs w:val="20"/>
                <w:lang w:eastAsia="hr-HR"/>
              </w:rPr>
            </w:pPr>
            <w:r w:rsidRPr="00D84719">
              <w:rPr>
                <w:rFonts w:ascii="Times New Roman" w:eastAsia="Times New Roman" w:hAnsi="Times New Roman" w:cs="Times New Roman"/>
                <w:b/>
                <w:color w:val="000000"/>
                <w:sz w:val="20"/>
                <w:szCs w:val="20"/>
                <w:lang w:eastAsia="hr-HR"/>
              </w:rPr>
              <w:t>Godišnje ispuštanje (g TEQ godina</w:t>
            </w:r>
            <w:r w:rsidRPr="00D84719">
              <w:rPr>
                <w:rFonts w:ascii="Times New Roman" w:eastAsia="Times New Roman" w:hAnsi="Times New Roman" w:cs="Times New Roman"/>
                <w:b/>
                <w:color w:val="000000"/>
                <w:sz w:val="20"/>
                <w:szCs w:val="20"/>
                <w:vertAlign w:val="superscript"/>
                <w:lang w:eastAsia="hr-HR"/>
              </w:rPr>
              <w:t>-1</w:t>
            </w:r>
            <w:r w:rsidRPr="00D84719">
              <w:rPr>
                <w:rFonts w:ascii="Times New Roman" w:eastAsia="Times New Roman" w:hAnsi="Times New Roman" w:cs="Times New Roman"/>
                <w:b/>
                <w:color w:val="000000"/>
                <w:sz w:val="20"/>
                <w:szCs w:val="20"/>
                <w:lang w:eastAsia="hr-HR"/>
              </w:rPr>
              <w:t>)</w:t>
            </w:r>
          </w:p>
        </w:tc>
      </w:tr>
      <w:tr w:rsidR="00D84719" w:rsidRPr="00D84719" w14:paraId="44358A38" w14:textId="77777777" w:rsidTr="00D84719">
        <w:trPr>
          <w:trHeight w:val="315"/>
          <w:jc w:val="center"/>
        </w:trPr>
        <w:tc>
          <w:tcPr>
            <w:tcW w:w="343" w:type="pct"/>
            <w:vMerge/>
            <w:shd w:val="clear" w:color="auto" w:fill="D9D9D9"/>
            <w:noWrap/>
            <w:vAlign w:val="center"/>
            <w:hideMark/>
          </w:tcPr>
          <w:p w14:paraId="3B399067" w14:textId="77777777" w:rsidR="00D84719" w:rsidRPr="00D84719" w:rsidRDefault="00D84719" w:rsidP="00D84719">
            <w:pPr>
              <w:spacing w:after="0" w:line="240" w:lineRule="auto"/>
              <w:jc w:val="center"/>
              <w:rPr>
                <w:rFonts w:ascii="Times New Roman" w:eastAsia="Times New Roman" w:hAnsi="Times New Roman" w:cs="Times New Roman"/>
                <w:b/>
                <w:color w:val="000000"/>
                <w:sz w:val="20"/>
                <w:szCs w:val="20"/>
                <w:lang w:eastAsia="hr-HR"/>
              </w:rPr>
            </w:pPr>
          </w:p>
        </w:tc>
        <w:tc>
          <w:tcPr>
            <w:tcW w:w="2115" w:type="pct"/>
            <w:vMerge/>
            <w:shd w:val="clear" w:color="auto" w:fill="D9D9D9"/>
            <w:noWrap/>
            <w:vAlign w:val="center"/>
            <w:hideMark/>
          </w:tcPr>
          <w:p w14:paraId="2A658EC5" w14:textId="77777777" w:rsidR="00D84719" w:rsidRPr="00D84719" w:rsidRDefault="00D84719" w:rsidP="00D84719">
            <w:pPr>
              <w:spacing w:after="0" w:line="240" w:lineRule="auto"/>
              <w:jc w:val="both"/>
              <w:rPr>
                <w:rFonts w:ascii="Times New Roman" w:eastAsia="Times New Roman" w:hAnsi="Times New Roman" w:cs="Times New Roman"/>
                <w:b/>
                <w:color w:val="000000"/>
                <w:sz w:val="20"/>
                <w:szCs w:val="20"/>
                <w:lang w:eastAsia="hr-HR"/>
              </w:rPr>
            </w:pPr>
          </w:p>
        </w:tc>
        <w:tc>
          <w:tcPr>
            <w:tcW w:w="478" w:type="pct"/>
            <w:shd w:val="clear" w:color="auto" w:fill="D9D9D9"/>
            <w:noWrap/>
            <w:vAlign w:val="center"/>
            <w:hideMark/>
          </w:tcPr>
          <w:p w14:paraId="1522DCC2" w14:textId="77777777" w:rsidR="00D84719" w:rsidRPr="00D84719" w:rsidRDefault="00D84719" w:rsidP="00D84719">
            <w:pPr>
              <w:spacing w:after="0" w:line="240" w:lineRule="auto"/>
              <w:jc w:val="center"/>
              <w:rPr>
                <w:rFonts w:ascii="Times New Roman" w:eastAsia="Times New Roman" w:hAnsi="Times New Roman" w:cs="Times New Roman"/>
                <w:b/>
                <w:color w:val="000000"/>
                <w:sz w:val="20"/>
                <w:szCs w:val="20"/>
                <w:lang w:eastAsia="hr-HR"/>
              </w:rPr>
            </w:pPr>
            <w:r w:rsidRPr="00D84719">
              <w:rPr>
                <w:rFonts w:ascii="Times New Roman" w:eastAsia="Times New Roman" w:hAnsi="Times New Roman" w:cs="Times New Roman"/>
                <w:b/>
                <w:color w:val="000000"/>
                <w:sz w:val="20"/>
                <w:szCs w:val="20"/>
                <w:lang w:eastAsia="hr-HR"/>
              </w:rPr>
              <w:t>Zrak</w:t>
            </w:r>
          </w:p>
        </w:tc>
        <w:tc>
          <w:tcPr>
            <w:tcW w:w="479" w:type="pct"/>
            <w:shd w:val="clear" w:color="auto" w:fill="D9D9D9"/>
            <w:noWrap/>
            <w:vAlign w:val="center"/>
            <w:hideMark/>
          </w:tcPr>
          <w:p w14:paraId="757BB300" w14:textId="77777777" w:rsidR="00D84719" w:rsidRPr="00D84719" w:rsidRDefault="00D84719" w:rsidP="00D84719">
            <w:pPr>
              <w:spacing w:after="0" w:line="240" w:lineRule="auto"/>
              <w:jc w:val="center"/>
              <w:rPr>
                <w:rFonts w:ascii="Times New Roman" w:eastAsia="Times New Roman" w:hAnsi="Times New Roman" w:cs="Times New Roman"/>
                <w:b/>
                <w:color w:val="000000"/>
                <w:sz w:val="20"/>
                <w:szCs w:val="20"/>
                <w:lang w:eastAsia="hr-HR"/>
              </w:rPr>
            </w:pPr>
            <w:r w:rsidRPr="00D84719">
              <w:rPr>
                <w:rFonts w:ascii="Times New Roman" w:eastAsia="Times New Roman" w:hAnsi="Times New Roman" w:cs="Times New Roman"/>
                <w:b/>
                <w:color w:val="000000"/>
                <w:sz w:val="20"/>
                <w:szCs w:val="20"/>
                <w:lang w:eastAsia="hr-HR"/>
              </w:rPr>
              <w:t>Vode</w:t>
            </w:r>
          </w:p>
        </w:tc>
        <w:tc>
          <w:tcPr>
            <w:tcW w:w="478" w:type="pct"/>
            <w:shd w:val="clear" w:color="auto" w:fill="D9D9D9"/>
            <w:noWrap/>
            <w:vAlign w:val="center"/>
            <w:hideMark/>
          </w:tcPr>
          <w:p w14:paraId="258EED81" w14:textId="77777777" w:rsidR="00D84719" w:rsidRPr="00D84719" w:rsidRDefault="00D84719" w:rsidP="00D84719">
            <w:pPr>
              <w:spacing w:after="0" w:line="240" w:lineRule="auto"/>
              <w:jc w:val="center"/>
              <w:rPr>
                <w:rFonts w:ascii="Times New Roman" w:eastAsia="Times New Roman" w:hAnsi="Times New Roman" w:cs="Times New Roman"/>
                <w:b/>
                <w:color w:val="000000"/>
                <w:sz w:val="20"/>
                <w:szCs w:val="20"/>
                <w:lang w:eastAsia="hr-HR"/>
              </w:rPr>
            </w:pPr>
            <w:r w:rsidRPr="00D84719">
              <w:rPr>
                <w:rFonts w:ascii="Times New Roman" w:eastAsia="Times New Roman" w:hAnsi="Times New Roman" w:cs="Times New Roman"/>
                <w:b/>
                <w:color w:val="000000"/>
                <w:sz w:val="20"/>
                <w:szCs w:val="20"/>
                <w:lang w:eastAsia="hr-HR"/>
              </w:rPr>
              <w:t>Tlo</w:t>
            </w:r>
          </w:p>
        </w:tc>
        <w:tc>
          <w:tcPr>
            <w:tcW w:w="554" w:type="pct"/>
            <w:shd w:val="clear" w:color="auto" w:fill="D9D9D9"/>
            <w:noWrap/>
            <w:vAlign w:val="center"/>
            <w:hideMark/>
          </w:tcPr>
          <w:p w14:paraId="773A33EB" w14:textId="77777777" w:rsidR="00D84719" w:rsidRPr="00D84719" w:rsidRDefault="00D84719" w:rsidP="00D84719">
            <w:pPr>
              <w:spacing w:after="0" w:line="240" w:lineRule="auto"/>
              <w:jc w:val="center"/>
              <w:rPr>
                <w:rFonts w:ascii="Times New Roman" w:eastAsia="Times New Roman" w:hAnsi="Times New Roman" w:cs="Times New Roman"/>
                <w:b/>
                <w:color w:val="000000"/>
                <w:sz w:val="20"/>
                <w:szCs w:val="20"/>
                <w:lang w:eastAsia="hr-HR"/>
              </w:rPr>
            </w:pPr>
            <w:r w:rsidRPr="00D84719">
              <w:rPr>
                <w:rFonts w:ascii="Times New Roman" w:eastAsia="Times New Roman" w:hAnsi="Times New Roman" w:cs="Times New Roman"/>
                <w:b/>
                <w:color w:val="000000"/>
                <w:sz w:val="20"/>
                <w:szCs w:val="20"/>
                <w:lang w:eastAsia="hr-HR"/>
              </w:rPr>
              <w:t>Produkt</w:t>
            </w:r>
          </w:p>
        </w:tc>
        <w:tc>
          <w:tcPr>
            <w:tcW w:w="553" w:type="pct"/>
            <w:shd w:val="clear" w:color="auto" w:fill="D9D9D9"/>
            <w:noWrap/>
            <w:vAlign w:val="center"/>
            <w:hideMark/>
          </w:tcPr>
          <w:p w14:paraId="0EE6B835" w14:textId="77777777" w:rsidR="00D84719" w:rsidRPr="00D84719" w:rsidRDefault="00D84719" w:rsidP="00D84719">
            <w:pPr>
              <w:spacing w:after="0" w:line="240" w:lineRule="auto"/>
              <w:jc w:val="center"/>
              <w:rPr>
                <w:rFonts w:ascii="Times New Roman" w:eastAsia="Times New Roman" w:hAnsi="Times New Roman" w:cs="Times New Roman"/>
                <w:b/>
                <w:color w:val="000000"/>
                <w:sz w:val="20"/>
                <w:szCs w:val="20"/>
                <w:lang w:eastAsia="hr-HR"/>
              </w:rPr>
            </w:pPr>
            <w:r w:rsidRPr="00D84719">
              <w:rPr>
                <w:rFonts w:ascii="Times New Roman" w:eastAsia="Times New Roman" w:hAnsi="Times New Roman" w:cs="Times New Roman"/>
                <w:b/>
                <w:color w:val="000000"/>
                <w:sz w:val="20"/>
                <w:szCs w:val="20"/>
                <w:lang w:eastAsia="hr-HR"/>
              </w:rPr>
              <w:t>Ostatak</w:t>
            </w:r>
          </w:p>
        </w:tc>
      </w:tr>
      <w:tr w:rsidR="00D84719" w:rsidRPr="00D84719" w14:paraId="74D0454A" w14:textId="77777777" w:rsidTr="00D84719">
        <w:trPr>
          <w:trHeight w:val="300"/>
          <w:jc w:val="center"/>
        </w:trPr>
        <w:tc>
          <w:tcPr>
            <w:tcW w:w="343" w:type="pct"/>
            <w:shd w:val="clear" w:color="auto" w:fill="auto"/>
            <w:noWrap/>
            <w:vAlign w:val="center"/>
            <w:hideMark/>
          </w:tcPr>
          <w:p w14:paraId="55044C53"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1.</w:t>
            </w:r>
          </w:p>
        </w:tc>
        <w:tc>
          <w:tcPr>
            <w:tcW w:w="2115" w:type="pct"/>
            <w:shd w:val="clear" w:color="auto" w:fill="auto"/>
            <w:noWrap/>
            <w:vAlign w:val="center"/>
            <w:hideMark/>
          </w:tcPr>
          <w:p w14:paraId="20F0FF05" w14:textId="77777777" w:rsidR="00D84719" w:rsidRPr="00D84719" w:rsidRDefault="00D84719" w:rsidP="00D84719">
            <w:pPr>
              <w:spacing w:after="0" w:line="240" w:lineRule="auto"/>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Spalionice</w:t>
            </w:r>
          </w:p>
        </w:tc>
        <w:tc>
          <w:tcPr>
            <w:tcW w:w="478" w:type="pct"/>
            <w:shd w:val="clear" w:color="auto" w:fill="auto"/>
            <w:noWrap/>
            <w:vAlign w:val="center"/>
            <w:hideMark/>
          </w:tcPr>
          <w:p w14:paraId="587427C0"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0,570</w:t>
            </w:r>
          </w:p>
        </w:tc>
        <w:tc>
          <w:tcPr>
            <w:tcW w:w="479" w:type="pct"/>
            <w:shd w:val="clear" w:color="auto" w:fill="auto"/>
            <w:noWrap/>
            <w:vAlign w:val="center"/>
            <w:hideMark/>
          </w:tcPr>
          <w:p w14:paraId="7B25CEC8"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0,000</w:t>
            </w:r>
          </w:p>
        </w:tc>
        <w:tc>
          <w:tcPr>
            <w:tcW w:w="478" w:type="pct"/>
            <w:shd w:val="clear" w:color="auto" w:fill="auto"/>
            <w:noWrap/>
            <w:vAlign w:val="center"/>
            <w:hideMark/>
          </w:tcPr>
          <w:p w14:paraId="747ACD48"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0,000</w:t>
            </w:r>
          </w:p>
        </w:tc>
        <w:tc>
          <w:tcPr>
            <w:tcW w:w="554" w:type="pct"/>
            <w:shd w:val="clear" w:color="auto" w:fill="auto"/>
            <w:noWrap/>
            <w:vAlign w:val="center"/>
            <w:hideMark/>
          </w:tcPr>
          <w:p w14:paraId="26224276"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0,000</w:t>
            </w:r>
          </w:p>
        </w:tc>
        <w:tc>
          <w:tcPr>
            <w:tcW w:w="553" w:type="pct"/>
            <w:shd w:val="clear" w:color="auto" w:fill="auto"/>
            <w:noWrap/>
            <w:vAlign w:val="center"/>
            <w:hideMark/>
          </w:tcPr>
          <w:p w14:paraId="0B5C73B9"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0,004</w:t>
            </w:r>
          </w:p>
        </w:tc>
      </w:tr>
      <w:tr w:rsidR="00D84719" w:rsidRPr="00D84719" w14:paraId="60D0BA67" w14:textId="77777777" w:rsidTr="00D84719">
        <w:trPr>
          <w:trHeight w:val="300"/>
          <w:jc w:val="center"/>
        </w:trPr>
        <w:tc>
          <w:tcPr>
            <w:tcW w:w="343" w:type="pct"/>
            <w:shd w:val="clear" w:color="auto" w:fill="auto"/>
            <w:noWrap/>
            <w:vAlign w:val="center"/>
            <w:hideMark/>
          </w:tcPr>
          <w:p w14:paraId="74FF13DA"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2.</w:t>
            </w:r>
          </w:p>
        </w:tc>
        <w:tc>
          <w:tcPr>
            <w:tcW w:w="2115" w:type="pct"/>
            <w:shd w:val="clear" w:color="auto" w:fill="auto"/>
            <w:noWrap/>
            <w:vAlign w:val="center"/>
            <w:hideMark/>
          </w:tcPr>
          <w:p w14:paraId="78A988A7" w14:textId="77777777" w:rsidR="00D84719" w:rsidRPr="00D84719" w:rsidRDefault="00D84719" w:rsidP="00D84719">
            <w:pPr>
              <w:spacing w:after="0" w:line="240" w:lineRule="auto"/>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 xml:space="preserve">Željezo i obojeni metali </w:t>
            </w:r>
          </w:p>
        </w:tc>
        <w:tc>
          <w:tcPr>
            <w:tcW w:w="478" w:type="pct"/>
            <w:shd w:val="clear" w:color="auto" w:fill="auto"/>
            <w:noWrap/>
            <w:vAlign w:val="center"/>
            <w:hideMark/>
          </w:tcPr>
          <w:p w14:paraId="1AEC759E"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0,040</w:t>
            </w:r>
          </w:p>
        </w:tc>
        <w:tc>
          <w:tcPr>
            <w:tcW w:w="479" w:type="pct"/>
            <w:shd w:val="clear" w:color="auto" w:fill="auto"/>
            <w:noWrap/>
            <w:vAlign w:val="center"/>
            <w:hideMark/>
          </w:tcPr>
          <w:p w14:paraId="7C68E71E"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0,000</w:t>
            </w:r>
          </w:p>
        </w:tc>
        <w:tc>
          <w:tcPr>
            <w:tcW w:w="478" w:type="pct"/>
            <w:shd w:val="clear" w:color="auto" w:fill="auto"/>
            <w:noWrap/>
            <w:vAlign w:val="center"/>
            <w:hideMark/>
          </w:tcPr>
          <w:p w14:paraId="5F7756FE"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0,000</w:t>
            </w:r>
          </w:p>
        </w:tc>
        <w:tc>
          <w:tcPr>
            <w:tcW w:w="554" w:type="pct"/>
            <w:shd w:val="clear" w:color="auto" w:fill="auto"/>
            <w:noWrap/>
            <w:vAlign w:val="center"/>
            <w:hideMark/>
          </w:tcPr>
          <w:p w14:paraId="00513A19"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0,000</w:t>
            </w:r>
          </w:p>
        </w:tc>
        <w:tc>
          <w:tcPr>
            <w:tcW w:w="553" w:type="pct"/>
            <w:shd w:val="clear" w:color="auto" w:fill="auto"/>
            <w:noWrap/>
            <w:vAlign w:val="center"/>
            <w:hideMark/>
          </w:tcPr>
          <w:p w14:paraId="472E932B"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0,282</w:t>
            </w:r>
          </w:p>
        </w:tc>
      </w:tr>
      <w:tr w:rsidR="00D84719" w:rsidRPr="00D84719" w14:paraId="10B30269" w14:textId="77777777" w:rsidTr="00D84719">
        <w:trPr>
          <w:trHeight w:val="300"/>
          <w:jc w:val="center"/>
        </w:trPr>
        <w:tc>
          <w:tcPr>
            <w:tcW w:w="343" w:type="pct"/>
            <w:shd w:val="clear" w:color="auto" w:fill="auto"/>
            <w:noWrap/>
            <w:vAlign w:val="center"/>
            <w:hideMark/>
          </w:tcPr>
          <w:p w14:paraId="428BEB38"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3.</w:t>
            </w:r>
          </w:p>
        </w:tc>
        <w:tc>
          <w:tcPr>
            <w:tcW w:w="2115" w:type="pct"/>
            <w:shd w:val="clear" w:color="auto" w:fill="auto"/>
            <w:noWrap/>
            <w:vAlign w:val="center"/>
            <w:hideMark/>
          </w:tcPr>
          <w:p w14:paraId="0CCB891B" w14:textId="77777777" w:rsidR="00D84719" w:rsidRPr="00D84719" w:rsidRDefault="00D84719" w:rsidP="00D84719">
            <w:pPr>
              <w:spacing w:after="0" w:line="240" w:lineRule="auto"/>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Proizvodnja energije i topline</w:t>
            </w:r>
          </w:p>
        </w:tc>
        <w:tc>
          <w:tcPr>
            <w:tcW w:w="478" w:type="pct"/>
            <w:shd w:val="clear" w:color="auto" w:fill="auto"/>
            <w:noWrap/>
            <w:vAlign w:val="center"/>
            <w:hideMark/>
          </w:tcPr>
          <w:p w14:paraId="77578867"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14,434</w:t>
            </w:r>
          </w:p>
        </w:tc>
        <w:tc>
          <w:tcPr>
            <w:tcW w:w="479" w:type="pct"/>
            <w:shd w:val="clear" w:color="auto" w:fill="auto"/>
            <w:noWrap/>
            <w:vAlign w:val="center"/>
            <w:hideMark/>
          </w:tcPr>
          <w:p w14:paraId="7418CF13"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0,000</w:t>
            </w:r>
          </w:p>
        </w:tc>
        <w:tc>
          <w:tcPr>
            <w:tcW w:w="478" w:type="pct"/>
            <w:shd w:val="clear" w:color="auto" w:fill="auto"/>
            <w:noWrap/>
            <w:vAlign w:val="center"/>
            <w:hideMark/>
          </w:tcPr>
          <w:p w14:paraId="76CD0F40"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0,000</w:t>
            </w:r>
          </w:p>
        </w:tc>
        <w:tc>
          <w:tcPr>
            <w:tcW w:w="554" w:type="pct"/>
            <w:shd w:val="clear" w:color="auto" w:fill="auto"/>
            <w:noWrap/>
            <w:vAlign w:val="center"/>
            <w:hideMark/>
          </w:tcPr>
          <w:p w14:paraId="33CEF420"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0,000</w:t>
            </w:r>
          </w:p>
        </w:tc>
        <w:tc>
          <w:tcPr>
            <w:tcW w:w="553" w:type="pct"/>
            <w:shd w:val="clear" w:color="auto" w:fill="auto"/>
            <w:noWrap/>
            <w:vAlign w:val="center"/>
            <w:hideMark/>
          </w:tcPr>
          <w:p w14:paraId="25783C6E"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0,374</w:t>
            </w:r>
          </w:p>
        </w:tc>
      </w:tr>
      <w:tr w:rsidR="00D84719" w:rsidRPr="00D84719" w14:paraId="4D11B86E" w14:textId="77777777" w:rsidTr="00D84719">
        <w:trPr>
          <w:trHeight w:val="300"/>
          <w:jc w:val="center"/>
        </w:trPr>
        <w:tc>
          <w:tcPr>
            <w:tcW w:w="343" w:type="pct"/>
            <w:shd w:val="clear" w:color="auto" w:fill="auto"/>
            <w:noWrap/>
            <w:vAlign w:val="center"/>
            <w:hideMark/>
          </w:tcPr>
          <w:p w14:paraId="3E701D55"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4.</w:t>
            </w:r>
          </w:p>
        </w:tc>
        <w:tc>
          <w:tcPr>
            <w:tcW w:w="2115" w:type="pct"/>
            <w:shd w:val="clear" w:color="auto" w:fill="auto"/>
            <w:noWrap/>
            <w:vAlign w:val="center"/>
            <w:hideMark/>
          </w:tcPr>
          <w:p w14:paraId="6E221FA4" w14:textId="77777777" w:rsidR="00D84719" w:rsidRPr="00D84719" w:rsidRDefault="00D84719" w:rsidP="00D84719">
            <w:pPr>
              <w:spacing w:after="0" w:line="240" w:lineRule="auto"/>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Proizvodnja minerala</w:t>
            </w:r>
          </w:p>
        </w:tc>
        <w:tc>
          <w:tcPr>
            <w:tcW w:w="478" w:type="pct"/>
            <w:shd w:val="clear" w:color="auto" w:fill="auto"/>
            <w:noWrap/>
            <w:vAlign w:val="center"/>
            <w:hideMark/>
          </w:tcPr>
          <w:p w14:paraId="2E24C7A5"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0,200</w:t>
            </w:r>
          </w:p>
        </w:tc>
        <w:tc>
          <w:tcPr>
            <w:tcW w:w="479" w:type="pct"/>
            <w:shd w:val="clear" w:color="auto" w:fill="auto"/>
            <w:noWrap/>
            <w:vAlign w:val="center"/>
            <w:hideMark/>
          </w:tcPr>
          <w:p w14:paraId="540BE287"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0,000</w:t>
            </w:r>
          </w:p>
        </w:tc>
        <w:tc>
          <w:tcPr>
            <w:tcW w:w="478" w:type="pct"/>
            <w:shd w:val="clear" w:color="auto" w:fill="auto"/>
            <w:noWrap/>
            <w:vAlign w:val="center"/>
            <w:hideMark/>
          </w:tcPr>
          <w:p w14:paraId="66FE29DC"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0,000</w:t>
            </w:r>
          </w:p>
        </w:tc>
        <w:tc>
          <w:tcPr>
            <w:tcW w:w="554" w:type="pct"/>
            <w:shd w:val="clear" w:color="auto" w:fill="auto"/>
            <w:noWrap/>
            <w:vAlign w:val="center"/>
            <w:hideMark/>
          </w:tcPr>
          <w:p w14:paraId="3F98CE70"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0,014</w:t>
            </w:r>
          </w:p>
        </w:tc>
        <w:tc>
          <w:tcPr>
            <w:tcW w:w="553" w:type="pct"/>
            <w:shd w:val="clear" w:color="auto" w:fill="auto"/>
            <w:noWrap/>
            <w:vAlign w:val="center"/>
            <w:hideMark/>
          </w:tcPr>
          <w:p w14:paraId="64347FA5"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0,005</w:t>
            </w:r>
          </w:p>
        </w:tc>
      </w:tr>
      <w:tr w:rsidR="00D84719" w:rsidRPr="00D84719" w14:paraId="373787F6" w14:textId="77777777" w:rsidTr="00D84719">
        <w:trPr>
          <w:trHeight w:val="300"/>
          <w:jc w:val="center"/>
        </w:trPr>
        <w:tc>
          <w:tcPr>
            <w:tcW w:w="343" w:type="pct"/>
            <w:shd w:val="clear" w:color="auto" w:fill="auto"/>
            <w:noWrap/>
            <w:vAlign w:val="center"/>
            <w:hideMark/>
          </w:tcPr>
          <w:p w14:paraId="3BDD257C"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5.</w:t>
            </w:r>
          </w:p>
        </w:tc>
        <w:tc>
          <w:tcPr>
            <w:tcW w:w="2115" w:type="pct"/>
            <w:shd w:val="clear" w:color="auto" w:fill="auto"/>
            <w:noWrap/>
            <w:vAlign w:val="center"/>
            <w:hideMark/>
          </w:tcPr>
          <w:p w14:paraId="2DF3D180" w14:textId="77777777" w:rsidR="00D84719" w:rsidRPr="00D84719" w:rsidRDefault="00D84719" w:rsidP="00D84719">
            <w:pPr>
              <w:spacing w:after="0" w:line="240" w:lineRule="auto"/>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Promet</w:t>
            </w:r>
          </w:p>
        </w:tc>
        <w:tc>
          <w:tcPr>
            <w:tcW w:w="478" w:type="pct"/>
            <w:shd w:val="clear" w:color="auto" w:fill="auto"/>
            <w:noWrap/>
            <w:vAlign w:val="center"/>
            <w:hideMark/>
          </w:tcPr>
          <w:p w14:paraId="7DB8F1F7"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0,291</w:t>
            </w:r>
          </w:p>
        </w:tc>
        <w:tc>
          <w:tcPr>
            <w:tcW w:w="479" w:type="pct"/>
            <w:shd w:val="clear" w:color="auto" w:fill="auto"/>
            <w:noWrap/>
            <w:vAlign w:val="center"/>
            <w:hideMark/>
          </w:tcPr>
          <w:p w14:paraId="3B278219"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0,000</w:t>
            </w:r>
          </w:p>
        </w:tc>
        <w:tc>
          <w:tcPr>
            <w:tcW w:w="478" w:type="pct"/>
            <w:shd w:val="clear" w:color="auto" w:fill="auto"/>
            <w:noWrap/>
            <w:vAlign w:val="center"/>
            <w:hideMark/>
          </w:tcPr>
          <w:p w14:paraId="75B6CC2D"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0,000</w:t>
            </w:r>
          </w:p>
        </w:tc>
        <w:tc>
          <w:tcPr>
            <w:tcW w:w="554" w:type="pct"/>
            <w:shd w:val="clear" w:color="auto" w:fill="auto"/>
            <w:noWrap/>
            <w:vAlign w:val="center"/>
            <w:hideMark/>
          </w:tcPr>
          <w:p w14:paraId="00C3C50D"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0,000</w:t>
            </w:r>
          </w:p>
        </w:tc>
        <w:tc>
          <w:tcPr>
            <w:tcW w:w="553" w:type="pct"/>
            <w:shd w:val="clear" w:color="auto" w:fill="auto"/>
            <w:noWrap/>
            <w:vAlign w:val="center"/>
            <w:hideMark/>
          </w:tcPr>
          <w:p w14:paraId="716B2A02"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0,000</w:t>
            </w:r>
          </w:p>
        </w:tc>
      </w:tr>
      <w:tr w:rsidR="00D84719" w:rsidRPr="00D84719" w14:paraId="62EE2AA2" w14:textId="77777777" w:rsidTr="00D84719">
        <w:trPr>
          <w:trHeight w:val="300"/>
          <w:jc w:val="center"/>
        </w:trPr>
        <w:tc>
          <w:tcPr>
            <w:tcW w:w="343" w:type="pct"/>
            <w:shd w:val="clear" w:color="auto" w:fill="auto"/>
            <w:noWrap/>
            <w:vAlign w:val="center"/>
            <w:hideMark/>
          </w:tcPr>
          <w:p w14:paraId="6867C9B2"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6.</w:t>
            </w:r>
          </w:p>
        </w:tc>
        <w:tc>
          <w:tcPr>
            <w:tcW w:w="2115" w:type="pct"/>
            <w:shd w:val="clear" w:color="auto" w:fill="auto"/>
            <w:noWrap/>
            <w:vAlign w:val="center"/>
            <w:hideMark/>
          </w:tcPr>
          <w:p w14:paraId="70B1AFFE" w14:textId="77777777" w:rsidR="00D84719" w:rsidRPr="00D84719" w:rsidRDefault="00D84719" w:rsidP="00D84719">
            <w:pPr>
              <w:spacing w:after="0" w:line="240" w:lineRule="auto"/>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rPr>
              <w:t>Procesi gorenja na otvorenom</w:t>
            </w:r>
          </w:p>
        </w:tc>
        <w:tc>
          <w:tcPr>
            <w:tcW w:w="478" w:type="pct"/>
            <w:shd w:val="clear" w:color="auto" w:fill="auto"/>
            <w:noWrap/>
            <w:vAlign w:val="center"/>
            <w:hideMark/>
          </w:tcPr>
          <w:p w14:paraId="6BB9868D"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0,028</w:t>
            </w:r>
          </w:p>
        </w:tc>
        <w:tc>
          <w:tcPr>
            <w:tcW w:w="479" w:type="pct"/>
            <w:shd w:val="clear" w:color="auto" w:fill="auto"/>
            <w:noWrap/>
            <w:vAlign w:val="center"/>
            <w:hideMark/>
          </w:tcPr>
          <w:p w14:paraId="476BC2FD"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0,000</w:t>
            </w:r>
          </w:p>
        </w:tc>
        <w:tc>
          <w:tcPr>
            <w:tcW w:w="478" w:type="pct"/>
            <w:shd w:val="clear" w:color="auto" w:fill="auto"/>
            <w:noWrap/>
            <w:vAlign w:val="center"/>
            <w:hideMark/>
          </w:tcPr>
          <w:p w14:paraId="0C242FD1"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0,004</w:t>
            </w:r>
          </w:p>
        </w:tc>
        <w:tc>
          <w:tcPr>
            <w:tcW w:w="554" w:type="pct"/>
            <w:shd w:val="clear" w:color="auto" w:fill="auto"/>
            <w:noWrap/>
            <w:vAlign w:val="center"/>
            <w:hideMark/>
          </w:tcPr>
          <w:p w14:paraId="634B187A"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0,000</w:t>
            </w:r>
          </w:p>
        </w:tc>
        <w:tc>
          <w:tcPr>
            <w:tcW w:w="553" w:type="pct"/>
            <w:shd w:val="clear" w:color="auto" w:fill="auto"/>
            <w:noWrap/>
            <w:vAlign w:val="center"/>
            <w:hideMark/>
          </w:tcPr>
          <w:p w14:paraId="52F6D8F6"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0,000</w:t>
            </w:r>
          </w:p>
        </w:tc>
      </w:tr>
      <w:tr w:rsidR="00D84719" w:rsidRPr="00D84719" w14:paraId="2A8E0B7F" w14:textId="77777777" w:rsidTr="00D84719">
        <w:trPr>
          <w:trHeight w:val="300"/>
          <w:jc w:val="center"/>
        </w:trPr>
        <w:tc>
          <w:tcPr>
            <w:tcW w:w="343" w:type="pct"/>
            <w:shd w:val="clear" w:color="auto" w:fill="auto"/>
            <w:noWrap/>
            <w:vAlign w:val="center"/>
            <w:hideMark/>
          </w:tcPr>
          <w:p w14:paraId="65E67DD0"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7.</w:t>
            </w:r>
          </w:p>
        </w:tc>
        <w:tc>
          <w:tcPr>
            <w:tcW w:w="2115" w:type="pct"/>
            <w:shd w:val="clear" w:color="auto" w:fill="auto"/>
            <w:noWrap/>
            <w:vAlign w:val="center"/>
            <w:hideMark/>
          </w:tcPr>
          <w:p w14:paraId="56758328" w14:textId="77777777" w:rsidR="00D84719" w:rsidRPr="00D84719" w:rsidRDefault="00D84719" w:rsidP="00D84719">
            <w:pPr>
              <w:spacing w:after="0" w:line="240" w:lineRule="auto"/>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 xml:space="preserve">Proizvodnja kemikalija i potrošačkih roba </w:t>
            </w:r>
          </w:p>
        </w:tc>
        <w:tc>
          <w:tcPr>
            <w:tcW w:w="478" w:type="pct"/>
            <w:shd w:val="clear" w:color="auto" w:fill="auto"/>
            <w:noWrap/>
            <w:vAlign w:val="center"/>
            <w:hideMark/>
          </w:tcPr>
          <w:p w14:paraId="75357343"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0,001</w:t>
            </w:r>
          </w:p>
        </w:tc>
        <w:tc>
          <w:tcPr>
            <w:tcW w:w="479" w:type="pct"/>
            <w:shd w:val="clear" w:color="auto" w:fill="auto"/>
            <w:noWrap/>
            <w:vAlign w:val="center"/>
            <w:hideMark/>
          </w:tcPr>
          <w:p w14:paraId="1E93DA76"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0,000</w:t>
            </w:r>
          </w:p>
        </w:tc>
        <w:tc>
          <w:tcPr>
            <w:tcW w:w="478" w:type="pct"/>
            <w:shd w:val="clear" w:color="auto" w:fill="auto"/>
            <w:noWrap/>
            <w:vAlign w:val="center"/>
            <w:hideMark/>
          </w:tcPr>
          <w:p w14:paraId="2930A3EE"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0,000</w:t>
            </w:r>
          </w:p>
        </w:tc>
        <w:tc>
          <w:tcPr>
            <w:tcW w:w="554" w:type="pct"/>
            <w:shd w:val="clear" w:color="auto" w:fill="auto"/>
            <w:noWrap/>
            <w:vAlign w:val="center"/>
            <w:hideMark/>
          </w:tcPr>
          <w:p w14:paraId="4A0DAABE"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0,838</w:t>
            </w:r>
          </w:p>
        </w:tc>
        <w:tc>
          <w:tcPr>
            <w:tcW w:w="553" w:type="pct"/>
            <w:shd w:val="clear" w:color="auto" w:fill="auto"/>
            <w:noWrap/>
            <w:vAlign w:val="center"/>
            <w:hideMark/>
          </w:tcPr>
          <w:p w14:paraId="095C073B"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0,000</w:t>
            </w:r>
          </w:p>
        </w:tc>
      </w:tr>
      <w:tr w:rsidR="00D84719" w:rsidRPr="00D84719" w14:paraId="1CB9C81B" w14:textId="77777777" w:rsidTr="00D84719">
        <w:trPr>
          <w:trHeight w:val="300"/>
          <w:jc w:val="center"/>
        </w:trPr>
        <w:tc>
          <w:tcPr>
            <w:tcW w:w="343" w:type="pct"/>
            <w:shd w:val="clear" w:color="auto" w:fill="auto"/>
            <w:noWrap/>
            <w:vAlign w:val="center"/>
            <w:hideMark/>
          </w:tcPr>
          <w:p w14:paraId="265BCF4B"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8.</w:t>
            </w:r>
          </w:p>
        </w:tc>
        <w:tc>
          <w:tcPr>
            <w:tcW w:w="2115" w:type="pct"/>
            <w:shd w:val="clear" w:color="auto" w:fill="auto"/>
            <w:noWrap/>
            <w:vAlign w:val="center"/>
            <w:hideMark/>
          </w:tcPr>
          <w:p w14:paraId="2B2C4704" w14:textId="77777777" w:rsidR="00D84719" w:rsidRPr="00D84719" w:rsidRDefault="00D84719" w:rsidP="00D84719">
            <w:pPr>
              <w:spacing w:after="0" w:line="240" w:lineRule="auto"/>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Razno</w:t>
            </w:r>
          </w:p>
        </w:tc>
        <w:tc>
          <w:tcPr>
            <w:tcW w:w="478" w:type="pct"/>
            <w:shd w:val="clear" w:color="auto" w:fill="auto"/>
            <w:noWrap/>
            <w:vAlign w:val="center"/>
            <w:hideMark/>
          </w:tcPr>
          <w:p w14:paraId="5CAD24F7"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0,003</w:t>
            </w:r>
          </w:p>
        </w:tc>
        <w:tc>
          <w:tcPr>
            <w:tcW w:w="479" w:type="pct"/>
            <w:shd w:val="clear" w:color="auto" w:fill="auto"/>
            <w:noWrap/>
            <w:vAlign w:val="center"/>
            <w:hideMark/>
          </w:tcPr>
          <w:p w14:paraId="797000A0"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0,000</w:t>
            </w:r>
          </w:p>
        </w:tc>
        <w:tc>
          <w:tcPr>
            <w:tcW w:w="478" w:type="pct"/>
            <w:shd w:val="clear" w:color="auto" w:fill="auto"/>
            <w:noWrap/>
            <w:vAlign w:val="center"/>
            <w:hideMark/>
          </w:tcPr>
          <w:p w14:paraId="58D505B7"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0,000</w:t>
            </w:r>
          </w:p>
        </w:tc>
        <w:tc>
          <w:tcPr>
            <w:tcW w:w="554" w:type="pct"/>
            <w:shd w:val="clear" w:color="auto" w:fill="auto"/>
            <w:noWrap/>
            <w:vAlign w:val="center"/>
            <w:hideMark/>
          </w:tcPr>
          <w:p w14:paraId="7F49269A"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0,000</w:t>
            </w:r>
          </w:p>
        </w:tc>
        <w:tc>
          <w:tcPr>
            <w:tcW w:w="553" w:type="pct"/>
            <w:shd w:val="clear" w:color="auto" w:fill="auto"/>
            <w:noWrap/>
            <w:vAlign w:val="center"/>
            <w:hideMark/>
          </w:tcPr>
          <w:p w14:paraId="345ADC14"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0,011</w:t>
            </w:r>
          </w:p>
        </w:tc>
      </w:tr>
      <w:tr w:rsidR="00D84719" w:rsidRPr="00D84719" w14:paraId="57156A51" w14:textId="77777777" w:rsidTr="00D84719">
        <w:trPr>
          <w:trHeight w:val="300"/>
          <w:jc w:val="center"/>
        </w:trPr>
        <w:tc>
          <w:tcPr>
            <w:tcW w:w="343" w:type="pct"/>
            <w:shd w:val="clear" w:color="auto" w:fill="auto"/>
            <w:noWrap/>
            <w:vAlign w:val="center"/>
            <w:hideMark/>
          </w:tcPr>
          <w:p w14:paraId="1E3E694F"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9.</w:t>
            </w:r>
          </w:p>
        </w:tc>
        <w:tc>
          <w:tcPr>
            <w:tcW w:w="2115" w:type="pct"/>
            <w:shd w:val="clear" w:color="auto" w:fill="auto"/>
            <w:noWrap/>
            <w:vAlign w:val="center"/>
            <w:hideMark/>
          </w:tcPr>
          <w:p w14:paraId="5B5AC9B3" w14:textId="77777777" w:rsidR="00D84719" w:rsidRPr="00D84719" w:rsidRDefault="00D84719" w:rsidP="00D84719">
            <w:pPr>
              <w:spacing w:after="0" w:line="240" w:lineRule="auto"/>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Odlaganje otpada</w:t>
            </w:r>
          </w:p>
        </w:tc>
        <w:tc>
          <w:tcPr>
            <w:tcW w:w="478" w:type="pct"/>
            <w:shd w:val="clear" w:color="auto" w:fill="auto"/>
            <w:noWrap/>
            <w:vAlign w:val="center"/>
            <w:hideMark/>
          </w:tcPr>
          <w:p w14:paraId="44F8B53D"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0,000</w:t>
            </w:r>
          </w:p>
        </w:tc>
        <w:tc>
          <w:tcPr>
            <w:tcW w:w="479" w:type="pct"/>
            <w:shd w:val="clear" w:color="auto" w:fill="auto"/>
            <w:noWrap/>
            <w:vAlign w:val="center"/>
            <w:hideMark/>
          </w:tcPr>
          <w:p w14:paraId="144DBD81"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0,314</w:t>
            </w:r>
          </w:p>
        </w:tc>
        <w:tc>
          <w:tcPr>
            <w:tcW w:w="478" w:type="pct"/>
            <w:shd w:val="clear" w:color="auto" w:fill="auto"/>
            <w:noWrap/>
            <w:vAlign w:val="center"/>
            <w:hideMark/>
          </w:tcPr>
          <w:p w14:paraId="056BB743"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0,000</w:t>
            </w:r>
          </w:p>
        </w:tc>
        <w:tc>
          <w:tcPr>
            <w:tcW w:w="554" w:type="pct"/>
            <w:shd w:val="clear" w:color="auto" w:fill="auto"/>
            <w:noWrap/>
            <w:vAlign w:val="center"/>
            <w:hideMark/>
          </w:tcPr>
          <w:p w14:paraId="10623E10"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0,062</w:t>
            </w:r>
          </w:p>
        </w:tc>
        <w:tc>
          <w:tcPr>
            <w:tcW w:w="553" w:type="pct"/>
            <w:shd w:val="clear" w:color="auto" w:fill="auto"/>
            <w:noWrap/>
            <w:vAlign w:val="center"/>
            <w:hideMark/>
          </w:tcPr>
          <w:p w14:paraId="23F3B28C"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8,454</w:t>
            </w:r>
          </w:p>
        </w:tc>
      </w:tr>
      <w:tr w:rsidR="00D84719" w:rsidRPr="00D84719" w14:paraId="7B046C43" w14:textId="77777777" w:rsidTr="00D84719">
        <w:trPr>
          <w:trHeight w:val="315"/>
          <w:jc w:val="center"/>
        </w:trPr>
        <w:tc>
          <w:tcPr>
            <w:tcW w:w="343" w:type="pct"/>
            <w:shd w:val="clear" w:color="auto" w:fill="auto"/>
            <w:noWrap/>
            <w:vAlign w:val="center"/>
            <w:hideMark/>
          </w:tcPr>
          <w:p w14:paraId="6B9C8DE0"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10.</w:t>
            </w:r>
          </w:p>
        </w:tc>
        <w:tc>
          <w:tcPr>
            <w:tcW w:w="2115" w:type="pct"/>
            <w:shd w:val="clear" w:color="auto" w:fill="auto"/>
            <w:noWrap/>
            <w:vAlign w:val="center"/>
            <w:hideMark/>
          </w:tcPr>
          <w:p w14:paraId="6FFBAC27" w14:textId="77777777" w:rsidR="00D84719" w:rsidRPr="00D84719" w:rsidRDefault="00D84719" w:rsidP="00D84719">
            <w:pPr>
              <w:spacing w:after="0" w:line="240" w:lineRule="auto"/>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Identifikacija potencijalnih žarišnih točki</w:t>
            </w:r>
          </w:p>
        </w:tc>
        <w:tc>
          <w:tcPr>
            <w:tcW w:w="478" w:type="pct"/>
            <w:shd w:val="clear" w:color="auto" w:fill="auto"/>
            <w:noWrap/>
            <w:vAlign w:val="center"/>
            <w:hideMark/>
          </w:tcPr>
          <w:p w14:paraId="25085605" w14:textId="77777777" w:rsidR="00D84719" w:rsidRPr="00D84719" w:rsidRDefault="00D84719" w:rsidP="00D84719">
            <w:pPr>
              <w:spacing w:after="0" w:line="240" w:lineRule="auto"/>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 </w:t>
            </w:r>
          </w:p>
        </w:tc>
        <w:tc>
          <w:tcPr>
            <w:tcW w:w="479" w:type="pct"/>
            <w:shd w:val="clear" w:color="auto" w:fill="auto"/>
            <w:noWrap/>
            <w:vAlign w:val="center"/>
            <w:hideMark/>
          </w:tcPr>
          <w:p w14:paraId="4BD8CF6A" w14:textId="77777777" w:rsidR="00D84719" w:rsidRPr="00D84719" w:rsidRDefault="00D84719" w:rsidP="00D84719">
            <w:pPr>
              <w:spacing w:after="0" w:line="240" w:lineRule="auto"/>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 </w:t>
            </w:r>
          </w:p>
        </w:tc>
        <w:tc>
          <w:tcPr>
            <w:tcW w:w="478" w:type="pct"/>
            <w:shd w:val="clear" w:color="auto" w:fill="auto"/>
            <w:noWrap/>
            <w:vAlign w:val="center"/>
            <w:hideMark/>
          </w:tcPr>
          <w:p w14:paraId="5799E7EE" w14:textId="77777777" w:rsidR="00D84719" w:rsidRPr="00D84719" w:rsidRDefault="00D84719" w:rsidP="00D84719">
            <w:pPr>
              <w:spacing w:after="0" w:line="240" w:lineRule="auto"/>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 </w:t>
            </w:r>
          </w:p>
        </w:tc>
        <w:tc>
          <w:tcPr>
            <w:tcW w:w="554" w:type="pct"/>
            <w:shd w:val="clear" w:color="auto" w:fill="auto"/>
            <w:noWrap/>
            <w:vAlign w:val="center"/>
            <w:hideMark/>
          </w:tcPr>
          <w:p w14:paraId="466367CF"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0,000</w:t>
            </w:r>
          </w:p>
        </w:tc>
        <w:tc>
          <w:tcPr>
            <w:tcW w:w="553" w:type="pct"/>
            <w:shd w:val="clear" w:color="auto" w:fill="auto"/>
            <w:noWrap/>
            <w:vAlign w:val="center"/>
            <w:hideMark/>
          </w:tcPr>
          <w:p w14:paraId="6E923B93"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0,000</w:t>
            </w:r>
          </w:p>
        </w:tc>
      </w:tr>
      <w:tr w:rsidR="00D84719" w:rsidRPr="00D84719" w14:paraId="7D4BB39A" w14:textId="77777777" w:rsidTr="00D84719">
        <w:trPr>
          <w:trHeight w:val="300"/>
          <w:jc w:val="center"/>
        </w:trPr>
        <w:tc>
          <w:tcPr>
            <w:tcW w:w="343" w:type="pct"/>
            <w:shd w:val="clear" w:color="auto" w:fill="auto"/>
            <w:noWrap/>
            <w:vAlign w:val="center"/>
            <w:hideMark/>
          </w:tcPr>
          <w:p w14:paraId="73BA3BE6" w14:textId="77777777" w:rsidR="00D84719" w:rsidRPr="00D84719" w:rsidRDefault="00D84719" w:rsidP="00D84719">
            <w:pPr>
              <w:spacing w:after="0" w:line="276" w:lineRule="auto"/>
              <w:jc w:val="both"/>
              <w:rPr>
                <w:rFonts w:ascii="Times New Roman" w:eastAsia="Times New Roman" w:hAnsi="Times New Roman" w:cs="Times New Roman"/>
                <w:b/>
                <w:color w:val="000000"/>
                <w:sz w:val="20"/>
                <w:szCs w:val="20"/>
              </w:rPr>
            </w:pPr>
            <w:r w:rsidRPr="00D84719">
              <w:rPr>
                <w:rFonts w:ascii="Times New Roman" w:eastAsia="Times New Roman" w:hAnsi="Times New Roman" w:cs="Times New Roman"/>
                <w:b/>
                <w:color w:val="000000"/>
                <w:sz w:val="20"/>
                <w:szCs w:val="20"/>
              </w:rPr>
              <w:t>1-10</w:t>
            </w:r>
          </w:p>
        </w:tc>
        <w:tc>
          <w:tcPr>
            <w:tcW w:w="2115" w:type="pct"/>
            <w:shd w:val="clear" w:color="auto" w:fill="auto"/>
            <w:noWrap/>
            <w:vAlign w:val="center"/>
            <w:hideMark/>
          </w:tcPr>
          <w:p w14:paraId="4A98E69B" w14:textId="77777777" w:rsidR="00D84719" w:rsidRPr="00D84719" w:rsidRDefault="00D84719" w:rsidP="00D84719">
            <w:pPr>
              <w:spacing w:after="0" w:line="276" w:lineRule="auto"/>
              <w:jc w:val="both"/>
              <w:rPr>
                <w:rFonts w:ascii="Times New Roman" w:eastAsia="Times New Roman" w:hAnsi="Times New Roman" w:cs="Times New Roman"/>
                <w:b/>
                <w:color w:val="000000"/>
                <w:sz w:val="20"/>
                <w:szCs w:val="20"/>
              </w:rPr>
            </w:pPr>
            <w:r w:rsidRPr="00D84719">
              <w:rPr>
                <w:rFonts w:ascii="Times New Roman" w:eastAsia="Times New Roman" w:hAnsi="Times New Roman" w:cs="Times New Roman"/>
                <w:b/>
                <w:color w:val="000000"/>
                <w:sz w:val="20"/>
                <w:szCs w:val="20"/>
              </w:rPr>
              <w:t>Ukupno</w:t>
            </w:r>
          </w:p>
        </w:tc>
        <w:tc>
          <w:tcPr>
            <w:tcW w:w="478" w:type="pct"/>
            <w:shd w:val="clear" w:color="auto" w:fill="auto"/>
            <w:noWrap/>
            <w:vAlign w:val="center"/>
            <w:hideMark/>
          </w:tcPr>
          <w:p w14:paraId="66D3B27B" w14:textId="77777777" w:rsidR="00D84719" w:rsidRPr="00D84719" w:rsidRDefault="00D84719" w:rsidP="00D84719">
            <w:pPr>
              <w:spacing w:after="0" w:line="276" w:lineRule="auto"/>
              <w:jc w:val="both"/>
              <w:rPr>
                <w:rFonts w:ascii="Times New Roman" w:eastAsia="Times New Roman" w:hAnsi="Times New Roman" w:cs="Times New Roman"/>
                <w:b/>
                <w:color w:val="000000"/>
                <w:sz w:val="20"/>
                <w:szCs w:val="20"/>
              </w:rPr>
            </w:pPr>
            <w:r w:rsidRPr="00D84719">
              <w:rPr>
                <w:rFonts w:ascii="Times New Roman" w:eastAsia="Times New Roman" w:hAnsi="Times New Roman" w:cs="Times New Roman"/>
                <w:b/>
                <w:color w:val="000000"/>
                <w:sz w:val="20"/>
                <w:szCs w:val="20"/>
              </w:rPr>
              <w:t>15,566</w:t>
            </w:r>
          </w:p>
        </w:tc>
        <w:tc>
          <w:tcPr>
            <w:tcW w:w="479" w:type="pct"/>
            <w:shd w:val="clear" w:color="auto" w:fill="auto"/>
            <w:noWrap/>
            <w:vAlign w:val="center"/>
            <w:hideMark/>
          </w:tcPr>
          <w:p w14:paraId="62730148" w14:textId="77777777" w:rsidR="00D84719" w:rsidRPr="00D84719" w:rsidRDefault="00D84719" w:rsidP="00D84719">
            <w:pPr>
              <w:spacing w:after="0" w:line="276" w:lineRule="auto"/>
              <w:jc w:val="both"/>
              <w:rPr>
                <w:rFonts w:ascii="Times New Roman" w:eastAsia="Times New Roman" w:hAnsi="Times New Roman" w:cs="Times New Roman"/>
                <w:b/>
                <w:color w:val="000000"/>
                <w:sz w:val="20"/>
                <w:szCs w:val="20"/>
              </w:rPr>
            </w:pPr>
            <w:r w:rsidRPr="00D84719">
              <w:rPr>
                <w:rFonts w:ascii="Times New Roman" w:eastAsia="Times New Roman" w:hAnsi="Times New Roman" w:cs="Times New Roman"/>
                <w:b/>
                <w:color w:val="000000"/>
                <w:sz w:val="20"/>
                <w:szCs w:val="20"/>
              </w:rPr>
              <w:t>0,314</w:t>
            </w:r>
          </w:p>
        </w:tc>
        <w:tc>
          <w:tcPr>
            <w:tcW w:w="478" w:type="pct"/>
            <w:shd w:val="clear" w:color="auto" w:fill="auto"/>
            <w:noWrap/>
            <w:vAlign w:val="center"/>
            <w:hideMark/>
          </w:tcPr>
          <w:p w14:paraId="710516DF" w14:textId="77777777" w:rsidR="00D84719" w:rsidRPr="00D84719" w:rsidRDefault="00D84719" w:rsidP="00D84719">
            <w:pPr>
              <w:spacing w:after="0" w:line="276" w:lineRule="auto"/>
              <w:jc w:val="both"/>
              <w:rPr>
                <w:rFonts w:ascii="Times New Roman" w:eastAsia="Times New Roman" w:hAnsi="Times New Roman" w:cs="Times New Roman"/>
                <w:b/>
                <w:color w:val="000000"/>
                <w:sz w:val="20"/>
                <w:szCs w:val="20"/>
              </w:rPr>
            </w:pPr>
            <w:r w:rsidRPr="00D84719">
              <w:rPr>
                <w:rFonts w:ascii="Times New Roman" w:eastAsia="Times New Roman" w:hAnsi="Times New Roman" w:cs="Times New Roman"/>
                <w:b/>
                <w:color w:val="000000"/>
                <w:sz w:val="20"/>
                <w:szCs w:val="20"/>
              </w:rPr>
              <w:t>0,004</w:t>
            </w:r>
          </w:p>
        </w:tc>
        <w:tc>
          <w:tcPr>
            <w:tcW w:w="554" w:type="pct"/>
            <w:shd w:val="clear" w:color="auto" w:fill="auto"/>
            <w:noWrap/>
            <w:vAlign w:val="center"/>
            <w:hideMark/>
          </w:tcPr>
          <w:p w14:paraId="6B4B628B" w14:textId="77777777" w:rsidR="00D84719" w:rsidRPr="00D84719" w:rsidRDefault="00D84719" w:rsidP="00D84719">
            <w:pPr>
              <w:spacing w:after="0" w:line="276" w:lineRule="auto"/>
              <w:jc w:val="both"/>
              <w:rPr>
                <w:rFonts w:ascii="Times New Roman" w:eastAsia="Times New Roman" w:hAnsi="Times New Roman" w:cs="Times New Roman"/>
                <w:b/>
                <w:color w:val="000000"/>
                <w:sz w:val="20"/>
                <w:szCs w:val="20"/>
              </w:rPr>
            </w:pPr>
            <w:r w:rsidRPr="00D84719">
              <w:rPr>
                <w:rFonts w:ascii="Times New Roman" w:eastAsia="Times New Roman" w:hAnsi="Times New Roman" w:cs="Times New Roman"/>
                <w:b/>
                <w:color w:val="000000"/>
                <w:sz w:val="20"/>
                <w:szCs w:val="20"/>
              </w:rPr>
              <w:t>0,914</w:t>
            </w:r>
          </w:p>
        </w:tc>
        <w:tc>
          <w:tcPr>
            <w:tcW w:w="553" w:type="pct"/>
            <w:shd w:val="clear" w:color="auto" w:fill="auto"/>
            <w:noWrap/>
            <w:vAlign w:val="center"/>
            <w:hideMark/>
          </w:tcPr>
          <w:p w14:paraId="46106050" w14:textId="77777777" w:rsidR="00D84719" w:rsidRPr="00D84719" w:rsidRDefault="00D84719" w:rsidP="00D84719">
            <w:pPr>
              <w:spacing w:after="0" w:line="276" w:lineRule="auto"/>
              <w:jc w:val="both"/>
              <w:rPr>
                <w:rFonts w:ascii="Times New Roman" w:eastAsia="Times New Roman" w:hAnsi="Times New Roman" w:cs="Times New Roman"/>
                <w:b/>
                <w:color w:val="000000"/>
                <w:sz w:val="20"/>
                <w:szCs w:val="20"/>
              </w:rPr>
            </w:pPr>
            <w:r w:rsidRPr="00D84719">
              <w:rPr>
                <w:rFonts w:ascii="Times New Roman" w:eastAsia="Times New Roman" w:hAnsi="Times New Roman" w:cs="Times New Roman"/>
                <w:b/>
                <w:color w:val="000000"/>
                <w:sz w:val="20"/>
                <w:szCs w:val="20"/>
              </w:rPr>
              <w:t>9,131</w:t>
            </w:r>
          </w:p>
        </w:tc>
      </w:tr>
      <w:tr w:rsidR="00D84719" w:rsidRPr="00D84719" w14:paraId="72D93CEE" w14:textId="77777777" w:rsidTr="00D84719">
        <w:trPr>
          <w:trHeight w:val="315"/>
          <w:jc w:val="center"/>
        </w:trPr>
        <w:tc>
          <w:tcPr>
            <w:tcW w:w="2458" w:type="pct"/>
            <w:gridSpan w:val="2"/>
            <w:shd w:val="clear" w:color="auto" w:fill="auto"/>
            <w:noWrap/>
            <w:vAlign w:val="center"/>
            <w:hideMark/>
          </w:tcPr>
          <w:p w14:paraId="5C361347" w14:textId="77777777" w:rsidR="00D84719" w:rsidRPr="00D84719" w:rsidRDefault="00D84719" w:rsidP="00D84719">
            <w:pPr>
              <w:spacing w:after="0" w:line="276" w:lineRule="auto"/>
              <w:jc w:val="both"/>
              <w:rPr>
                <w:rFonts w:ascii="Times New Roman" w:eastAsia="Times New Roman" w:hAnsi="Times New Roman" w:cs="Times New Roman"/>
                <w:b/>
                <w:color w:val="000000"/>
                <w:sz w:val="20"/>
                <w:szCs w:val="20"/>
              </w:rPr>
            </w:pPr>
            <w:r w:rsidRPr="00D84719">
              <w:rPr>
                <w:rFonts w:ascii="Times New Roman" w:eastAsia="Times New Roman" w:hAnsi="Times New Roman" w:cs="Times New Roman"/>
                <w:b/>
                <w:color w:val="000000"/>
                <w:sz w:val="20"/>
                <w:szCs w:val="20"/>
              </w:rPr>
              <w:lastRenderedPageBreak/>
              <w:t>SVEUKUPNO</w:t>
            </w:r>
          </w:p>
        </w:tc>
        <w:tc>
          <w:tcPr>
            <w:tcW w:w="2542" w:type="pct"/>
            <w:gridSpan w:val="5"/>
            <w:shd w:val="clear" w:color="auto" w:fill="auto"/>
            <w:noWrap/>
            <w:hideMark/>
          </w:tcPr>
          <w:p w14:paraId="218E8035" w14:textId="77777777" w:rsidR="00D84719" w:rsidRPr="00D84719" w:rsidRDefault="00D84719" w:rsidP="00D84719">
            <w:pPr>
              <w:spacing w:after="0" w:line="276" w:lineRule="auto"/>
              <w:jc w:val="both"/>
              <w:rPr>
                <w:rFonts w:ascii="Times New Roman" w:eastAsia="Times New Roman" w:hAnsi="Times New Roman" w:cs="Times New Roman"/>
                <w:b/>
                <w:color w:val="000000"/>
                <w:sz w:val="20"/>
                <w:szCs w:val="20"/>
              </w:rPr>
            </w:pPr>
            <w:r w:rsidRPr="00D84719">
              <w:rPr>
                <w:rFonts w:ascii="Times New Roman" w:eastAsia="Times New Roman" w:hAnsi="Times New Roman" w:cs="Times New Roman"/>
                <w:b/>
                <w:color w:val="000000"/>
                <w:sz w:val="20"/>
                <w:szCs w:val="20"/>
              </w:rPr>
              <w:t>25,93</w:t>
            </w:r>
          </w:p>
        </w:tc>
      </w:tr>
    </w:tbl>
    <w:p w14:paraId="130361D6" w14:textId="77777777" w:rsidR="00D84719" w:rsidRPr="00D84719" w:rsidRDefault="00D84719" w:rsidP="00D84719">
      <w:pPr>
        <w:spacing w:before="80" w:line="276" w:lineRule="auto"/>
        <w:jc w:val="both"/>
        <w:rPr>
          <w:rFonts w:ascii="Times New Roman" w:eastAsia="Times New Roman" w:hAnsi="Times New Roman" w:cs="Times New Roman"/>
          <w:color w:val="000000"/>
          <w:szCs w:val="24"/>
          <w:lang w:bidi="en-US"/>
        </w:rPr>
      </w:pPr>
    </w:p>
    <w:p w14:paraId="03CD0D76" w14:textId="459CA45B" w:rsidR="00D84719" w:rsidRPr="00D84719" w:rsidRDefault="00D84719" w:rsidP="00D84719">
      <w:pPr>
        <w:keepNext/>
        <w:spacing w:before="80" w:after="0" w:line="276" w:lineRule="auto"/>
        <w:jc w:val="both"/>
        <w:rPr>
          <w:rFonts w:ascii="Times New Roman" w:eastAsia="Times New Roman" w:hAnsi="Times New Roman" w:cs="Times New Roman"/>
          <w:b/>
          <w:bCs/>
          <w:i/>
          <w:sz w:val="20"/>
          <w:szCs w:val="20"/>
        </w:rPr>
      </w:pPr>
      <w:r w:rsidRPr="00D84719">
        <w:rPr>
          <w:rFonts w:ascii="Times New Roman" w:eastAsia="Times New Roman" w:hAnsi="Times New Roman" w:cs="Times New Roman"/>
          <w:b/>
          <w:bCs/>
          <w:i/>
          <w:sz w:val="20"/>
          <w:szCs w:val="20"/>
        </w:rPr>
        <w:t xml:space="preserve">Tablica </w:t>
      </w:r>
      <w:r w:rsidRPr="00D84719">
        <w:rPr>
          <w:rFonts w:ascii="Times New Roman" w:eastAsia="Times New Roman" w:hAnsi="Times New Roman" w:cs="Times New Roman"/>
          <w:b/>
          <w:bCs/>
          <w:i/>
          <w:sz w:val="20"/>
          <w:szCs w:val="20"/>
        </w:rPr>
        <w:fldChar w:fldCharType="begin"/>
      </w:r>
      <w:r w:rsidRPr="00D84719">
        <w:rPr>
          <w:rFonts w:ascii="Times New Roman" w:eastAsia="Times New Roman" w:hAnsi="Times New Roman" w:cs="Times New Roman"/>
          <w:b/>
          <w:bCs/>
          <w:i/>
          <w:sz w:val="20"/>
          <w:szCs w:val="20"/>
        </w:rPr>
        <w:instrText xml:space="preserve"> STYLEREF 2 \s </w:instrText>
      </w:r>
      <w:r w:rsidRPr="00D84719">
        <w:rPr>
          <w:rFonts w:ascii="Times New Roman" w:eastAsia="Times New Roman" w:hAnsi="Times New Roman" w:cs="Times New Roman"/>
          <w:b/>
          <w:bCs/>
          <w:i/>
          <w:sz w:val="20"/>
          <w:szCs w:val="20"/>
        </w:rPr>
        <w:fldChar w:fldCharType="separate"/>
      </w:r>
      <w:r w:rsidRPr="00D84719">
        <w:rPr>
          <w:rFonts w:ascii="Times New Roman" w:eastAsia="Times New Roman" w:hAnsi="Times New Roman" w:cs="Times New Roman"/>
          <w:b/>
          <w:bCs/>
          <w:i/>
          <w:sz w:val="20"/>
          <w:szCs w:val="20"/>
        </w:rPr>
        <w:t>3.4</w:t>
      </w:r>
      <w:r w:rsidRPr="00D84719">
        <w:rPr>
          <w:rFonts w:ascii="Times New Roman" w:eastAsia="Times New Roman" w:hAnsi="Times New Roman" w:cs="Times New Roman"/>
          <w:b/>
          <w:bCs/>
          <w:i/>
          <w:sz w:val="20"/>
          <w:szCs w:val="20"/>
        </w:rPr>
        <w:fldChar w:fldCharType="end"/>
      </w:r>
      <w:r w:rsidRPr="00D84719">
        <w:rPr>
          <w:rFonts w:ascii="Times New Roman" w:eastAsia="Times New Roman" w:hAnsi="Times New Roman" w:cs="Times New Roman"/>
          <w:b/>
          <w:bCs/>
          <w:i/>
          <w:sz w:val="20"/>
          <w:szCs w:val="20"/>
        </w:rPr>
        <w:noBreakHyphen/>
        <w:t>7: Ukupne emisije PCDD/PCDF-a prema glavnim kategorijama u 2011</w:t>
      </w:r>
      <w:r w:rsidR="004C449C">
        <w:rPr>
          <w:rFonts w:ascii="Times New Roman" w:eastAsia="Times New Roman" w:hAnsi="Times New Roman" w:cs="Times New Roman"/>
          <w:b/>
          <w:bCs/>
          <w:i/>
          <w:sz w:val="20"/>
          <w:szCs w:val="20"/>
        </w:rPr>
        <w:t>.</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617"/>
        <w:gridCol w:w="4052"/>
        <w:gridCol w:w="827"/>
        <w:gridCol w:w="797"/>
        <w:gridCol w:w="827"/>
        <w:gridCol w:w="972"/>
        <w:gridCol w:w="960"/>
      </w:tblGrid>
      <w:tr w:rsidR="00D84719" w:rsidRPr="00D84719" w14:paraId="3BD8B7A3" w14:textId="77777777" w:rsidTr="00D84719">
        <w:trPr>
          <w:trHeight w:val="300"/>
          <w:tblHeader/>
          <w:jc w:val="center"/>
        </w:trPr>
        <w:tc>
          <w:tcPr>
            <w:tcW w:w="341" w:type="pct"/>
            <w:vMerge w:val="restart"/>
            <w:shd w:val="clear" w:color="auto" w:fill="D9D9D9"/>
            <w:noWrap/>
            <w:vAlign w:val="center"/>
            <w:hideMark/>
          </w:tcPr>
          <w:p w14:paraId="6C8A1C9D"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b/>
                <w:color w:val="000000"/>
                <w:sz w:val="20"/>
                <w:szCs w:val="20"/>
                <w:lang w:eastAsia="hr-HR"/>
              </w:rPr>
              <w:t>Br.</w:t>
            </w:r>
          </w:p>
        </w:tc>
        <w:tc>
          <w:tcPr>
            <w:tcW w:w="2238" w:type="pct"/>
            <w:vMerge w:val="restart"/>
            <w:shd w:val="clear" w:color="auto" w:fill="D9D9D9"/>
            <w:noWrap/>
            <w:vAlign w:val="center"/>
            <w:hideMark/>
          </w:tcPr>
          <w:p w14:paraId="0978AE72"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b/>
                <w:color w:val="000000"/>
                <w:sz w:val="20"/>
                <w:szCs w:val="20"/>
              </w:rPr>
              <w:t>Grupe izvora</w:t>
            </w:r>
          </w:p>
        </w:tc>
        <w:tc>
          <w:tcPr>
            <w:tcW w:w="2421" w:type="pct"/>
            <w:gridSpan w:val="5"/>
            <w:shd w:val="clear" w:color="auto" w:fill="D9D9D9"/>
            <w:noWrap/>
            <w:vAlign w:val="center"/>
            <w:hideMark/>
          </w:tcPr>
          <w:p w14:paraId="75C9052E" w14:textId="77777777" w:rsidR="00D84719" w:rsidRPr="00D84719" w:rsidRDefault="00D84719" w:rsidP="00D84719">
            <w:pPr>
              <w:spacing w:after="0" w:line="240" w:lineRule="auto"/>
              <w:jc w:val="center"/>
              <w:rPr>
                <w:rFonts w:ascii="Times New Roman" w:eastAsia="Times New Roman" w:hAnsi="Times New Roman" w:cs="Times New Roman"/>
                <w:b/>
                <w:color w:val="000000"/>
                <w:sz w:val="20"/>
                <w:szCs w:val="20"/>
                <w:lang w:eastAsia="hr-HR"/>
              </w:rPr>
            </w:pPr>
            <w:r w:rsidRPr="00D84719">
              <w:rPr>
                <w:rFonts w:ascii="Times New Roman" w:eastAsia="Times New Roman" w:hAnsi="Times New Roman" w:cs="Times New Roman"/>
                <w:b/>
                <w:color w:val="000000"/>
                <w:sz w:val="20"/>
                <w:szCs w:val="20"/>
                <w:lang w:eastAsia="hr-HR"/>
              </w:rPr>
              <w:t>Godišnje ispuštanje (g TEQ godina</w:t>
            </w:r>
            <w:r w:rsidRPr="00D84719">
              <w:rPr>
                <w:rFonts w:ascii="Times New Roman" w:eastAsia="Times New Roman" w:hAnsi="Times New Roman" w:cs="Times New Roman"/>
                <w:b/>
                <w:color w:val="000000"/>
                <w:sz w:val="20"/>
                <w:szCs w:val="20"/>
                <w:vertAlign w:val="superscript"/>
                <w:lang w:eastAsia="hr-HR"/>
              </w:rPr>
              <w:t>-1</w:t>
            </w:r>
            <w:r w:rsidRPr="00D84719">
              <w:rPr>
                <w:rFonts w:ascii="Times New Roman" w:eastAsia="Times New Roman" w:hAnsi="Times New Roman" w:cs="Times New Roman"/>
                <w:b/>
                <w:color w:val="000000"/>
                <w:sz w:val="20"/>
                <w:szCs w:val="20"/>
                <w:lang w:eastAsia="hr-HR"/>
              </w:rPr>
              <w:t>)</w:t>
            </w:r>
          </w:p>
        </w:tc>
      </w:tr>
      <w:tr w:rsidR="00D84719" w:rsidRPr="00D84719" w14:paraId="33EB05AD" w14:textId="77777777" w:rsidTr="00D84719">
        <w:trPr>
          <w:trHeight w:val="315"/>
          <w:tblHeader/>
          <w:jc w:val="center"/>
        </w:trPr>
        <w:tc>
          <w:tcPr>
            <w:tcW w:w="341" w:type="pct"/>
            <w:vMerge/>
            <w:shd w:val="clear" w:color="auto" w:fill="D9D9D9"/>
            <w:noWrap/>
            <w:vAlign w:val="center"/>
            <w:hideMark/>
          </w:tcPr>
          <w:p w14:paraId="0409C0DC"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lang w:eastAsia="hr-HR"/>
              </w:rPr>
            </w:pPr>
          </w:p>
        </w:tc>
        <w:tc>
          <w:tcPr>
            <w:tcW w:w="2238" w:type="pct"/>
            <w:vMerge/>
            <w:shd w:val="clear" w:color="auto" w:fill="D9D9D9"/>
            <w:noWrap/>
            <w:vAlign w:val="center"/>
            <w:hideMark/>
          </w:tcPr>
          <w:p w14:paraId="053866D5"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lang w:eastAsia="hr-HR"/>
              </w:rPr>
            </w:pPr>
          </w:p>
        </w:tc>
        <w:tc>
          <w:tcPr>
            <w:tcW w:w="457" w:type="pct"/>
            <w:shd w:val="clear" w:color="auto" w:fill="D9D9D9"/>
            <w:noWrap/>
            <w:vAlign w:val="center"/>
            <w:hideMark/>
          </w:tcPr>
          <w:p w14:paraId="5FCDA19D"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b/>
                <w:color w:val="000000"/>
                <w:sz w:val="20"/>
                <w:szCs w:val="20"/>
                <w:lang w:eastAsia="hr-HR"/>
              </w:rPr>
              <w:t>Zrak</w:t>
            </w:r>
          </w:p>
        </w:tc>
        <w:tc>
          <w:tcPr>
            <w:tcW w:w="440" w:type="pct"/>
            <w:shd w:val="clear" w:color="auto" w:fill="D9D9D9"/>
            <w:noWrap/>
            <w:vAlign w:val="center"/>
            <w:hideMark/>
          </w:tcPr>
          <w:p w14:paraId="6EBDF2A0"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b/>
                <w:color w:val="000000"/>
                <w:sz w:val="20"/>
                <w:szCs w:val="20"/>
                <w:lang w:eastAsia="hr-HR"/>
              </w:rPr>
              <w:t>Vode</w:t>
            </w:r>
          </w:p>
        </w:tc>
        <w:tc>
          <w:tcPr>
            <w:tcW w:w="457" w:type="pct"/>
            <w:shd w:val="clear" w:color="auto" w:fill="D9D9D9"/>
            <w:noWrap/>
            <w:vAlign w:val="center"/>
            <w:hideMark/>
          </w:tcPr>
          <w:p w14:paraId="0811E83A"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b/>
                <w:color w:val="000000"/>
                <w:sz w:val="20"/>
                <w:szCs w:val="20"/>
                <w:lang w:eastAsia="hr-HR"/>
              </w:rPr>
              <w:t>Tlo</w:t>
            </w:r>
          </w:p>
        </w:tc>
        <w:tc>
          <w:tcPr>
            <w:tcW w:w="537" w:type="pct"/>
            <w:shd w:val="clear" w:color="auto" w:fill="D9D9D9"/>
            <w:noWrap/>
            <w:vAlign w:val="center"/>
            <w:hideMark/>
          </w:tcPr>
          <w:p w14:paraId="3206B58A"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b/>
                <w:color w:val="000000"/>
                <w:sz w:val="20"/>
                <w:szCs w:val="20"/>
                <w:lang w:eastAsia="hr-HR"/>
              </w:rPr>
              <w:t>Produkt</w:t>
            </w:r>
          </w:p>
        </w:tc>
        <w:tc>
          <w:tcPr>
            <w:tcW w:w="529" w:type="pct"/>
            <w:shd w:val="clear" w:color="auto" w:fill="D9D9D9"/>
            <w:noWrap/>
            <w:vAlign w:val="center"/>
            <w:hideMark/>
          </w:tcPr>
          <w:p w14:paraId="466F3903"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b/>
                <w:color w:val="000000"/>
                <w:sz w:val="20"/>
                <w:szCs w:val="20"/>
                <w:lang w:eastAsia="hr-HR"/>
              </w:rPr>
              <w:t>Ostatak</w:t>
            </w:r>
          </w:p>
        </w:tc>
      </w:tr>
      <w:tr w:rsidR="00D84719" w:rsidRPr="00D84719" w14:paraId="1E5AACFF" w14:textId="77777777" w:rsidTr="00D84719">
        <w:trPr>
          <w:trHeight w:val="300"/>
          <w:jc w:val="center"/>
        </w:trPr>
        <w:tc>
          <w:tcPr>
            <w:tcW w:w="341" w:type="pct"/>
            <w:shd w:val="clear" w:color="auto" w:fill="auto"/>
            <w:noWrap/>
            <w:vAlign w:val="center"/>
            <w:hideMark/>
          </w:tcPr>
          <w:p w14:paraId="5A4592AA"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1.</w:t>
            </w:r>
          </w:p>
        </w:tc>
        <w:tc>
          <w:tcPr>
            <w:tcW w:w="2238" w:type="pct"/>
            <w:shd w:val="clear" w:color="auto" w:fill="auto"/>
            <w:noWrap/>
            <w:vAlign w:val="center"/>
            <w:hideMark/>
          </w:tcPr>
          <w:p w14:paraId="3A187546" w14:textId="77777777" w:rsidR="00D84719" w:rsidRPr="00D84719" w:rsidRDefault="00D84719" w:rsidP="00D84719">
            <w:pPr>
              <w:spacing w:after="0" w:line="240" w:lineRule="auto"/>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Spalionice</w:t>
            </w:r>
          </w:p>
        </w:tc>
        <w:tc>
          <w:tcPr>
            <w:tcW w:w="457" w:type="pct"/>
            <w:shd w:val="clear" w:color="auto" w:fill="auto"/>
            <w:noWrap/>
            <w:vAlign w:val="center"/>
            <w:hideMark/>
          </w:tcPr>
          <w:p w14:paraId="5757DF63"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0,144</w:t>
            </w:r>
          </w:p>
        </w:tc>
        <w:tc>
          <w:tcPr>
            <w:tcW w:w="440" w:type="pct"/>
            <w:shd w:val="clear" w:color="auto" w:fill="auto"/>
            <w:noWrap/>
            <w:vAlign w:val="center"/>
            <w:hideMark/>
          </w:tcPr>
          <w:p w14:paraId="6121B473"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0,000</w:t>
            </w:r>
          </w:p>
        </w:tc>
        <w:tc>
          <w:tcPr>
            <w:tcW w:w="457" w:type="pct"/>
            <w:shd w:val="clear" w:color="auto" w:fill="auto"/>
            <w:noWrap/>
            <w:vAlign w:val="center"/>
            <w:hideMark/>
          </w:tcPr>
          <w:p w14:paraId="651497A9"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0,000</w:t>
            </w:r>
          </w:p>
        </w:tc>
        <w:tc>
          <w:tcPr>
            <w:tcW w:w="537" w:type="pct"/>
            <w:shd w:val="clear" w:color="auto" w:fill="auto"/>
            <w:noWrap/>
            <w:vAlign w:val="center"/>
            <w:hideMark/>
          </w:tcPr>
          <w:p w14:paraId="620B2035"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0,000</w:t>
            </w:r>
          </w:p>
        </w:tc>
        <w:tc>
          <w:tcPr>
            <w:tcW w:w="529" w:type="pct"/>
            <w:shd w:val="clear" w:color="auto" w:fill="auto"/>
            <w:noWrap/>
            <w:vAlign w:val="center"/>
            <w:hideMark/>
          </w:tcPr>
          <w:p w14:paraId="5FDF8E15"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0,001</w:t>
            </w:r>
          </w:p>
        </w:tc>
      </w:tr>
      <w:tr w:rsidR="00D84719" w:rsidRPr="00D84719" w14:paraId="53C9E18F" w14:textId="77777777" w:rsidTr="00D84719">
        <w:trPr>
          <w:trHeight w:val="300"/>
          <w:jc w:val="center"/>
        </w:trPr>
        <w:tc>
          <w:tcPr>
            <w:tcW w:w="341" w:type="pct"/>
            <w:shd w:val="clear" w:color="auto" w:fill="auto"/>
            <w:noWrap/>
            <w:vAlign w:val="center"/>
            <w:hideMark/>
          </w:tcPr>
          <w:p w14:paraId="17AB85A9"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2.</w:t>
            </w:r>
          </w:p>
        </w:tc>
        <w:tc>
          <w:tcPr>
            <w:tcW w:w="2238" w:type="pct"/>
            <w:shd w:val="clear" w:color="auto" w:fill="auto"/>
            <w:noWrap/>
            <w:vAlign w:val="center"/>
            <w:hideMark/>
          </w:tcPr>
          <w:p w14:paraId="2A3361C3" w14:textId="77777777" w:rsidR="00D84719" w:rsidRPr="00D84719" w:rsidRDefault="00D84719" w:rsidP="00D84719">
            <w:pPr>
              <w:spacing w:after="0" w:line="240" w:lineRule="auto"/>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 xml:space="preserve">Željezo i obojeni metali </w:t>
            </w:r>
          </w:p>
        </w:tc>
        <w:tc>
          <w:tcPr>
            <w:tcW w:w="457" w:type="pct"/>
            <w:shd w:val="clear" w:color="auto" w:fill="auto"/>
            <w:noWrap/>
            <w:vAlign w:val="center"/>
            <w:hideMark/>
          </w:tcPr>
          <w:p w14:paraId="103A469E"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0,044</w:t>
            </w:r>
          </w:p>
        </w:tc>
        <w:tc>
          <w:tcPr>
            <w:tcW w:w="440" w:type="pct"/>
            <w:shd w:val="clear" w:color="auto" w:fill="auto"/>
            <w:noWrap/>
            <w:vAlign w:val="center"/>
            <w:hideMark/>
          </w:tcPr>
          <w:p w14:paraId="26B3C788"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0,000</w:t>
            </w:r>
          </w:p>
        </w:tc>
        <w:tc>
          <w:tcPr>
            <w:tcW w:w="457" w:type="pct"/>
            <w:shd w:val="clear" w:color="auto" w:fill="auto"/>
            <w:noWrap/>
            <w:vAlign w:val="center"/>
            <w:hideMark/>
          </w:tcPr>
          <w:p w14:paraId="59FA85B8"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0,000</w:t>
            </w:r>
          </w:p>
        </w:tc>
        <w:tc>
          <w:tcPr>
            <w:tcW w:w="537" w:type="pct"/>
            <w:shd w:val="clear" w:color="auto" w:fill="auto"/>
            <w:noWrap/>
            <w:vAlign w:val="center"/>
            <w:hideMark/>
          </w:tcPr>
          <w:p w14:paraId="7AE8D176"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0,000</w:t>
            </w:r>
          </w:p>
        </w:tc>
        <w:tc>
          <w:tcPr>
            <w:tcW w:w="529" w:type="pct"/>
            <w:shd w:val="clear" w:color="auto" w:fill="auto"/>
            <w:noWrap/>
            <w:vAlign w:val="center"/>
            <w:hideMark/>
          </w:tcPr>
          <w:p w14:paraId="50B8921A"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0,286</w:t>
            </w:r>
          </w:p>
        </w:tc>
      </w:tr>
      <w:tr w:rsidR="00D84719" w:rsidRPr="00D84719" w14:paraId="7B9E101C" w14:textId="77777777" w:rsidTr="00D84719">
        <w:trPr>
          <w:trHeight w:val="300"/>
          <w:jc w:val="center"/>
        </w:trPr>
        <w:tc>
          <w:tcPr>
            <w:tcW w:w="341" w:type="pct"/>
            <w:shd w:val="clear" w:color="auto" w:fill="auto"/>
            <w:noWrap/>
            <w:vAlign w:val="center"/>
            <w:hideMark/>
          </w:tcPr>
          <w:p w14:paraId="02DF1D4B"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3.</w:t>
            </w:r>
          </w:p>
        </w:tc>
        <w:tc>
          <w:tcPr>
            <w:tcW w:w="2238" w:type="pct"/>
            <w:shd w:val="clear" w:color="auto" w:fill="auto"/>
            <w:noWrap/>
            <w:vAlign w:val="center"/>
            <w:hideMark/>
          </w:tcPr>
          <w:p w14:paraId="447380C4" w14:textId="77777777" w:rsidR="00D84719" w:rsidRPr="00D84719" w:rsidRDefault="00D84719" w:rsidP="00D84719">
            <w:pPr>
              <w:spacing w:after="0" w:line="240" w:lineRule="auto"/>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Proizvodnja energije i topline</w:t>
            </w:r>
          </w:p>
        </w:tc>
        <w:tc>
          <w:tcPr>
            <w:tcW w:w="457" w:type="pct"/>
            <w:shd w:val="clear" w:color="auto" w:fill="auto"/>
            <w:noWrap/>
            <w:vAlign w:val="center"/>
            <w:hideMark/>
          </w:tcPr>
          <w:p w14:paraId="1E1FB3BA"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19,809</w:t>
            </w:r>
          </w:p>
        </w:tc>
        <w:tc>
          <w:tcPr>
            <w:tcW w:w="440" w:type="pct"/>
            <w:shd w:val="clear" w:color="auto" w:fill="auto"/>
            <w:noWrap/>
            <w:vAlign w:val="center"/>
            <w:hideMark/>
          </w:tcPr>
          <w:p w14:paraId="413EACDA"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0,000</w:t>
            </w:r>
          </w:p>
        </w:tc>
        <w:tc>
          <w:tcPr>
            <w:tcW w:w="457" w:type="pct"/>
            <w:shd w:val="clear" w:color="auto" w:fill="auto"/>
            <w:noWrap/>
            <w:vAlign w:val="center"/>
            <w:hideMark/>
          </w:tcPr>
          <w:p w14:paraId="1C7A0F93"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0,000</w:t>
            </w:r>
          </w:p>
        </w:tc>
        <w:tc>
          <w:tcPr>
            <w:tcW w:w="537" w:type="pct"/>
            <w:shd w:val="clear" w:color="auto" w:fill="auto"/>
            <w:noWrap/>
            <w:vAlign w:val="center"/>
            <w:hideMark/>
          </w:tcPr>
          <w:p w14:paraId="11B42EDB"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0,000</w:t>
            </w:r>
          </w:p>
        </w:tc>
        <w:tc>
          <w:tcPr>
            <w:tcW w:w="529" w:type="pct"/>
            <w:shd w:val="clear" w:color="auto" w:fill="auto"/>
            <w:noWrap/>
            <w:vAlign w:val="center"/>
            <w:hideMark/>
          </w:tcPr>
          <w:p w14:paraId="487640BB"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0,566</w:t>
            </w:r>
          </w:p>
        </w:tc>
      </w:tr>
      <w:tr w:rsidR="00D84719" w:rsidRPr="00D84719" w14:paraId="7CC53742" w14:textId="77777777" w:rsidTr="00D84719">
        <w:trPr>
          <w:trHeight w:val="300"/>
          <w:jc w:val="center"/>
        </w:trPr>
        <w:tc>
          <w:tcPr>
            <w:tcW w:w="341" w:type="pct"/>
            <w:shd w:val="clear" w:color="auto" w:fill="auto"/>
            <w:noWrap/>
            <w:vAlign w:val="center"/>
            <w:hideMark/>
          </w:tcPr>
          <w:p w14:paraId="79DCFBA1"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4.</w:t>
            </w:r>
          </w:p>
        </w:tc>
        <w:tc>
          <w:tcPr>
            <w:tcW w:w="2238" w:type="pct"/>
            <w:shd w:val="clear" w:color="auto" w:fill="auto"/>
            <w:noWrap/>
            <w:vAlign w:val="center"/>
            <w:hideMark/>
          </w:tcPr>
          <w:p w14:paraId="2DAE3A43" w14:textId="77777777" w:rsidR="00D84719" w:rsidRPr="00D84719" w:rsidRDefault="00D84719" w:rsidP="00D84719">
            <w:pPr>
              <w:spacing w:after="0" w:line="240" w:lineRule="auto"/>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Proizvodnja minerala</w:t>
            </w:r>
          </w:p>
        </w:tc>
        <w:tc>
          <w:tcPr>
            <w:tcW w:w="457" w:type="pct"/>
            <w:shd w:val="clear" w:color="auto" w:fill="auto"/>
            <w:noWrap/>
            <w:vAlign w:val="center"/>
            <w:hideMark/>
          </w:tcPr>
          <w:p w14:paraId="0FFDF00A"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0,171</w:t>
            </w:r>
          </w:p>
        </w:tc>
        <w:tc>
          <w:tcPr>
            <w:tcW w:w="440" w:type="pct"/>
            <w:shd w:val="clear" w:color="auto" w:fill="auto"/>
            <w:noWrap/>
            <w:vAlign w:val="center"/>
            <w:hideMark/>
          </w:tcPr>
          <w:p w14:paraId="1BEE5EFD"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0,000</w:t>
            </w:r>
          </w:p>
        </w:tc>
        <w:tc>
          <w:tcPr>
            <w:tcW w:w="457" w:type="pct"/>
            <w:shd w:val="clear" w:color="auto" w:fill="auto"/>
            <w:noWrap/>
            <w:vAlign w:val="center"/>
            <w:hideMark/>
          </w:tcPr>
          <w:p w14:paraId="22BEE1F5"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0,000</w:t>
            </w:r>
          </w:p>
        </w:tc>
        <w:tc>
          <w:tcPr>
            <w:tcW w:w="537" w:type="pct"/>
            <w:shd w:val="clear" w:color="auto" w:fill="auto"/>
            <w:noWrap/>
            <w:vAlign w:val="center"/>
            <w:hideMark/>
          </w:tcPr>
          <w:p w14:paraId="0FEF49E0"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0,012</w:t>
            </w:r>
          </w:p>
        </w:tc>
        <w:tc>
          <w:tcPr>
            <w:tcW w:w="529" w:type="pct"/>
            <w:shd w:val="clear" w:color="auto" w:fill="auto"/>
            <w:noWrap/>
            <w:vAlign w:val="center"/>
            <w:hideMark/>
          </w:tcPr>
          <w:p w14:paraId="69F1CFFE"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0,004</w:t>
            </w:r>
          </w:p>
        </w:tc>
      </w:tr>
      <w:tr w:rsidR="00D84719" w:rsidRPr="00D84719" w14:paraId="17A621F2" w14:textId="77777777" w:rsidTr="00D84719">
        <w:trPr>
          <w:trHeight w:val="300"/>
          <w:jc w:val="center"/>
        </w:trPr>
        <w:tc>
          <w:tcPr>
            <w:tcW w:w="341" w:type="pct"/>
            <w:shd w:val="clear" w:color="auto" w:fill="auto"/>
            <w:noWrap/>
            <w:vAlign w:val="center"/>
            <w:hideMark/>
          </w:tcPr>
          <w:p w14:paraId="34E5E613"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5.</w:t>
            </w:r>
          </w:p>
        </w:tc>
        <w:tc>
          <w:tcPr>
            <w:tcW w:w="2238" w:type="pct"/>
            <w:shd w:val="clear" w:color="auto" w:fill="auto"/>
            <w:noWrap/>
            <w:vAlign w:val="center"/>
            <w:hideMark/>
          </w:tcPr>
          <w:p w14:paraId="72B82D8F" w14:textId="77777777" w:rsidR="00D84719" w:rsidRPr="00D84719" w:rsidRDefault="00D84719" w:rsidP="00D84719">
            <w:pPr>
              <w:spacing w:after="0" w:line="240" w:lineRule="auto"/>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Promet</w:t>
            </w:r>
          </w:p>
        </w:tc>
        <w:tc>
          <w:tcPr>
            <w:tcW w:w="457" w:type="pct"/>
            <w:shd w:val="clear" w:color="auto" w:fill="auto"/>
            <w:noWrap/>
            <w:vAlign w:val="center"/>
            <w:hideMark/>
          </w:tcPr>
          <w:p w14:paraId="1EB8ABCE"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0,266</w:t>
            </w:r>
          </w:p>
        </w:tc>
        <w:tc>
          <w:tcPr>
            <w:tcW w:w="440" w:type="pct"/>
            <w:shd w:val="clear" w:color="auto" w:fill="auto"/>
            <w:noWrap/>
            <w:vAlign w:val="center"/>
            <w:hideMark/>
          </w:tcPr>
          <w:p w14:paraId="2DA3C432"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0,000</w:t>
            </w:r>
          </w:p>
        </w:tc>
        <w:tc>
          <w:tcPr>
            <w:tcW w:w="457" w:type="pct"/>
            <w:shd w:val="clear" w:color="auto" w:fill="auto"/>
            <w:noWrap/>
            <w:vAlign w:val="center"/>
            <w:hideMark/>
          </w:tcPr>
          <w:p w14:paraId="7EAA7B24"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0,000</w:t>
            </w:r>
          </w:p>
        </w:tc>
        <w:tc>
          <w:tcPr>
            <w:tcW w:w="537" w:type="pct"/>
            <w:shd w:val="clear" w:color="auto" w:fill="auto"/>
            <w:noWrap/>
            <w:vAlign w:val="center"/>
            <w:hideMark/>
          </w:tcPr>
          <w:p w14:paraId="6D431122"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0,000</w:t>
            </w:r>
          </w:p>
        </w:tc>
        <w:tc>
          <w:tcPr>
            <w:tcW w:w="529" w:type="pct"/>
            <w:shd w:val="clear" w:color="auto" w:fill="auto"/>
            <w:noWrap/>
            <w:vAlign w:val="center"/>
            <w:hideMark/>
          </w:tcPr>
          <w:p w14:paraId="40F52556"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0,000</w:t>
            </w:r>
          </w:p>
        </w:tc>
      </w:tr>
      <w:tr w:rsidR="00D84719" w:rsidRPr="00D84719" w14:paraId="120855A8" w14:textId="77777777" w:rsidTr="00D84719">
        <w:trPr>
          <w:trHeight w:val="300"/>
          <w:jc w:val="center"/>
        </w:trPr>
        <w:tc>
          <w:tcPr>
            <w:tcW w:w="341" w:type="pct"/>
            <w:shd w:val="clear" w:color="auto" w:fill="auto"/>
            <w:noWrap/>
            <w:vAlign w:val="center"/>
            <w:hideMark/>
          </w:tcPr>
          <w:p w14:paraId="5B710240"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6.</w:t>
            </w:r>
          </w:p>
        </w:tc>
        <w:tc>
          <w:tcPr>
            <w:tcW w:w="2238" w:type="pct"/>
            <w:shd w:val="clear" w:color="auto" w:fill="auto"/>
            <w:noWrap/>
            <w:vAlign w:val="center"/>
            <w:hideMark/>
          </w:tcPr>
          <w:p w14:paraId="19703A14" w14:textId="77777777" w:rsidR="00D84719" w:rsidRPr="00D84719" w:rsidRDefault="00D84719" w:rsidP="00D84719">
            <w:pPr>
              <w:spacing w:after="0" w:line="240" w:lineRule="auto"/>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Procesi gorenja na otvorenom</w:t>
            </w:r>
          </w:p>
        </w:tc>
        <w:tc>
          <w:tcPr>
            <w:tcW w:w="457" w:type="pct"/>
            <w:shd w:val="clear" w:color="auto" w:fill="auto"/>
            <w:noWrap/>
            <w:vAlign w:val="center"/>
            <w:hideMark/>
          </w:tcPr>
          <w:p w14:paraId="0170C92B"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0,033</w:t>
            </w:r>
          </w:p>
        </w:tc>
        <w:tc>
          <w:tcPr>
            <w:tcW w:w="440" w:type="pct"/>
            <w:shd w:val="clear" w:color="auto" w:fill="auto"/>
            <w:noWrap/>
            <w:vAlign w:val="center"/>
            <w:hideMark/>
          </w:tcPr>
          <w:p w14:paraId="5EE21710"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0,000</w:t>
            </w:r>
          </w:p>
        </w:tc>
        <w:tc>
          <w:tcPr>
            <w:tcW w:w="457" w:type="pct"/>
            <w:shd w:val="clear" w:color="auto" w:fill="auto"/>
            <w:noWrap/>
            <w:vAlign w:val="center"/>
            <w:hideMark/>
          </w:tcPr>
          <w:p w14:paraId="229BB39B"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0,005</w:t>
            </w:r>
          </w:p>
        </w:tc>
        <w:tc>
          <w:tcPr>
            <w:tcW w:w="537" w:type="pct"/>
            <w:shd w:val="clear" w:color="auto" w:fill="auto"/>
            <w:noWrap/>
            <w:vAlign w:val="center"/>
            <w:hideMark/>
          </w:tcPr>
          <w:p w14:paraId="4A460ABD"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0,000</w:t>
            </w:r>
          </w:p>
        </w:tc>
        <w:tc>
          <w:tcPr>
            <w:tcW w:w="529" w:type="pct"/>
            <w:shd w:val="clear" w:color="auto" w:fill="auto"/>
            <w:noWrap/>
            <w:vAlign w:val="center"/>
            <w:hideMark/>
          </w:tcPr>
          <w:p w14:paraId="7C16CECC"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0,000</w:t>
            </w:r>
          </w:p>
        </w:tc>
      </w:tr>
      <w:tr w:rsidR="00D84719" w:rsidRPr="00D84719" w14:paraId="36A4F113" w14:textId="77777777" w:rsidTr="00D84719">
        <w:trPr>
          <w:trHeight w:val="300"/>
          <w:jc w:val="center"/>
        </w:trPr>
        <w:tc>
          <w:tcPr>
            <w:tcW w:w="341" w:type="pct"/>
            <w:shd w:val="clear" w:color="auto" w:fill="auto"/>
            <w:noWrap/>
            <w:vAlign w:val="center"/>
            <w:hideMark/>
          </w:tcPr>
          <w:p w14:paraId="64CAD716"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7.</w:t>
            </w:r>
          </w:p>
        </w:tc>
        <w:tc>
          <w:tcPr>
            <w:tcW w:w="2238" w:type="pct"/>
            <w:shd w:val="clear" w:color="auto" w:fill="auto"/>
            <w:noWrap/>
            <w:vAlign w:val="center"/>
            <w:hideMark/>
          </w:tcPr>
          <w:p w14:paraId="54AA44A7" w14:textId="77777777" w:rsidR="00D84719" w:rsidRPr="00D84719" w:rsidRDefault="00D84719" w:rsidP="00D84719">
            <w:pPr>
              <w:spacing w:after="0" w:line="240" w:lineRule="auto"/>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 xml:space="preserve">Proizvodnja kemikalija i potrošačkih dobara </w:t>
            </w:r>
          </w:p>
        </w:tc>
        <w:tc>
          <w:tcPr>
            <w:tcW w:w="457" w:type="pct"/>
            <w:shd w:val="clear" w:color="auto" w:fill="auto"/>
            <w:noWrap/>
            <w:vAlign w:val="center"/>
            <w:hideMark/>
          </w:tcPr>
          <w:p w14:paraId="23189675"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0,000</w:t>
            </w:r>
          </w:p>
        </w:tc>
        <w:tc>
          <w:tcPr>
            <w:tcW w:w="440" w:type="pct"/>
            <w:shd w:val="clear" w:color="auto" w:fill="auto"/>
            <w:noWrap/>
            <w:vAlign w:val="center"/>
            <w:hideMark/>
          </w:tcPr>
          <w:p w14:paraId="0150CD8A"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0,000</w:t>
            </w:r>
          </w:p>
        </w:tc>
        <w:tc>
          <w:tcPr>
            <w:tcW w:w="457" w:type="pct"/>
            <w:shd w:val="clear" w:color="auto" w:fill="auto"/>
            <w:noWrap/>
            <w:vAlign w:val="center"/>
            <w:hideMark/>
          </w:tcPr>
          <w:p w14:paraId="13E9E21B"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0,000</w:t>
            </w:r>
          </w:p>
        </w:tc>
        <w:tc>
          <w:tcPr>
            <w:tcW w:w="537" w:type="pct"/>
            <w:shd w:val="clear" w:color="auto" w:fill="auto"/>
            <w:noWrap/>
            <w:vAlign w:val="center"/>
            <w:hideMark/>
          </w:tcPr>
          <w:p w14:paraId="0E93D76A"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0,805</w:t>
            </w:r>
          </w:p>
        </w:tc>
        <w:tc>
          <w:tcPr>
            <w:tcW w:w="529" w:type="pct"/>
            <w:shd w:val="clear" w:color="auto" w:fill="auto"/>
            <w:noWrap/>
            <w:vAlign w:val="center"/>
            <w:hideMark/>
          </w:tcPr>
          <w:p w14:paraId="58BBC5ED"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0,000</w:t>
            </w:r>
          </w:p>
        </w:tc>
      </w:tr>
      <w:tr w:rsidR="00D84719" w:rsidRPr="00D84719" w14:paraId="30058B1F" w14:textId="77777777" w:rsidTr="00D84719">
        <w:trPr>
          <w:trHeight w:val="300"/>
          <w:jc w:val="center"/>
        </w:trPr>
        <w:tc>
          <w:tcPr>
            <w:tcW w:w="341" w:type="pct"/>
            <w:shd w:val="clear" w:color="auto" w:fill="auto"/>
            <w:noWrap/>
            <w:vAlign w:val="center"/>
            <w:hideMark/>
          </w:tcPr>
          <w:p w14:paraId="70C12B22"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8.</w:t>
            </w:r>
          </w:p>
        </w:tc>
        <w:tc>
          <w:tcPr>
            <w:tcW w:w="2238" w:type="pct"/>
            <w:shd w:val="clear" w:color="auto" w:fill="auto"/>
            <w:noWrap/>
            <w:vAlign w:val="center"/>
            <w:hideMark/>
          </w:tcPr>
          <w:p w14:paraId="3DA0B143" w14:textId="77777777" w:rsidR="00D84719" w:rsidRPr="00D84719" w:rsidRDefault="00D84719" w:rsidP="00D84719">
            <w:pPr>
              <w:spacing w:after="0" w:line="240" w:lineRule="auto"/>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Razno</w:t>
            </w:r>
          </w:p>
        </w:tc>
        <w:tc>
          <w:tcPr>
            <w:tcW w:w="457" w:type="pct"/>
            <w:shd w:val="clear" w:color="auto" w:fill="auto"/>
            <w:noWrap/>
            <w:vAlign w:val="center"/>
            <w:hideMark/>
          </w:tcPr>
          <w:p w14:paraId="58BD1F32"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0,003</w:t>
            </w:r>
          </w:p>
        </w:tc>
        <w:tc>
          <w:tcPr>
            <w:tcW w:w="440" w:type="pct"/>
            <w:shd w:val="clear" w:color="auto" w:fill="auto"/>
            <w:noWrap/>
            <w:vAlign w:val="center"/>
            <w:hideMark/>
          </w:tcPr>
          <w:p w14:paraId="6A62A26B"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0,000</w:t>
            </w:r>
          </w:p>
        </w:tc>
        <w:tc>
          <w:tcPr>
            <w:tcW w:w="457" w:type="pct"/>
            <w:shd w:val="clear" w:color="auto" w:fill="auto"/>
            <w:noWrap/>
            <w:vAlign w:val="center"/>
            <w:hideMark/>
          </w:tcPr>
          <w:p w14:paraId="64FDDA3B"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0,000</w:t>
            </w:r>
          </w:p>
        </w:tc>
        <w:tc>
          <w:tcPr>
            <w:tcW w:w="537" w:type="pct"/>
            <w:shd w:val="clear" w:color="auto" w:fill="auto"/>
            <w:noWrap/>
            <w:vAlign w:val="center"/>
            <w:hideMark/>
          </w:tcPr>
          <w:p w14:paraId="79A9F0D5"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0,000</w:t>
            </w:r>
          </w:p>
        </w:tc>
        <w:tc>
          <w:tcPr>
            <w:tcW w:w="529" w:type="pct"/>
            <w:shd w:val="clear" w:color="auto" w:fill="auto"/>
            <w:noWrap/>
            <w:vAlign w:val="center"/>
            <w:hideMark/>
          </w:tcPr>
          <w:p w14:paraId="07890EB3"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0,012</w:t>
            </w:r>
          </w:p>
        </w:tc>
      </w:tr>
      <w:tr w:rsidR="00D84719" w:rsidRPr="00D84719" w14:paraId="2DD77C2F" w14:textId="77777777" w:rsidTr="00D84719">
        <w:trPr>
          <w:trHeight w:val="300"/>
          <w:jc w:val="center"/>
        </w:trPr>
        <w:tc>
          <w:tcPr>
            <w:tcW w:w="341" w:type="pct"/>
            <w:shd w:val="clear" w:color="auto" w:fill="auto"/>
            <w:noWrap/>
            <w:vAlign w:val="center"/>
            <w:hideMark/>
          </w:tcPr>
          <w:p w14:paraId="5FB6F08A"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9.</w:t>
            </w:r>
          </w:p>
        </w:tc>
        <w:tc>
          <w:tcPr>
            <w:tcW w:w="2238" w:type="pct"/>
            <w:shd w:val="clear" w:color="auto" w:fill="auto"/>
            <w:noWrap/>
            <w:vAlign w:val="center"/>
            <w:hideMark/>
          </w:tcPr>
          <w:p w14:paraId="0836B487" w14:textId="77777777" w:rsidR="00D84719" w:rsidRPr="00D84719" w:rsidRDefault="00D84719" w:rsidP="00D84719">
            <w:pPr>
              <w:spacing w:after="0" w:line="240" w:lineRule="auto"/>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Odlaganje otpada</w:t>
            </w:r>
          </w:p>
        </w:tc>
        <w:tc>
          <w:tcPr>
            <w:tcW w:w="457" w:type="pct"/>
            <w:shd w:val="clear" w:color="auto" w:fill="auto"/>
            <w:noWrap/>
            <w:vAlign w:val="center"/>
            <w:hideMark/>
          </w:tcPr>
          <w:p w14:paraId="35B86314"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0,000</w:t>
            </w:r>
          </w:p>
        </w:tc>
        <w:tc>
          <w:tcPr>
            <w:tcW w:w="440" w:type="pct"/>
            <w:shd w:val="clear" w:color="auto" w:fill="auto"/>
            <w:noWrap/>
            <w:vAlign w:val="center"/>
            <w:hideMark/>
          </w:tcPr>
          <w:p w14:paraId="7DBDCD67"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0,297</w:t>
            </w:r>
          </w:p>
        </w:tc>
        <w:tc>
          <w:tcPr>
            <w:tcW w:w="457" w:type="pct"/>
            <w:shd w:val="clear" w:color="auto" w:fill="auto"/>
            <w:noWrap/>
            <w:vAlign w:val="center"/>
            <w:hideMark/>
          </w:tcPr>
          <w:p w14:paraId="757DF222"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0,000</w:t>
            </w:r>
          </w:p>
        </w:tc>
        <w:tc>
          <w:tcPr>
            <w:tcW w:w="537" w:type="pct"/>
            <w:shd w:val="clear" w:color="auto" w:fill="auto"/>
            <w:noWrap/>
            <w:vAlign w:val="center"/>
            <w:hideMark/>
          </w:tcPr>
          <w:p w14:paraId="7BBEFD28"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0,070</w:t>
            </w:r>
          </w:p>
        </w:tc>
        <w:tc>
          <w:tcPr>
            <w:tcW w:w="529" w:type="pct"/>
            <w:shd w:val="clear" w:color="auto" w:fill="auto"/>
            <w:noWrap/>
            <w:vAlign w:val="center"/>
            <w:hideMark/>
          </w:tcPr>
          <w:p w14:paraId="6902DCA4"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7,479</w:t>
            </w:r>
          </w:p>
        </w:tc>
      </w:tr>
      <w:tr w:rsidR="00D84719" w:rsidRPr="00D84719" w14:paraId="297FCAE9" w14:textId="77777777" w:rsidTr="00D84719">
        <w:trPr>
          <w:trHeight w:val="315"/>
          <w:jc w:val="center"/>
        </w:trPr>
        <w:tc>
          <w:tcPr>
            <w:tcW w:w="341" w:type="pct"/>
            <w:shd w:val="clear" w:color="auto" w:fill="auto"/>
            <w:noWrap/>
            <w:vAlign w:val="center"/>
            <w:hideMark/>
          </w:tcPr>
          <w:p w14:paraId="3EC3F389"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10.</w:t>
            </w:r>
          </w:p>
        </w:tc>
        <w:tc>
          <w:tcPr>
            <w:tcW w:w="2238" w:type="pct"/>
            <w:shd w:val="clear" w:color="auto" w:fill="auto"/>
            <w:noWrap/>
            <w:vAlign w:val="center"/>
            <w:hideMark/>
          </w:tcPr>
          <w:p w14:paraId="7E62AE26" w14:textId="77777777" w:rsidR="00D84719" w:rsidRPr="00D84719" w:rsidRDefault="00D84719" w:rsidP="00D84719">
            <w:pPr>
              <w:spacing w:after="0" w:line="240" w:lineRule="auto"/>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Identifikacija potencijalnih žarišnih točki</w:t>
            </w:r>
          </w:p>
        </w:tc>
        <w:tc>
          <w:tcPr>
            <w:tcW w:w="457" w:type="pct"/>
            <w:shd w:val="clear" w:color="auto" w:fill="auto"/>
            <w:noWrap/>
            <w:vAlign w:val="center"/>
            <w:hideMark/>
          </w:tcPr>
          <w:p w14:paraId="2ABFF0C6" w14:textId="77777777" w:rsidR="00D84719" w:rsidRPr="00D84719" w:rsidRDefault="00D84719" w:rsidP="00D84719">
            <w:pPr>
              <w:spacing w:after="0" w:line="240" w:lineRule="auto"/>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 </w:t>
            </w:r>
          </w:p>
        </w:tc>
        <w:tc>
          <w:tcPr>
            <w:tcW w:w="440" w:type="pct"/>
            <w:shd w:val="clear" w:color="auto" w:fill="auto"/>
            <w:noWrap/>
            <w:vAlign w:val="center"/>
            <w:hideMark/>
          </w:tcPr>
          <w:p w14:paraId="2084B745" w14:textId="77777777" w:rsidR="00D84719" w:rsidRPr="00D84719" w:rsidRDefault="00D84719" w:rsidP="00D84719">
            <w:pPr>
              <w:spacing w:after="0" w:line="240" w:lineRule="auto"/>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 </w:t>
            </w:r>
          </w:p>
        </w:tc>
        <w:tc>
          <w:tcPr>
            <w:tcW w:w="457" w:type="pct"/>
            <w:shd w:val="clear" w:color="auto" w:fill="auto"/>
            <w:noWrap/>
            <w:vAlign w:val="center"/>
            <w:hideMark/>
          </w:tcPr>
          <w:p w14:paraId="1E7795A7" w14:textId="77777777" w:rsidR="00D84719" w:rsidRPr="00D84719" w:rsidRDefault="00D84719" w:rsidP="00D84719">
            <w:pPr>
              <w:spacing w:after="0" w:line="240" w:lineRule="auto"/>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 </w:t>
            </w:r>
          </w:p>
        </w:tc>
        <w:tc>
          <w:tcPr>
            <w:tcW w:w="537" w:type="pct"/>
            <w:shd w:val="clear" w:color="auto" w:fill="auto"/>
            <w:noWrap/>
            <w:vAlign w:val="center"/>
            <w:hideMark/>
          </w:tcPr>
          <w:p w14:paraId="6CB4FB5C"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0,000</w:t>
            </w:r>
          </w:p>
        </w:tc>
        <w:tc>
          <w:tcPr>
            <w:tcW w:w="529" w:type="pct"/>
            <w:shd w:val="clear" w:color="auto" w:fill="auto"/>
            <w:noWrap/>
            <w:vAlign w:val="center"/>
            <w:hideMark/>
          </w:tcPr>
          <w:p w14:paraId="761BF480" w14:textId="77777777" w:rsidR="00D84719" w:rsidRPr="00D84719" w:rsidRDefault="00D84719" w:rsidP="00D84719">
            <w:pPr>
              <w:spacing w:after="0" w:line="240" w:lineRule="auto"/>
              <w:jc w:val="right"/>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0,000</w:t>
            </w:r>
          </w:p>
        </w:tc>
      </w:tr>
      <w:tr w:rsidR="00D84719" w:rsidRPr="00D84719" w14:paraId="531C7993" w14:textId="77777777" w:rsidTr="00D84719">
        <w:trPr>
          <w:trHeight w:val="300"/>
          <w:jc w:val="center"/>
        </w:trPr>
        <w:tc>
          <w:tcPr>
            <w:tcW w:w="341" w:type="pct"/>
            <w:shd w:val="clear" w:color="auto" w:fill="auto"/>
            <w:noWrap/>
            <w:vAlign w:val="center"/>
            <w:hideMark/>
          </w:tcPr>
          <w:p w14:paraId="26982297" w14:textId="77777777" w:rsidR="00D84719" w:rsidRPr="00D84719" w:rsidRDefault="00D84719" w:rsidP="00D84719">
            <w:pPr>
              <w:spacing w:after="0" w:line="240" w:lineRule="auto"/>
              <w:jc w:val="center"/>
              <w:rPr>
                <w:rFonts w:ascii="Times New Roman" w:eastAsia="Times New Roman" w:hAnsi="Times New Roman" w:cs="Times New Roman"/>
                <w:b/>
                <w:bCs/>
                <w:color w:val="000000"/>
                <w:sz w:val="20"/>
                <w:szCs w:val="20"/>
                <w:lang w:eastAsia="hr-HR"/>
              </w:rPr>
            </w:pPr>
            <w:r w:rsidRPr="00D84719">
              <w:rPr>
                <w:rFonts w:ascii="Times New Roman" w:eastAsia="Times New Roman" w:hAnsi="Times New Roman" w:cs="Times New Roman"/>
                <w:b/>
                <w:bCs/>
                <w:color w:val="000000"/>
                <w:sz w:val="20"/>
                <w:szCs w:val="20"/>
                <w:lang w:eastAsia="hr-HR"/>
              </w:rPr>
              <w:t>1-10</w:t>
            </w:r>
          </w:p>
        </w:tc>
        <w:tc>
          <w:tcPr>
            <w:tcW w:w="2238" w:type="pct"/>
            <w:shd w:val="clear" w:color="auto" w:fill="auto"/>
            <w:noWrap/>
            <w:vAlign w:val="center"/>
            <w:hideMark/>
          </w:tcPr>
          <w:p w14:paraId="3573BB72" w14:textId="77777777" w:rsidR="00D84719" w:rsidRPr="00D84719" w:rsidRDefault="00D84719" w:rsidP="00D84719">
            <w:pPr>
              <w:spacing w:after="0" w:line="240" w:lineRule="auto"/>
              <w:rPr>
                <w:rFonts w:ascii="Times New Roman" w:eastAsia="Times New Roman" w:hAnsi="Times New Roman" w:cs="Times New Roman"/>
                <w:b/>
                <w:bCs/>
                <w:color w:val="000000"/>
                <w:sz w:val="20"/>
                <w:szCs w:val="20"/>
                <w:lang w:eastAsia="hr-HR"/>
              </w:rPr>
            </w:pPr>
            <w:r w:rsidRPr="00D84719">
              <w:rPr>
                <w:rFonts w:ascii="Times New Roman" w:eastAsia="Times New Roman" w:hAnsi="Times New Roman" w:cs="Times New Roman"/>
                <w:b/>
                <w:bCs/>
                <w:color w:val="000000"/>
                <w:sz w:val="20"/>
                <w:szCs w:val="20"/>
                <w:lang w:eastAsia="hr-HR"/>
              </w:rPr>
              <w:t>Ukupno</w:t>
            </w:r>
          </w:p>
        </w:tc>
        <w:tc>
          <w:tcPr>
            <w:tcW w:w="457" w:type="pct"/>
            <w:shd w:val="clear" w:color="auto" w:fill="auto"/>
            <w:noWrap/>
            <w:vAlign w:val="center"/>
            <w:hideMark/>
          </w:tcPr>
          <w:p w14:paraId="33EACDEB" w14:textId="77777777" w:rsidR="00D84719" w:rsidRPr="00D84719" w:rsidRDefault="00D84719" w:rsidP="00D84719">
            <w:pPr>
              <w:spacing w:after="0" w:line="240" w:lineRule="auto"/>
              <w:jc w:val="right"/>
              <w:rPr>
                <w:rFonts w:ascii="Times New Roman" w:eastAsia="Times New Roman" w:hAnsi="Times New Roman" w:cs="Times New Roman"/>
                <w:b/>
                <w:bCs/>
                <w:color w:val="000000"/>
                <w:sz w:val="20"/>
                <w:szCs w:val="20"/>
                <w:lang w:eastAsia="hr-HR"/>
              </w:rPr>
            </w:pPr>
            <w:r w:rsidRPr="00D84719">
              <w:rPr>
                <w:rFonts w:ascii="Times New Roman" w:eastAsia="Times New Roman" w:hAnsi="Times New Roman" w:cs="Times New Roman"/>
                <w:b/>
                <w:bCs/>
                <w:color w:val="000000"/>
                <w:sz w:val="20"/>
                <w:szCs w:val="20"/>
                <w:lang w:eastAsia="hr-HR"/>
              </w:rPr>
              <w:t>20,470</w:t>
            </w:r>
          </w:p>
        </w:tc>
        <w:tc>
          <w:tcPr>
            <w:tcW w:w="440" w:type="pct"/>
            <w:shd w:val="clear" w:color="auto" w:fill="auto"/>
            <w:noWrap/>
            <w:vAlign w:val="center"/>
            <w:hideMark/>
          </w:tcPr>
          <w:p w14:paraId="51EA917A" w14:textId="77777777" w:rsidR="00D84719" w:rsidRPr="00D84719" w:rsidRDefault="00D84719" w:rsidP="00D84719">
            <w:pPr>
              <w:spacing w:after="0" w:line="240" w:lineRule="auto"/>
              <w:jc w:val="right"/>
              <w:rPr>
                <w:rFonts w:ascii="Times New Roman" w:eastAsia="Times New Roman" w:hAnsi="Times New Roman" w:cs="Times New Roman"/>
                <w:b/>
                <w:bCs/>
                <w:color w:val="000000"/>
                <w:sz w:val="20"/>
                <w:szCs w:val="20"/>
                <w:lang w:eastAsia="hr-HR"/>
              </w:rPr>
            </w:pPr>
            <w:r w:rsidRPr="00D84719">
              <w:rPr>
                <w:rFonts w:ascii="Times New Roman" w:eastAsia="Times New Roman" w:hAnsi="Times New Roman" w:cs="Times New Roman"/>
                <w:b/>
                <w:bCs/>
                <w:color w:val="000000"/>
                <w:sz w:val="20"/>
                <w:szCs w:val="20"/>
                <w:lang w:eastAsia="hr-HR"/>
              </w:rPr>
              <w:t>0,297</w:t>
            </w:r>
          </w:p>
        </w:tc>
        <w:tc>
          <w:tcPr>
            <w:tcW w:w="457" w:type="pct"/>
            <w:shd w:val="clear" w:color="auto" w:fill="auto"/>
            <w:noWrap/>
            <w:vAlign w:val="center"/>
            <w:hideMark/>
          </w:tcPr>
          <w:p w14:paraId="2EDBDEBF" w14:textId="77777777" w:rsidR="00D84719" w:rsidRPr="00D84719" w:rsidRDefault="00D84719" w:rsidP="00D84719">
            <w:pPr>
              <w:spacing w:after="0" w:line="240" w:lineRule="auto"/>
              <w:jc w:val="right"/>
              <w:rPr>
                <w:rFonts w:ascii="Times New Roman" w:eastAsia="Times New Roman" w:hAnsi="Times New Roman" w:cs="Times New Roman"/>
                <w:b/>
                <w:bCs/>
                <w:color w:val="000000"/>
                <w:sz w:val="20"/>
                <w:szCs w:val="20"/>
                <w:lang w:eastAsia="hr-HR"/>
              </w:rPr>
            </w:pPr>
            <w:r w:rsidRPr="00D84719">
              <w:rPr>
                <w:rFonts w:ascii="Times New Roman" w:eastAsia="Times New Roman" w:hAnsi="Times New Roman" w:cs="Times New Roman"/>
                <w:b/>
                <w:bCs/>
                <w:color w:val="000000"/>
                <w:sz w:val="20"/>
                <w:szCs w:val="20"/>
                <w:lang w:eastAsia="hr-HR"/>
              </w:rPr>
              <w:t>0,005</w:t>
            </w:r>
          </w:p>
        </w:tc>
        <w:tc>
          <w:tcPr>
            <w:tcW w:w="537" w:type="pct"/>
            <w:shd w:val="clear" w:color="auto" w:fill="auto"/>
            <w:noWrap/>
            <w:vAlign w:val="center"/>
            <w:hideMark/>
          </w:tcPr>
          <w:p w14:paraId="43FD0EAB" w14:textId="77777777" w:rsidR="00D84719" w:rsidRPr="00D84719" w:rsidRDefault="00D84719" w:rsidP="00D84719">
            <w:pPr>
              <w:spacing w:after="0" w:line="240" w:lineRule="auto"/>
              <w:jc w:val="right"/>
              <w:rPr>
                <w:rFonts w:ascii="Times New Roman" w:eastAsia="Times New Roman" w:hAnsi="Times New Roman" w:cs="Times New Roman"/>
                <w:b/>
                <w:bCs/>
                <w:color w:val="000000"/>
                <w:sz w:val="20"/>
                <w:szCs w:val="20"/>
                <w:lang w:eastAsia="hr-HR"/>
              </w:rPr>
            </w:pPr>
            <w:r w:rsidRPr="00D84719">
              <w:rPr>
                <w:rFonts w:ascii="Times New Roman" w:eastAsia="Times New Roman" w:hAnsi="Times New Roman" w:cs="Times New Roman"/>
                <w:b/>
                <w:bCs/>
                <w:color w:val="000000"/>
                <w:sz w:val="20"/>
                <w:szCs w:val="20"/>
                <w:lang w:eastAsia="hr-HR"/>
              </w:rPr>
              <w:t>0,888</w:t>
            </w:r>
          </w:p>
        </w:tc>
        <w:tc>
          <w:tcPr>
            <w:tcW w:w="529" w:type="pct"/>
            <w:shd w:val="clear" w:color="auto" w:fill="auto"/>
            <w:noWrap/>
            <w:vAlign w:val="center"/>
            <w:hideMark/>
          </w:tcPr>
          <w:p w14:paraId="5E288252" w14:textId="77777777" w:rsidR="00D84719" w:rsidRPr="00D84719" w:rsidRDefault="00D84719" w:rsidP="00D84719">
            <w:pPr>
              <w:spacing w:after="0" w:line="240" w:lineRule="auto"/>
              <w:jc w:val="right"/>
              <w:rPr>
                <w:rFonts w:ascii="Times New Roman" w:eastAsia="Times New Roman" w:hAnsi="Times New Roman" w:cs="Times New Roman"/>
                <w:b/>
                <w:bCs/>
                <w:color w:val="000000"/>
                <w:sz w:val="20"/>
                <w:szCs w:val="20"/>
                <w:lang w:eastAsia="hr-HR"/>
              </w:rPr>
            </w:pPr>
            <w:r w:rsidRPr="00D84719">
              <w:rPr>
                <w:rFonts w:ascii="Times New Roman" w:eastAsia="Times New Roman" w:hAnsi="Times New Roman" w:cs="Times New Roman"/>
                <w:b/>
                <w:bCs/>
                <w:color w:val="000000"/>
                <w:sz w:val="20"/>
                <w:szCs w:val="20"/>
                <w:lang w:eastAsia="hr-HR"/>
              </w:rPr>
              <w:t>8,347</w:t>
            </w:r>
          </w:p>
        </w:tc>
      </w:tr>
      <w:tr w:rsidR="00D84719" w:rsidRPr="00D84719" w14:paraId="24C4B361" w14:textId="77777777" w:rsidTr="00D84719">
        <w:trPr>
          <w:trHeight w:val="315"/>
          <w:jc w:val="center"/>
        </w:trPr>
        <w:tc>
          <w:tcPr>
            <w:tcW w:w="2579" w:type="pct"/>
            <w:gridSpan w:val="2"/>
            <w:shd w:val="clear" w:color="auto" w:fill="auto"/>
            <w:noWrap/>
            <w:vAlign w:val="center"/>
            <w:hideMark/>
          </w:tcPr>
          <w:p w14:paraId="0670EAED" w14:textId="77777777" w:rsidR="00D84719" w:rsidRPr="00D84719" w:rsidRDefault="00D84719" w:rsidP="00D84719">
            <w:pPr>
              <w:spacing w:after="0" w:line="240" w:lineRule="auto"/>
              <w:jc w:val="both"/>
              <w:rPr>
                <w:rFonts w:ascii="Times New Roman" w:eastAsia="Times New Roman" w:hAnsi="Times New Roman" w:cs="Times New Roman"/>
                <w:b/>
                <w:color w:val="000000"/>
                <w:sz w:val="20"/>
                <w:szCs w:val="20"/>
                <w:lang w:eastAsia="hr-HR"/>
              </w:rPr>
            </w:pPr>
            <w:r w:rsidRPr="00D84719">
              <w:rPr>
                <w:rFonts w:ascii="Times New Roman" w:eastAsia="Times New Roman" w:hAnsi="Times New Roman" w:cs="Times New Roman"/>
                <w:b/>
                <w:color w:val="000000"/>
                <w:sz w:val="20"/>
                <w:szCs w:val="20"/>
                <w:lang w:eastAsia="hr-HR"/>
              </w:rPr>
              <w:t>SVEUKUPNO</w:t>
            </w:r>
          </w:p>
        </w:tc>
        <w:tc>
          <w:tcPr>
            <w:tcW w:w="2421" w:type="pct"/>
            <w:gridSpan w:val="5"/>
            <w:shd w:val="clear" w:color="auto" w:fill="auto"/>
            <w:noWrap/>
            <w:hideMark/>
          </w:tcPr>
          <w:p w14:paraId="34F13681" w14:textId="77777777" w:rsidR="00D84719" w:rsidRPr="00D84719" w:rsidRDefault="00D84719" w:rsidP="00D84719">
            <w:pPr>
              <w:spacing w:after="0" w:line="240" w:lineRule="auto"/>
              <w:rPr>
                <w:rFonts w:ascii="Times New Roman" w:eastAsia="Times New Roman" w:hAnsi="Times New Roman" w:cs="Times New Roman"/>
                <w:b/>
                <w:bCs/>
                <w:color w:val="000000"/>
                <w:sz w:val="20"/>
                <w:szCs w:val="20"/>
                <w:lang w:eastAsia="hr-HR"/>
              </w:rPr>
            </w:pPr>
            <w:r w:rsidRPr="00D84719">
              <w:rPr>
                <w:rFonts w:ascii="Times New Roman" w:eastAsia="Times New Roman" w:hAnsi="Times New Roman" w:cs="Times New Roman"/>
                <w:b/>
                <w:bCs/>
                <w:color w:val="000000"/>
                <w:sz w:val="20"/>
                <w:szCs w:val="20"/>
                <w:lang w:eastAsia="hr-HR"/>
              </w:rPr>
              <w:t>30,01</w:t>
            </w:r>
          </w:p>
        </w:tc>
      </w:tr>
    </w:tbl>
    <w:p w14:paraId="292252C7" w14:textId="77777777" w:rsidR="00D84719" w:rsidRPr="00D84719" w:rsidRDefault="00D84719" w:rsidP="00D84719">
      <w:pPr>
        <w:spacing w:before="80" w:line="276" w:lineRule="auto"/>
        <w:jc w:val="both"/>
        <w:rPr>
          <w:rFonts w:ascii="Times New Roman" w:eastAsia="Times New Roman" w:hAnsi="Times New Roman" w:cs="Times New Roman"/>
          <w:color w:val="000000"/>
          <w:szCs w:val="24"/>
          <w:lang w:bidi="en-US"/>
        </w:rPr>
      </w:pPr>
    </w:p>
    <w:p w14:paraId="24CE5B29" w14:textId="524ED30C" w:rsidR="00D84719" w:rsidRPr="00D84719" w:rsidRDefault="00D84719" w:rsidP="00D84719">
      <w:pPr>
        <w:keepNext/>
        <w:spacing w:before="80" w:after="0" w:line="276" w:lineRule="auto"/>
        <w:jc w:val="both"/>
        <w:rPr>
          <w:rFonts w:ascii="Times New Roman" w:eastAsia="Times New Roman" w:hAnsi="Times New Roman" w:cs="Times New Roman"/>
          <w:b/>
          <w:bCs/>
          <w:i/>
          <w:sz w:val="20"/>
          <w:szCs w:val="20"/>
        </w:rPr>
      </w:pPr>
      <w:r w:rsidRPr="00D84719">
        <w:rPr>
          <w:rFonts w:ascii="Times New Roman" w:eastAsia="Times New Roman" w:hAnsi="Times New Roman" w:cs="Times New Roman"/>
          <w:b/>
          <w:bCs/>
          <w:i/>
          <w:sz w:val="20"/>
          <w:szCs w:val="20"/>
        </w:rPr>
        <w:t xml:space="preserve">Tablica </w:t>
      </w:r>
      <w:r w:rsidRPr="00D84719">
        <w:rPr>
          <w:rFonts w:ascii="Times New Roman" w:eastAsia="Times New Roman" w:hAnsi="Times New Roman" w:cs="Times New Roman"/>
          <w:b/>
          <w:bCs/>
          <w:i/>
          <w:sz w:val="20"/>
          <w:szCs w:val="20"/>
        </w:rPr>
        <w:fldChar w:fldCharType="begin"/>
      </w:r>
      <w:r w:rsidRPr="00D84719">
        <w:rPr>
          <w:rFonts w:ascii="Times New Roman" w:eastAsia="Times New Roman" w:hAnsi="Times New Roman" w:cs="Times New Roman"/>
          <w:b/>
          <w:bCs/>
          <w:i/>
          <w:sz w:val="20"/>
          <w:szCs w:val="20"/>
        </w:rPr>
        <w:instrText xml:space="preserve"> STYLEREF 2 \s </w:instrText>
      </w:r>
      <w:r w:rsidRPr="00D84719">
        <w:rPr>
          <w:rFonts w:ascii="Times New Roman" w:eastAsia="Times New Roman" w:hAnsi="Times New Roman" w:cs="Times New Roman"/>
          <w:b/>
          <w:bCs/>
          <w:i/>
          <w:sz w:val="20"/>
          <w:szCs w:val="20"/>
        </w:rPr>
        <w:fldChar w:fldCharType="separate"/>
      </w:r>
      <w:r w:rsidRPr="00D84719">
        <w:rPr>
          <w:rFonts w:ascii="Times New Roman" w:eastAsia="Times New Roman" w:hAnsi="Times New Roman" w:cs="Times New Roman"/>
          <w:b/>
          <w:bCs/>
          <w:i/>
          <w:sz w:val="20"/>
          <w:szCs w:val="20"/>
        </w:rPr>
        <w:t>3.4</w:t>
      </w:r>
      <w:r w:rsidRPr="00D84719">
        <w:rPr>
          <w:rFonts w:ascii="Times New Roman" w:eastAsia="Times New Roman" w:hAnsi="Times New Roman" w:cs="Times New Roman"/>
          <w:b/>
          <w:bCs/>
          <w:i/>
          <w:sz w:val="20"/>
          <w:szCs w:val="20"/>
        </w:rPr>
        <w:fldChar w:fldCharType="end"/>
      </w:r>
      <w:r w:rsidRPr="00D84719">
        <w:rPr>
          <w:rFonts w:ascii="Times New Roman" w:eastAsia="Times New Roman" w:hAnsi="Times New Roman" w:cs="Times New Roman"/>
          <w:b/>
          <w:bCs/>
          <w:i/>
          <w:sz w:val="20"/>
          <w:szCs w:val="20"/>
        </w:rPr>
        <w:noBreakHyphen/>
        <w:t>8: Ukupne emisije PCDD/PCDF-a prema glavnim kategorijama u 2013</w:t>
      </w:r>
      <w:r w:rsidR="004C449C">
        <w:rPr>
          <w:rFonts w:ascii="Times New Roman" w:eastAsia="Times New Roman" w:hAnsi="Times New Roman" w:cs="Times New Roman"/>
          <w:b/>
          <w:bCs/>
          <w:i/>
          <w:sz w:val="20"/>
          <w:szCs w:val="20"/>
        </w:rPr>
        <w:t>.</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733"/>
        <w:gridCol w:w="3829"/>
        <w:gridCol w:w="842"/>
        <w:gridCol w:w="717"/>
        <w:gridCol w:w="809"/>
        <w:gridCol w:w="1117"/>
        <w:gridCol w:w="1005"/>
      </w:tblGrid>
      <w:tr w:rsidR="00D84719" w:rsidRPr="00D84719" w14:paraId="717B919D" w14:textId="77777777" w:rsidTr="00D84719">
        <w:trPr>
          <w:trHeight w:val="227"/>
          <w:tblHeader/>
          <w:jc w:val="center"/>
        </w:trPr>
        <w:tc>
          <w:tcPr>
            <w:tcW w:w="405" w:type="pct"/>
            <w:vMerge w:val="restart"/>
            <w:shd w:val="clear" w:color="auto" w:fill="D9D9D9"/>
            <w:noWrap/>
            <w:vAlign w:val="center"/>
            <w:hideMark/>
          </w:tcPr>
          <w:p w14:paraId="1B8BF695" w14:textId="77777777" w:rsidR="00D84719" w:rsidRPr="00D84719" w:rsidRDefault="00D84719" w:rsidP="00D84719">
            <w:pPr>
              <w:spacing w:after="0" w:line="240" w:lineRule="auto"/>
              <w:jc w:val="center"/>
              <w:rPr>
                <w:rFonts w:ascii="Times New Roman" w:eastAsia="Times New Roman" w:hAnsi="Times New Roman" w:cs="Times New Roman"/>
                <w:b/>
                <w:color w:val="000000"/>
                <w:sz w:val="20"/>
                <w:szCs w:val="20"/>
              </w:rPr>
            </w:pPr>
            <w:r w:rsidRPr="00D84719">
              <w:rPr>
                <w:rFonts w:ascii="Times New Roman" w:eastAsia="Times New Roman" w:hAnsi="Times New Roman" w:cs="Times New Roman"/>
                <w:b/>
                <w:color w:val="000000"/>
                <w:sz w:val="20"/>
                <w:szCs w:val="20"/>
              </w:rPr>
              <w:t>Br.</w:t>
            </w:r>
          </w:p>
        </w:tc>
        <w:tc>
          <w:tcPr>
            <w:tcW w:w="2115" w:type="pct"/>
            <w:vMerge w:val="restart"/>
            <w:shd w:val="clear" w:color="auto" w:fill="D9D9D9"/>
            <w:noWrap/>
            <w:vAlign w:val="center"/>
            <w:hideMark/>
          </w:tcPr>
          <w:p w14:paraId="637F7EEE" w14:textId="77777777" w:rsidR="00D84719" w:rsidRPr="00D84719" w:rsidRDefault="00D84719" w:rsidP="00D84719">
            <w:pPr>
              <w:spacing w:after="0" w:line="240" w:lineRule="auto"/>
              <w:jc w:val="center"/>
              <w:rPr>
                <w:rFonts w:ascii="Times New Roman" w:eastAsia="Times New Roman" w:hAnsi="Times New Roman" w:cs="Times New Roman"/>
                <w:b/>
                <w:color w:val="000000"/>
                <w:sz w:val="20"/>
                <w:szCs w:val="20"/>
              </w:rPr>
            </w:pPr>
            <w:r w:rsidRPr="00D84719">
              <w:rPr>
                <w:rFonts w:ascii="Times New Roman" w:eastAsia="Times New Roman" w:hAnsi="Times New Roman" w:cs="Times New Roman"/>
                <w:b/>
                <w:color w:val="000000"/>
                <w:sz w:val="20"/>
                <w:szCs w:val="20"/>
              </w:rPr>
              <w:t>Grupe izvora</w:t>
            </w:r>
          </w:p>
        </w:tc>
        <w:tc>
          <w:tcPr>
            <w:tcW w:w="2480" w:type="pct"/>
            <w:gridSpan w:val="5"/>
            <w:shd w:val="clear" w:color="auto" w:fill="D9D9D9"/>
            <w:noWrap/>
            <w:vAlign w:val="center"/>
            <w:hideMark/>
          </w:tcPr>
          <w:p w14:paraId="2D355145" w14:textId="77777777" w:rsidR="00D84719" w:rsidRPr="00D84719" w:rsidRDefault="00D84719" w:rsidP="00D84719">
            <w:pPr>
              <w:spacing w:after="0" w:line="240" w:lineRule="auto"/>
              <w:jc w:val="center"/>
              <w:rPr>
                <w:rFonts w:ascii="Times New Roman" w:eastAsia="Times New Roman" w:hAnsi="Times New Roman" w:cs="Times New Roman"/>
                <w:b/>
                <w:color w:val="000000"/>
                <w:sz w:val="20"/>
                <w:szCs w:val="20"/>
              </w:rPr>
            </w:pPr>
            <w:r w:rsidRPr="00D84719">
              <w:rPr>
                <w:rFonts w:ascii="Times New Roman" w:eastAsia="Times New Roman" w:hAnsi="Times New Roman" w:cs="Times New Roman"/>
                <w:b/>
                <w:color w:val="000000"/>
                <w:sz w:val="20"/>
                <w:szCs w:val="20"/>
              </w:rPr>
              <w:t>Godišnje ispuštanje (g TEQ godina</w:t>
            </w:r>
            <w:r w:rsidRPr="00D84719">
              <w:rPr>
                <w:rFonts w:ascii="Times New Roman" w:eastAsia="Times New Roman" w:hAnsi="Times New Roman" w:cs="Times New Roman"/>
                <w:b/>
                <w:color w:val="000000"/>
                <w:sz w:val="20"/>
                <w:szCs w:val="20"/>
                <w:vertAlign w:val="superscript"/>
              </w:rPr>
              <w:t>-1</w:t>
            </w:r>
            <w:r w:rsidRPr="00D84719">
              <w:rPr>
                <w:rFonts w:ascii="Times New Roman" w:eastAsia="Times New Roman" w:hAnsi="Times New Roman" w:cs="Times New Roman"/>
                <w:b/>
                <w:color w:val="000000"/>
                <w:sz w:val="20"/>
                <w:szCs w:val="20"/>
              </w:rPr>
              <w:t>)</w:t>
            </w:r>
          </w:p>
        </w:tc>
      </w:tr>
      <w:tr w:rsidR="00D84719" w:rsidRPr="00D84719" w14:paraId="72531CCB" w14:textId="77777777" w:rsidTr="00D84719">
        <w:trPr>
          <w:trHeight w:val="130"/>
          <w:tblHeader/>
          <w:jc w:val="center"/>
        </w:trPr>
        <w:tc>
          <w:tcPr>
            <w:tcW w:w="405" w:type="pct"/>
            <w:vMerge/>
            <w:shd w:val="clear" w:color="auto" w:fill="D9D9D9"/>
            <w:noWrap/>
            <w:vAlign w:val="center"/>
            <w:hideMark/>
          </w:tcPr>
          <w:p w14:paraId="2C8E342A" w14:textId="77777777" w:rsidR="00D84719" w:rsidRPr="00D84719" w:rsidRDefault="00D84719" w:rsidP="00D84719">
            <w:pPr>
              <w:spacing w:after="0" w:line="240" w:lineRule="auto"/>
              <w:jc w:val="center"/>
              <w:rPr>
                <w:rFonts w:ascii="Times New Roman" w:eastAsia="Times New Roman" w:hAnsi="Times New Roman" w:cs="Times New Roman"/>
                <w:b/>
                <w:color w:val="000000"/>
                <w:sz w:val="20"/>
                <w:szCs w:val="20"/>
              </w:rPr>
            </w:pPr>
          </w:p>
        </w:tc>
        <w:tc>
          <w:tcPr>
            <w:tcW w:w="2115" w:type="pct"/>
            <w:vMerge/>
            <w:shd w:val="clear" w:color="auto" w:fill="D9D9D9"/>
            <w:noWrap/>
            <w:vAlign w:val="center"/>
            <w:hideMark/>
          </w:tcPr>
          <w:p w14:paraId="6673FA1C" w14:textId="77777777" w:rsidR="00D84719" w:rsidRPr="00D84719" w:rsidRDefault="00D84719" w:rsidP="00D84719">
            <w:pPr>
              <w:spacing w:after="0" w:line="240" w:lineRule="auto"/>
              <w:jc w:val="center"/>
              <w:rPr>
                <w:rFonts w:ascii="Times New Roman" w:eastAsia="Times New Roman" w:hAnsi="Times New Roman" w:cs="Times New Roman"/>
                <w:b/>
                <w:color w:val="000000"/>
                <w:sz w:val="20"/>
                <w:szCs w:val="20"/>
              </w:rPr>
            </w:pPr>
          </w:p>
        </w:tc>
        <w:tc>
          <w:tcPr>
            <w:tcW w:w="465" w:type="pct"/>
            <w:shd w:val="clear" w:color="auto" w:fill="D9D9D9"/>
            <w:noWrap/>
            <w:vAlign w:val="center"/>
            <w:hideMark/>
          </w:tcPr>
          <w:p w14:paraId="0A4EEF9F" w14:textId="77777777" w:rsidR="00D84719" w:rsidRPr="00D84719" w:rsidRDefault="00D84719" w:rsidP="00D84719">
            <w:pPr>
              <w:spacing w:after="0" w:line="240" w:lineRule="auto"/>
              <w:jc w:val="center"/>
              <w:rPr>
                <w:rFonts w:ascii="Times New Roman" w:eastAsia="Times New Roman" w:hAnsi="Times New Roman" w:cs="Times New Roman"/>
                <w:b/>
                <w:color w:val="000000"/>
                <w:sz w:val="20"/>
                <w:szCs w:val="20"/>
              </w:rPr>
            </w:pPr>
            <w:r w:rsidRPr="00D84719">
              <w:rPr>
                <w:rFonts w:ascii="Times New Roman" w:eastAsia="Times New Roman" w:hAnsi="Times New Roman" w:cs="Times New Roman"/>
                <w:b/>
                <w:color w:val="000000"/>
                <w:sz w:val="20"/>
                <w:szCs w:val="20"/>
              </w:rPr>
              <w:t>Zrak</w:t>
            </w:r>
          </w:p>
        </w:tc>
        <w:tc>
          <w:tcPr>
            <w:tcW w:w="396" w:type="pct"/>
            <w:shd w:val="clear" w:color="auto" w:fill="D9D9D9"/>
            <w:noWrap/>
            <w:vAlign w:val="center"/>
            <w:hideMark/>
          </w:tcPr>
          <w:p w14:paraId="114B6C60" w14:textId="77777777" w:rsidR="00D84719" w:rsidRPr="00D84719" w:rsidRDefault="00D84719" w:rsidP="00D84719">
            <w:pPr>
              <w:spacing w:after="0" w:line="240" w:lineRule="auto"/>
              <w:jc w:val="center"/>
              <w:rPr>
                <w:rFonts w:ascii="Times New Roman" w:eastAsia="Times New Roman" w:hAnsi="Times New Roman" w:cs="Times New Roman"/>
                <w:b/>
                <w:color w:val="000000"/>
                <w:sz w:val="20"/>
                <w:szCs w:val="20"/>
              </w:rPr>
            </w:pPr>
            <w:r w:rsidRPr="00D84719">
              <w:rPr>
                <w:rFonts w:ascii="Times New Roman" w:eastAsia="Times New Roman" w:hAnsi="Times New Roman" w:cs="Times New Roman"/>
                <w:b/>
                <w:color w:val="000000"/>
                <w:sz w:val="20"/>
                <w:szCs w:val="20"/>
              </w:rPr>
              <w:t>Vode</w:t>
            </w:r>
          </w:p>
        </w:tc>
        <w:tc>
          <w:tcPr>
            <w:tcW w:w="447" w:type="pct"/>
            <w:shd w:val="clear" w:color="auto" w:fill="D9D9D9"/>
            <w:noWrap/>
            <w:vAlign w:val="center"/>
            <w:hideMark/>
          </w:tcPr>
          <w:p w14:paraId="1589488A" w14:textId="77777777" w:rsidR="00D84719" w:rsidRPr="00D84719" w:rsidRDefault="00D84719" w:rsidP="00D84719">
            <w:pPr>
              <w:spacing w:after="0" w:line="240" w:lineRule="auto"/>
              <w:jc w:val="center"/>
              <w:rPr>
                <w:rFonts w:ascii="Times New Roman" w:eastAsia="Times New Roman" w:hAnsi="Times New Roman" w:cs="Times New Roman"/>
                <w:b/>
                <w:color w:val="000000"/>
                <w:sz w:val="20"/>
                <w:szCs w:val="20"/>
              </w:rPr>
            </w:pPr>
            <w:r w:rsidRPr="00D84719">
              <w:rPr>
                <w:rFonts w:ascii="Times New Roman" w:eastAsia="Times New Roman" w:hAnsi="Times New Roman" w:cs="Times New Roman"/>
                <w:b/>
                <w:color w:val="000000"/>
                <w:sz w:val="20"/>
                <w:szCs w:val="20"/>
              </w:rPr>
              <w:t>Tlo</w:t>
            </w:r>
          </w:p>
        </w:tc>
        <w:tc>
          <w:tcPr>
            <w:tcW w:w="617" w:type="pct"/>
            <w:shd w:val="clear" w:color="auto" w:fill="D9D9D9"/>
            <w:noWrap/>
            <w:vAlign w:val="center"/>
            <w:hideMark/>
          </w:tcPr>
          <w:p w14:paraId="4EB0894F" w14:textId="77777777" w:rsidR="00D84719" w:rsidRPr="00D84719" w:rsidRDefault="00D84719" w:rsidP="00D84719">
            <w:pPr>
              <w:spacing w:after="0" w:line="240" w:lineRule="auto"/>
              <w:jc w:val="center"/>
              <w:rPr>
                <w:rFonts w:ascii="Times New Roman" w:eastAsia="Times New Roman" w:hAnsi="Times New Roman" w:cs="Times New Roman"/>
                <w:b/>
                <w:color w:val="000000"/>
                <w:sz w:val="20"/>
                <w:szCs w:val="20"/>
              </w:rPr>
            </w:pPr>
            <w:r w:rsidRPr="00D84719">
              <w:rPr>
                <w:rFonts w:ascii="Times New Roman" w:eastAsia="Times New Roman" w:hAnsi="Times New Roman" w:cs="Times New Roman"/>
                <w:b/>
                <w:color w:val="000000"/>
                <w:sz w:val="20"/>
                <w:szCs w:val="20"/>
              </w:rPr>
              <w:t>Proizvodi</w:t>
            </w:r>
          </w:p>
        </w:tc>
        <w:tc>
          <w:tcPr>
            <w:tcW w:w="555" w:type="pct"/>
            <w:shd w:val="clear" w:color="auto" w:fill="D9D9D9"/>
            <w:noWrap/>
            <w:vAlign w:val="center"/>
            <w:hideMark/>
          </w:tcPr>
          <w:p w14:paraId="659077DC" w14:textId="77777777" w:rsidR="00D84719" w:rsidRPr="00D84719" w:rsidRDefault="00D84719" w:rsidP="00D84719">
            <w:pPr>
              <w:spacing w:after="0" w:line="240" w:lineRule="auto"/>
              <w:jc w:val="center"/>
              <w:rPr>
                <w:rFonts w:ascii="Times New Roman" w:eastAsia="Times New Roman" w:hAnsi="Times New Roman" w:cs="Times New Roman"/>
                <w:b/>
                <w:color w:val="000000"/>
                <w:sz w:val="20"/>
                <w:szCs w:val="20"/>
              </w:rPr>
            </w:pPr>
            <w:r w:rsidRPr="00D84719">
              <w:rPr>
                <w:rFonts w:ascii="Times New Roman" w:eastAsia="Times New Roman" w:hAnsi="Times New Roman" w:cs="Times New Roman"/>
                <w:b/>
                <w:color w:val="000000"/>
                <w:sz w:val="20"/>
                <w:szCs w:val="20"/>
              </w:rPr>
              <w:t>Ostatak</w:t>
            </w:r>
          </w:p>
        </w:tc>
      </w:tr>
      <w:tr w:rsidR="00D84719" w:rsidRPr="00D84719" w14:paraId="20848613" w14:textId="77777777" w:rsidTr="00D84719">
        <w:trPr>
          <w:trHeight w:val="60"/>
          <w:jc w:val="center"/>
        </w:trPr>
        <w:tc>
          <w:tcPr>
            <w:tcW w:w="405" w:type="pct"/>
            <w:shd w:val="clear" w:color="auto" w:fill="auto"/>
            <w:noWrap/>
            <w:vAlign w:val="center"/>
            <w:hideMark/>
          </w:tcPr>
          <w:p w14:paraId="79848AD5"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1.</w:t>
            </w:r>
          </w:p>
        </w:tc>
        <w:tc>
          <w:tcPr>
            <w:tcW w:w="2115" w:type="pct"/>
            <w:shd w:val="clear" w:color="auto" w:fill="auto"/>
            <w:noWrap/>
            <w:vAlign w:val="center"/>
            <w:hideMark/>
          </w:tcPr>
          <w:p w14:paraId="6CCF0D94" w14:textId="77777777" w:rsidR="00D84719" w:rsidRPr="00D84719" w:rsidRDefault="00D84719" w:rsidP="00D84719">
            <w:pPr>
              <w:spacing w:after="0" w:line="240" w:lineRule="auto"/>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Spalionice</w:t>
            </w:r>
          </w:p>
        </w:tc>
        <w:tc>
          <w:tcPr>
            <w:tcW w:w="465" w:type="pct"/>
            <w:shd w:val="clear" w:color="auto" w:fill="auto"/>
            <w:noWrap/>
            <w:vAlign w:val="center"/>
            <w:hideMark/>
          </w:tcPr>
          <w:p w14:paraId="5E48DEE0"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0,025</w:t>
            </w:r>
          </w:p>
        </w:tc>
        <w:tc>
          <w:tcPr>
            <w:tcW w:w="396" w:type="pct"/>
            <w:shd w:val="clear" w:color="auto" w:fill="auto"/>
            <w:noWrap/>
            <w:vAlign w:val="center"/>
            <w:hideMark/>
          </w:tcPr>
          <w:p w14:paraId="2C9B17CF"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0,000</w:t>
            </w:r>
          </w:p>
        </w:tc>
        <w:tc>
          <w:tcPr>
            <w:tcW w:w="447" w:type="pct"/>
            <w:shd w:val="clear" w:color="auto" w:fill="auto"/>
            <w:noWrap/>
            <w:vAlign w:val="center"/>
            <w:hideMark/>
          </w:tcPr>
          <w:p w14:paraId="54ED3145"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0,000</w:t>
            </w:r>
          </w:p>
        </w:tc>
        <w:tc>
          <w:tcPr>
            <w:tcW w:w="617" w:type="pct"/>
            <w:shd w:val="clear" w:color="auto" w:fill="auto"/>
            <w:noWrap/>
            <w:vAlign w:val="center"/>
            <w:hideMark/>
          </w:tcPr>
          <w:p w14:paraId="2A881270"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0,000</w:t>
            </w:r>
          </w:p>
        </w:tc>
        <w:tc>
          <w:tcPr>
            <w:tcW w:w="555" w:type="pct"/>
            <w:shd w:val="clear" w:color="auto" w:fill="auto"/>
            <w:noWrap/>
            <w:vAlign w:val="center"/>
            <w:hideMark/>
          </w:tcPr>
          <w:p w14:paraId="41381B85"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0,044</w:t>
            </w:r>
          </w:p>
        </w:tc>
      </w:tr>
      <w:tr w:rsidR="00D84719" w:rsidRPr="00D84719" w14:paraId="7322EAAC" w14:textId="77777777" w:rsidTr="00D84719">
        <w:trPr>
          <w:trHeight w:val="66"/>
          <w:jc w:val="center"/>
        </w:trPr>
        <w:tc>
          <w:tcPr>
            <w:tcW w:w="405" w:type="pct"/>
            <w:shd w:val="clear" w:color="auto" w:fill="auto"/>
            <w:noWrap/>
            <w:vAlign w:val="center"/>
            <w:hideMark/>
          </w:tcPr>
          <w:p w14:paraId="171848B1"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2.</w:t>
            </w:r>
          </w:p>
        </w:tc>
        <w:tc>
          <w:tcPr>
            <w:tcW w:w="2115" w:type="pct"/>
            <w:shd w:val="clear" w:color="auto" w:fill="auto"/>
            <w:noWrap/>
            <w:vAlign w:val="center"/>
            <w:hideMark/>
          </w:tcPr>
          <w:p w14:paraId="19A97436" w14:textId="77777777" w:rsidR="00D84719" w:rsidRPr="00D84719" w:rsidRDefault="00D84719" w:rsidP="00D84719">
            <w:pPr>
              <w:spacing w:after="0" w:line="240" w:lineRule="auto"/>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 xml:space="preserve">Željezo i obojeni metali </w:t>
            </w:r>
          </w:p>
        </w:tc>
        <w:tc>
          <w:tcPr>
            <w:tcW w:w="465" w:type="pct"/>
            <w:shd w:val="clear" w:color="auto" w:fill="auto"/>
            <w:noWrap/>
            <w:vAlign w:val="center"/>
            <w:hideMark/>
          </w:tcPr>
          <w:p w14:paraId="14DC0127"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0,051</w:t>
            </w:r>
          </w:p>
        </w:tc>
        <w:tc>
          <w:tcPr>
            <w:tcW w:w="396" w:type="pct"/>
            <w:shd w:val="clear" w:color="auto" w:fill="auto"/>
            <w:noWrap/>
            <w:vAlign w:val="center"/>
            <w:hideMark/>
          </w:tcPr>
          <w:p w14:paraId="5724FE39"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0,000</w:t>
            </w:r>
          </w:p>
        </w:tc>
        <w:tc>
          <w:tcPr>
            <w:tcW w:w="447" w:type="pct"/>
            <w:shd w:val="clear" w:color="auto" w:fill="auto"/>
            <w:noWrap/>
            <w:vAlign w:val="center"/>
            <w:hideMark/>
          </w:tcPr>
          <w:p w14:paraId="4139AE5E"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0,000</w:t>
            </w:r>
          </w:p>
        </w:tc>
        <w:tc>
          <w:tcPr>
            <w:tcW w:w="617" w:type="pct"/>
            <w:shd w:val="clear" w:color="auto" w:fill="auto"/>
            <w:noWrap/>
            <w:vAlign w:val="center"/>
            <w:hideMark/>
          </w:tcPr>
          <w:p w14:paraId="5CE327EF"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0,000</w:t>
            </w:r>
          </w:p>
        </w:tc>
        <w:tc>
          <w:tcPr>
            <w:tcW w:w="555" w:type="pct"/>
            <w:shd w:val="clear" w:color="auto" w:fill="auto"/>
            <w:noWrap/>
            <w:vAlign w:val="center"/>
            <w:hideMark/>
          </w:tcPr>
          <w:p w14:paraId="117FE939"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0,334</w:t>
            </w:r>
          </w:p>
        </w:tc>
      </w:tr>
      <w:tr w:rsidR="00D84719" w:rsidRPr="00D84719" w14:paraId="7E29B81B" w14:textId="77777777" w:rsidTr="00D84719">
        <w:trPr>
          <w:trHeight w:val="112"/>
          <w:jc w:val="center"/>
        </w:trPr>
        <w:tc>
          <w:tcPr>
            <w:tcW w:w="405" w:type="pct"/>
            <w:shd w:val="clear" w:color="auto" w:fill="auto"/>
            <w:noWrap/>
            <w:vAlign w:val="center"/>
            <w:hideMark/>
          </w:tcPr>
          <w:p w14:paraId="1D91C6D1"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3.</w:t>
            </w:r>
          </w:p>
        </w:tc>
        <w:tc>
          <w:tcPr>
            <w:tcW w:w="2115" w:type="pct"/>
            <w:shd w:val="clear" w:color="auto" w:fill="auto"/>
            <w:noWrap/>
            <w:vAlign w:val="center"/>
            <w:hideMark/>
          </w:tcPr>
          <w:p w14:paraId="7C84FCFD" w14:textId="77777777" w:rsidR="00D84719" w:rsidRPr="00D84719" w:rsidRDefault="00D84719" w:rsidP="00D84719">
            <w:pPr>
              <w:spacing w:after="0" w:line="240" w:lineRule="auto"/>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Proizvodnja energije i topline</w:t>
            </w:r>
          </w:p>
        </w:tc>
        <w:tc>
          <w:tcPr>
            <w:tcW w:w="465" w:type="pct"/>
            <w:shd w:val="clear" w:color="auto" w:fill="auto"/>
            <w:noWrap/>
            <w:vAlign w:val="center"/>
            <w:hideMark/>
          </w:tcPr>
          <w:p w14:paraId="14EA778A"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20,054</w:t>
            </w:r>
          </w:p>
        </w:tc>
        <w:tc>
          <w:tcPr>
            <w:tcW w:w="396" w:type="pct"/>
            <w:shd w:val="clear" w:color="auto" w:fill="auto"/>
            <w:noWrap/>
            <w:vAlign w:val="center"/>
            <w:hideMark/>
          </w:tcPr>
          <w:p w14:paraId="01F8A5E7"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0,000</w:t>
            </w:r>
          </w:p>
        </w:tc>
        <w:tc>
          <w:tcPr>
            <w:tcW w:w="447" w:type="pct"/>
            <w:shd w:val="clear" w:color="auto" w:fill="auto"/>
            <w:noWrap/>
            <w:vAlign w:val="center"/>
            <w:hideMark/>
          </w:tcPr>
          <w:p w14:paraId="3B014E4F"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0,000</w:t>
            </w:r>
          </w:p>
        </w:tc>
        <w:tc>
          <w:tcPr>
            <w:tcW w:w="617" w:type="pct"/>
            <w:shd w:val="clear" w:color="auto" w:fill="auto"/>
            <w:noWrap/>
            <w:vAlign w:val="center"/>
            <w:hideMark/>
          </w:tcPr>
          <w:p w14:paraId="3C25F9CE"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0,000</w:t>
            </w:r>
          </w:p>
        </w:tc>
        <w:tc>
          <w:tcPr>
            <w:tcW w:w="555" w:type="pct"/>
            <w:shd w:val="clear" w:color="auto" w:fill="auto"/>
            <w:noWrap/>
            <w:vAlign w:val="center"/>
            <w:hideMark/>
          </w:tcPr>
          <w:p w14:paraId="17ED1ACC"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0,392</w:t>
            </w:r>
          </w:p>
        </w:tc>
      </w:tr>
      <w:tr w:rsidR="00D84719" w:rsidRPr="00D84719" w14:paraId="1BF2D281" w14:textId="77777777" w:rsidTr="00D84719">
        <w:trPr>
          <w:trHeight w:val="159"/>
          <w:jc w:val="center"/>
        </w:trPr>
        <w:tc>
          <w:tcPr>
            <w:tcW w:w="405" w:type="pct"/>
            <w:shd w:val="clear" w:color="auto" w:fill="auto"/>
            <w:noWrap/>
            <w:vAlign w:val="center"/>
            <w:hideMark/>
          </w:tcPr>
          <w:p w14:paraId="2188E643"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4.</w:t>
            </w:r>
          </w:p>
        </w:tc>
        <w:tc>
          <w:tcPr>
            <w:tcW w:w="2115" w:type="pct"/>
            <w:shd w:val="clear" w:color="auto" w:fill="auto"/>
            <w:noWrap/>
            <w:vAlign w:val="center"/>
            <w:hideMark/>
          </w:tcPr>
          <w:p w14:paraId="1BF654F6" w14:textId="77777777" w:rsidR="00D84719" w:rsidRPr="00D84719" w:rsidRDefault="00D84719" w:rsidP="00D84719">
            <w:pPr>
              <w:spacing w:after="0" w:line="240" w:lineRule="auto"/>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Proizvodnja minerala</w:t>
            </w:r>
          </w:p>
        </w:tc>
        <w:tc>
          <w:tcPr>
            <w:tcW w:w="465" w:type="pct"/>
            <w:shd w:val="clear" w:color="auto" w:fill="auto"/>
            <w:noWrap/>
            <w:vAlign w:val="center"/>
            <w:hideMark/>
          </w:tcPr>
          <w:p w14:paraId="542612D2"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0,151</w:t>
            </w:r>
          </w:p>
        </w:tc>
        <w:tc>
          <w:tcPr>
            <w:tcW w:w="396" w:type="pct"/>
            <w:shd w:val="clear" w:color="auto" w:fill="auto"/>
            <w:noWrap/>
            <w:vAlign w:val="center"/>
            <w:hideMark/>
          </w:tcPr>
          <w:p w14:paraId="53ACD7A2"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0,000</w:t>
            </w:r>
          </w:p>
        </w:tc>
        <w:tc>
          <w:tcPr>
            <w:tcW w:w="447" w:type="pct"/>
            <w:shd w:val="clear" w:color="auto" w:fill="auto"/>
            <w:noWrap/>
            <w:vAlign w:val="center"/>
            <w:hideMark/>
          </w:tcPr>
          <w:p w14:paraId="28D9376C"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0,000</w:t>
            </w:r>
          </w:p>
        </w:tc>
        <w:tc>
          <w:tcPr>
            <w:tcW w:w="617" w:type="pct"/>
            <w:shd w:val="clear" w:color="auto" w:fill="auto"/>
            <w:noWrap/>
            <w:vAlign w:val="center"/>
            <w:hideMark/>
          </w:tcPr>
          <w:p w14:paraId="302FEE58"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0,009</w:t>
            </w:r>
          </w:p>
        </w:tc>
        <w:tc>
          <w:tcPr>
            <w:tcW w:w="555" w:type="pct"/>
            <w:shd w:val="clear" w:color="auto" w:fill="auto"/>
            <w:noWrap/>
            <w:vAlign w:val="center"/>
            <w:hideMark/>
          </w:tcPr>
          <w:p w14:paraId="39D78414"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0,043</w:t>
            </w:r>
          </w:p>
        </w:tc>
      </w:tr>
      <w:tr w:rsidR="00D84719" w:rsidRPr="00D84719" w14:paraId="4C502BD9" w14:textId="77777777" w:rsidTr="00D84719">
        <w:trPr>
          <w:trHeight w:val="204"/>
          <w:jc w:val="center"/>
        </w:trPr>
        <w:tc>
          <w:tcPr>
            <w:tcW w:w="405" w:type="pct"/>
            <w:shd w:val="clear" w:color="auto" w:fill="auto"/>
            <w:noWrap/>
            <w:vAlign w:val="center"/>
            <w:hideMark/>
          </w:tcPr>
          <w:p w14:paraId="4D824D2B"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5.</w:t>
            </w:r>
          </w:p>
        </w:tc>
        <w:tc>
          <w:tcPr>
            <w:tcW w:w="2115" w:type="pct"/>
            <w:shd w:val="clear" w:color="auto" w:fill="auto"/>
            <w:noWrap/>
            <w:vAlign w:val="center"/>
            <w:hideMark/>
          </w:tcPr>
          <w:p w14:paraId="1AD74E34" w14:textId="77777777" w:rsidR="00D84719" w:rsidRPr="00D84719" w:rsidRDefault="00D84719" w:rsidP="00D84719">
            <w:pPr>
              <w:spacing w:after="0" w:line="240" w:lineRule="auto"/>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Promet</w:t>
            </w:r>
          </w:p>
        </w:tc>
        <w:tc>
          <w:tcPr>
            <w:tcW w:w="465" w:type="pct"/>
            <w:shd w:val="clear" w:color="auto" w:fill="auto"/>
            <w:noWrap/>
            <w:vAlign w:val="center"/>
            <w:hideMark/>
          </w:tcPr>
          <w:p w14:paraId="50DFE3BA"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0,222</w:t>
            </w:r>
          </w:p>
        </w:tc>
        <w:tc>
          <w:tcPr>
            <w:tcW w:w="396" w:type="pct"/>
            <w:shd w:val="clear" w:color="auto" w:fill="auto"/>
            <w:noWrap/>
            <w:vAlign w:val="center"/>
            <w:hideMark/>
          </w:tcPr>
          <w:p w14:paraId="3830314F"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0,000</w:t>
            </w:r>
          </w:p>
        </w:tc>
        <w:tc>
          <w:tcPr>
            <w:tcW w:w="447" w:type="pct"/>
            <w:shd w:val="clear" w:color="auto" w:fill="auto"/>
            <w:noWrap/>
            <w:vAlign w:val="center"/>
            <w:hideMark/>
          </w:tcPr>
          <w:p w14:paraId="2BE07C44"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0,000</w:t>
            </w:r>
          </w:p>
        </w:tc>
        <w:tc>
          <w:tcPr>
            <w:tcW w:w="617" w:type="pct"/>
            <w:shd w:val="clear" w:color="auto" w:fill="auto"/>
            <w:noWrap/>
            <w:vAlign w:val="center"/>
            <w:hideMark/>
          </w:tcPr>
          <w:p w14:paraId="5E0C0B00"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0,000</w:t>
            </w:r>
          </w:p>
        </w:tc>
        <w:tc>
          <w:tcPr>
            <w:tcW w:w="555" w:type="pct"/>
            <w:shd w:val="clear" w:color="auto" w:fill="auto"/>
            <w:noWrap/>
            <w:vAlign w:val="center"/>
            <w:hideMark/>
          </w:tcPr>
          <w:p w14:paraId="0F0EF816"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0,000</w:t>
            </w:r>
          </w:p>
        </w:tc>
      </w:tr>
      <w:tr w:rsidR="00D84719" w:rsidRPr="00D84719" w14:paraId="13A2EFE8" w14:textId="77777777" w:rsidTr="00D84719">
        <w:trPr>
          <w:trHeight w:val="109"/>
          <w:jc w:val="center"/>
        </w:trPr>
        <w:tc>
          <w:tcPr>
            <w:tcW w:w="405" w:type="pct"/>
            <w:shd w:val="clear" w:color="auto" w:fill="auto"/>
            <w:noWrap/>
            <w:vAlign w:val="center"/>
            <w:hideMark/>
          </w:tcPr>
          <w:p w14:paraId="3AAF0517"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6.</w:t>
            </w:r>
          </w:p>
        </w:tc>
        <w:tc>
          <w:tcPr>
            <w:tcW w:w="2115" w:type="pct"/>
            <w:shd w:val="clear" w:color="auto" w:fill="auto"/>
            <w:noWrap/>
            <w:vAlign w:val="center"/>
            <w:hideMark/>
          </w:tcPr>
          <w:p w14:paraId="6763145A" w14:textId="77777777" w:rsidR="00D84719" w:rsidRPr="00D84719" w:rsidRDefault="00D84719" w:rsidP="00D84719">
            <w:pPr>
              <w:spacing w:after="0" w:line="240" w:lineRule="auto"/>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Procesi gorenja na otvorenom</w:t>
            </w:r>
          </w:p>
        </w:tc>
        <w:tc>
          <w:tcPr>
            <w:tcW w:w="465" w:type="pct"/>
            <w:shd w:val="clear" w:color="auto" w:fill="auto"/>
            <w:noWrap/>
            <w:vAlign w:val="center"/>
            <w:hideMark/>
          </w:tcPr>
          <w:p w14:paraId="5F10A818"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0,020</w:t>
            </w:r>
          </w:p>
        </w:tc>
        <w:tc>
          <w:tcPr>
            <w:tcW w:w="396" w:type="pct"/>
            <w:shd w:val="clear" w:color="auto" w:fill="auto"/>
            <w:noWrap/>
            <w:vAlign w:val="center"/>
            <w:hideMark/>
          </w:tcPr>
          <w:p w14:paraId="1D0D9409"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0,000</w:t>
            </w:r>
          </w:p>
        </w:tc>
        <w:tc>
          <w:tcPr>
            <w:tcW w:w="447" w:type="pct"/>
            <w:shd w:val="clear" w:color="auto" w:fill="auto"/>
            <w:noWrap/>
            <w:vAlign w:val="center"/>
            <w:hideMark/>
          </w:tcPr>
          <w:p w14:paraId="2CF4E5A7"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0,003</w:t>
            </w:r>
          </w:p>
        </w:tc>
        <w:tc>
          <w:tcPr>
            <w:tcW w:w="617" w:type="pct"/>
            <w:shd w:val="clear" w:color="auto" w:fill="auto"/>
            <w:noWrap/>
            <w:vAlign w:val="center"/>
            <w:hideMark/>
          </w:tcPr>
          <w:p w14:paraId="4A1AFCFA"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0,000</w:t>
            </w:r>
          </w:p>
        </w:tc>
        <w:tc>
          <w:tcPr>
            <w:tcW w:w="555" w:type="pct"/>
            <w:shd w:val="clear" w:color="auto" w:fill="auto"/>
            <w:noWrap/>
            <w:vAlign w:val="center"/>
            <w:hideMark/>
          </w:tcPr>
          <w:p w14:paraId="0867DD56"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0,000</w:t>
            </w:r>
          </w:p>
        </w:tc>
      </w:tr>
      <w:tr w:rsidR="00D84719" w:rsidRPr="00D84719" w14:paraId="1A029E20" w14:textId="77777777" w:rsidTr="00D84719">
        <w:trPr>
          <w:trHeight w:val="300"/>
          <w:jc w:val="center"/>
        </w:trPr>
        <w:tc>
          <w:tcPr>
            <w:tcW w:w="405" w:type="pct"/>
            <w:shd w:val="clear" w:color="auto" w:fill="auto"/>
            <w:noWrap/>
            <w:vAlign w:val="center"/>
            <w:hideMark/>
          </w:tcPr>
          <w:p w14:paraId="6CDA4B94"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7.</w:t>
            </w:r>
          </w:p>
        </w:tc>
        <w:tc>
          <w:tcPr>
            <w:tcW w:w="2115" w:type="pct"/>
            <w:shd w:val="clear" w:color="auto" w:fill="auto"/>
            <w:noWrap/>
            <w:vAlign w:val="center"/>
            <w:hideMark/>
          </w:tcPr>
          <w:p w14:paraId="0D9264BB" w14:textId="77777777" w:rsidR="00D84719" w:rsidRPr="00D84719" w:rsidRDefault="00D84719" w:rsidP="00D84719">
            <w:pPr>
              <w:spacing w:after="0" w:line="240" w:lineRule="auto"/>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 xml:space="preserve">Proizvodnja kemikalija i potrošačkih roba </w:t>
            </w:r>
          </w:p>
        </w:tc>
        <w:tc>
          <w:tcPr>
            <w:tcW w:w="465" w:type="pct"/>
            <w:shd w:val="clear" w:color="auto" w:fill="auto"/>
            <w:noWrap/>
            <w:vAlign w:val="center"/>
            <w:hideMark/>
          </w:tcPr>
          <w:p w14:paraId="442F0611"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0,000</w:t>
            </w:r>
          </w:p>
        </w:tc>
        <w:tc>
          <w:tcPr>
            <w:tcW w:w="396" w:type="pct"/>
            <w:shd w:val="clear" w:color="auto" w:fill="auto"/>
            <w:noWrap/>
            <w:vAlign w:val="center"/>
            <w:hideMark/>
          </w:tcPr>
          <w:p w14:paraId="5B08937D"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0,000</w:t>
            </w:r>
          </w:p>
        </w:tc>
        <w:tc>
          <w:tcPr>
            <w:tcW w:w="447" w:type="pct"/>
            <w:shd w:val="clear" w:color="auto" w:fill="auto"/>
            <w:noWrap/>
            <w:vAlign w:val="center"/>
            <w:hideMark/>
          </w:tcPr>
          <w:p w14:paraId="730F1007"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0,000</w:t>
            </w:r>
          </w:p>
        </w:tc>
        <w:tc>
          <w:tcPr>
            <w:tcW w:w="617" w:type="pct"/>
            <w:shd w:val="clear" w:color="auto" w:fill="auto"/>
            <w:noWrap/>
            <w:vAlign w:val="center"/>
            <w:hideMark/>
          </w:tcPr>
          <w:p w14:paraId="23E6D2C8"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0,663</w:t>
            </w:r>
          </w:p>
        </w:tc>
        <w:tc>
          <w:tcPr>
            <w:tcW w:w="555" w:type="pct"/>
            <w:shd w:val="clear" w:color="auto" w:fill="auto"/>
            <w:noWrap/>
            <w:vAlign w:val="center"/>
            <w:hideMark/>
          </w:tcPr>
          <w:p w14:paraId="69310E68"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0,000</w:t>
            </w:r>
          </w:p>
        </w:tc>
      </w:tr>
      <w:tr w:rsidR="00D84719" w:rsidRPr="00D84719" w14:paraId="3E4F7D50" w14:textId="77777777" w:rsidTr="00D84719">
        <w:trPr>
          <w:trHeight w:val="105"/>
          <w:jc w:val="center"/>
        </w:trPr>
        <w:tc>
          <w:tcPr>
            <w:tcW w:w="405" w:type="pct"/>
            <w:shd w:val="clear" w:color="auto" w:fill="auto"/>
            <w:noWrap/>
            <w:vAlign w:val="center"/>
            <w:hideMark/>
          </w:tcPr>
          <w:p w14:paraId="7178EC24"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8.</w:t>
            </w:r>
          </w:p>
        </w:tc>
        <w:tc>
          <w:tcPr>
            <w:tcW w:w="2115" w:type="pct"/>
            <w:shd w:val="clear" w:color="auto" w:fill="auto"/>
            <w:noWrap/>
            <w:vAlign w:val="center"/>
            <w:hideMark/>
          </w:tcPr>
          <w:p w14:paraId="47081BF6" w14:textId="77777777" w:rsidR="00D84719" w:rsidRPr="00D84719" w:rsidRDefault="00D84719" w:rsidP="00D84719">
            <w:pPr>
              <w:spacing w:after="0" w:line="240" w:lineRule="auto"/>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Razno</w:t>
            </w:r>
          </w:p>
        </w:tc>
        <w:tc>
          <w:tcPr>
            <w:tcW w:w="465" w:type="pct"/>
            <w:shd w:val="clear" w:color="auto" w:fill="auto"/>
            <w:noWrap/>
            <w:vAlign w:val="center"/>
            <w:hideMark/>
          </w:tcPr>
          <w:p w14:paraId="1D258203"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0,003</w:t>
            </w:r>
          </w:p>
        </w:tc>
        <w:tc>
          <w:tcPr>
            <w:tcW w:w="396" w:type="pct"/>
            <w:shd w:val="clear" w:color="auto" w:fill="auto"/>
            <w:noWrap/>
            <w:vAlign w:val="center"/>
            <w:hideMark/>
          </w:tcPr>
          <w:p w14:paraId="42F9782B"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0,000</w:t>
            </w:r>
          </w:p>
        </w:tc>
        <w:tc>
          <w:tcPr>
            <w:tcW w:w="447" w:type="pct"/>
            <w:shd w:val="clear" w:color="auto" w:fill="auto"/>
            <w:noWrap/>
            <w:vAlign w:val="center"/>
            <w:hideMark/>
          </w:tcPr>
          <w:p w14:paraId="7783E39B"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0,000</w:t>
            </w:r>
          </w:p>
        </w:tc>
        <w:tc>
          <w:tcPr>
            <w:tcW w:w="617" w:type="pct"/>
            <w:shd w:val="clear" w:color="auto" w:fill="auto"/>
            <w:noWrap/>
            <w:vAlign w:val="center"/>
            <w:hideMark/>
          </w:tcPr>
          <w:p w14:paraId="19BFB748"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0,000</w:t>
            </w:r>
          </w:p>
        </w:tc>
        <w:tc>
          <w:tcPr>
            <w:tcW w:w="555" w:type="pct"/>
            <w:shd w:val="clear" w:color="auto" w:fill="auto"/>
            <w:noWrap/>
            <w:vAlign w:val="center"/>
            <w:hideMark/>
          </w:tcPr>
          <w:p w14:paraId="6AE7164D"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0,012</w:t>
            </w:r>
          </w:p>
        </w:tc>
      </w:tr>
      <w:tr w:rsidR="00D84719" w:rsidRPr="00D84719" w14:paraId="53BF4920" w14:textId="77777777" w:rsidTr="00D84719">
        <w:trPr>
          <w:trHeight w:val="150"/>
          <w:jc w:val="center"/>
        </w:trPr>
        <w:tc>
          <w:tcPr>
            <w:tcW w:w="405" w:type="pct"/>
            <w:shd w:val="clear" w:color="auto" w:fill="auto"/>
            <w:noWrap/>
            <w:vAlign w:val="center"/>
            <w:hideMark/>
          </w:tcPr>
          <w:p w14:paraId="0A872AED"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9.</w:t>
            </w:r>
          </w:p>
        </w:tc>
        <w:tc>
          <w:tcPr>
            <w:tcW w:w="2115" w:type="pct"/>
            <w:shd w:val="clear" w:color="auto" w:fill="auto"/>
            <w:noWrap/>
            <w:vAlign w:val="center"/>
            <w:hideMark/>
          </w:tcPr>
          <w:p w14:paraId="7E8676CC" w14:textId="77777777" w:rsidR="00D84719" w:rsidRPr="00D84719" w:rsidRDefault="00D84719" w:rsidP="00D84719">
            <w:pPr>
              <w:spacing w:after="0" w:line="240" w:lineRule="auto"/>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Odlaganje otpada</w:t>
            </w:r>
          </w:p>
        </w:tc>
        <w:tc>
          <w:tcPr>
            <w:tcW w:w="465" w:type="pct"/>
            <w:shd w:val="clear" w:color="auto" w:fill="auto"/>
            <w:noWrap/>
            <w:vAlign w:val="center"/>
            <w:hideMark/>
          </w:tcPr>
          <w:p w14:paraId="078872DD"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0,000</w:t>
            </w:r>
          </w:p>
        </w:tc>
        <w:tc>
          <w:tcPr>
            <w:tcW w:w="396" w:type="pct"/>
            <w:shd w:val="clear" w:color="auto" w:fill="auto"/>
            <w:noWrap/>
            <w:vAlign w:val="center"/>
            <w:hideMark/>
          </w:tcPr>
          <w:p w14:paraId="18AB3A6A"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0,373</w:t>
            </w:r>
          </w:p>
        </w:tc>
        <w:tc>
          <w:tcPr>
            <w:tcW w:w="447" w:type="pct"/>
            <w:shd w:val="clear" w:color="auto" w:fill="auto"/>
            <w:noWrap/>
            <w:vAlign w:val="center"/>
            <w:hideMark/>
          </w:tcPr>
          <w:p w14:paraId="7BECBBD6"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0,000</w:t>
            </w:r>
          </w:p>
        </w:tc>
        <w:tc>
          <w:tcPr>
            <w:tcW w:w="617" w:type="pct"/>
            <w:shd w:val="clear" w:color="auto" w:fill="auto"/>
            <w:noWrap/>
            <w:vAlign w:val="center"/>
            <w:hideMark/>
          </w:tcPr>
          <w:p w14:paraId="43EEFDF3"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0,109</w:t>
            </w:r>
          </w:p>
        </w:tc>
        <w:tc>
          <w:tcPr>
            <w:tcW w:w="555" w:type="pct"/>
            <w:shd w:val="clear" w:color="auto" w:fill="auto"/>
            <w:noWrap/>
            <w:vAlign w:val="center"/>
            <w:hideMark/>
          </w:tcPr>
          <w:p w14:paraId="42911AD6"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7,066</w:t>
            </w:r>
          </w:p>
        </w:tc>
      </w:tr>
      <w:tr w:rsidR="00D84719" w:rsidRPr="00D84719" w14:paraId="1A7B9479" w14:textId="77777777" w:rsidTr="00D84719">
        <w:trPr>
          <w:trHeight w:val="183"/>
          <w:jc w:val="center"/>
        </w:trPr>
        <w:tc>
          <w:tcPr>
            <w:tcW w:w="405" w:type="pct"/>
            <w:shd w:val="clear" w:color="auto" w:fill="auto"/>
            <w:noWrap/>
            <w:vAlign w:val="center"/>
            <w:hideMark/>
          </w:tcPr>
          <w:p w14:paraId="6C65321B"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10.</w:t>
            </w:r>
          </w:p>
        </w:tc>
        <w:tc>
          <w:tcPr>
            <w:tcW w:w="2115" w:type="pct"/>
            <w:shd w:val="clear" w:color="auto" w:fill="auto"/>
            <w:noWrap/>
            <w:vAlign w:val="center"/>
            <w:hideMark/>
          </w:tcPr>
          <w:p w14:paraId="01401BB7" w14:textId="77777777" w:rsidR="00D84719" w:rsidRPr="00D84719" w:rsidRDefault="00D84719" w:rsidP="00D84719">
            <w:pPr>
              <w:spacing w:after="0" w:line="240" w:lineRule="auto"/>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Identifikacija potencijalnih žarišnih točki</w:t>
            </w:r>
          </w:p>
        </w:tc>
        <w:tc>
          <w:tcPr>
            <w:tcW w:w="465" w:type="pct"/>
            <w:shd w:val="clear" w:color="auto" w:fill="auto"/>
            <w:noWrap/>
            <w:vAlign w:val="center"/>
            <w:hideMark/>
          </w:tcPr>
          <w:p w14:paraId="1373F028"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 </w:t>
            </w:r>
          </w:p>
        </w:tc>
        <w:tc>
          <w:tcPr>
            <w:tcW w:w="396" w:type="pct"/>
            <w:shd w:val="clear" w:color="auto" w:fill="auto"/>
            <w:noWrap/>
            <w:vAlign w:val="center"/>
            <w:hideMark/>
          </w:tcPr>
          <w:p w14:paraId="61D0FC9B"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 </w:t>
            </w:r>
          </w:p>
        </w:tc>
        <w:tc>
          <w:tcPr>
            <w:tcW w:w="447" w:type="pct"/>
            <w:shd w:val="clear" w:color="auto" w:fill="auto"/>
            <w:noWrap/>
            <w:vAlign w:val="center"/>
            <w:hideMark/>
          </w:tcPr>
          <w:p w14:paraId="2977B5FE"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 </w:t>
            </w:r>
          </w:p>
        </w:tc>
        <w:tc>
          <w:tcPr>
            <w:tcW w:w="617" w:type="pct"/>
            <w:shd w:val="clear" w:color="auto" w:fill="auto"/>
            <w:noWrap/>
            <w:vAlign w:val="center"/>
            <w:hideMark/>
          </w:tcPr>
          <w:p w14:paraId="708D8DD0"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0,000</w:t>
            </w:r>
          </w:p>
        </w:tc>
        <w:tc>
          <w:tcPr>
            <w:tcW w:w="555" w:type="pct"/>
            <w:shd w:val="clear" w:color="auto" w:fill="auto"/>
            <w:noWrap/>
            <w:vAlign w:val="center"/>
            <w:hideMark/>
          </w:tcPr>
          <w:p w14:paraId="01865BC7"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0,000</w:t>
            </w:r>
          </w:p>
        </w:tc>
      </w:tr>
      <w:tr w:rsidR="00D84719" w:rsidRPr="00D84719" w14:paraId="5D949885" w14:textId="77777777" w:rsidTr="00D84719">
        <w:trPr>
          <w:trHeight w:val="146"/>
          <w:jc w:val="center"/>
        </w:trPr>
        <w:tc>
          <w:tcPr>
            <w:tcW w:w="405" w:type="pct"/>
            <w:shd w:val="clear" w:color="auto" w:fill="auto"/>
            <w:noWrap/>
            <w:vAlign w:val="center"/>
            <w:hideMark/>
          </w:tcPr>
          <w:p w14:paraId="11FB9BC3" w14:textId="77777777" w:rsidR="00D84719" w:rsidRPr="00D84719" w:rsidRDefault="00D84719" w:rsidP="00D84719">
            <w:pPr>
              <w:spacing w:after="0" w:line="240" w:lineRule="auto"/>
              <w:jc w:val="both"/>
              <w:rPr>
                <w:rFonts w:ascii="Times New Roman" w:eastAsia="Times New Roman" w:hAnsi="Times New Roman" w:cs="Times New Roman"/>
                <w:b/>
                <w:bCs/>
                <w:color w:val="000000"/>
                <w:sz w:val="20"/>
                <w:szCs w:val="20"/>
              </w:rPr>
            </w:pPr>
            <w:r w:rsidRPr="00D84719">
              <w:rPr>
                <w:rFonts w:ascii="Times New Roman" w:eastAsia="Times New Roman" w:hAnsi="Times New Roman" w:cs="Times New Roman"/>
                <w:b/>
                <w:bCs/>
                <w:color w:val="000000"/>
                <w:sz w:val="20"/>
                <w:szCs w:val="20"/>
              </w:rPr>
              <w:t>1-10</w:t>
            </w:r>
          </w:p>
        </w:tc>
        <w:tc>
          <w:tcPr>
            <w:tcW w:w="2115" w:type="pct"/>
            <w:shd w:val="clear" w:color="auto" w:fill="auto"/>
            <w:noWrap/>
            <w:vAlign w:val="center"/>
            <w:hideMark/>
          </w:tcPr>
          <w:p w14:paraId="7C93307C" w14:textId="77777777" w:rsidR="00D84719" w:rsidRPr="00D84719" w:rsidRDefault="00D84719" w:rsidP="00D84719">
            <w:pPr>
              <w:spacing w:after="0" w:line="240" w:lineRule="auto"/>
              <w:jc w:val="both"/>
              <w:rPr>
                <w:rFonts w:ascii="Times New Roman" w:eastAsia="Times New Roman" w:hAnsi="Times New Roman" w:cs="Times New Roman"/>
                <w:b/>
                <w:bCs/>
                <w:color w:val="000000"/>
                <w:sz w:val="20"/>
                <w:szCs w:val="20"/>
              </w:rPr>
            </w:pPr>
            <w:r w:rsidRPr="00D84719">
              <w:rPr>
                <w:rFonts w:ascii="Times New Roman" w:eastAsia="Times New Roman" w:hAnsi="Times New Roman" w:cs="Times New Roman"/>
                <w:b/>
                <w:bCs/>
                <w:color w:val="000000"/>
                <w:sz w:val="20"/>
                <w:szCs w:val="20"/>
              </w:rPr>
              <w:t>Ukupno</w:t>
            </w:r>
          </w:p>
        </w:tc>
        <w:tc>
          <w:tcPr>
            <w:tcW w:w="465" w:type="pct"/>
            <w:shd w:val="clear" w:color="auto" w:fill="auto"/>
            <w:noWrap/>
            <w:vAlign w:val="center"/>
            <w:hideMark/>
          </w:tcPr>
          <w:p w14:paraId="35B806C9" w14:textId="77777777" w:rsidR="00D84719" w:rsidRPr="00D84719" w:rsidRDefault="00D84719" w:rsidP="00D84719">
            <w:pPr>
              <w:spacing w:after="0" w:line="240" w:lineRule="auto"/>
              <w:jc w:val="both"/>
              <w:rPr>
                <w:rFonts w:ascii="Times New Roman" w:eastAsia="Times New Roman" w:hAnsi="Times New Roman" w:cs="Times New Roman"/>
                <w:b/>
                <w:bCs/>
                <w:color w:val="000000"/>
                <w:sz w:val="20"/>
                <w:szCs w:val="20"/>
              </w:rPr>
            </w:pPr>
            <w:r w:rsidRPr="00D84719">
              <w:rPr>
                <w:rFonts w:ascii="Times New Roman" w:eastAsia="Times New Roman" w:hAnsi="Times New Roman" w:cs="Times New Roman"/>
                <w:b/>
                <w:bCs/>
                <w:color w:val="000000"/>
                <w:sz w:val="20"/>
                <w:szCs w:val="20"/>
              </w:rPr>
              <w:t>20,527</w:t>
            </w:r>
          </w:p>
        </w:tc>
        <w:tc>
          <w:tcPr>
            <w:tcW w:w="396" w:type="pct"/>
            <w:shd w:val="clear" w:color="auto" w:fill="auto"/>
            <w:noWrap/>
            <w:vAlign w:val="center"/>
            <w:hideMark/>
          </w:tcPr>
          <w:p w14:paraId="6FE9274E" w14:textId="77777777" w:rsidR="00D84719" w:rsidRPr="00D84719" w:rsidRDefault="00D84719" w:rsidP="00D84719">
            <w:pPr>
              <w:spacing w:after="0" w:line="240" w:lineRule="auto"/>
              <w:jc w:val="both"/>
              <w:rPr>
                <w:rFonts w:ascii="Times New Roman" w:eastAsia="Times New Roman" w:hAnsi="Times New Roman" w:cs="Times New Roman"/>
                <w:b/>
                <w:bCs/>
                <w:color w:val="000000"/>
                <w:sz w:val="20"/>
                <w:szCs w:val="20"/>
              </w:rPr>
            </w:pPr>
            <w:r w:rsidRPr="00D84719">
              <w:rPr>
                <w:rFonts w:ascii="Times New Roman" w:eastAsia="Times New Roman" w:hAnsi="Times New Roman" w:cs="Times New Roman"/>
                <w:b/>
                <w:bCs/>
                <w:color w:val="000000"/>
                <w:sz w:val="20"/>
                <w:szCs w:val="20"/>
              </w:rPr>
              <w:t>0,373</w:t>
            </w:r>
          </w:p>
        </w:tc>
        <w:tc>
          <w:tcPr>
            <w:tcW w:w="447" w:type="pct"/>
            <w:shd w:val="clear" w:color="auto" w:fill="auto"/>
            <w:noWrap/>
            <w:vAlign w:val="center"/>
            <w:hideMark/>
          </w:tcPr>
          <w:p w14:paraId="5E95D6D1" w14:textId="77777777" w:rsidR="00D84719" w:rsidRPr="00D84719" w:rsidRDefault="00D84719" w:rsidP="00D84719">
            <w:pPr>
              <w:spacing w:after="0" w:line="240" w:lineRule="auto"/>
              <w:jc w:val="both"/>
              <w:rPr>
                <w:rFonts w:ascii="Times New Roman" w:eastAsia="Times New Roman" w:hAnsi="Times New Roman" w:cs="Times New Roman"/>
                <w:b/>
                <w:bCs/>
                <w:color w:val="000000"/>
                <w:sz w:val="20"/>
                <w:szCs w:val="20"/>
              </w:rPr>
            </w:pPr>
            <w:r w:rsidRPr="00D84719">
              <w:rPr>
                <w:rFonts w:ascii="Times New Roman" w:eastAsia="Times New Roman" w:hAnsi="Times New Roman" w:cs="Times New Roman"/>
                <w:b/>
                <w:bCs/>
                <w:color w:val="000000"/>
                <w:sz w:val="20"/>
                <w:szCs w:val="20"/>
              </w:rPr>
              <w:t>0,003</w:t>
            </w:r>
          </w:p>
        </w:tc>
        <w:tc>
          <w:tcPr>
            <w:tcW w:w="617" w:type="pct"/>
            <w:shd w:val="clear" w:color="auto" w:fill="auto"/>
            <w:noWrap/>
            <w:vAlign w:val="center"/>
            <w:hideMark/>
          </w:tcPr>
          <w:p w14:paraId="355EF6F4" w14:textId="77777777" w:rsidR="00D84719" w:rsidRPr="00D84719" w:rsidRDefault="00D84719" w:rsidP="00D84719">
            <w:pPr>
              <w:spacing w:after="0" w:line="240" w:lineRule="auto"/>
              <w:jc w:val="both"/>
              <w:rPr>
                <w:rFonts w:ascii="Times New Roman" w:eastAsia="Times New Roman" w:hAnsi="Times New Roman" w:cs="Times New Roman"/>
                <w:b/>
                <w:bCs/>
                <w:color w:val="000000"/>
                <w:sz w:val="20"/>
                <w:szCs w:val="20"/>
              </w:rPr>
            </w:pPr>
            <w:r w:rsidRPr="00D84719">
              <w:rPr>
                <w:rFonts w:ascii="Times New Roman" w:eastAsia="Times New Roman" w:hAnsi="Times New Roman" w:cs="Times New Roman"/>
                <w:b/>
                <w:bCs/>
                <w:color w:val="000000"/>
                <w:sz w:val="20"/>
                <w:szCs w:val="20"/>
              </w:rPr>
              <w:t>0,781</w:t>
            </w:r>
          </w:p>
        </w:tc>
        <w:tc>
          <w:tcPr>
            <w:tcW w:w="555" w:type="pct"/>
            <w:shd w:val="clear" w:color="auto" w:fill="auto"/>
            <w:noWrap/>
            <w:vAlign w:val="center"/>
            <w:hideMark/>
          </w:tcPr>
          <w:p w14:paraId="1734BF1E" w14:textId="77777777" w:rsidR="00D84719" w:rsidRPr="00D84719" w:rsidRDefault="00D84719" w:rsidP="00D84719">
            <w:pPr>
              <w:spacing w:after="0" w:line="240" w:lineRule="auto"/>
              <w:jc w:val="both"/>
              <w:rPr>
                <w:rFonts w:ascii="Times New Roman" w:eastAsia="Times New Roman" w:hAnsi="Times New Roman" w:cs="Times New Roman"/>
                <w:b/>
                <w:bCs/>
                <w:color w:val="000000"/>
                <w:sz w:val="20"/>
                <w:szCs w:val="20"/>
              </w:rPr>
            </w:pPr>
            <w:r w:rsidRPr="00D84719">
              <w:rPr>
                <w:rFonts w:ascii="Times New Roman" w:eastAsia="Times New Roman" w:hAnsi="Times New Roman" w:cs="Times New Roman"/>
                <w:b/>
                <w:bCs/>
                <w:color w:val="000000"/>
                <w:sz w:val="20"/>
                <w:szCs w:val="20"/>
              </w:rPr>
              <w:t>7,892</w:t>
            </w:r>
          </w:p>
        </w:tc>
      </w:tr>
      <w:tr w:rsidR="00D84719" w:rsidRPr="00D84719" w14:paraId="676C4EFD" w14:textId="77777777" w:rsidTr="00D84719">
        <w:trPr>
          <w:trHeight w:val="60"/>
          <w:jc w:val="center"/>
        </w:trPr>
        <w:tc>
          <w:tcPr>
            <w:tcW w:w="2520" w:type="pct"/>
            <w:gridSpan w:val="2"/>
            <w:shd w:val="clear" w:color="auto" w:fill="auto"/>
            <w:noWrap/>
            <w:vAlign w:val="center"/>
            <w:hideMark/>
          </w:tcPr>
          <w:p w14:paraId="28AC101E" w14:textId="77777777" w:rsidR="00D84719" w:rsidRPr="00D84719" w:rsidRDefault="00D84719" w:rsidP="00D84719">
            <w:pPr>
              <w:spacing w:after="0" w:line="240" w:lineRule="auto"/>
              <w:jc w:val="both"/>
              <w:rPr>
                <w:rFonts w:ascii="Times New Roman" w:eastAsia="Times New Roman" w:hAnsi="Times New Roman" w:cs="Times New Roman"/>
                <w:b/>
                <w:color w:val="000000"/>
                <w:sz w:val="20"/>
                <w:szCs w:val="20"/>
              </w:rPr>
            </w:pPr>
            <w:r w:rsidRPr="00D84719">
              <w:rPr>
                <w:rFonts w:ascii="Times New Roman" w:eastAsia="Times New Roman" w:hAnsi="Times New Roman" w:cs="Times New Roman"/>
                <w:b/>
                <w:color w:val="000000"/>
                <w:sz w:val="20"/>
                <w:szCs w:val="20"/>
              </w:rPr>
              <w:t>SVEUKUPNO</w:t>
            </w:r>
          </w:p>
        </w:tc>
        <w:tc>
          <w:tcPr>
            <w:tcW w:w="2480" w:type="pct"/>
            <w:gridSpan w:val="5"/>
            <w:shd w:val="clear" w:color="auto" w:fill="auto"/>
            <w:noWrap/>
            <w:vAlign w:val="center"/>
            <w:hideMark/>
          </w:tcPr>
          <w:p w14:paraId="6BF314A8" w14:textId="77777777" w:rsidR="00D84719" w:rsidRPr="00D84719" w:rsidRDefault="00D84719" w:rsidP="00D84719">
            <w:pPr>
              <w:spacing w:after="0" w:line="240" w:lineRule="auto"/>
              <w:jc w:val="both"/>
              <w:rPr>
                <w:rFonts w:ascii="Times New Roman" w:eastAsia="Times New Roman" w:hAnsi="Times New Roman" w:cs="Times New Roman"/>
                <w:b/>
                <w:bCs/>
                <w:color w:val="000000"/>
                <w:sz w:val="20"/>
                <w:szCs w:val="20"/>
              </w:rPr>
            </w:pPr>
            <w:r w:rsidRPr="00D84719">
              <w:rPr>
                <w:rFonts w:ascii="Times New Roman" w:eastAsia="Times New Roman" w:hAnsi="Times New Roman" w:cs="Times New Roman"/>
                <w:b/>
                <w:bCs/>
                <w:color w:val="000000"/>
                <w:sz w:val="20"/>
                <w:szCs w:val="20"/>
              </w:rPr>
              <w:t>29,6</w:t>
            </w:r>
          </w:p>
        </w:tc>
      </w:tr>
    </w:tbl>
    <w:p w14:paraId="411F37B9" w14:textId="77777777" w:rsidR="00D84719" w:rsidRPr="00D84719" w:rsidRDefault="00D84719" w:rsidP="00D84719">
      <w:pPr>
        <w:spacing w:before="80" w:line="276" w:lineRule="auto"/>
        <w:jc w:val="both"/>
        <w:rPr>
          <w:rFonts w:ascii="Times New Roman" w:eastAsia="Times New Roman" w:hAnsi="Times New Roman" w:cs="Times New Roman"/>
          <w:color w:val="000000"/>
          <w:szCs w:val="24"/>
          <w:lang w:bidi="en-US"/>
        </w:rPr>
      </w:pPr>
    </w:p>
    <w:p w14:paraId="65A978B1" w14:textId="1DB28BCE" w:rsidR="00D84719" w:rsidRPr="00D84719" w:rsidRDefault="00D84719" w:rsidP="00D84719">
      <w:pPr>
        <w:keepNext/>
        <w:spacing w:before="80" w:after="0" w:line="276" w:lineRule="auto"/>
        <w:jc w:val="both"/>
        <w:rPr>
          <w:rFonts w:ascii="Times New Roman" w:eastAsia="Times New Roman" w:hAnsi="Times New Roman" w:cs="Times New Roman"/>
          <w:b/>
          <w:bCs/>
          <w:i/>
          <w:sz w:val="20"/>
          <w:szCs w:val="20"/>
        </w:rPr>
      </w:pPr>
      <w:r w:rsidRPr="00D84719">
        <w:rPr>
          <w:rFonts w:ascii="Times New Roman" w:eastAsia="Times New Roman" w:hAnsi="Times New Roman" w:cs="Times New Roman"/>
          <w:b/>
          <w:bCs/>
          <w:i/>
          <w:sz w:val="20"/>
          <w:szCs w:val="20"/>
        </w:rPr>
        <w:t xml:space="preserve">Tablica </w:t>
      </w:r>
      <w:r w:rsidRPr="00D84719">
        <w:rPr>
          <w:rFonts w:ascii="Times New Roman" w:eastAsia="Times New Roman" w:hAnsi="Times New Roman" w:cs="Times New Roman"/>
          <w:b/>
          <w:bCs/>
          <w:i/>
          <w:sz w:val="20"/>
          <w:szCs w:val="20"/>
        </w:rPr>
        <w:fldChar w:fldCharType="begin"/>
      </w:r>
      <w:r w:rsidRPr="00D84719">
        <w:rPr>
          <w:rFonts w:ascii="Times New Roman" w:eastAsia="Times New Roman" w:hAnsi="Times New Roman" w:cs="Times New Roman"/>
          <w:b/>
          <w:bCs/>
          <w:i/>
          <w:sz w:val="20"/>
          <w:szCs w:val="20"/>
        </w:rPr>
        <w:instrText xml:space="preserve"> STYLEREF 2 \s </w:instrText>
      </w:r>
      <w:r w:rsidRPr="00D84719">
        <w:rPr>
          <w:rFonts w:ascii="Times New Roman" w:eastAsia="Times New Roman" w:hAnsi="Times New Roman" w:cs="Times New Roman"/>
          <w:b/>
          <w:bCs/>
          <w:i/>
          <w:sz w:val="20"/>
          <w:szCs w:val="20"/>
        </w:rPr>
        <w:fldChar w:fldCharType="separate"/>
      </w:r>
      <w:r w:rsidRPr="00D84719">
        <w:rPr>
          <w:rFonts w:ascii="Times New Roman" w:eastAsia="Times New Roman" w:hAnsi="Times New Roman" w:cs="Times New Roman"/>
          <w:b/>
          <w:bCs/>
          <w:i/>
          <w:sz w:val="20"/>
          <w:szCs w:val="20"/>
        </w:rPr>
        <w:t>3.4</w:t>
      </w:r>
      <w:r w:rsidRPr="00D84719">
        <w:rPr>
          <w:rFonts w:ascii="Times New Roman" w:eastAsia="Times New Roman" w:hAnsi="Times New Roman" w:cs="Times New Roman"/>
          <w:b/>
          <w:bCs/>
          <w:i/>
          <w:sz w:val="20"/>
          <w:szCs w:val="20"/>
        </w:rPr>
        <w:fldChar w:fldCharType="end"/>
      </w:r>
      <w:r w:rsidRPr="00D84719">
        <w:rPr>
          <w:rFonts w:ascii="Times New Roman" w:eastAsia="Times New Roman" w:hAnsi="Times New Roman" w:cs="Times New Roman"/>
          <w:b/>
          <w:bCs/>
          <w:i/>
          <w:sz w:val="20"/>
          <w:szCs w:val="20"/>
        </w:rPr>
        <w:noBreakHyphen/>
        <w:t>9: Ukupne emisije PCDD/PCDF-a prema glavnim kategorijama u 2015</w:t>
      </w:r>
      <w:r w:rsidR="004C449C">
        <w:rPr>
          <w:rFonts w:ascii="Times New Roman" w:eastAsia="Times New Roman" w:hAnsi="Times New Roman" w:cs="Times New Roman"/>
          <w:b/>
          <w:bCs/>
          <w:i/>
          <w:sz w:val="20"/>
          <w:szCs w:val="20"/>
        </w:rPr>
        <w:t>.</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733"/>
        <w:gridCol w:w="3829"/>
        <w:gridCol w:w="842"/>
        <w:gridCol w:w="717"/>
        <w:gridCol w:w="809"/>
        <w:gridCol w:w="1117"/>
        <w:gridCol w:w="1005"/>
      </w:tblGrid>
      <w:tr w:rsidR="00D84719" w:rsidRPr="00D84719" w14:paraId="5E585654" w14:textId="77777777" w:rsidTr="00D84719">
        <w:trPr>
          <w:trHeight w:val="227"/>
          <w:tblHeader/>
          <w:jc w:val="center"/>
        </w:trPr>
        <w:tc>
          <w:tcPr>
            <w:tcW w:w="405" w:type="pct"/>
            <w:vMerge w:val="restart"/>
            <w:shd w:val="clear" w:color="auto" w:fill="D9D9D9"/>
            <w:noWrap/>
            <w:vAlign w:val="center"/>
            <w:hideMark/>
          </w:tcPr>
          <w:p w14:paraId="3187F8E4" w14:textId="77777777" w:rsidR="00D84719" w:rsidRPr="00D84719" w:rsidRDefault="00D84719" w:rsidP="00D84719">
            <w:pPr>
              <w:spacing w:after="0" w:line="240" w:lineRule="auto"/>
              <w:jc w:val="center"/>
              <w:rPr>
                <w:rFonts w:ascii="Times New Roman" w:eastAsia="Times New Roman" w:hAnsi="Times New Roman" w:cs="Times New Roman"/>
                <w:b/>
                <w:color w:val="000000"/>
                <w:sz w:val="20"/>
                <w:szCs w:val="20"/>
              </w:rPr>
            </w:pPr>
            <w:r w:rsidRPr="00D84719">
              <w:rPr>
                <w:rFonts w:ascii="Times New Roman" w:eastAsia="Times New Roman" w:hAnsi="Times New Roman" w:cs="Times New Roman"/>
                <w:b/>
                <w:color w:val="000000"/>
                <w:sz w:val="20"/>
                <w:szCs w:val="20"/>
              </w:rPr>
              <w:t>Br.</w:t>
            </w:r>
          </w:p>
        </w:tc>
        <w:tc>
          <w:tcPr>
            <w:tcW w:w="2115" w:type="pct"/>
            <w:vMerge w:val="restart"/>
            <w:shd w:val="clear" w:color="auto" w:fill="D9D9D9"/>
            <w:noWrap/>
            <w:vAlign w:val="center"/>
            <w:hideMark/>
          </w:tcPr>
          <w:p w14:paraId="48640D75" w14:textId="77777777" w:rsidR="00D84719" w:rsidRPr="00D84719" w:rsidRDefault="00D84719" w:rsidP="00D84719">
            <w:pPr>
              <w:spacing w:after="0" w:line="240" w:lineRule="auto"/>
              <w:jc w:val="center"/>
              <w:rPr>
                <w:rFonts w:ascii="Times New Roman" w:eastAsia="Times New Roman" w:hAnsi="Times New Roman" w:cs="Times New Roman"/>
                <w:b/>
                <w:color w:val="000000"/>
                <w:sz w:val="20"/>
                <w:szCs w:val="20"/>
              </w:rPr>
            </w:pPr>
            <w:r w:rsidRPr="00D84719">
              <w:rPr>
                <w:rFonts w:ascii="Times New Roman" w:eastAsia="Times New Roman" w:hAnsi="Times New Roman" w:cs="Times New Roman"/>
                <w:b/>
                <w:color w:val="000000"/>
                <w:sz w:val="20"/>
                <w:szCs w:val="20"/>
              </w:rPr>
              <w:t>Grupe izvora</w:t>
            </w:r>
          </w:p>
        </w:tc>
        <w:tc>
          <w:tcPr>
            <w:tcW w:w="2480" w:type="pct"/>
            <w:gridSpan w:val="5"/>
            <w:shd w:val="clear" w:color="auto" w:fill="D9D9D9"/>
            <w:noWrap/>
            <w:vAlign w:val="center"/>
            <w:hideMark/>
          </w:tcPr>
          <w:p w14:paraId="4165180C" w14:textId="77777777" w:rsidR="00D84719" w:rsidRPr="00D84719" w:rsidRDefault="00D84719" w:rsidP="00D84719">
            <w:pPr>
              <w:spacing w:after="0" w:line="240" w:lineRule="auto"/>
              <w:jc w:val="center"/>
              <w:rPr>
                <w:rFonts w:ascii="Times New Roman" w:eastAsia="Times New Roman" w:hAnsi="Times New Roman" w:cs="Times New Roman"/>
                <w:b/>
                <w:color w:val="000000"/>
                <w:sz w:val="20"/>
                <w:szCs w:val="20"/>
              </w:rPr>
            </w:pPr>
            <w:r w:rsidRPr="00D84719">
              <w:rPr>
                <w:rFonts w:ascii="Times New Roman" w:eastAsia="Times New Roman" w:hAnsi="Times New Roman" w:cs="Times New Roman"/>
                <w:b/>
                <w:color w:val="000000"/>
                <w:sz w:val="20"/>
                <w:szCs w:val="20"/>
              </w:rPr>
              <w:t>Godišnje ispuštanje (g TEQ godina</w:t>
            </w:r>
            <w:r w:rsidRPr="00D84719">
              <w:rPr>
                <w:rFonts w:ascii="Times New Roman" w:eastAsia="Times New Roman" w:hAnsi="Times New Roman" w:cs="Times New Roman"/>
                <w:b/>
                <w:color w:val="000000"/>
                <w:sz w:val="20"/>
                <w:szCs w:val="20"/>
                <w:vertAlign w:val="superscript"/>
              </w:rPr>
              <w:t>-1</w:t>
            </w:r>
            <w:r w:rsidRPr="00D84719">
              <w:rPr>
                <w:rFonts w:ascii="Times New Roman" w:eastAsia="Times New Roman" w:hAnsi="Times New Roman" w:cs="Times New Roman"/>
                <w:b/>
                <w:color w:val="000000"/>
                <w:sz w:val="20"/>
                <w:szCs w:val="20"/>
              </w:rPr>
              <w:t>)</w:t>
            </w:r>
          </w:p>
        </w:tc>
      </w:tr>
      <w:tr w:rsidR="00D84719" w:rsidRPr="00D84719" w14:paraId="41B9C9BA" w14:textId="77777777" w:rsidTr="00D84719">
        <w:trPr>
          <w:trHeight w:val="130"/>
          <w:tblHeader/>
          <w:jc w:val="center"/>
        </w:trPr>
        <w:tc>
          <w:tcPr>
            <w:tcW w:w="405" w:type="pct"/>
            <w:vMerge/>
            <w:shd w:val="clear" w:color="auto" w:fill="D9D9D9"/>
            <w:noWrap/>
            <w:vAlign w:val="center"/>
            <w:hideMark/>
          </w:tcPr>
          <w:p w14:paraId="7DF4C9C6" w14:textId="77777777" w:rsidR="00D84719" w:rsidRPr="00D84719" w:rsidRDefault="00D84719" w:rsidP="00D84719">
            <w:pPr>
              <w:spacing w:after="0" w:line="240" w:lineRule="auto"/>
              <w:jc w:val="center"/>
              <w:rPr>
                <w:rFonts w:ascii="Times New Roman" w:eastAsia="Times New Roman" w:hAnsi="Times New Roman" w:cs="Times New Roman"/>
                <w:b/>
                <w:color w:val="000000"/>
                <w:sz w:val="20"/>
                <w:szCs w:val="20"/>
              </w:rPr>
            </w:pPr>
          </w:p>
        </w:tc>
        <w:tc>
          <w:tcPr>
            <w:tcW w:w="2115" w:type="pct"/>
            <w:vMerge/>
            <w:shd w:val="clear" w:color="auto" w:fill="D9D9D9"/>
            <w:noWrap/>
            <w:vAlign w:val="center"/>
            <w:hideMark/>
          </w:tcPr>
          <w:p w14:paraId="32EDBB66" w14:textId="77777777" w:rsidR="00D84719" w:rsidRPr="00D84719" w:rsidRDefault="00D84719" w:rsidP="00D84719">
            <w:pPr>
              <w:spacing w:after="0" w:line="240" w:lineRule="auto"/>
              <w:jc w:val="center"/>
              <w:rPr>
                <w:rFonts w:ascii="Times New Roman" w:eastAsia="Times New Roman" w:hAnsi="Times New Roman" w:cs="Times New Roman"/>
                <w:b/>
                <w:color w:val="000000"/>
                <w:sz w:val="20"/>
                <w:szCs w:val="20"/>
              </w:rPr>
            </w:pPr>
          </w:p>
        </w:tc>
        <w:tc>
          <w:tcPr>
            <w:tcW w:w="465" w:type="pct"/>
            <w:shd w:val="clear" w:color="auto" w:fill="D9D9D9"/>
            <w:noWrap/>
            <w:vAlign w:val="center"/>
            <w:hideMark/>
          </w:tcPr>
          <w:p w14:paraId="653B054E" w14:textId="77777777" w:rsidR="00D84719" w:rsidRPr="00D84719" w:rsidRDefault="00D84719" w:rsidP="00D84719">
            <w:pPr>
              <w:spacing w:after="0" w:line="240" w:lineRule="auto"/>
              <w:jc w:val="center"/>
              <w:rPr>
                <w:rFonts w:ascii="Times New Roman" w:eastAsia="Times New Roman" w:hAnsi="Times New Roman" w:cs="Times New Roman"/>
                <w:b/>
                <w:color w:val="000000"/>
                <w:sz w:val="20"/>
                <w:szCs w:val="20"/>
              </w:rPr>
            </w:pPr>
            <w:r w:rsidRPr="00D84719">
              <w:rPr>
                <w:rFonts w:ascii="Times New Roman" w:eastAsia="Times New Roman" w:hAnsi="Times New Roman" w:cs="Times New Roman"/>
                <w:b/>
                <w:color w:val="000000"/>
                <w:sz w:val="20"/>
                <w:szCs w:val="20"/>
              </w:rPr>
              <w:t>Zrak</w:t>
            </w:r>
          </w:p>
        </w:tc>
        <w:tc>
          <w:tcPr>
            <w:tcW w:w="396" w:type="pct"/>
            <w:shd w:val="clear" w:color="auto" w:fill="D9D9D9"/>
            <w:noWrap/>
            <w:vAlign w:val="center"/>
            <w:hideMark/>
          </w:tcPr>
          <w:p w14:paraId="24476598" w14:textId="77777777" w:rsidR="00D84719" w:rsidRPr="00D84719" w:rsidRDefault="00D84719" w:rsidP="00D84719">
            <w:pPr>
              <w:spacing w:after="0" w:line="240" w:lineRule="auto"/>
              <w:jc w:val="center"/>
              <w:rPr>
                <w:rFonts w:ascii="Times New Roman" w:eastAsia="Times New Roman" w:hAnsi="Times New Roman" w:cs="Times New Roman"/>
                <w:b/>
                <w:color w:val="000000"/>
                <w:sz w:val="20"/>
                <w:szCs w:val="20"/>
              </w:rPr>
            </w:pPr>
            <w:r w:rsidRPr="00D84719">
              <w:rPr>
                <w:rFonts w:ascii="Times New Roman" w:eastAsia="Times New Roman" w:hAnsi="Times New Roman" w:cs="Times New Roman"/>
                <w:b/>
                <w:color w:val="000000"/>
                <w:sz w:val="20"/>
                <w:szCs w:val="20"/>
              </w:rPr>
              <w:t>Vode</w:t>
            </w:r>
          </w:p>
        </w:tc>
        <w:tc>
          <w:tcPr>
            <w:tcW w:w="447" w:type="pct"/>
            <w:shd w:val="clear" w:color="auto" w:fill="D9D9D9"/>
            <w:noWrap/>
            <w:vAlign w:val="center"/>
            <w:hideMark/>
          </w:tcPr>
          <w:p w14:paraId="62112D0B" w14:textId="77777777" w:rsidR="00D84719" w:rsidRPr="00D84719" w:rsidRDefault="00D84719" w:rsidP="00D84719">
            <w:pPr>
              <w:spacing w:after="0" w:line="240" w:lineRule="auto"/>
              <w:jc w:val="center"/>
              <w:rPr>
                <w:rFonts w:ascii="Times New Roman" w:eastAsia="Times New Roman" w:hAnsi="Times New Roman" w:cs="Times New Roman"/>
                <w:b/>
                <w:color w:val="000000"/>
                <w:sz w:val="20"/>
                <w:szCs w:val="20"/>
              </w:rPr>
            </w:pPr>
            <w:r w:rsidRPr="00D84719">
              <w:rPr>
                <w:rFonts w:ascii="Times New Roman" w:eastAsia="Times New Roman" w:hAnsi="Times New Roman" w:cs="Times New Roman"/>
                <w:b/>
                <w:color w:val="000000"/>
                <w:sz w:val="20"/>
                <w:szCs w:val="20"/>
              </w:rPr>
              <w:t>Tlo</w:t>
            </w:r>
          </w:p>
        </w:tc>
        <w:tc>
          <w:tcPr>
            <w:tcW w:w="617" w:type="pct"/>
            <w:shd w:val="clear" w:color="auto" w:fill="D9D9D9"/>
            <w:noWrap/>
            <w:vAlign w:val="center"/>
            <w:hideMark/>
          </w:tcPr>
          <w:p w14:paraId="47F9DB02" w14:textId="77777777" w:rsidR="00D84719" w:rsidRPr="00D84719" w:rsidRDefault="00D84719" w:rsidP="00D84719">
            <w:pPr>
              <w:spacing w:after="0" w:line="240" w:lineRule="auto"/>
              <w:jc w:val="center"/>
              <w:rPr>
                <w:rFonts w:ascii="Times New Roman" w:eastAsia="Times New Roman" w:hAnsi="Times New Roman" w:cs="Times New Roman"/>
                <w:b/>
                <w:color w:val="000000"/>
                <w:sz w:val="20"/>
                <w:szCs w:val="20"/>
              </w:rPr>
            </w:pPr>
            <w:r w:rsidRPr="00D84719">
              <w:rPr>
                <w:rFonts w:ascii="Times New Roman" w:eastAsia="Times New Roman" w:hAnsi="Times New Roman" w:cs="Times New Roman"/>
                <w:b/>
                <w:color w:val="000000"/>
                <w:sz w:val="20"/>
                <w:szCs w:val="20"/>
              </w:rPr>
              <w:t>Proizvodi</w:t>
            </w:r>
          </w:p>
        </w:tc>
        <w:tc>
          <w:tcPr>
            <w:tcW w:w="555" w:type="pct"/>
            <w:shd w:val="clear" w:color="auto" w:fill="D9D9D9"/>
            <w:noWrap/>
            <w:vAlign w:val="center"/>
            <w:hideMark/>
          </w:tcPr>
          <w:p w14:paraId="5753B7AA" w14:textId="77777777" w:rsidR="00D84719" w:rsidRPr="00D84719" w:rsidRDefault="00D84719" w:rsidP="00D84719">
            <w:pPr>
              <w:spacing w:after="0" w:line="240" w:lineRule="auto"/>
              <w:jc w:val="center"/>
              <w:rPr>
                <w:rFonts w:ascii="Times New Roman" w:eastAsia="Times New Roman" w:hAnsi="Times New Roman" w:cs="Times New Roman"/>
                <w:b/>
                <w:color w:val="000000"/>
                <w:sz w:val="20"/>
                <w:szCs w:val="20"/>
              </w:rPr>
            </w:pPr>
            <w:r w:rsidRPr="00D84719">
              <w:rPr>
                <w:rFonts w:ascii="Times New Roman" w:eastAsia="Times New Roman" w:hAnsi="Times New Roman" w:cs="Times New Roman"/>
                <w:b/>
                <w:color w:val="000000"/>
                <w:sz w:val="20"/>
                <w:szCs w:val="20"/>
              </w:rPr>
              <w:t>Ostatak</w:t>
            </w:r>
          </w:p>
        </w:tc>
      </w:tr>
      <w:tr w:rsidR="00D84719" w:rsidRPr="00D84719" w14:paraId="34D171CA" w14:textId="77777777" w:rsidTr="00D84719">
        <w:trPr>
          <w:trHeight w:val="60"/>
          <w:jc w:val="center"/>
        </w:trPr>
        <w:tc>
          <w:tcPr>
            <w:tcW w:w="405" w:type="pct"/>
            <w:shd w:val="clear" w:color="auto" w:fill="auto"/>
            <w:noWrap/>
            <w:vAlign w:val="center"/>
            <w:hideMark/>
          </w:tcPr>
          <w:p w14:paraId="0F7CBDAA"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1.</w:t>
            </w:r>
          </w:p>
        </w:tc>
        <w:tc>
          <w:tcPr>
            <w:tcW w:w="2115" w:type="pct"/>
            <w:shd w:val="clear" w:color="auto" w:fill="auto"/>
            <w:noWrap/>
            <w:vAlign w:val="center"/>
            <w:hideMark/>
          </w:tcPr>
          <w:p w14:paraId="3F84D51C" w14:textId="77777777" w:rsidR="00D84719" w:rsidRPr="00D84719" w:rsidRDefault="00D84719" w:rsidP="00D84719">
            <w:pPr>
              <w:spacing w:after="0" w:line="240" w:lineRule="auto"/>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Spalionice</w:t>
            </w:r>
          </w:p>
        </w:tc>
        <w:tc>
          <w:tcPr>
            <w:tcW w:w="465" w:type="pct"/>
            <w:shd w:val="clear" w:color="auto" w:fill="auto"/>
            <w:noWrap/>
            <w:vAlign w:val="center"/>
          </w:tcPr>
          <w:p w14:paraId="65F06F68"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032</w:t>
            </w:r>
          </w:p>
        </w:tc>
        <w:tc>
          <w:tcPr>
            <w:tcW w:w="396" w:type="pct"/>
            <w:shd w:val="clear" w:color="auto" w:fill="auto"/>
            <w:noWrap/>
            <w:vAlign w:val="center"/>
          </w:tcPr>
          <w:p w14:paraId="53EED99F"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000</w:t>
            </w:r>
          </w:p>
        </w:tc>
        <w:tc>
          <w:tcPr>
            <w:tcW w:w="447" w:type="pct"/>
            <w:shd w:val="clear" w:color="auto" w:fill="auto"/>
            <w:noWrap/>
            <w:vAlign w:val="center"/>
          </w:tcPr>
          <w:p w14:paraId="0D1F97BC"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000</w:t>
            </w:r>
          </w:p>
        </w:tc>
        <w:tc>
          <w:tcPr>
            <w:tcW w:w="617" w:type="pct"/>
            <w:shd w:val="clear" w:color="auto" w:fill="auto"/>
            <w:noWrap/>
            <w:vAlign w:val="center"/>
          </w:tcPr>
          <w:p w14:paraId="100CBB27"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000</w:t>
            </w:r>
          </w:p>
        </w:tc>
        <w:tc>
          <w:tcPr>
            <w:tcW w:w="555" w:type="pct"/>
            <w:shd w:val="clear" w:color="auto" w:fill="auto"/>
            <w:noWrap/>
            <w:vAlign w:val="center"/>
          </w:tcPr>
          <w:p w14:paraId="53746EF4"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055</w:t>
            </w:r>
          </w:p>
        </w:tc>
      </w:tr>
      <w:tr w:rsidR="00D84719" w:rsidRPr="00D84719" w14:paraId="3AB69514" w14:textId="77777777" w:rsidTr="00D84719">
        <w:trPr>
          <w:trHeight w:val="66"/>
          <w:jc w:val="center"/>
        </w:trPr>
        <w:tc>
          <w:tcPr>
            <w:tcW w:w="405" w:type="pct"/>
            <w:shd w:val="clear" w:color="auto" w:fill="auto"/>
            <w:noWrap/>
            <w:vAlign w:val="center"/>
            <w:hideMark/>
          </w:tcPr>
          <w:p w14:paraId="6207227B"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2.</w:t>
            </w:r>
          </w:p>
        </w:tc>
        <w:tc>
          <w:tcPr>
            <w:tcW w:w="2115" w:type="pct"/>
            <w:shd w:val="clear" w:color="auto" w:fill="auto"/>
            <w:noWrap/>
            <w:vAlign w:val="center"/>
            <w:hideMark/>
          </w:tcPr>
          <w:p w14:paraId="46C2A931" w14:textId="77777777" w:rsidR="00D84719" w:rsidRPr="00D84719" w:rsidRDefault="00D84719" w:rsidP="00D84719">
            <w:pPr>
              <w:spacing w:after="0" w:line="240" w:lineRule="auto"/>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 xml:space="preserve">Željezo i obojeni metali </w:t>
            </w:r>
          </w:p>
        </w:tc>
        <w:tc>
          <w:tcPr>
            <w:tcW w:w="465" w:type="pct"/>
            <w:shd w:val="clear" w:color="auto" w:fill="auto"/>
            <w:noWrap/>
            <w:vAlign w:val="center"/>
          </w:tcPr>
          <w:p w14:paraId="34E194D8"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052</w:t>
            </w:r>
          </w:p>
        </w:tc>
        <w:tc>
          <w:tcPr>
            <w:tcW w:w="396" w:type="pct"/>
            <w:shd w:val="clear" w:color="auto" w:fill="auto"/>
            <w:noWrap/>
            <w:vAlign w:val="center"/>
          </w:tcPr>
          <w:p w14:paraId="4D17E65A"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000</w:t>
            </w:r>
          </w:p>
        </w:tc>
        <w:tc>
          <w:tcPr>
            <w:tcW w:w="447" w:type="pct"/>
            <w:shd w:val="clear" w:color="auto" w:fill="auto"/>
            <w:noWrap/>
            <w:vAlign w:val="center"/>
          </w:tcPr>
          <w:p w14:paraId="28ECFA44"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000</w:t>
            </w:r>
          </w:p>
        </w:tc>
        <w:tc>
          <w:tcPr>
            <w:tcW w:w="617" w:type="pct"/>
            <w:shd w:val="clear" w:color="auto" w:fill="auto"/>
            <w:noWrap/>
            <w:vAlign w:val="center"/>
          </w:tcPr>
          <w:p w14:paraId="2649C7F0"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000</w:t>
            </w:r>
          </w:p>
        </w:tc>
        <w:tc>
          <w:tcPr>
            <w:tcW w:w="555" w:type="pct"/>
            <w:shd w:val="clear" w:color="auto" w:fill="auto"/>
            <w:noWrap/>
            <w:vAlign w:val="center"/>
          </w:tcPr>
          <w:p w14:paraId="778815BB"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329</w:t>
            </w:r>
          </w:p>
        </w:tc>
      </w:tr>
      <w:tr w:rsidR="00D84719" w:rsidRPr="00D84719" w14:paraId="76C56E01" w14:textId="77777777" w:rsidTr="00D84719">
        <w:trPr>
          <w:trHeight w:val="112"/>
          <w:jc w:val="center"/>
        </w:trPr>
        <w:tc>
          <w:tcPr>
            <w:tcW w:w="405" w:type="pct"/>
            <w:shd w:val="clear" w:color="auto" w:fill="auto"/>
            <w:noWrap/>
            <w:vAlign w:val="center"/>
            <w:hideMark/>
          </w:tcPr>
          <w:p w14:paraId="0981FAB5"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3.</w:t>
            </w:r>
          </w:p>
        </w:tc>
        <w:tc>
          <w:tcPr>
            <w:tcW w:w="2115" w:type="pct"/>
            <w:shd w:val="clear" w:color="auto" w:fill="auto"/>
            <w:noWrap/>
            <w:vAlign w:val="center"/>
            <w:hideMark/>
          </w:tcPr>
          <w:p w14:paraId="5A7BAE72" w14:textId="77777777" w:rsidR="00D84719" w:rsidRPr="00D84719" w:rsidRDefault="00D84719" w:rsidP="00D84719">
            <w:pPr>
              <w:spacing w:after="0" w:line="240" w:lineRule="auto"/>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Proizvodnja energije i topline</w:t>
            </w:r>
          </w:p>
        </w:tc>
        <w:tc>
          <w:tcPr>
            <w:tcW w:w="465" w:type="pct"/>
            <w:shd w:val="clear" w:color="auto" w:fill="auto"/>
            <w:noWrap/>
            <w:vAlign w:val="center"/>
          </w:tcPr>
          <w:p w14:paraId="55E02A33"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20</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797</w:t>
            </w:r>
          </w:p>
        </w:tc>
        <w:tc>
          <w:tcPr>
            <w:tcW w:w="396" w:type="pct"/>
            <w:shd w:val="clear" w:color="auto" w:fill="auto"/>
            <w:noWrap/>
            <w:vAlign w:val="center"/>
          </w:tcPr>
          <w:p w14:paraId="13BFB7C1"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000</w:t>
            </w:r>
          </w:p>
        </w:tc>
        <w:tc>
          <w:tcPr>
            <w:tcW w:w="447" w:type="pct"/>
            <w:shd w:val="clear" w:color="auto" w:fill="auto"/>
            <w:noWrap/>
            <w:vAlign w:val="center"/>
          </w:tcPr>
          <w:p w14:paraId="3CF916B1"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000</w:t>
            </w:r>
          </w:p>
        </w:tc>
        <w:tc>
          <w:tcPr>
            <w:tcW w:w="617" w:type="pct"/>
            <w:shd w:val="clear" w:color="auto" w:fill="auto"/>
            <w:noWrap/>
            <w:vAlign w:val="center"/>
          </w:tcPr>
          <w:p w14:paraId="3AE86B41"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000</w:t>
            </w:r>
          </w:p>
        </w:tc>
        <w:tc>
          <w:tcPr>
            <w:tcW w:w="555" w:type="pct"/>
            <w:shd w:val="clear" w:color="auto" w:fill="auto"/>
            <w:noWrap/>
            <w:vAlign w:val="center"/>
          </w:tcPr>
          <w:p w14:paraId="0167661F"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392</w:t>
            </w:r>
          </w:p>
        </w:tc>
      </w:tr>
      <w:tr w:rsidR="00D84719" w:rsidRPr="00D84719" w14:paraId="0A58439F" w14:textId="77777777" w:rsidTr="00D84719">
        <w:trPr>
          <w:trHeight w:val="159"/>
          <w:jc w:val="center"/>
        </w:trPr>
        <w:tc>
          <w:tcPr>
            <w:tcW w:w="405" w:type="pct"/>
            <w:shd w:val="clear" w:color="auto" w:fill="auto"/>
            <w:noWrap/>
            <w:vAlign w:val="center"/>
            <w:hideMark/>
          </w:tcPr>
          <w:p w14:paraId="0F1A05CB"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4.</w:t>
            </w:r>
          </w:p>
        </w:tc>
        <w:tc>
          <w:tcPr>
            <w:tcW w:w="2115" w:type="pct"/>
            <w:shd w:val="clear" w:color="auto" w:fill="auto"/>
            <w:noWrap/>
            <w:vAlign w:val="center"/>
            <w:hideMark/>
          </w:tcPr>
          <w:p w14:paraId="745CEB46" w14:textId="77777777" w:rsidR="00D84719" w:rsidRPr="00D84719" w:rsidRDefault="00D84719" w:rsidP="00D84719">
            <w:pPr>
              <w:spacing w:after="0" w:line="240" w:lineRule="auto"/>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Proizvodnja minerala</w:t>
            </w:r>
          </w:p>
        </w:tc>
        <w:tc>
          <w:tcPr>
            <w:tcW w:w="465" w:type="pct"/>
            <w:shd w:val="clear" w:color="auto" w:fill="auto"/>
            <w:noWrap/>
            <w:vAlign w:val="center"/>
          </w:tcPr>
          <w:p w14:paraId="2BBAD4EA"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177</w:t>
            </w:r>
          </w:p>
        </w:tc>
        <w:tc>
          <w:tcPr>
            <w:tcW w:w="396" w:type="pct"/>
            <w:shd w:val="clear" w:color="auto" w:fill="auto"/>
            <w:noWrap/>
            <w:vAlign w:val="center"/>
          </w:tcPr>
          <w:p w14:paraId="3986F1D8"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000</w:t>
            </w:r>
          </w:p>
        </w:tc>
        <w:tc>
          <w:tcPr>
            <w:tcW w:w="447" w:type="pct"/>
            <w:shd w:val="clear" w:color="auto" w:fill="auto"/>
            <w:noWrap/>
            <w:vAlign w:val="center"/>
          </w:tcPr>
          <w:p w14:paraId="08F8C756"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000</w:t>
            </w:r>
          </w:p>
        </w:tc>
        <w:tc>
          <w:tcPr>
            <w:tcW w:w="617" w:type="pct"/>
            <w:shd w:val="clear" w:color="auto" w:fill="auto"/>
            <w:noWrap/>
            <w:vAlign w:val="center"/>
          </w:tcPr>
          <w:p w14:paraId="4B03D5E1"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011</w:t>
            </w:r>
          </w:p>
        </w:tc>
        <w:tc>
          <w:tcPr>
            <w:tcW w:w="555" w:type="pct"/>
            <w:shd w:val="clear" w:color="auto" w:fill="auto"/>
            <w:noWrap/>
            <w:vAlign w:val="center"/>
          </w:tcPr>
          <w:p w14:paraId="6D30F5F2"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055</w:t>
            </w:r>
          </w:p>
        </w:tc>
      </w:tr>
      <w:tr w:rsidR="00D84719" w:rsidRPr="00D84719" w14:paraId="07E7CB13" w14:textId="77777777" w:rsidTr="00D84719">
        <w:trPr>
          <w:trHeight w:val="204"/>
          <w:jc w:val="center"/>
        </w:trPr>
        <w:tc>
          <w:tcPr>
            <w:tcW w:w="405" w:type="pct"/>
            <w:shd w:val="clear" w:color="auto" w:fill="auto"/>
            <w:noWrap/>
            <w:vAlign w:val="center"/>
            <w:hideMark/>
          </w:tcPr>
          <w:p w14:paraId="7726E43B"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5.</w:t>
            </w:r>
          </w:p>
        </w:tc>
        <w:tc>
          <w:tcPr>
            <w:tcW w:w="2115" w:type="pct"/>
            <w:shd w:val="clear" w:color="auto" w:fill="auto"/>
            <w:noWrap/>
            <w:vAlign w:val="center"/>
            <w:hideMark/>
          </w:tcPr>
          <w:p w14:paraId="2A0E917D" w14:textId="77777777" w:rsidR="00D84719" w:rsidRPr="00D84719" w:rsidRDefault="00D84719" w:rsidP="00D84719">
            <w:pPr>
              <w:spacing w:after="0" w:line="240" w:lineRule="auto"/>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Promet</w:t>
            </w:r>
          </w:p>
        </w:tc>
        <w:tc>
          <w:tcPr>
            <w:tcW w:w="465" w:type="pct"/>
            <w:shd w:val="clear" w:color="auto" w:fill="auto"/>
            <w:noWrap/>
            <w:vAlign w:val="center"/>
          </w:tcPr>
          <w:p w14:paraId="0BF02B2D"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254</w:t>
            </w:r>
          </w:p>
        </w:tc>
        <w:tc>
          <w:tcPr>
            <w:tcW w:w="396" w:type="pct"/>
            <w:shd w:val="clear" w:color="auto" w:fill="auto"/>
            <w:noWrap/>
            <w:vAlign w:val="center"/>
          </w:tcPr>
          <w:p w14:paraId="17B50AC2"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000</w:t>
            </w:r>
          </w:p>
        </w:tc>
        <w:tc>
          <w:tcPr>
            <w:tcW w:w="447" w:type="pct"/>
            <w:shd w:val="clear" w:color="auto" w:fill="auto"/>
            <w:noWrap/>
            <w:vAlign w:val="center"/>
          </w:tcPr>
          <w:p w14:paraId="176A6ACD"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000</w:t>
            </w:r>
          </w:p>
        </w:tc>
        <w:tc>
          <w:tcPr>
            <w:tcW w:w="617" w:type="pct"/>
            <w:shd w:val="clear" w:color="auto" w:fill="auto"/>
            <w:noWrap/>
            <w:vAlign w:val="center"/>
          </w:tcPr>
          <w:p w14:paraId="68900865"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000</w:t>
            </w:r>
          </w:p>
        </w:tc>
        <w:tc>
          <w:tcPr>
            <w:tcW w:w="555" w:type="pct"/>
            <w:shd w:val="clear" w:color="auto" w:fill="auto"/>
            <w:noWrap/>
            <w:vAlign w:val="center"/>
          </w:tcPr>
          <w:p w14:paraId="789F074B"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000</w:t>
            </w:r>
          </w:p>
        </w:tc>
      </w:tr>
      <w:tr w:rsidR="00D84719" w:rsidRPr="00D84719" w14:paraId="7FBEA197" w14:textId="77777777" w:rsidTr="00D84719">
        <w:trPr>
          <w:trHeight w:val="109"/>
          <w:jc w:val="center"/>
        </w:trPr>
        <w:tc>
          <w:tcPr>
            <w:tcW w:w="405" w:type="pct"/>
            <w:shd w:val="clear" w:color="auto" w:fill="auto"/>
            <w:noWrap/>
            <w:vAlign w:val="center"/>
            <w:hideMark/>
          </w:tcPr>
          <w:p w14:paraId="62665112"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6.</w:t>
            </w:r>
          </w:p>
        </w:tc>
        <w:tc>
          <w:tcPr>
            <w:tcW w:w="2115" w:type="pct"/>
            <w:shd w:val="clear" w:color="auto" w:fill="auto"/>
            <w:noWrap/>
            <w:vAlign w:val="center"/>
            <w:hideMark/>
          </w:tcPr>
          <w:p w14:paraId="0A411016" w14:textId="77777777" w:rsidR="00D84719" w:rsidRPr="00D84719" w:rsidRDefault="00D84719" w:rsidP="00D84719">
            <w:pPr>
              <w:spacing w:after="0" w:line="240" w:lineRule="auto"/>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Procesi gorenja na otvorenom</w:t>
            </w:r>
          </w:p>
        </w:tc>
        <w:tc>
          <w:tcPr>
            <w:tcW w:w="465" w:type="pct"/>
            <w:shd w:val="clear" w:color="auto" w:fill="auto"/>
            <w:noWrap/>
            <w:vAlign w:val="center"/>
          </w:tcPr>
          <w:p w14:paraId="7D12C8B9"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023</w:t>
            </w:r>
          </w:p>
        </w:tc>
        <w:tc>
          <w:tcPr>
            <w:tcW w:w="396" w:type="pct"/>
            <w:shd w:val="clear" w:color="auto" w:fill="auto"/>
            <w:noWrap/>
            <w:vAlign w:val="center"/>
          </w:tcPr>
          <w:p w14:paraId="54AB4BE7"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000</w:t>
            </w:r>
          </w:p>
        </w:tc>
        <w:tc>
          <w:tcPr>
            <w:tcW w:w="447" w:type="pct"/>
            <w:shd w:val="clear" w:color="auto" w:fill="auto"/>
            <w:noWrap/>
            <w:vAlign w:val="center"/>
          </w:tcPr>
          <w:p w14:paraId="4A8BCFEF"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003</w:t>
            </w:r>
          </w:p>
        </w:tc>
        <w:tc>
          <w:tcPr>
            <w:tcW w:w="617" w:type="pct"/>
            <w:shd w:val="clear" w:color="auto" w:fill="auto"/>
            <w:noWrap/>
            <w:vAlign w:val="center"/>
          </w:tcPr>
          <w:p w14:paraId="70B4D6B1"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000</w:t>
            </w:r>
          </w:p>
        </w:tc>
        <w:tc>
          <w:tcPr>
            <w:tcW w:w="555" w:type="pct"/>
            <w:shd w:val="clear" w:color="auto" w:fill="auto"/>
            <w:noWrap/>
            <w:vAlign w:val="center"/>
          </w:tcPr>
          <w:p w14:paraId="649D4074"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000</w:t>
            </w:r>
          </w:p>
        </w:tc>
      </w:tr>
      <w:tr w:rsidR="00D84719" w:rsidRPr="00D84719" w14:paraId="42E303A9" w14:textId="77777777" w:rsidTr="00D84719">
        <w:trPr>
          <w:trHeight w:val="300"/>
          <w:jc w:val="center"/>
        </w:trPr>
        <w:tc>
          <w:tcPr>
            <w:tcW w:w="405" w:type="pct"/>
            <w:shd w:val="clear" w:color="auto" w:fill="auto"/>
            <w:noWrap/>
            <w:vAlign w:val="center"/>
            <w:hideMark/>
          </w:tcPr>
          <w:p w14:paraId="4F4A1CEF"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7.</w:t>
            </w:r>
          </w:p>
        </w:tc>
        <w:tc>
          <w:tcPr>
            <w:tcW w:w="2115" w:type="pct"/>
            <w:shd w:val="clear" w:color="auto" w:fill="auto"/>
            <w:noWrap/>
            <w:vAlign w:val="center"/>
            <w:hideMark/>
          </w:tcPr>
          <w:p w14:paraId="6944D90F" w14:textId="77777777" w:rsidR="00D84719" w:rsidRPr="00D84719" w:rsidRDefault="00D84719" w:rsidP="00D84719">
            <w:pPr>
              <w:spacing w:after="0" w:line="240" w:lineRule="auto"/>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 xml:space="preserve">Proizvodnja kemikalija i potrošačkih roba </w:t>
            </w:r>
          </w:p>
        </w:tc>
        <w:tc>
          <w:tcPr>
            <w:tcW w:w="465" w:type="pct"/>
            <w:shd w:val="clear" w:color="auto" w:fill="auto"/>
            <w:noWrap/>
            <w:vAlign w:val="center"/>
          </w:tcPr>
          <w:p w14:paraId="1148054B"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000</w:t>
            </w:r>
          </w:p>
        </w:tc>
        <w:tc>
          <w:tcPr>
            <w:tcW w:w="396" w:type="pct"/>
            <w:shd w:val="clear" w:color="auto" w:fill="auto"/>
            <w:noWrap/>
            <w:vAlign w:val="center"/>
          </w:tcPr>
          <w:p w14:paraId="12FFD6DB"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000</w:t>
            </w:r>
          </w:p>
        </w:tc>
        <w:tc>
          <w:tcPr>
            <w:tcW w:w="447" w:type="pct"/>
            <w:shd w:val="clear" w:color="auto" w:fill="auto"/>
            <w:noWrap/>
            <w:vAlign w:val="center"/>
          </w:tcPr>
          <w:p w14:paraId="7BE24368"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000</w:t>
            </w:r>
          </w:p>
        </w:tc>
        <w:tc>
          <w:tcPr>
            <w:tcW w:w="617" w:type="pct"/>
            <w:shd w:val="clear" w:color="auto" w:fill="auto"/>
            <w:noWrap/>
            <w:vAlign w:val="center"/>
          </w:tcPr>
          <w:p w14:paraId="3240E14C"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629</w:t>
            </w:r>
          </w:p>
        </w:tc>
        <w:tc>
          <w:tcPr>
            <w:tcW w:w="555" w:type="pct"/>
            <w:shd w:val="clear" w:color="auto" w:fill="auto"/>
            <w:noWrap/>
            <w:vAlign w:val="center"/>
          </w:tcPr>
          <w:p w14:paraId="7E0FE577"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000</w:t>
            </w:r>
          </w:p>
        </w:tc>
      </w:tr>
      <w:tr w:rsidR="00D84719" w:rsidRPr="00D84719" w14:paraId="512972ED" w14:textId="77777777" w:rsidTr="00D84719">
        <w:trPr>
          <w:trHeight w:val="105"/>
          <w:jc w:val="center"/>
        </w:trPr>
        <w:tc>
          <w:tcPr>
            <w:tcW w:w="405" w:type="pct"/>
            <w:shd w:val="clear" w:color="auto" w:fill="auto"/>
            <w:noWrap/>
            <w:vAlign w:val="center"/>
            <w:hideMark/>
          </w:tcPr>
          <w:p w14:paraId="1A1046EF"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8.</w:t>
            </w:r>
          </w:p>
        </w:tc>
        <w:tc>
          <w:tcPr>
            <w:tcW w:w="2115" w:type="pct"/>
            <w:shd w:val="clear" w:color="auto" w:fill="auto"/>
            <w:noWrap/>
            <w:vAlign w:val="center"/>
            <w:hideMark/>
          </w:tcPr>
          <w:p w14:paraId="7D7DFECF" w14:textId="77777777" w:rsidR="00D84719" w:rsidRPr="00D84719" w:rsidRDefault="00D84719" w:rsidP="00D84719">
            <w:pPr>
              <w:spacing w:after="0" w:line="240" w:lineRule="auto"/>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Razno</w:t>
            </w:r>
          </w:p>
        </w:tc>
        <w:tc>
          <w:tcPr>
            <w:tcW w:w="465" w:type="pct"/>
            <w:shd w:val="clear" w:color="auto" w:fill="auto"/>
            <w:noWrap/>
            <w:vAlign w:val="center"/>
          </w:tcPr>
          <w:p w14:paraId="65A5500C"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003</w:t>
            </w:r>
          </w:p>
        </w:tc>
        <w:tc>
          <w:tcPr>
            <w:tcW w:w="396" w:type="pct"/>
            <w:shd w:val="clear" w:color="auto" w:fill="auto"/>
            <w:noWrap/>
            <w:vAlign w:val="center"/>
          </w:tcPr>
          <w:p w14:paraId="11FCB826"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000</w:t>
            </w:r>
          </w:p>
        </w:tc>
        <w:tc>
          <w:tcPr>
            <w:tcW w:w="447" w:type="pct"/>
            <w:shd w:val="clear" w:color="auto" w:fill="auto"/>
            <w:noWrap/>
            <w:vAlign w:val="center"/>
          </w:tcPr>
          <w:p w14:paraId="273150D7"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000</w:t>
            </w:r>
          </w:p>
        </w:tc>
        <w:tc>
          <w:tcPr>
            <w:tcW w:w="617" w:type="pct"/>
            <w:shd w:val="clear" w:color="auto" w:fill="auto"/>
            <w:noWrap/>
            <w:vAlign w:val="center"/>
          </w:tcPr>
          <w:p w14:paraId="29F70313"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000</w:t>
            </w:r>
          </w:p>
        </w:tc>
        <w:tc>
          <w:tcPr>
            <w:tcW w:w="555" w:type="pct"/>
            <w:shd w:val="clear" w:color="auto" w:fill="auto"/>
            <w:noWrap/>
            <w:vAlign w:val="center"/>
          </w:tcPr>
          <w:p w14:paraId="043DC7DF"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013</w:t>
            </w:r>
          </w:p>
        </w:tc>
      </w:tr>
      <w:tr w:rsidR="00D84719" w:rsidRPr="00D84719" w14:paraId="37488E6F" w14:textId="77777777" w:rsidTr="00D84719">
        <w:trPr>
          <w:trHeight w:val="150"/>
          <w:jc w:val="center"/>
        </w:trPr>
        <w:tc>
          <w:tcPr>
            <w:tcW w:w="405" w:type="pct"/>
            <w:shd w:val="clear" w:color="auto" w:fill="auto"/>
            <w:noWrap/>
            <w:vAlign w:val="center"/>
            <w:hideMark/>
          </w:tcPr>
          <w:p w14:paraId="3E2AE1CA"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9.</w:t>
            </w:r>
          </w:p>
        </w:tc>
        <w:tc>
          <w:tcPr>
            <w:tcW w:w="2115" w:type="pct"/>
            <w:shd w:val="clear" w:color="auto" w:fill="auto"/>
            <w:noWrap/>
            <w:vAlign w:val="center"/>
            <w:hideMark/>
          </w:tcPr>
          <w:p w14:paraId="0E24C73F" w14:textId="77777777" w:rsidR="00D84719" w:rsidRPr="00D84719" w:rsidRDefault="00D84719" w:rsidP="00D84719">
            <w:pPr>
              <w:spacing w:after="0" w:line="240" w:lineRule="auto"/>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Odlaganje otpada</w:t>
            </w:r>
          </w:p>
        </w:tc>
        <w:tc>
          <w:tcPr>
            <w:tcW w:w="465" w:type="pct"/>
            <w:shd w:val="clear" w:color="auto" w:fill="auto"/>
            <w:noWrap/>
            <w:vAlign w:val="center"/>
          </w:tcPr>
          <w:p w14:paraId="33FC6C97"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000</w:t>
            </w:r>
          </w:p>
        </w:tc>
        <w:tc>
          <w:tcPr>
            <w:tcW w:w="396" w:type="pct"/>
            <w:shd w:val="clear" w:color="auto" w:fill="auto"/>
            <w:noWrap/>
            <w:vAlign w:val="center"/>
          </w:tcPr>
          <w:p w14:paraId="75DEB93D"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373</w:t>
            </w:r>
          </w:p>
        </w:tc>
        <w:tc>
          <w:tcPr>
            <w:tcW w:w="447" w:type="pct"/>
            <w:shd w:val="clear" w:color="auto" w:fill="auto"/>
            <w:noWrap/>
            <w:vAlign w:val="center"/>
          </w:tcPr>
          <w:p w14:paraId="7C7557EF"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000</w:t>
            </w:r>
          </w:p>
        </w:tc>
        <w:tc>
          <w:tcPr>
            <w:tcW w:w="617" w:type="pct"/>
            <w:shd w:val="clear" w:color="auto" w:fill="auto"/>
            <w:noWrap/>
            <w:vAlign w:val="center"/>
          </w:tcPr>
          <w:p w14:paraId="3CBB78EA"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131</w:t>
            </w:r>
          </w:p>
        </w:tc>
        <w:tc>
          <w:tcPr>
            <w:tcW w:w="555" w:type="pct"/>
            <w:shd w:val="clear" w:color="auto" w:fill="auto"/>
            <w:noWrap/>
            <w:vAlign w:val="center"/>
          </w:tcPr>
          <w:p w14:paraId="7F1A840B"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7</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066</w:t>
            </w:r>
          </w:p>
        </w:tc>
      </w:tr>
      <w:tr w:rsidR="00D84719" w:rsidRPr="00D84719" w14:paraId="7A155860" w14:textId="77777777" w:rsidTr="00D84719">
        <w:trPr>
          <w:trHeight w:val="183"/>
          <w:jc w:val="center"/>
        </w:trPr>
        <w:tc>
          <w:tcPr>
            <w:tcW w:w="405" w:type="pct"/>
            <w:shd w:val="clear" w:color="auto" w:fill="auto"/>
            <w:noWrap/>
            <w:vAlign w:val="center"/>
            <w:hideMark/>
          </w:tcPr>
          <w:p w14:paraId="758D1CA6"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10.</w:t>
            </w:r>
          </w:p>
        </w:tc>
        <w:tc>
          <w:tcPr>
            <w:tcW w:w="2115" w:type="pct"/>
            <w:shd w:val="clear" w:color="auto" w:fill="auto"/>
            <w:noWrap/>
            <w:vAlign w:val="center"/>
            <w:hideMark/>
          </w:tcPr>
          <w:p w14:paraId="419114D3" w14:textId="77777777" w:rsidR="00D84719" w:rsidRPr="00D84719" w:rsidRDefault="00D84719" w:rsidP="00D84719">
            <w:pPr>
              <w:spacing w:after="0" w:line="240" w:lineRule="auto"/>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Identifikacija potencijalnih žarišnih točki</w:t>
            </w:r>
          </w:p>
        </w:tc>
        <w:tc>
          <w:tcPr>
            <w:tcW w:w="465" w:type="pct"/>
            <w:shd w:val="clear" w:color="auto" w:fill="auto"/>
            <w:noWrap/>
            <w:vAlign w:val="center"/>
          </w:tcPr>
          <w:p w14:paraId="75D8BAB1"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p>
        </w:tc>
        <w:tc>
          <w:tcPr>
            <w:tcW w:w="396" w:type="pct"/>
            <w:shd w:val="clear" w:color="auto" w:fill="auto"/>
            <w:noWrap/>
            <w:vAlign w:val="center"/>
          </w:tcPr>
          <w:p w14:paraId="167F028D"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p>
        </w:tc>
        <w:tc>
          <w:tcPr>
            <w:tcW w:w="447" w:type="pct"/>
            <w:shd w:val="clear" w:color="auto" w:fill="auto"/>
            <w:noWrap/>
            <w:vAlign w:val="center"/>
          </w:tcPr>
          <w:p w14:paraId="2191A494"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p>
        </w:tc>
        <w:tc>
          <w:tcPr>
            <w:tcW w:w="617" w:type="pct"/>
            <w:shd w:val="clear" w:color="auto" w:fill="auto"/>
            <w:noWrap/>
            <w:vAlign w:val="center"/>
          </w:tcPr>
          <w:p w14:paraId="6B6394EF"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000</w:t>
            </w:r>
          </w:p>
        </w:tc>
        <w:tc>
          <w:tcPr>
            <w:tcW w:w="555" w:type="pct"/>
            <w:shd w:val="clear" w:color="auto" w:fill="auto"/>
            <w:noWrap/>
            <w:vAlign w:val="center"/>
          </w:tcPr>
          <w:p w14:paraId="6655867D"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000</w:t>
            </w:r>
          </w:p>
        </w:tc>
      </w:tr>
      <w:tr w:rsidR="00D84719" w:rsidRPr="00D84719" w14:paraId="1DBD32AA" w14:textId="77777777" w:rsidTr="00D84719">
        <w:trPr>
          <w:trHeight w:val="146"/>
          <w:jc w:val="center"/>
        </w:trPr>
        <w:tc>
          <w:tcPr>
            <w:tcW w:w="405" w:type="pct"/>
            <w:shd w:val="clear" w:color="auto" w:fill="auto"/>
            <w:noWrap/>
            <w:vAlign w:val="center"/>
            <w:hideMark/>
          </w:tcPr>
          <w:p w14:paraId="1FEC5B74" w14:textId="77777777" w:rsidR="00D84719" w:rsidRPr="00D84719" w:rsidRDefault="00D84719" w:rsidP="00D84719">
            <w:pPr>
              <w:spacing w:after="0" w:line="240" w:lineRule="auto"/>
              <w:jc w:val="both"/>
              <w:rPr>
                <w:rFonts w:ascii="Times New Roman" w:eastAsia="Times New Roman" w:hAnsi="Times New Roman" w:cs="Times New Roman"/>
                <w:b/>
                <w:bCs/>
                <w:color w:val="000000"/>
                <w:sz w:val="20"/>
                <w:szCs w:val="20"/>
              </w:rPr>
            </w:pPr>
            <w:r w:rsidRPr="00D84719">
              <w:rPr>
                <w:rFonts w:ascii="Times New Roman" w:eastAsia="Times New Roman" w:hAnsi="Times New Roman" w:cs="Times New Roman"/>
                <w:b/>
                <w:bCs/>
                <w:color w:val="000000"/>
                <w:sz w:val="20"/>
                <w:szCs w:val="20"/>
              </w:rPr>
              <w:lastRenderedPageBreak/>
              <w:t>1-10</w:t>
            </w:r>
          </w:p>
        </w:tc>
        <w:tc>
          <w:tcPr>
            <w:tcW w:w="2115" w:type="pct"/>
            <w:shd w:val="clear" w:color="auto" w:fill="auto"/>
            <w:noWrap/>
            <w:vAlign w:val="center"/>
            <w:hideMark/>
          </w:tcPr>
          <w:p w14:paraId="497D3F4A" w14:textId="77777777" w:rsidR="00D84719" w:rsidRPr="00D84719" w:rsidRDefault="00D84719" w:rsidP="00D84719">
            <w:pPr>
              <w:spacing w:after="0" w:line="240" w:lineRule="auto"/>
              <w:jc w:val="both"/>
              <w:rPr>
                <w:rFonts w:ascii="Times New Roman" w:eastAsia="Times New Roman" w:hAnsi="Times New Roman" w:cs="Times New Roman"/>
                <w:b/>
                <w:bCs/>
                <w:color w:val="000000"/>
                <w:sz w:val="20"/>
                <w:szCs w:val="20"/>
              </w:rPr>
            </w:pPr>
            <w:r w:rsidRPr="00D84719">
              <w:rPr>
                <w:rFonts w:ascii="Times New Roman" w:eastAsia="Times New Roman" w:hAnsi="Times New Roman" w:cs="Times New Roman"/>
                <w:b/>
                <w:bCs/>
                <w:color w:val="000000"/>
                <w:sz w:val="20"/>
                <w:szCs w:val="20"/>
              </w:rPr>
              <w:t>Ukupno</w:t>
            </w:r>
          </w:p>
        </w:tc>
        <w:tc>
          <w:tcPr>
            <w:tcW w:w="465" w:type="pct"/>
            <w:shd w:val="clear" w:color="auto" w:fill="auto"/>
            <w:noWrap/>
            <w:vAlign w:val="center"/>
          </w:tcPr>
          <w:p w14:paraId="64F1E507" w14:textId="77777777" w:rsidR="00D84719" w:rsidRPr="00D84719" w:rsidRDefault="00D84719" w:rsidP="00D84719">
            <w:pPr>
              <w:spacing w:after="0" w:line="240" w:lineRule="auto"/>
              <w:jc w:val="both"/>
              <w:rPr>
                <w:rFonts w:ascii="Times New Roman" w:eastAsia="Times New Roman" w:hAnsi="Times New Roman" w:cs="Times New Roman"/>
                <w:b/>
                <w:bCs/>
                <w:color w:val="000000"/>
                <w:sz w:val="20"/>
                <w:szCs w:val="20"/>
              </w:rPr>
            </w:pPr>
            <w:r w:rsidRPr="00D84719">
              <w:rPr>
                <w:rFonts w:ascii="Times New Roman" w:eastAsia="Times New Roman" w:hAnsi="Times New Roman" w:cs="Times New Roman"/>
                <w:b/>
                <w:bCs/>
                <w:color w:val="000000"/>
                <w:sz w:val="20"/>
                <w:szCs w:val="20"/>
              </w:rPr>
              <w:t>21</w:t>
            </w:r>
            <w:r w:rsidR="00A20CBB">
              <w:rPr>
                <w:rFonts w:ascii="Times New Roman" w:eastAsia="Times New Roman" w:hAnsi="Times New Roman" w:cs="Times New Roman"/>
                <w:b/>
                <w:bCs/>
                <w:color w:val="000000"/>
                <w:sz w:val="20"/>
                <w:szCs w:val="20"/>
              </w:rPr>
              <w:t>,</w:t>
            </w:r>
            <w:r w:rsidRPr="00D84719">
              <w:rPr>
                <w:rFonts w:ascii="Times New Roman" w:eastAsia="Times New Roman" w:hAnsi="Times New Roman" w:cs="Times New Roman"/>
                <w:b/>
                <w:bCs/>
                <w:color w:val="000000"/>
                <w:sz w:val="20"/>
                <w:szCs w:val="20"/>
              </w:rPr>
              <w:t>337</w:t>
            </w:r>
          </w:p>
        </w:tc>
        <w:tc>
          <w:tcPr>
            <w:tcW w:w="396" w:type="pct"/>
            <w:shd w:val="clear" w:color="auto" w:fill="auto"/>
            <w:noWrap/>
            <w:vAlign w:val="center"/>
          </w:tcPr>
          <w:p w14:paraId="2EEC3402" w14:textId="77777777" w:rsidR="00D84719" w:rsidRPr="00D84719" w:rsidRDefault="00D84719" w:rsidP="00D84719">
            <w:pPr>
              <w:spacing w:after="0" w:line="240" w:lineRule="auto"/>
              <w:jc w:val="both"/>
              <w:rPr>
                <w:rFonts w:ascii="Times New Roman" w:eastAsia="Times New Roman" w:hAnsi="Times New Roman" w:cs="Times New Roman"/>
                <w:b/>
                <w:bCs/>
                <w:color w:val="000000"/>
                <w:sz w:val="20"/>
                <w:szCs w:val="20"/>
              </w:rPr>
            </w:pPr>
            <w:r w:rsidRPr="00D84719">
              <w:rPr>
                <w:rFonts w:ascii="Times New Roman" w:eastAsia="Times New Roman" w:hAnsi="Times New Roman" w:cs="Times New Roman"/>
                <w:b/>
                <w:bCs/>
                <w:color w:val="000000"/>
                <w:sz w:val="20"/>
                <w:szCs w:val="20"/>
              </w:rPr>
              <w:t>0</w:t>
            </w:r>
            <w:r w:rsidR="00A20CBB">
              <w:rPr>
                <w:rFonts w:ascii="Times New Roman" w:eastAsia="Times New Roman" w:hAnsi="Times New Roman" w:cs="Times New Roman"/>
                <w:b/>
                <w:bCs/>
                <w:color w:val="000000"/>
                <w:sz w:val="20"/>
                <w:szCs w:val="20"/>
              </w:rPr>
              <w:t>,</w:t>
            </w:r>
            <w:r w:rsidRPr="00D84719">
              <w:rPr>
                <w:rFonts w:ascii="Times New Roman" w:eastAsia="Times New Roman" w:hAnsi="Times New Roman" w:cs="Times New Roman"/>
                <w:b/>
                <w:bCs/>
                <w:color w:val="000000"/>
                <w:sz w:val="20"/>
                <w:szCs w:val="20"/>
              </w:rPr>
              <w:t>373</w:t>
            </w:r>
          </w:p>
        </w:tc>
        <w:tc>
          <w:tcPr>
            <w:tcW w:w="447" w:type="pct"/>
            <w:shd w:val="clear" w:color="auto" w:fill="auto"/>
            <w:noWrap/>
            <w:vAlign w:val="center"/>
          </w:tcPr>
          <w:p w14:paraId="3693EADF" w14:textId="77777777" w:rsidR="00D84719" w:rsidRPr="00D84719" w:rsidRDefault="00D84719" w:rsidP="00D84719">
            <w:pPr>
              <w:spacing w:after="0" w:line="240" w:lineRule="auto"/>
              <w:jc w:val="both"/>
              <w:rPr>
                <w:rFonts w:ascii="Times New Roman" w:eastAsia="Times New Roman" w:hAnsi="Times New Roman" w:cs="Times New Roman"/>
                <w:b/>
                <w:bCs/>
                <w:color w:val="000000"/>
                <w:sz w:val="20"/>
                <w:szCs w:val="20"/>
              </w:rPr>
            </w:pPr>
            <w:r w:rsidRPr="00D84719">
              <w:rPr>
                <w:rFonts w:ascii="Times New Roman" w:eastAsia="Times New Roman" w:hAnsi="Times New Roman" w:cs="Times New Roman"/>
                <w:b/>
                <w:bCs/>
                <w:color w:val="000000"/>
                <w:sz w:val="20"/>
                <w:szCs w:val="20"/>
              </w:rPr>
              <w:t>0</w:t>
            </w:r>
            <w:r w:rsidR="00A20CBB">
              <w:rPr>
                <w:rFonts w:ascii="Times New Roman" w:eastAsia="Times New Roman" w:hAnsi="Times New Roman" w:cs="Times New Roman"/>
                <w:b/>
                <w:bCs/>
                <w:color w:val="000000"/>
                <w:sz w:val="20"/>
                <w:szCs w:val="20"/>
              </w:rPr>
              <w:t>,</w:t>
            </w:r>
            <w:r w:rsidRPr="00D84719">
              <w:rPr>
                <w:rFonts w:ascii="Times New Roman" w:eastAsia="Times New Roman" w:hAnsi="Times New Roman" w:cs="Times New Roman"/>
                <w:b/>
                <w:bCs/>
                <w:color w:val="000000"/>
                <w:sz w:val="20"/>
                <w:szCs w:val="20"/>
              </w:rPr>
              <w:t>003</w:t>
            </w:r>
          </w:p>
        </w:tc>
        <w:tc>
          <w:tcPr>
            <w:tcW w:w="617" w:type="pct"/>
            <w:shd w:val="clear" w:color="auto" w:fill="auto"/>
            <w:noWrap/>
            <w:vAlign w:val="center"/>
          </w:tcPr>
          <w:p w14:paraId="63A6450D" w14:textId="77777777" w:rsidR="00D84719" w:rsidRPr="00D84719" w:rsidRDefault="00D84719" w:rsidP="00D84719">
            <w:pPr>
              <w:spacing w:after="0" w:line="240" w:lineRule="auto"/>
              <w:jc w:val="both"/>
              <w:rPr>
                <w:rFonts w:ascii="Times New Roman" w:eastAsia="Times New Roman" w:hAnsi="Times New Roman" w:cs="Times New Roman"/>
                <w:b/>
                <w:bCs/>
                <w:color w:val="000000"/>
                <w:sz w:val="20"/>
                <w:szCs w:val="20"/>
              </w:rPr>
            </w:pPr>
            <w:r w:rsidRPr="00D84719">
              <w:rPr>
                <w:rFonts w:ascii="Times New Roman" w:eastAsia="Times New Roman" w:hAnsi="Times New Roman" w:cs="Times New Roman"/>
                <w:b/>
                <w:bCs/>
                <w:color w:val="000000"/>
                <w:sz w:val="20"/>
                <w:szCs w:val="20"/>
              </w:rPr>
              <w:t>0</w:t>
            </w:r>
            <w:r w:rsidR="00A20CBB">
              <w:rPr>
                <w:rFonts w:ascii="Times New Roman" w:eastAsia="Times New Roman" w:hAnsi="Times New Roman" w:cs="Times New Roman"/>
                <w:b/>
                <w:bCs/>
                <w:color w:val="000000"/>
                <w:sz w:val="20"/>
                <w:szCs w:val="20"/>
              </w:rPr>
              <w:t>,</w:t>
            </w:r>
            <w:r w:rsidRPr="00D84719">
              <w:rPr>
                <w:rFonts w:ascii="Times New Roman" w:eastAsia="Times New Roman" w:hAnsi="Times New Roman" w:cs="Times New Roman"/>
                <w:b/>
                <w:bCs/>
                <w:color w:val="000000"/>
                <w:sz w:val="20"/>
                <w:szCs w:val="20"/>
              </w:rPr>
              <w:t>771</w:t>
            </w:r>
          </w:p>
        </w:tc>
        <w:tc>
          <w:tcPr>
            <w:tcW w:w="555" w:type="pct"/>
            <w:shd w:val="clear" w:color="auto" w:fill="auto"/>
            <w:noWrap/>
            <w:vAlign w:val="center"/>
          </w:tcPr>
          <w:p w14:paraId="7CB3EDF8" w14:textId="77777777" w:rsidR="00D84719" w:rsidRPr="00D84719" w:rsidRDefault="00D84719" w:rsidP="00D84719">
            <w:pPr>
              <w:spacing w:after="0" w:line="240" w:lineRule="auto"/>
              <w:jc w:val="both"/>
              <w:rPr>
                <w:rFonts w:ascii="Times New Roman" w:eastAsia="Times New Roman" w:hAnsi="Times New Roman" w:cs="Times New Roman"/>
                <w:b/>
                <w:bCs/>
                <w:color w:val="000000"/>
                <w:sz w:val="20"/>
                <w:szCs w:val="20"/>
              </w:rPr>
            </w:pPr>
            <w:r w:rsidRPr="00D84719">
              <w:rPr>
                <w:rFonts w:ascii="Times New Roman" w:eastAsia="Times New Roman" w:hAnsi="Times New Roman" w:cs="Times New Roman"/>
                <w:b/>
                <w:bCs/>
                <w:color w:val="000000"/>
                <w:sz w:val="20"/>
                <w:szCs w:val="20"/>
              </w:rPr>
              <w:t>7</w:t>
            </w:r>
            <w:r w:rsidR="00A20CBB">
              <w:rPr>
                <w:rFonts w:ascii="Times New Roman" w:eastAsia="Times New Roman" w:hAnsi="Times New Roman" w:cs="Times New Roman"/>
                <w:b/>
                <w:bCs/>
                <w:color w:val="000000"/>
                <w:sz w:val="20"/>
                <w:szCs w:val="20"/>
              </w:rPr>
              <w:t>,</w:t>
            </w:r>
            <w:r w:rsidRPr="00D84719">
              <w:rPr>
                <w:rFonts w:ascii="Times New Roman" w:eastAsia="Times New Roman" w:hAnsi="Times New Roman" w:cs="Times New Roman"/>
                <w:b/>
                <w:bCs/>
                <w:color w:val="000000"/>
                <w:sz w:val="20"/>
                <w:szCs w:val="20"/>
              </w:rPr>
              <w:t>910</w:t>
            </w:r>
          </w:p>
        </w:tc>
      </w:tr>
      <w:tr w:rsidR="00D84719" w:rsidRPr="00D84719" w14:paraId="612FC8F6" w14:textId="77777777" w:rsidTr="00D84719">
        <w:trPr>
          <w:trHeight w:val="60"/>
          <w:jc w:val="center"/>
        </w:trPr>
        <w:tc>
          <w:tcPr>
            <w:tcW w:w="2520" w:type="pct"/>
            <w:gridSpan w:val="2"/>
            <w:shd w:val="clear" w:color="auto" w:fill="auto"/>
            <w:noWrap/>
            <w:vAlign w:val="center"/>
            <w:hideMark/>
          </w:tcPr>
          <w:p w14:paraId="7E4D6910" w14:textId="77777777" w:rsidR="00D84719" w:rsidRPr="00D84719" w:rsidRDefault="00D84719" w:rsidP="00D84719">
            <w:pPr>
              <w:spacing w:after="0" w:line="240" w:lineRule="auto"/>
              <w:jc w:val="both"/>
              <w:rPr>
                <w:rFonts w:ascii="Times New Roman" w:eastAsia="Times New Roman" w:hAnsi="Times New Roman" w:cs="Times New Roman"/>
                <w:b/>
                <w:color w:val="000000"/>
                <w:sz w:val="20"/>
                <w:szCs w:val="20"/>
              </w:rPr>
            </w:pPr>
            <w:r w:rsidRPr="00D84719">
              <w:rPr>
                <w:rFonts w:ascii="Times New Roman" w:eastAsia="Times New Roman" w:hAnsi="Times New Roman" w:cs="Times New Roman"/>
                <w:b/>
                <w:color w:val="000000"/>
                <w:sz w:val="20"/>
                <w:szCs w:val="20"/>
              </w:rPr>
              <w:t>SVEUKUPNO</w:t>
            </w:r>
          </w:p>
        </w:tc>
        <w:tc>
          <w:tcPr>
            <w:tcW w:w="2480" w:type="pct"/>
            <w:gridSpan w:val="5"/>
            <w:shd w:val="clear" w:color="auto" w:fill="auto"/>
            <w:noWrap/>
            <w:vAlign w:val="center"/>
          </w:tcPr>
          <w:p w14:paraId="7AC48BB0" w14:textId="77777777" w:rsidR="00D84719" w:rsidRPr="00D84719" w:rsidRDefault="00D84719" w:rsidP="00D84719">
            <w:pPr>
              <w:spacing w:after="0" w:line="240" w:lineRule="auto"/>
              <w:jc w:val="both"/>
              <w:rPr>
                <w:rFonts w:ascii="Times New Roman" w:eastAsia="Times New Roman" w:hAnsi="Times New Roman" w:cs="Times New Roman"/>
                <w:b/>
                <w:bCs/>
                <w:color w:val="000000"/>
                <w:sz w:val="20"/>
                <w:szCs w:val="20"/>
              </w:rPr>
            </w:pPr>
            <w:r w:rsidRPr="00D84719">
              <w:rPr>
                <w:rFonts w:ascii="Times New Roman" w:eastAsia="Times New Roman" w:hAnsi="Times New Roman" w:cs="Times New Roman"/>
                <w:b/>
                <w:bCs/>
                <w:color w:val="000000"/>
                <w:sz w:val="20"/>
                <w:szCs w:val="20"/>
              </w:rPr>
              <w:t>30</w:t>
            </w:r>
            <w:r w:rsidR="00A20CBB">
              <w:rPr>
                <w:rFonts w:ascii="Times New Roman" w:eastAsia="Times New Roman" w:hAnsi="Times New Roman" w:cs="Times New Roman"/>
                <w:b/>
                <w:bCs/>
                <w:color w:val="000000"/>
                <w:sz w:val="20"/>
                <w:szCs w:val="20"/>
              </w:rPr>
              <w:t>,</w:t>
            </w:r>
            <w:r w:rsidRPr="00D84719">
              <w:rPr>
                <w:rFonts w:ascii="Times New Roman" w:eastAsia="Times New Roman" w:hAnsi="Times New Roman" w:cs="Times New Roman"/>
                <w:b/>
                <w:bCs/>
                <w:color w:val="000000"/>
                <w:sz w:val="20"/>
                <w:szCs w:val="20"/>
              </w:rPr>
              <w:t>4</w:t>
            </w:r>
          </w:p>
        </w:tc>
      </w:tr>
    </w:tbl>
    <w:p w14:paraId="013D601C" w14:textId="77777777" w:rsidR="00D84719" w:rsidRPr="00D84719" w:rsidRDefault="00D84719" w:rsidP="00D84719">
      <w:pPr>
        <w:spacing w:before="80" w:line="276" w:lineRule="auto"/>
        <w:jc w:val="both"/>
        <w:rPr>
          <w:rFonts w:ascii="Times New Roman" w:eastAsia="Times New Roman" w:hAnsi="Times New Roman" w:cs="Times New Roman"/>
          <w:color w:val="000000"/>
          <w:szCs w:val="24"/>
          <w:lang w:bidi="en-US"/>
        </w:rPr>
      </w:pPr>
    </w:p>
    <w:p w14:paraId="2A9CC460" w14:textId="3323FDC7" w:rsidR="00D84719" w:rsidRPr="00D84719" w:rsidRDefault="00D84719" w:rsidP="00D84719">
      <w:pPr>
        <w:keepNext/>
        <w:spacing w:before="80" w:after="0" w:line="276" w:lineRule="auto"/>
        <w:jc w:val="both"/>
        <w:rPr>
          <w:rFonts w:ascii="Times New Roman" w:eastAsia="Times New Roman" w:hAnsi="Times New Roman" w:cs="Times New Roman"/>
          <w:b/>
          <w:bCs/>
          <w:i/>
          <w:sz w:val="20"/>
          <w:szCs w:val="20"/>
        </w:rPr>
      </w:pPr>
      <w:r w:rsidRPr="00D84719">
        <w:rPr>
          <w:rFonts w:ascii="Times New Roman" w:eastAsia="Times New Roman" w:hAnsi="Times New Roman" w:cs="Times New Roman"/>
          <w:b/>
          <w:bCs/>
          <w:i/>
          <w:sz w:val="20"/>
          <w:szCs w:val="20"/>
        </w:rPr>
        <w:t xml:space="preserve">Tablica </w:t>
      </w:r>
      <w:r w:rsidRPr="00D84719">
        <w:rPr>
          <w:rFonts w:ascii="Times New Roman" w:eastAsia="Times New Roman" w:hAnsi="Times New Roman" w:cs="Times New Roman"/>
          <w:b/>
          <w:bCs/>
          <w:i/>
          <w:sz w:val="20"/>
          <w:szCs w:val="20"/>
        </w:rPr>
        <w:fldChar w:fldCharType="begin"/>
      </w:r>
      <w:r w:rsidRPr="00D84719">
        <w:rPr>
          <w:rFonts w:ascii="Times New Roman" w:eastAsia="Times New Roman" w:hAnsi="Times New Roman" w:cs="Times New Roman"/>
          <w:b/>
          <w:bCs/>
          <w:i/>
          <w:sz w:val="20"/>
          <w:szCs w:val="20"/>
        </w:rPr>
        <w:instrText xml:space="preserve"> STYLEREF 2 \s </w:instrText>
      </w:r>
      <w:r w:rsidRPr="00D84719">
        <w:rPr>
          <w:rFonts w:ascii="Times New Roman" w:eastAsia="Times New Roman" w:hAnsi="Times New Roman" w:cs="Times New Roman"/>
          <w:b/>
          <w:bCs/>
          <w:i/>
          <w:sz w:val="20"/>
          <w:szCs w:val="20"/>
        </w:rPr>
        <w:fldChar w:fldCharType="separate"/>
      </w:r>
      <w:r w:rsidRPr="00D84719">
        <w:rPr>
          <w:rFonts w:ascii="Times New Roman" w:eastAsia="Times New Roman" w:hAnsi="Times New Roman" w:cs="Times New Roman"/>
          <w:b/>
          <w:bCs/>
          <w:i/>
          <w:sz w:val="20"/>
          <w:szCs w:val="20"/>
        </w:rPr>
        <w:t>3.4</w:t>
      </w:r>
      <w:r w:rsidRPr="00D84719">
        <w:rPr>
          <w:rFonts w:ascii="Times New Roman" w:eastAsia="Times New Roman" w:hAnsi="Times New Roman" w:cs="Times New Roman"/>
          <w:b/>
          <w:bCs/>
          <w:i/>
          <w:sz w:val="20"/>
          <w:szCs w:val="20"/>
        </w:rPr>
        <w:fldChar w:fldCharType="end"/>
      </w:r>
      <w:r w:rsidRPr="00D84719">
        <w:rPr>
          <w:rFonts w:ascii="Times New Roman" w:eastAsia="Times New Roman" w:hAnsi="Times New Roman" w:cs="Times New Roman"/>
          <w:b/>
          <w:bCs/>
          <w:i/>
          <w:sz w:val="20"/>
          <w:szCs w:val="20"/>
        </w:rPr>
        <w:noBreakHyphen/>
        <w:t>10: Ukupne emisije PCDD/PCDF-a prema glavnim kategorijama u 2017</w:t>
      </w:r>
      <w:r w:rsidR="004C449C">
        <w:rPr>
          <w:rFonts w:ascii="Times New Roman" w:eastAsia="Times New Roman" w:hAnsi="Times New Roman" w:cs="Times New Roman"/>
          <w:b/>
          <w:bCs/>
          <w:i/>
          <w:sz w:val="20"/>
          <w:szCs w:val="20"/>
        </w:rPr>
        <w:t>.</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733"/>
        <w:gridCol w:w="3829"/>
        <w:gridCol w:w="842"/>
        <w:gridCol w:w="717"/>
        <w:gridCol w:w="809"/>
        <w:gridCol w:w="1117"/>
        <w:gridCol w:w="1005"/>
      </w:tblGrid>
      <w:tr w:rsidR="00D84719" w:rsidRPr="00D84719" w14:paraId="44203661" w14:textId="77777777" w:rsidTr="00D84719">
        <w:trPr>
          <w:trHeight w:val="227"/>
          <w:tblHeader/>
          <w:jc w:val="center"/>
        </w:trPr>
        <w:tc>
          <w:tcPr>
            <w:tcW w:w="405" w:type="pct"/>
            <w:vMerge w:val="restart"/>
            <w:shd w:val="clear" w:color="auto" w:fill="D9D9D9"/>
            <w:noWrap/>
            <w:vAlign w:val="center"/>
            <w:hideMark/>
          </w:tcPr>
          <w:p w14:paraId="5B26652D" w14:textId="77777777" w:rsidR="00D84719" w:rsidRPr="00D84719" w:rsidRDefault="00D84719" w:rsidP="00D84719">
            <w:pPr>
              <w:spacing w:after="0" w:line="240" w:lineRule="auto"/>
              <w:jc w:val="center"/>
              <w:rPr>
                <w:rFonts w:ascii="Times New Roman" w:eastAsia="Times New Roman" w:hAnsi="Times New Roman" w:cs="Times New Roman"/>
                <w:b/>
                <w:color w:val="000000"/>
                <w:sz w:val="20"/>
                <w:szCs w:val="20"/>
              </w:rPr>
            </w:pPr>
            <w:r w:rsidRPr="00D84719">
              <w:rPr>
                <w:rFonts w:ascii="Times New Roman" w:eastAsia="Times New Roman" w:hAnsi="Times New Roman" w:cs="Times New Roman"/>
                <w:b/>
                <w:color w:val="000000"/>
                <w:sz w:val="20"/>
                <w:szCs w:val="20"/>
              </w:rPr>
              <w:t>Br.</w:t>
            </w:r>
          </w:p>
        </w:tc>
        <w:tc>
          <w:tcPr>
            <w:tcW w:w="2115" w:type="pct"/>
            <w:vMerge w:val="restart"/>
            <w:shd w:val="clear" w:color="auto" w:fill="D9D9D9"/>
            <w:noWrap/>
            <w:vAlign w:val="center"/>
            <w:hideMark/>
          </w:tcPr>
          <w:p w14:paraId="6B044D91" w14:textId="77777777" w:rsidR="00D84719" w:rsidRPr="00D84719" w:rsidRDefault="00D84719" w:rsidP="00D84719">
            <w:pPr>
              <w:spacing w:after="0" w:line="240" w:lineRule="auto"/>
              <w:jc w:val="center"/>
              <w:rPr>
                <w:rFonts w:ascii="Times New Roman" w:eastAsia="Times New Roman" w:hAnsi="Times New Roman" w:cs="Times New Roman"/>
                <w:b/>
                <w:color w:val="000000"/>
                <w:sz w:val="20"/>
                <w:szCs w:val="20"/>
              </w:rPr>
            </w:pPr>
            <w:r w:rsidRPr="00D84719">
              <w:rPr>
                <w:rFonts w:ascii="Times New Roman" w:eastAsia="Times New Roman" w:hAnsi="Times New Roman" w:cs="Times New Roman"/>
                <w:b/>
                <w:color w:val="000000"/>
                <w:sz w:val="20"/>
                <w:szCs w:val="20"/>
              </w:rPr>
              <w:t>Grupe izvora</w:t>
            </w:r>
          </w:p>
        </w:tc>
        <w:tc>
          <w:tcPr>
            <w:tcW w:w="2480" w:type="pct"/>
            <w:gridSpan w:val="5"/>
            <w:shd w:val="clear" w:color="auto" w:fill="D9D9D9"/>
            <w:noWrap/>
            <w:vAlign w:val="center"/>
            <w:hideMark/>
          </w:tcPr>
          <w:p w14:paraId="1F20B082" w14:textId="77777777" w:rsidR="00D84719" w:rsidRPr="00D84719" w:rsidRDefault="00D84719" w:rsidP="00D84719">
            <w:pPr>
              <w:spacing w:after="0" w:line="240" w:lineRule="auto"/>
              <w:jc w:val="center"/>
              <w:rPr>
                <w:rFonts w:ascii="Times New Roman" w:eastAsia="Times New Roman" w:hAnsi="Times New Roman" w:cs="Times New Roman"/>
                <w:b/>
                <w:color w:val="000000"/>
                <w:sz w:val="20"/>
                <w:szCs w:val="20"/>
              </w:rPr>
            </w:pPr>
            <w:r w:rsidRPr="00D84719">
              <w:rPr>
                <w:rFonts w:ascii="Times New Roman" w:eastAsia="Times New Roman" w:hAnsi="Times New Roman" w:cs="Times New Roman"/>
                <w:b/>
                <w:color w:val="000000"/>
                <w:sz w:val="20"/>
                <w:szCs w:val="20"/>
              </w:rPr>
              <w:t>Godišnje ispuštanje (g TEQ godina</w:t>
            </w:r>
            <w:r w:rsidRPr="00D84719">
              <w:rPr>
                <w:rFonts w:ascii="Times New Roman" w:eastAsia="Times New Roman" w:hAnsi="Times New Roman" w:cs="Times New Roman"/>
                <w:b/>
                <w:color w:val="000000"/>
                <w:sz w:val="20"/>
                <w:szCs w:val="20"/>
                <w:vertAlign w:val="superscript"/>
              </w:rPr>
              <w:t>-1</w:t>
            </w:r>
            <w:r w:rsidRPr="00D84719">
              <w:rPr>
                <w:rFonts w:ascii="Times New Roman" w:eastAsia="Times New Roman" w:hAnsi="Times New Roman" w:cs="Times New Roman"/>
                <w:b/>
                <w:color w:val="000000"/>
                <w:sz w:val="20"/>
                <w:szCs w:val="20"/>
              </w:rPr>
              <w:t>)</w:t>
            </w:r>
          </w:p>
        </w:tc>
      </w:tr>
      <w:tr w:rsidR="00D84719" w:rsidRPr="00D84719" w14:paraId="6B687B9C" w14:textId="77777777" w:rsidTr="00D84719">
        <w:trPr>
          <w:trHeight w:val="130"/>
          <w:tblHeader/>
          <w:jc w:val="center"/>
        </w:trPr>
        <w:tc>
          <w:tcPr>
            <w:tcW w:w="405" w:type="pct"/>
            <w:vMerge/>
            <w:shd w:val="clear" w:color="auto" w:fill="D9D9D9"/>
            <w:noWrap/>
            <w:vAlign w:val="center"/>
            <w:hideMark/>
          </w:tcPr>
          <w:p w14:paraId="22D30833" w14:textId="77777777" w:rsidR="00D84719" w:rsidRPr="00D84719" w:rsidRDefault="00D84719" w:rsidP="00D84719">
            <w:pPr>
              <w:spacing w:after="0" w:line="240" w:lineRule="auto"/>
              <w:jc w:val="center"/>
              <w:rPr>
                <w:rFonts w:ascii="Times New Roman" w:eastAsia="Times New Roman" w:hAnsi="Times New Roman" w:cs="Times New Roman"/>
                <w:b/>
                <w:color w:val="000000"/>
                <w:sz w:val="20"/>
                <w:szCs w:val="20"/>
              </w:rPr>
            </w:pPr>
          </w:p>
        </w:tc>
        <w:tc>
          <w:tcPr>
            <w:tcW w:w="2115" w:type="pct"/>
            <w:vMerge/>
            <w:shd w:val="clear" w:color="auto" w:fill="D9D9D9"/>
            <w:noWrap/>
            <w:vAlign w:val="center"/>
            <w:hideMark/>
          </w:tcPr>
          <w:p w14:paraId="14EE41A8" w14:textId="77777777" w:rsidR="00D84719" w:rsidRPr="00D84719" w:rsidRDefault="00D84719" w:rsidP="00D84719">
            <w:pPr>
              <w:spacing w:after="0" w:line="240" w:lineRule="auto"/>
              <w:jc w:val="center"/>
              <w:rPr>
                <w:rFonts w:ascii="Times New Roman" w:eastAsia="Times New Roman" w:hAnsi="Times New Roman" w:cs="Times New Roman"/>
                <w:b/>
                <w:color w:val="000000"/>
                <w:sz w:val="20"/>
                <w:szCs w:val="20"/>
              </w:rPr>
            </w:pPr>
          </w:p>
        </w:tc>
        <w:tc>
          <w:tcPr>
            <w:tcW w:w="465" w:type="pct"/>
            <w:shd w:val="clear" w:color="auto" w:fill="D9D9D9"/>
            <w:noWrap/>
            <w:vAlign w:val="center"/>
            <w:hideMark/>
          </w:tcPr>
          <w:p w14:paraId="13597531" w14:textId="77777777" w:rsidR="00D84719" w:rsidRPr="00D84719" w:rsidRDefault="00D84719" w:rsidP="00D84719">
            <w:pPr>
              <w:spacing w:after="0" w:line="240" w:lineRule="auto"/>
              <w:jc w:val="center"/>
              <w:rPr>
                <w:rFonts w:ascii="Times New Roman" w:eastAsia="Times New Roman" w:hAnsi="Times New Roman" w:cs="Times New Roman"/>
                <w:b/>
                <w:color w:val="000000"/>
                <w:sz w:val="20"/>
                <w:szCs w:val="20"/>
              </w:rPr>
            </w:pPr>
            <w:r w:rsidRPr="00D84719">
              <w:rPr>
                <w:rFonts w:ascii="Times New Roman" w:eastAsia="Times New Roman" w:hAnsi="Times New Roman" w:cs="Times New Roman"/>
                <w:b/>
                <w:color w:val="000000"/>
                <w:sz w:val="20"/>
                <w:szCs w:val="20"/>
              </w:rPr>
              <w:t>Zrak</w:t>
            </w:r>
          </w:p>
        </w:tc>
        <w:tc>
          <w:tcPr>
            <w:tcW w:w="396" w:type="pct"/>
            <w:shd w:val="clear" w:color="auto" w:fill="D9D9D9"/>
            <w:noWrap/>
            <w:vAlign w:val="center"/>
            <w:hideMark/>
          </w:tcPr>
          <w:p w14:paraId="69F1A440" w14:textId="77777777" w:rsidR="00D84719" w:rsidRPr="00D84719" w:rsidRDefault="00D84719" w:rsidP="00D84719">
            <w:pPr>
              <w:spacing w:after="0" w:line="240" w:lineRule="auto"/>
              <w:jc w:val="center"/>
              <w:rPr>
                <w:rFonts w:ascii="Times New Roman" w:eastAsia="Times New Roman" w:hAnsi="Times New Roman" w:cs="Times New Roman"/>
                <w:b/>
                <w:color w:val="000000"/>
                <w:sz w:val="20"/>
                <w:szCs w:val="20"/>
              </w:rPr>
            </w:pPr>
            <w:r w:rsidRPr="00D84719">
              <w:rPr>
                <w:rFonts w:ascii="Times New Roman" w:eastAsia="Times New Roman" w:hAnsi="Times New Roman" w:cs="Times New Roman"/>
                <w:b/>
                <w:color w:val="000000"/>
                <w:sz w:val="20"/>
                <w:szCs w:val="20"/>
              </w:rPr>
              <w:t>Vode</w:t>
            </w:r>
          </w:p>
        </w:tc>
        <w:tc>
          <w:tcPr>
            <w:tcW w:w="447" w:type="pct"/>
            <w:shd w:val="clear" w:color="auto" w:fill="D9D9D9"/>
            <w:noWrap/>
            <w:vAlign w:val="center"/>
            <w:hideMark/>
          </w:tcPr>
          <w:p w14:paraId="76372814" w14:textId="77777777" w:rsidR="00D84719" w:rsidRPr="00D84719" w:rsidRDefault="00D84719" w:rsidP="00D84719">
            <w:pPr>
              <w:spacing w:after="0" w:line="240" w:lineRule="auto"/>
              <w:jc w:val="center"/>
              <w:rPr>
                <w:rFonts w:ascii="Times New Roman" w:eastAsia="Times New Roman" w:hAnsi="Times New Roman" w:cs="Times New Roman"/>
                <w:b/>
                <w:color w:val="000000"/>
                <w:sz w:val="20"/>
                <w:szCs w:val="20"/>
              </w:rPr>
            </w:pPr>
            <w:r w:rsidRPr="00D84719">
              <w:rPr>
                <w:rFonts w:ascii="Times New Roman" w:eastAsia="Times New Roman" w:hAnsi="Times New Roman" w:cs="Times New Roman"/>
                <w:b/>
                <w:color w:val="000000"/>
                <w:sz w:val="20"/>
                <w:szCs w:val="20"/>
              </w:rPr>
              <w:t>Tlo</w:t>
            </w:r>
          </w:p>
        </w:tc>
        <w:tc>
          <w:tcPr>
            <w:tcW w:w="617" w:type="pct"/>
            <w:shd w:val="clear" w:color="auto" w:fill="D9D9D9"/>
            <w:noWrap/>
            <w:vAlign w:val="center"/>
            <w:hideMark/>
          </w:tcPr>
          <w:p w14:paraId="3D0978A2" w14:textId="77777777" w:rsidR="00D84719" w:rsidRPr="00D84719" w:rsidRDefault="00D84719" w:rsidP="00D84719">
            <w:pPr>
              <w:spacing w:after="0" w:line="240" w:lineRule="auto"/>
              <w:jc w:val="center"/>
              <w:rPr>
                <w:rFonts w:ascii="Times New Roman" w:eastAsia="Times New Roman" w:hAnsi="Times New Roman" w:cs="Times New Roman"/>
                <w:b/>
                <w:color w:val="000000"/>
                <w:sz w:val="20"/>
                <w:szCs w:val="20"/>
              </w:rPr>
            </w:pPr>
            <w:r w:rsidRPr="00D84719">
              <w:rPr>
                <w:rFonts w:ascii="Times New Roman" w:eastAsia="Times New Roman" w:hAnsi="Times New Roman" w:cs="Times New Roman"/>
                <w:b/>
                <w:color w:val="000000"/>
                <w:sz w:val="20"/>
                <w:szCs w:val="20"/>
              </w:rPr>
              <w:t>Proizvodi</w:t>
            </w:r>
          </w:p>
        </w:tc>
        <w:tc>
          <w:tcPr>
            <w:tcW w:w="555" w:type="pct"/>
            <w:shd w:val="clear" w:color="auto" w:fill="D9D9D9"/>
            <w:noWrap/>
            <w:vAlign w:val="center"/>
            <w:hideMark/>
          </w:tcPr>
          <w:p w14:paraId="2F65B1F3" w14:textId="77777777" w:rsidR="00D84719" w:rsidRPr="00D84719" w:rsidRDefault="00D84719" w:rsidP="00D84719">
            <w:pPr>
              <w:spacing w:after="0" w:line="240" w:lineRule="auto"/>
              <w:jc w:val="center"/>
              <w:rPr>
                <w:rFonts w:ascii="Times New Roman" w:eastAsia="Times New Roman" w:hAnsi="Times New Roman" w:cs="Times New Roman"/>
                <w:b/>
                <w:color w:val="000000"/>
                <w:sz w:val="20"/>
                <w:szCs w:val="20"/>
              </w:rPr>
            </w:pPr>
            <w:r w:rsidRPr="00D84719">
              <w:rPr>
                <w:rFonts w:ascii="Times New Roman" w:eastAsia="Times New Roman" w:hAnsi="Times New Roman" w:cs="Times New Roman"/>
                <w:b/>
                <w:color w:val="000000"/>
                <w:sz w:val="20"/>
                <w:szCs w:val="20"/>
              </w:rPr>
              <w:t>Ostatak</w:t>
            </w:r>
          </w:p>
        </w:tc>
      </w:tr>
      <w:tr w:rsidR="00D84719" w:rsidRPr="00D84719" w14:paraId="78E8C8BE" w14:textId="77777777" w:rsidTr="00D84719">
        <w:trPr>
          <w:trHeight w:val="60"/>
          <w:jc w:val="center"/>
        </w:trPr>
        <w:tc>
          <w:tcPr>
            <w:tcW w:w="405" w:type="pct"/>
            <w:shd w:val="clear" w:color="auto" w:fill="auto"/>
            <w:noWrap/>
            <w:vAlign w:val="center"/>
            <w:hideMark/>
          </w:tcPr>
          <w:p w14:paraId="225B02B0"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1.</w:t>
            </w:r>
          </w:p>
        </w:tc>
        <w:tc>
          <w:tcPr>
            <w:tcW w:w="2115" w:type="pct"/>
            <w:shd w:val="clear" w:color="auto" w:fill="auto"/>
            <w:noWrap/>
            <w:vAlign w:val="center"/>
            <w:hideMark/>
          </w:tcPr>
          <w:p w14:paraId="1882ECE3" w14:textId="77777777" w:rsidR="00D84719" w:rsidRPr="00D84719" w:rsidRDefault="00D84719" w:rsidP="00D84719">
            <w:pPr>
              <w:spacing w:after="0" w:line="240" w:lineRule="auto"/>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Spalionice</w:t>
            </w:r>
          </w:p>
        </w:tc>
        <w:tc>
          <w:tcPr>
            <w:tcW w:w="465" w:type="pct"/>
            <w:shd w:val="clear" w:color="auto" w:fill="auto"/>
            <w:noWrap/>
            <w:vAlign w:val="center"/>
          </w:tcPr>
          <w:p w14:paraId="71C676DC"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034</w:t>
            </w:r>
          </w:p>
        </w:tc>
        <w:tc>
          <w:tcPr>
            <w:tcW w:w="396" w:type="pct"/>
            <w:shd w:val="clear" w:color="auto" w:fill="auto"/>
            <w:noWrap/>
            <w:vAlign w:val="center"/>
          </w:tcPr>
          <w:p w14:paraId="65CAD12D"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000</w:t>
            </w:r>
          </w:p>
        </w:tc>
        <w:tc>
          <w:tcPr>
            <w:tcW w:w="447" w:type="pct"/>
            <w:shd w:val="clear" w:color="auto" w:fill="auto"/>
            <w:noWrap/>
            <w:vAlign w:val="center"/>
          </w:tcPr>
          <w:p w14:paraId="30C7A3E9"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000</w:t>
            </w:r>
          </w:p>
        </w:tc>
        <w:tc>
          <w:tcPr>
            <w:tcW w:w="617" w:type="pct"/>
            <w:shd w:val="clear" w:color="auto" w:fill="auto"/>
            <w:noWrap/>
            <w:vAlign w:val="center"/>
          </w:tcPr>
          <w:p w14:paraId="75E7DF15"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000</w:t>
            </w:r>
          </w:p>
        </w:tc>
        <w:tc>
          <w:tcPr>
            <w:tcW w:w="555" w:type="pct"/>
            <w:shd w:val="clear" w:color="auto" w:fill="auto"/>
            <w:noWrap/>
            <w:vAlign w:val="center"/>
          </w:tcPr>
          <w:p w14:paraId="5B6626BB"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060</w:t>
            </w:r>
          </w:p>
        </w:tc>
      </w:tr>
      <w:tr w:rsidR="00D84719" w:rsidRPr="00D84719" w14:paraId="67A1C579" w14:textId="77777777" w:rsidTr="00D84719">
        <w:trPr>
          <w:trHeight w:val="66"/>
          <w:jc w:val="center"/>
        </w:trPr>
        <w:tc>
          <w:tcPr>
            <w:tcW w:w="405" w:type="pct"/>
            <w:shd w:val="clear" w:color="auto" w:fill="auto"/>
            <w:noWrap/>
            <w:vAlign w:val="center"/>
            <w:hideMark/>
          </w:tcPr>
          <w:p w14:paraId="156A280C"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2.</w:t>
            </w:r>
          </w:p>
        </w:tc>
        <w:tc>
          <w:tcPr>
            <w:tcW w:w="2115" w:type="pct"/>
            <w:shd w:val="clear" w:color="auto" w:fill="auto"/>
            <w:noWrap/>
            <w:vAlign w:val="center"/>
            <w:hideMark/>
          </w:tcPr>
          <w:p w14:paraId="248F1420" w14:textId="77777777" w:rsidR="00D84719" w:rsidRPr="00D84719" w:rsidRDefault="00D84719" w:rsidP="00D84719">
            <w:pPr>
              <w:spacing w:after="0" w:line="240" w:lineRule="auto"/>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 xml:space="preserve">Željezo i obojeni metali </w:t>
            </w:r>
          </w:p>
        </w:tc>
        <w:tc>
          <w:tcPr>
            <w:tcW w:w="465" w:type="pct"/>
            <w:shd w:val="clear" w:color="auto" w:fill="auto"/>
            <w:noWrap/>
            <w:vAlign w:val="center"/>
          </w:tcPr>
          <w:p w14:paraId="2003D935"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055</w:t>
            </w:r>
          </w:p>
        </w:tc>
        <w:tc>
          <w:tcPr>
            <w:tcW w:w="396" w:type="pct"/>
            <w:shd w:val="clear" w:color="auto" w:fill="auto"/>
            <w:noWrap/>
            <w:vAlign w:val="center"/>
          </w:tcPr>
          <w:p w14:paraId="4EB087F7"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000</w:t>
            </w:r>
          </w:p>
        </w:tc>
        <w:tc>
          <w:tcPr>
            <w:tcW w:w="447" w:type="pct"/>
            <w:shd w:val="clear" w:color="auto" w:fill="auto"/>
            <w:noWrap/>
            <w:vAlign w:val="center"/>
          </w:tcPr>
          <w:p w14:paraId="655CF408"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000</w:t>
            </w:r>
          </w:p>
        </w:tc>
        <w:tc>
          <w:tcPr>
            <w:tcW w:w="617" w:type="pct"/>
            <w:shd w:val="clear" w:color="auto" w:fill="auto"/>
            <w:noWrap/>
            <w:vAlign w:val="center"/>
          </w:tcPr>
          <w:p w14:paraId="3A0AC6ED"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000</w:t>
            </w:r>
          </w:p>
        </w:tc>
        <w:tc>
          <w:tcPr>
            <w:tcW w:w="555" w:type="pct"/>
            <w:shd w:val="clear" w:color="auto" w:fill="auto"/>
            <w:noWrap/>
            <w:vAlign w:val="center"/>
          </w:tcPr>
          <w:p w14:paraId="4A7E3AC7"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348</w:t>
            </w:r>
          </w:p>
        </w:tc>
      </w:tr>
      <w:tr w:rsidR="00D84719" w:rsidRPr="00D84719" w14:paraId="1E91FFFF" w14:textId="77777777" w:rsidTr="00D84719">
        <w:trPr>
          <w:trHeight w:val="112"/>
          <w:jc w:val="center"/>
        </w:trPr>
        <w:tc>
          <w:tcPr>
            <w:tcW w:w="405" w:type="pct"/>
            <w:shd w:val="clear" w:color="auto" w:fill="auto"/>
            <w:noWrap/>
            <w:vAlign w:val="center"/>
            <w:hideMark/>
          </w:tcPr>
          <w:p w14:paraId="4421A359"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3.</w:t>
            </w:r>
          </w:p>
        </w:tc>
        <w:tc>
          <w:tcPr>
            <w:tcW w:w="2115" w:type="pct"/>
            <w:shd w:val="clear" w:color="auto" w:fill="auto"/>
            <w:noWrap/>
            <w:vAlign w:val="center"/>
            <w:hideMark/>
          </w:tcPr>
          <w:p w14:paraId="598478DA" w14:textId="77777777" w:rsidR="00D84719" w:rsidRPr="00D84719" w:rsidRDefault="00D84719" w:rsidP="00D84719">
            <w:pPr>
              <w:spacing w:after="0" w:line="240" w:lineRule="auto"/>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Proizvodnja energije i topline</w:t>
            </w:r>
          </w:p>
        </w:tc>
        <w:tc>
          <w:tcPr>
            <w:tcW w:w="465" w:type="pct"/>
            <w:shd w:val="clear" w:color="auto" w:fill="auto"/>
            <w:noWrap/>
            <w:vAlign w:val="center"/>
          </w:tcPr>
          <w:p w14:paraId="4A1D3623"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21</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930</w:t>
            </w:r>
          </w:p>
        </w:tc>
        <w:tc>
          <w:tcPr>
            <w:tcW w:w="396" w:type="pct"/>
            <w:shd w:val="clear" w:color="auto" w:fill="auto"/>
            <w:noWrap/>
            <w:vAlign w:val="center"/>
          </w:tcPr>
          <w:p w14:paraId="5DB2A89E"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000</w:t>
            </w:r>
          </w:p>
        </w:tc>
        <w:tc>
          <w:tcPr>
            <w:tcW w:w="447" w:type="pct"/>
            <w:shd w:val="clear" w:color="auto" w:fill="auto"/>
            <w:noWrap/>
            <w:vAlign w:val="center"/>
          </w:tcPr>
          <w:p w14:paraId="29FB8F50"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000</w:t>
            </w:r>
          </w:p>
        </w:tc>
        <w:tc>
          <w:tcPr>
            <w:tcW w:w="617" w:type="pct"/>
            <w:shd w:val="clear" w:color="auto" w:fill="auto"/>
            <w:noWrap/>
            <w:vAlign w:val="center"/>
          </w:tcPr>
          <w:p w14:paraId="32B5C8B4"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000</w:t>
            </w:r>
          </w:p>
        </w:tc>
        <w:tc>
          <w:tcPr>
            <w:tcW w:w="555" w:type="pct"/>
            <w:shd w:val="clear" w:color="auto" w:fill="auto"/>
            <w:noWrap/>
            <w:vAlign w:val="center"/>
          </w:tcPr>
          <w:p w14:paraId="02E176AA"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385</w:t>
            </w:r>
          </w:p>
        </w:tc>
      </w:tr>
      <w:tr w:rsidR="00D84719" w:rsidRPr="00D84719" w14:paraId="60AE3EE7" w14:textId="77777777" w:rsidTr="00D84719">
        <w:trPr>
          <w:trHeight w:val="159"/>
          <w:jc w:val="center"/>
        </w:trPr>
        <w:tc>
          <w:tcPr>
            <w:tcW w:w="405" w:type="pct"/>
            <w:shd w:val="clear" w:color="auto" w:fill="auto"/>
            <w:noWrap/>
            <w:vAlign w:val="center"/>
            <w:hideMark/>
          </w:tcPr>
          <w:p w14:paraId="6216A1DE"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4.</w:t>
            </w:r>
          </w:p>
        </w:tc>
        <w:tc>
          <w:tcPr>
            <w:tcW w:w="2115" w:type="pct"/>
            <w:shd w:val="clear" w:color="auto" w:fill="auto"/>
            <w:noWrap/>
            <w:vAlign w:val="center"/>
            <w:hideMark/>
          </w:tcPr>
          <w:p w14:paraId="194CB664" w14:textId="77777777" w:rsidR="00D84719" w:rsidRPr="00D84719" w:rsidRDefault="00D84719" w:rsidP="00D84719">
            <w:pPr>
              <w:spacing w:after="0" w:line="240" w:lineRule="auto"/>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Proizvodnja minerala</w:t>
            </w:r>
          </w:p>
        </w:tc>
        <w:tc>
          <w:tcPr>
            <w:tcW w:w="465" w:type="pct"/>
            <w:shd w:val="clear" w:color="auto" w:fill="auto"/>
            <w:noWrap/>
            <w:vAlign w:val="center"/>
          </w:tcPr>
          <w:p w14:paraId="2EFDCDA8"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173</w:t>
            </w:r>
          </w:p>
        </w:tc>
        <w:tc>
          <w:tcPr>
            <w:tcW w:w="396" w:type="pct"/>
            <w:shd w:val="clear" w:color="auto" w:fill="auto"/>
            <w:noWrap/>
            <w:vAlign w:val="center"/>
          </w:tcPr>
          <w:p w14:paraId="59C769C4"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000</w:t>
            </w:r>
          </w:p>
        </w:tc>
        <w:tc>
          <w:tcPr>
            <w:tcW w:w="447" w:type="pct"/>
            <w:shd w:val="clear" w:color="auto" w:fill="auto"/>
            <w:noWrap/>
            <w:vAlign w:val="center"/>
          </w:tcPr>
          <w:p w14:paraId="523165D5"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000</w:t>
            </w:r>
          </w:p>
        </w:tc>
        <w:tc>
          <w:tcPr>
            <w:tcW w:w="617" w:type="pct"/>
            <w:shd w:val="clear" w:color="auto" w:fill="auto"/>
            <w:noWrap/>
            <w:vAlign w:val="center"/>
          </w:tcPr>
          <w:p w14:paraId="4C1C9038"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011</w:t>
            </w:r>
          </w:p>
        </w:tc>
        <w:tc>
          <w:tcPr>
            <w:tcW w:w="555" w:type="pct"/>
            <w:shd w:val="clear" w:color="auto" w:fill="auto"/>
            <w:noWrap/>
            <w:vAlign w:val="center"/>
          </w:tcPr>
          <w:p w14:paraId="7ED58723"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057</w:t>
            </w:r>
          </w:p>
        </w:tc>
      </w:tr>
      <w:tr w:rsidR="00D84719" w:rsidRPr="00D84719" w14:paraId="746094EF" w14:textId="77777777" w:rsidTr="00D84719">
        <w:trPr>
          <w:trHeight w:val="204"/>
          <w:jc w:val="center"/>
        </w:trPr>
        <w:tc>
          <w:tcPr>
            <w:tcW w:w="405" w:type="pct"/>
            <w:shd w:val="clear" w:color="auto" w:fill="auto"/>
            <w:noWrap/>
            <w:vAlign w:val="center"/>
            <w:hideMark/>
          </w:tcPr>
          <w:p w14:paraId="17B0010E"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5.</w:t>
            </w:r>
          </w:p>
        </w:tc>
        <w:tc>
          <w:tcPr>
            <w:tcW w:w="2115" w:type="pct"/>
            <w:shd w:val="clear" w:color="auto" w:fill="auto"/>
            <w:noWrap/>
            <w:vAlign w:val="center"/>
            <w:hideMark/>
          </w:tcPr>
          <w:p w14:paraId="56254775" w14:textId="77777777" w:rsidR="00D84719" w:rsidRPr="00D84719" w:rsidRDefault="00D84719" w:rsidP="00D84719">
            <w:pPr>
              <w:spacing w:after="0" w:line="240" w:lineRule="auto"/>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Promet</w:t>
            </w:r>
          </w:p>
        </w:tc>
        <w:tc>
          <w:tcPr>
            <w:tcW w:w="465" w:type="pct"/>
            <w:shd w:val="clear" w:color="auto" w:fill="auto"/>
            <w:noWrap/>
            <w:vAlign w:val="center"/>
          </w:tcPr>
          <w:p w14:paraId="6F333761"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230</w:t>
            </w:r>
          </w:p>
        </w:tc>
        <w:tc>
          <w:tcPr>
            <w:tcW w:w="396" w:type="pct"/>
            <w:shd w:val="clear" w:color="auto" w:fill="auto"/>
            <w:noWrap/>
            <w:vAlign w:val="center"/>
          </w:tcPr>
          <w:p w14:paraId="1AE08950"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000</w:t>
            </w:r>
          </w:p>
        </w:tc>
        <w:tc>
          <w:tcPr>
            <w:tcW w:w="447" w:type="pct"/>
            <w:shd w:val="clear" w:color="auto" w:fill="auto"/>
            <w:noWrap/>
            <w:vAlign w:val="center"/>
          </w:tcPr>
          <w:p w14:paraId="33008C51"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000</w:t>
            </w:r>
          </w:p>
        </w:tc>
        <w:tc>
          <w:tcPr>
            <w:tcW w:w="617" w:type="pct"/>
            <w:shd w:val="clear" w:color="auto" w:fill="auto"/>
            <w:noWrap/>
            <w:vAlign w:val="center"/>
          </w:tcPr>
          <w:p w14:paraId="3713D97E"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000</w:t>
            </w:r>
          </w:p>
        </w:tc>
        <w:tc>
          <w:tcPr>
            <w:tcW w:w="555" w:type="pct"/>
            <w:shd w:val="clear" w:color="auto" w:fill="auto"/>
            <w:noWrap/>
            <w:vAlign w:val="center"/>
          </w:tcPr>
          <w:p w14:paraId="0F8B76FE"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000</w:t>
            </w:r>
          </w:p>
        </w:tc>
      </w:tr>
      <w:tr w:rsidR="00D84719" w:rsidRPr="00D84719" w14:paraId="5811BEE6" w14:textId="77777777" w:rsidTr="00D84719">
        <w:trPr>
          <w:trHeight w:val="109"/>
          <w:jc w:val="center"/>
        </w:trPr>
        <w:tc>
          <w:tcPr>
            <w:tcW w:w="405" w:type="pct"/>
            <w:shd w:val="clear" w:color="auto" w:fill="auto"/>
            <w:noWrap/>
            <w:vAlign w:val="center"/>
            <w:hideMark/>
          </w:tcPr>
          <w:p w14:paraId="383E8A8A"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6.</w:t>
            </w:r>
          </w:p>
        </w:tc>
        <w:tc>
          <w:tcPr>
            <w:tcW w:w="2115" w:type="pct"/>
            <w:shd w:val="clear" w:color="auto" w:fill="auto"/>
            <w:noWrap/>
            <w:vAlign w:val="center"/>
            <w:hideMark/>
          </w:tcPr>
          <w:p w14:paraId="52559165" w14:textId="77777777" w:rsidR="00D84719" w:rsidRPr="00D84719" w:rsidRDefault="00D84719" w:rsidP="00D84719">
            <w:pPr>
              <w:spacing w:after="0" w:line="240" w:lineRule="auto"/>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Procesi gorenja na otvorenom</w:t>
            </w:r>
          </w:p>
        </w:tc>
        <w:tc>
          <w:tcPr>
            <w:tcW w:w="465" w:type="pct"/>
            <w:shd w:val="clear" w:color="auto" w:fill="auto"/>
            <w:noWrap/>
            <w:vAlign w:val="center"/>
          </w:tcPr>
          <w:p w14:paraId="37B7B18C"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024</w:t>
            </w:r>
          </w:p>
        </w:tc>
        <w:tc>
          <w:tcPr>
            <w:tcW w:w="396" w:type="pct"/>
            <w:shd w:val="clear" w:color="auto" w:fill="auto"/>
            <w:noWrap/>
            <w:vAlign w:val="center"/>
          </w:tcPr>
          <w:p w14:paraId="1D232A3E"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000</w:t>
            </w:r>
          </w:p>
        </w:tc>
        <w:tc>
          <w:tcPr>
            <w:tcW w:w="447" w:type="pct"/>
            <w:shd w:val="clear" w:color="auto" w:fill="auto"/>
            <w:noWrap/>
            <w:vAlign w:val="center"/>
          </w:tcPr>
          <w:p w14:paraId="691852F4"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004</w:t>
            </w:r>
          </w:p>
        </w:tc>
        <w:tc>
          <w:tcPr>
            <w:tcW w:w="617" w:type="pct"/>
            <w:shd w:val="clear" w:color="auto" w:fill="auto"/>
            <w:noWrap/>
            <w:vAlign w:val="center"/>
          </w:tcPr>
          <w:p w14:paraId="653350F3"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000</w:t>
            </w:r>
          </w:p>
        </w:tc>
        <w:tc>
          <w:tcPr>
            <w:tcW w:w="555" w:type="pct"/>
            <w:shd w:val="clear" w:color="auto" w:fill="auto"/>
            <w:noWrap/>
            <w:vAlign w:val="center"/>
          </w:tcPr>
          <w:p w14:paraId="7CB57335"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000</w:t>
            </w:r>
          </w:p>
        </w:tc>
      </w:tr>
      <w:tr w:rsidR="00D84719" w:rsidRPr="00D84719" w14:paraId="115CFDF4" w14:textId="77777777" w:rsidTr="00D84719">
        <w:trPr>
          <w:trHeight w:val="300"/>
          <w:jc w:val="center"/>
        </w:trPr>
        <w:tc>
          <w:tcPr>
            <w:tcW w:w="405" w:type="pct"/>
            <w:shd w:val="clear" w:color="auto" w:fill="auto"/>
            <w:noWrap/>
            <w:vAlign w:val="center"/>
            <w:hideMark/>
          </w:tcPr>
          <w:p w14:paraId="3BD56721"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7.</w:t>
            </w:r>
          </w:p>
        </w:tc>
        <w:tc>
          <w:tcPr>
            <w:tcW w:w="2115" w:type="pct"/>
            <w:shd w:val="clear" w:color="auto" w:fill="auto"/>
            <w:noWrap/>
            <w:vAlign w:val="center"/>
            <w:hideMark/>
          </w:tcPr>
          <w:p w14:paraId="04E23435" w14:textId="77777777" w:rsidR="00D84719" w:rsidRPr="00D84719" w:rsidRDefault="00D84719" w:rsidP="00D84719">
            <w:pPr>
              <w:spacing w:after="0" w:line="240" w:lineRule="auto"/>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 xml:space="preserve">Proizvodnja kemikalija i potrošačkih roba </w:t>
            </w:r>
          </w:p>
        </w:tc>
        <w:tc>
          <w:tcPr>
            <w:tcW w:w="465" w:type="pct"/>
            <w:shd w:val="clear" w:color="auto" w:fill="auto"/>
            <w:noWrap/>
            <w:vAlign w:val="center"/>
          </w:tcPr>
          <w:p w14:paraId="74F99936"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000</w:t>
            </w:r>
          </w:p>
        </w:tc>
        <w:tc>
          <w:tcPr>
            <w:tcW w:w="396" w:type="pct"/>
            <w:shd w:val="clear" w:color="auto" w:fill="auto"/>
            <w:noWrap/>
            <w:vAlign w:val="center"/>
          </w:tcPr>
          <w:p w14:paraId="2677A328"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000</w:t>
            </w:r>
          </w:p>
        </w:tc>
        <w:tc>
          <w:tcPr>
            <w:tcW w:w="447" w:type="pct"/>
            <w:shd w:val="clear" w:color="auto" w:fill="auto"/>
            <w:noWrap/>
            <w:vAlign w:val="center"/>
          </w:tcPr>
          <w:p w14:paraId="56BAF6CB"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000</w:t>
            </w:r>
          </w:p>
        </w:tc>
        <w:tc>
          <w:tcPr>
            <w:tcW w:w="617" w:type="pct"/>
            <w:shd w:val="clear" w:color="auto" w:fill="auto"/>
            <w:noWrap/>
            <w:vAlign w:val="center"/>
          </w:tcPr>
          <w:p w14:paraId="5D9AAB9A"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685</w:t>
            </w:r>
          </w:p>
        </w:tc>
        <w:tc>
          <w:tcPr>
            <w:tcW w:w="555" w:type="pct"/>
            <w:shd w:val="clear" w:color="auto" w:fill="auto"/>
            <w:noWrap/>
            <w:vAlign w:val="center"/>
          </w:tcPr>
          <w:p w14:paraId="11B61554"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000</w:t>
            </w:r>
          </w:p>
        </w:tc>
      </w:tr>
      <w:tr w:rsidR="00D84719" w:rsidRPr="00D84719" w14:paraId="362742DB" w14:textId="77777777" w:rsidTr="00D84719">
        <w:trPr>
          <w:trHeight w:val="105"/>
          <w:jc w:val="center"/>
        </w:trPr>
        <w:tc>
          <w:tcPr>
            <w:tcW w:w="405" w:type="pct"/>
            <w:shd w:val="clear" w:color="auto" w:fill="auto"/>
            <w:noWrap/>
            <w:vAlign w:val="center"/>
            <w:hideMark/>
          </w:tcPr>
          <w:p w14:paraId="3787233A"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8.</w:t>
            </w:r>
          </w:p>
        </w:tc>
        <w:tc>
          <w:tcPr>
            <w:tcW w:w="2115" w:type="pct"/>
            <w:shd w:val="clear" w:color="auto" w:fill="auto"/>
            <w:noWrap/>
            <w:vAlign w:val="center"/>
            <w:hideMark/>
          </w:tcPr>
          <w:p w14:paraId="565F3AA4" w14:textId="77777777" w:rsidR="00D84719" w:rsidRPr="00D84719" w:rsidRDefault="00D84719" w:rsidP="00D84719">
            <w:pPr>
              <w:spacing w:after="0" w:line="240" w:lineRule="auto"/>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Razno</w:t>
            </w:r>
          </w:p>
        </w:tc>
        <w:tc>
          <w:tcPr>
            <w:tcW w:w="465" w:type="pct"/>
            <w:shd w:val="clear" w:color="auto" w:fill="auto"/>
            <w:noWrap/>
            <w:vAlign w:val="center"/>
          </w:tcPr>
          <w:p w14:paraId="1E5985DD"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003</w:t>
            </w:r>
          </w:p>
        </w:tc>
        <w:tc>
          <w:tcPr>
            <w:tcW w:w="396" w:type="pct"/>
            <w:shd w:val="clear" w:color="auto" w:fill="auto"/>
            <w:noWrap/>
            <w:vAlign w:val="center"/>
          </w:tcPr>
          <w:p w14:paraId="6B71326B"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000</w:t>
            </w:r>
          </w:p>
        </w:tc>
        <w:tc>
          <w:tcPr>
            <w:tcW w:w="447" w:type="pct"/>
            <w:shd w:val="clear" w:color="auto" w:fill="auto"/>
            <w:noWrap/>
            <w:vAlign w:val="center"/>
          </w:tcPr>
          <w:p w14:paraId="70A8297B"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000</w:t>
            </w:r>
          </w:p>
        </w:tc>
        <w:tc>
          <w:tcPr>
            <w:tcW w:w="617" w:type="pct"/>
            <w:shd w:val="clear" w:color="auto" w:fill="auto"/>
            <w:noWrap/>
            <w:vAlign w:val="center"/>
          </w:tcPr>
          <w:p w14:paraId="7E4C4233"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000</w:t>
            </w:r>
          </w:p>
        </w:tc>
        <w:tc>
          <w:tcPr>
            <w:tcW w:w="555" w:type="pct"/>
            <w:shd w:val="clear" w:color="auto" w:fill="auto"/>
            <w:noWrap/>
            <w:vAlign w:val="center"/>
          </w:tcPr>
          <w:p w14:paraId="4E949BBB"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013</w:t>
            </w:r>
          </w:p>
        </w:tc>
      </w:tr>
      <w:tr w:rsidR="00D84719" w:rsidRPr="00D84719" w14:paraId="4A3CD0C4" w14:textId="77777777" w:rsidTr="00D84719">
        <w:trPr>
          <w:trHeight w:val="150"/>
          <w:jc w:val="center"/>
        </w:trPr>
        <w:tc>
          <w:tcPr>
            <w:tcW w:w="405" w:type="pct"/>
            <w:shd w:val="clear" w:color="auto" w:fill="auto"/>
            <w:noWrap/>
            <w:vAlign w:val="center"/>
            <w:hideMark/>
          </w:tcPr>
          <w:p w14:paraId="1B3C90F2"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9.</w:t>
            </w:r>
          </w:p>
        </w:tc>
        <w:tc>
          <w:tcPr>
            <w:tcW w:w="2115" w:type="pct"/>
            <w:shd w:val="clear" w:color="auto" w:fill="auto"/>
            <w:noWrap/>
            <w:vAlign w:val="center"/>
            <w:hideMark/>
          </w:tcPr>
          <w:p w14:paraId="7D914F07" w14:textId="77777777" w:rsidR="00D84719" w:rsidRPr="00D84719" w:rsidRDefault="00D84719" w:rsidP="00D84719">
            <w:pPr>
              <w:spacing w:after="0" w:line="240" w:lineRule="auto"/>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Odlaganje otpada</w:t>
            </w:r>
          </w:p>
        </w:tc>
        <w:tc>
          <w:tcPr>
            <w:tcW w:w="465" w:type="pct"/>
            <w:shd w:val="clear" w:color="auto" w:fill="auto"/>
            <w:noWrap/>
            <w:vAlign w:val="center"/>
          </w:tcPr>
          <w:p w14:paraId="4A91CBCF"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000</w:t>
            </w:r>
          </w:p>
        </w:tc>
        <w:tc>
          <w:tcPr>
            <w:tcW w:w="396" w:type="pct"/>
            <w:shd w:val="clear" w:color="auto" w:fill="auto"/>
            <w:noWrap/>
            <w:vAlign w:val="center"/>
          </w:tcPr>
          <w:p w14:paraId="56449F3C"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373</w:t>
            </w:r>
          </w:p>
        </w:tc>
        <w:tc>
          <w:tcPr>
            <w:tcW w:w="447" w:type="pct"/>
            <w:shd w:val="clear" w:color="auto" w:fill="auto"/>
            <w:noWrap/>
            <w:vAlign w:val="center"/>
          </w:tcPr>
          <w:p w14:paraId="219DB53D"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000</w:t>
            </w:r>
          </w:p>
        </w:tc>
        <w:tc>
          <w:tcPr>
            <w:tcW w:w="617" w:type="pct"/>
            <w:shd w:val="clear" w:color="auto" w:fill="auto"/>
            <w:noWrap/>
            <w:vAlign w:val="center"/>
          </w:tcPr>
          <w:p w14:paraId="3A3EA2FA"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139</w:t>
            </w:r>
          </w:p>
        </w:tc>
        <w:tc>
          <w:tcPr>
            <w:tcW w:w="555" w:type="pct"/>
            <w:shd w:val="clear" w:color="auto" w:fill="auto"/>
            <w:noWrap/>
            <w:vAlign w:val="center"/>
          </w:tcPr>
          <w:p w14:paraId="0FFF250B"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7</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066</w:t>
            </w:r>
          </w:p>
        </w:tc>
      </w:tr>
      <w:tr w:rsidR="00D84719" w:rsidRPr="00D84719" w14:paraId="72A89989" w14:textId="77777777" w:rsidTr="00D84719">
        <w:trPr>
          <w:trHeight w:val="183"/>
          <w:jc w:val="center"/>
        </w:trPr>
        <w:tc>
          <w:tcPr>
            <w:tcW w:w="405" w:type="pct"/>
            <w:shd w:val="clear" w:color="auto" w:fill="auto"/>
            <w:noWrap/>
            <w:vAlign w:val="center"/>
            <w:hideMark/>
          </w:tcPr>
          <w:p w14:paraId="1A21CAC5" w14:textId="77777777" w:rsidR="00D84719" w:rsidRPr="00D84719" w:rsidRDefault="00D84719" w:rsidP="00D84719">
            <w:pPr>
              <w:spacing w:after="0" w:line="240" w:lineRule="auto"/>
              <w:jc w:val="center"/>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10.</w:t>
            </w:r>
          </w:p>
        </w:tc>
        <w:tc>
          <w:tcPr>
            <w:tcW w:w="2115" w:type="pct"/>
            <w:shd w:val="clear" w:color="auto" w:fill="auto"/>
            <w:noWrap/>
            <w:vAlign w:val="center"/>
            <w:hideMark/>
          </w:tcPr>
          <w:p w14:paraId="1D6C99B2" w14:textId="77777777" w:rsidR="00D84719" w:rsidRPr="00D84719" w:rsidRDefault="00D84719" w:rsidP="00D84719">
            <w:pPr>
              <w:spacing w:after="0" w:line="240" w:lineRule="auto"/>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Identifikacija potencijalnih žarišnih točki</w:t>
            </w:r>
          </w:p>
        </w:tc>
        <w:tc>
          <w:tcPr>
            <w:tcW w:w="465" w:type="pct"/>
            <w:shd w:val="clear" w:color="auto" w:fill="auto"/>
            <w:noWrap/>
            <w:vAlign w:val="center"/>
          </w:tcPr>
          <w:p w14:paraId="6A5108FE"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p>
        </w:tc>
        <w:tc>
          <w:tcPr>
            <w:tcW w:w="396" w:type="pct"/>
            <w:shd w:val="clear" w:color="auto" w:fill="auto"/>
            <w:noWrap/>
            <w:vAlign w:val="center"/>
          </w:tcPr>
          <w:p w14:paraId="41D2F57B"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p>
        </w:tc>
        <w:tc>
          <w:tcPr>
            <w:tcW w:w="447" w:type="pct"/>
            <w:shd w:val="clear" w:color="auto" w:fill="auto"/>
            <w:noWrap/>
            <w:vAlign w:val="center"/>
          </w:tcPr>
          <w:p w14:paraId="5520372A"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p>
        </w:tc>
        <w:tc>
          <w:tcPr>
            <w:tcW w:w="617" w:type="pct"/>
            <w:shd w:val="clear" w:color="auto" w:fill="auto"/>
            <w:noWrap/>
            <w:vAlign w:val="center"/>
          </w:tcPr>
          <w:p w14:paraId="4FF12B09"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000</w:t>
            </w:r>
          </w:p>
        </w:tc>
        <w:tc>
          <w:tcPr>
            <w:tcW w:w="555" w:type="pct"/>
            <w:shd w:val="clear" w:color="auto" w:fill="auto"/>
            <w:noWrap/>
            <w:vAlign w:val="center"/>
          </w:tcPr>
          <w:p w14:paraId="720CDDDF"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0</w:t>
            </w:r>
            <w:r w:rsidR="00A20CBB">
              <w:rPr>
                <w:rFonts w:ascii="Times New Roman" w:eastAsia="Times New Roman" w:hAnsi="Times New Roman" w:cs="Times New Roman"/>
                <w:color w:val="000000"/>
                <w:sz w:val="20"/>
                <w:szCs w:val="20"/>
              </w:rPr>
              <w:t>,</w:t>
            </w:r>
            <w:r w:rsidRPr="00D84719">
              <w:rPr>
                <w:rFonts w:ascii="Times New Roman" w:eastAsia="Times New Roman" w:hAnsi="Times New Roman" w:cs="Times New Roman"/>
                <w:color w:val="000000"/>
                <w:sz w:val="20"/>
                <w:szCs w:val="20"/>
              </w:rPr>
              <w:t>000</w:t>
            </w:r>
          </w:p>
        </w:tc>
      </w:tr>
      <w:tr w:rsidR="00D84719" w:rsidRPr="00D84719" w14:paraId="17466011" w14:textId="77777777" w:rsidTr="00D84719">
        <w:trPr>
          <w:trHeight w:val="146"/>
          <w:jc w:val="center"/>
        </w:trPr>
        <w:tc>
          <w:tcPr>
            <w:tcW w:w="405" w:type="pct"/>
            <w:shd w:val="clear" w:color="auto" w:fill="auto"/>
            <w:noWrap/>
            <w:vAlign w:val="center"/>
            <w:hideMark/>
          </w:tcPr>
          <w:p w14:paraId="491721C4" w14:textId="77777777" w:rsidR="00D84719" w:rsidRPr="00D84719" w:rsidRDefault="00D84719" w:rsidP="00D84719">
            <w:pPr>
              <w:spacing w:after="0" w:line="240" w:lineRule="auto"/>
              <w:jc w:val="both"/>
              <w:rPr>
                <w:rFonts w:ascii="Times New Roman" w:eastAsia="Times New Roman" w:hAnsi="Times New Roman" w:cs="Times New Roman"/>
                <w:b/>
                <w:bCs/>
                <w:color w:val="000000"/>
                <w:sz w:val="20"/>
                <w:szCs w:val="20"/>
              </w:rPr>
            </w:pPr>
            <w:r w:rsidRPr="00D84719">
              <w:rPr>
                <w:rFonts w:ascii="Times New Roman" w:eastAsia="Times New Roman" w:hAnsi="Times New Roman" w:cs="Times New Roman"/>
                <w:b/>
                <w:bCs/>
                <w:color w:val="000000"/>
                <w:sz w:val="20"/>
                <w:szCs w:val="20"/>
              </w:rPr>
              <w:t>1-10</w:t>
            </w:r>
          </w:p>
        </w:tc>
        <w:tc>
          <w:tcPr>
            <w:tcW w:w="2115" w:type="pct"/>
            <w:shd w:val="clear" w:color="auto" w:fill="auto"/>
            <w:noWrap/>
            <w:vAlign w:val="center"/>
            <w:hideMark/>
          </w:tcPr>
          <w:p w14:paraId="177745EE" w14:textId="77777777" w:rsidR="00D84719" w:rsidRPr="00D84719" w:rsidRDefault="00D84719" w:rsidP="00D84719">
            <w:pPr>
              <w:spacing w:after="0" w:line="240" w:lineRule="auto"/>
              <w:jc w:val="both"/>
              <w:rPr>
                <w:rFonts w:ascii="Times New Roman" w:eastAsia="Times New Roman" w:hAnsi="Times New Roman" w:cs="Times New Roman"/>
                <w:b/>
                <w:bCs/>
                <w:color w:val="000000"/>
                <w:sz w:val="20"/>
                <w:szCs w:val="20"/>
              </w:rPr>
            </w:pPr>
            <w:r w:rsidRPr="00D84719">
              <w:rPr>
                <w:rFonts w:ascii="Times New Roman" w:eastAsia="Times New Roman" w:hAnsi="Times New Roman" w:cs="Times New Roman"/>
                <w:b/>
                <w:bCs/>
                <w:color w:val="000000"/>
                <w:sz w:val="20"/>
                <w:szCs w:val="20"/>
              </w:rPr>
              <w:t>Ukupno</w:t>
            </w:r>
          </w:p>
        </w:tc>
        <w:tc>
          <w:tcPr>
            <w:tcW w:w="465" w:type="pct"/>
            <w:shd w:val="clear" w:color="auto" w:fill="auto"/>
            <w:noWrap/>
            <w:vAlign w:val="center"/>
          </w:tcPr>
          <w:p w14:paraId="55C27A40" w14:textId="77777777" w:rsidR="00D84719" w:rsidRPr="00D84719" w:rsidRDefault="00D84719" w:rsidP="00D84719">
            <w:pPr>
              <w:spacing w:after="0" w:line="240" w:lineRule="auto"/>
              <w:jc w:val="both"/>
              <w:rPr>
                <w:rFonts w:ascii="Times New Roman" w:eastAsia="Times New Roman" w:hAnsi="Times New Roman" w:cs="Times New Roman"/>
                <w:b/>
                <w:bCs/>
                <w:color w:val="000000"/>
                <w:sz w:val="20"/>
                <w:szCs w:val="20"/>
              </w:rPr>
            </w:pPr>
            <w:r w:rsidRPr="00D84719">
              <w:rPr>
                <w:rFonts w:ascii="Times New Roman" w:eastAsia="Times New Roman" w:hAnsi="Times New Roman" w:cs="Times New Roman"/>
                <w:b/>
                <w:bCs/>
                <w:color w:val="000000"/>
                <w:sz w:val="20"/>
                <w:szCs w:val="20"/>
              </w:rPr>
              <w:t>22</w:t>
            </w:r>
            <w:r w:rsidR="00A20CBB">
              <w:rPr>
                <w:rFonts w:ascii="Times New Roman" w:eastAsia="Times New Roman" w:hAnsi="Times New Roman" w:cs="Times New Roman"/>
                <w:b/>
                <w:bCs/>
                <w:color w:val="000000"/>
                <w:sz w:val="20"/>
                <w:szCs w:val="20"/>
              </w:rPr>
              <w:t>,</w:t>
            </w:r>
            <w:r w:rsidRPr="00D84719">
              <w:rPr>
                <w:rFonts w:ascii="Times New Roman" w:eastAsia="Times New Roman" w:hAnsi="Times New Roman" w:cs="Times New Roman"/>
                <w:b/>
                <w:bCs/>
                <w:color w:val="000000"/>
                <w:sz w:val="20"/>
                <w:szCs w:val="20"/>
              </w:rPr>
              <w:t>449</w:t>
            </w:r>
          </w:p>
        </w:tc>
        <w:tc>
          <w:tcPr>
            <w:tcW w:w="396" w:type="pct"/>
            <w:shd w:val="clear" w:color="auto" w:fill="auto"/>
            <w:noWrap/>
            <w:vAlign w:val="center"/>
          </w:tcPr>
          <w:p w14:paraId="20D8CB55" w14:textId="77777777" w:rsidR="00D84719" w:rsidRPr="00D84719" w:rsidRDefault="00D84719" w:rsidP="00D84719">
            <w:pPr>
              <w:spacing w:after="0" w:line="240" w:lineRule="auto"/>
              <w:jc w:val="both"/>
              <w:rPr>
                <w:rFonts w:ascii="Times New Roman" w:eastAsia="Times New Roman" w:hAnsi="Times New Roman" w:cs="Times New Roman"/>
                <w:b/>
                <w:bCs/>
                <w:color w:val="000000"/>
                <w:sz w:val="20"/>
                <w:szCs w:val="20"/>
              </w:rPr>
            </w:pPr>
            <w:r w:rsidRPr="00D84719">
              <w:rPr>
                <w:rFonts w:ascii="Times New Roman" w:eastAsia="Times New Roman" w:hAnsi="Times New Roman" w:cs="Times New Roman"/>
                <w:b/>
                <w:bCs/>
                <w:color w:val="000000"/>
                <w:sz w:val="20"/>
                <w:szCs w:val="20"/>
              </w:rPr>
              <w:t>0</w:t>
            </w:r>
            <w:r w:rsidR="00A20CBB">
              <w:rPr>
                <w:rFonts w:ascii="Times New Roman" w:eastAsia="Times New Roman" w:hAnsi="Times New Roman" w:cs="Times New Roman"/>
                <w:b/>
                <w:bCs/>
                <w:color w:val="000000"/>
                <w:sz w:val="20"/>
                <w:szCs w:val="20"/>
              </w:rPr>
              <w:t>,</w:t>
            </w:r>
            <w:r w:rsidRPr="00D84719">
              <w:rPr>
                <w:rFonts w:ascii="Times New Roman" w:eastAsia="Times New Roman" w:hAnsi="Times New Roman" w:cs="Times New Roman"/>
                <w:b/>
                <w:bCs/>
                <w:color w:val="000000"/>
                <w:sz w:val="20"/>
                <w:szCs w:val="20"/>
              </w:rPr>
              <w:t>373</w:t>
            </w:r>
          </w:p>
        </w:tc>
        <w:tc>
          <w:tcPr>
            <w:tcW w:w="447" w:type="pct"/>
            <w:shd w:val="clear" w:color="auto" w:fill="auto"/>
            <w:noWrap/>
            <w:vAlign w:val="center"/>
          </w:tcPr>
          <w:p w14:paraId="37FD4CCD" w14:textId="77777777" w:rsidR="00D84719" w:rsidRPr="00D84719" w:rsidRDefault="00D84719" w:rsidP="00D84719">
            <w:pPr>
              <w:spacing w:after="0" w:line="240" w:lineRule="auto"/>
              <w:jc w:val="both"/>
              <w:rPr>
                <w:rFonts w:ascii="Times New Roman" w:eastAsia="Times New Roman" w:hAnsi="Times New Roman" w:cs="Times New Roman"/>
                <w:b/>
                <w:bCs/>
                <w:color w:val="000000"/>
                <w:sz w:val="20"/>
                <w:szCs w:val="20"/>
              </w:rPr>
            </w:pPr>
            <w:r w:rsidRPr="00D84719">
              <w:rPr>
                <w:rFonts w:ascii="Times New Roman" w:eastAsia="Times New Roman" w:hAnsi="Times New Roman" w:cs="Times New Roman"/>
                <w:b/>
                <w:bCs/>
                <w:color w:val="000000"/>
                <w:sz w:val="20"/>
                <w:szCs w:val="20"/>
              </w:rPr>
              <w:t>0</w:t>
            </w:r>
            <w:r w:rsidR="00A20CBB">
              <w:rPr>
                <w:rFonts w:ascii="Times New Roman" w:eastAsia="Times New Roman" w:hAnsi="Times New Roman" w:cs="Times New Roman"/>
                <w:b/>
                <w:bCs/>
                <w:color w:val="000000"/>
                <w:sz w:val="20"/>
                <w:szCs w:val="20"/>
              </w:rPr>
              <w:t>,</w:t>
            </w:r>
            <w:r w:rsidRPr="00D84719">
              <w:rPr>
                <w:rFonts w:ascii="Times New Roman" w:eastAsia="Times New Roman" w:hAnsi="Times New Roman" w:cs="Times New Roman"/>
                <w:b/>
                <w:bCs/>
                <w:color w:val="000000"/>
                <w:sz w:val="20"/>
                <w:szCs w:val="20"/>
              </w:rPr>
              <w:t>004</w:t>
            </w:r>
          </w:p>
        </w:tc>
        <w:tc>
          <w:tcPr>
            <w:tcW w:w="617" w:type="pct"/>
            <w:shd w:val="clear" w:color="auto" w:fill="auto"/>
            <w:noWrap/>
            <w:vAlign w:val="center"/>
          </w:tcPr>
          <w:p w14:paraId="0B7834E9" w14:textId="77777777" w:rsidR="00D84719" w:rsidRPr="00D84719" w:rsidRDefault="00D84719" w:rsidP="00D84719">
            <w:pPr>
              <w:spacing w:after="0" w:line="240" w:lineRule="auto"/>
              <w:jc w:val="both"/>
              <w:rPr>
                <w:rFonts w:ascii="Times New Roman" w:eastAsia="Times New Roman" w:hAnsi="Times New Roman" w:cs="Times New Roman"/>
                <w:b/>
                <w:bCs/>
                <w:color w:val="000000"/>
                <w:sz w:val="20"/>
                <w:szCs w:val="20"/>
              </w:rPr>
            </w:pPr>
            <w:r w:rsidRPr="00D84719">
              <w:rPr>
                <w:rFonts w:ascii="Times New Roman" w:eastAsia="Times New Roman" w:hAnsi="Times New Roman" w:cs="Times New Roman"/>
                <w:b/>
                <w:bCs/>
                <w:color w:val="000000"/>
                <w:sz w:val="20"/>
                <w:szCs w:val="20"/>
              </w:rPr>
              <w:t>0</w:t>
            </w:r>
            <w:r w:rsidR="00A20CBB">
              <w:rPr>
                <w:rFonts w:ascii="Times New Roman" w:eastAsia="Times New Roman" w:hAnsi="Times New Roman" w:cs="Times New Roman"/>
                <w:b/>
                <w:bCs/>
                <w:color w:val="000000"/>
                <w:sz w:val="20"/>
                <w:szCs w:val="20"/>
              </w:rPr>
              <w:t>,</w:t>
            </w:r>
            <w:r w:rsidRPr="00D84719">
              <w:rPr>
                <w:rFonts w:ascii="Times New Roman" w:eastAsia="Times New Roman" w:hAnsi="Times New Roman" w:cs="Times New Roman"/>
                <w:b/>
                <w:bCs/>
                <w:color w:val="000000"/>
                <w:sz w:val="20"/>
                <w:szCs w:val="20"/>
              </w:rPr>
              <w:t>835</w:t>
            </w:r>
          </w:p>
        </w:tc>
        <w:tc>
          <w:tcPr>
            <w:tcW w:w="555" w:type="pct"/>
            <w:shd w:val="clear" w:color="auto" w:fill="auto"/>
            <w:noWrap/>
            <w:vAlign w:val="center"/>
          </w:tcPr>
          <w:p w14:paraId="1D92795B" w14:textId="77777777" w:rsidR="00D84719" w:rsidRPr="00D84719" w:rsidRDefault="00D84719" w:rsidP="00D84719">
            <w:pPr>
              <w:spacing w:after="0" w:line="240" w:lineRule="auto"/>
              <w:jc w:val="both"/>
              <w:rPr>
                <w:rFonts w:ascii="Times New Roman" w:eastAsia="Times New Roman" w:hAnsi="Times New Roman" w:cs="Times New Roman"/>
                <w:b/>
                <w:bCs/>
                <w:color w:val="000000"/>
                <w:sz w:val="20"/>
                <w:szCs w:val="20"/>
              </w:rPr>
            </w:pPr>
            <w:r w:rsidRPr="00D84719">
              <w:rPr>
                <w:rFonts w:ascii="Times New Roman" w:eastAsia="Times New Roman" w:hAnsi="Times New Roman" w:cs="Times New Roman"/>
                <w:b/>
                <w:bCs/>
                <w:color w:val="000000"/>
                <w:sz w:val="20"/>
                <w:szCs w:val="20"/>
              </w:rPr>
              <w:t>7</w:t>
            </w:r>
            <w:r w:rsidR="00A20CBB">
              <w:rPr>
                <w:rFonts w:ascii="Times New Roman" w:eastAsia="Times New Roman" w:hAnsi="Times New Roman" w:cs="Times New Roman"/>
                <w:b/>
                <w:bCs/>
                <w:color w:val="000000"/>
                <w:sz w:val="20"/>
                <w:szCs w:val="20"/>
              </w:rPr>
              <w:t>,</w:t>
            </w:r>
            <w:r w:rsidRPr="00D84719">
              <w:rPr>
                <w:rFonts w:ascii="Times New Roman" w:eastAsia="Times New Roman" w:hAnsi="Times New Roman" w:cs="Times New Roman"/>
                <w:b/>
                <w:bCs/>
                <w:color w:val="000000"/>
                <w:sz w:val="20"/>
                <w:szCs w:val="20"/>
              </w:rPr>
              <w:t>929</w:t>
            </w:r>
          </w:p>
        </w:tc>
      </w:tr>
      <w:tr w:rsidR="00D84719" w:rsidRPr="00D84719" w14:paraId="6B2894D5" w14:textId="77777777" w:rsidTr="00D84719">
        <w:trPr>
          <w:trHeight w:val="60"/>
          <w:jc w:val="center"/>
        </w:trPr>
        <w:tc>
          <w:tcPr>
            <w:tcW w:w="2520" w:type="pct"/>
            <w:gridSpan w:val="2"/>
            <w:shd w:val="clear" w:color="auto" w:fill="auto"/>
            <w:noWrap/>
            <w:vAlign w:val="center"/>
            <w:hideMark/>
          </w:tcPr>
          <w:p w14:paraId="01E03503" w14:textId="77777777" w:rsidR="00D84719" w:rsidRPr="00D84719" w:rsidRDefault="00D84719" w:rsidP="00D84719">
            <w:pPr>
              <w:spacing w:after="0" w:line="240" w:lineRule="auto"/>
              <w:jc w:val="both"/>
              <w:rPr>
                <w:rFonts w:ascii="Times New Roman" w:eastAsia="Times New Roman" w:hAnsi="Times New Roman" w:cs="Times New Roman"/>
                <w:b/>
                <w:color w:val="000000"/>
                <w:sz w:val="20"/>
                <w:szCs w:val="20"/>
              </w:rPr>
            </w:pPr>
            <w:r w:rsidRPr="00D84719">
              <w:rPr>
                <w:rFonts w:ascii="Times New Roman" w:eastAsia="Times New Roman" w:hAnsi="Times New Roman" w:cs="Times New Roman"/>
                <w:b/>
                <w:color w:val="000000"/>
                <w:sz w:val="20"/>
                <w:szCs w:val="20"/>
              </w:rPr>
              <w:t>SVEUKUPNO</w:t>
            </w:r>
          </w:p>
        </w:tc>
        <w:tc>
          <w:tcPr>
            <w:tcW w:w="2480" w:type="pct"/>
            <w:gridSpan w:val="5"/>
            <w:shd w:val="clear" w:color="auto" w:fill="auto"/>
            <w:noWrap/>
            <w:vAlign w:val="center"/>
          </w:tcPr>
          <w:p w14:paraId="115E567C" w14:textId="77777777" w:rsidR="00D84719" w:rsidRPr="00D84719" w:rsidRDefault="00D84719" w:rsidP="00D84719">
            <w:pPr>
              <w:spacing w:after="0" w:line="240" w:lineRule="auto"/>
              <w:jc w:val="both"/>
              <w:rPr>
                <w:rFonts w:ascii="Times New Roman" w:eastAsia="Times New Roman" w:hAnsi="Times New Roman" w:cs="Times New Roman"/>
                <w:b/>
                <w:bCs/>
                <w:color w:val="000000"/>
                <w:sz w:val="20"/>
                <w:szCs w:val="20"/>
              </w:rPr>
            </w:pPr>
            <w:r w:rsidRPr="00D84719">
              <w:rPr>
                <w:rFonts w:ascii="Times New Roman" w:eastAsia="Times New Roman" w:hAnsi="Times New Roman" w:cs="Times New Roman"/>
                <w:b/>
                <w:bCs/>
                <w:color w:val="000000"/>
                <w:sz w:val="20"/>
                <w:szCs w:val="20"/>
              </w:rPr>
              <w:t>31</w:t>
            </w:r>
            <w:r w:rsidR="00A20CBB">
              <w:rPr>
                <w:rFonts w:ascii="Times New Roman" w:eastAsia="Times New Roman" w:hAnsi="Times New Roman" w:cs="Times New Roman"/>
                <w:b/>
                <w:bCs/>
                <w:color w:val="000000"/>
                <w:sz w:val="20"/>
                <w:szCs w:val="20"/>
              </w:rPr>
              <w:t>,</w:t>
            </w:r>
            <w:r w:rsidRPr="00D84719">
              <w:rPr>
                <w:rFonts w:ascii="Times New Roman" w:eastAsia="Times New Roman" w:hAnsi="Times New Roman" w:cs="Times New Roman"/>
                <w:b/>
                <w:bCs/>
                <w:color w:val="000000"/>
                <w:sz w:val="20"/>
                <w:szCs w:val="20"/>
              </w:rPr>
              <w:t>6</w:t>
            </w:r>
          </w:p>
        </w:tc>
      </w:tr>
    </w:tbl>
    <w:p w14:paraId="0EE2B2A8"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p>
    <w:p w14:paraId="29EC9380"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Ukupni trend PCDD/PCDF emisija prema vektorima ispuštanja i po godinama prikazan je na slici 3.4-1.</w:t>
      </w:r>
    </w:p>
    <w:p w14:paraId="73E35F60" w14:textId="77777777" w:rsidR="00D84719" w:rsidRPr="00D84719" w:rsidRDefault="00D84719" w:rsidP="00D84719">
      <w:pPr>
        <w:keepNext/>
        <w:spacing w:before="80" w:line="276" w:lineRule="auto"/>
        <w:jc w:val="both"/>
        <w:rPr>
          <w:rFonts w:ascii="Times New Roman" w:eastAsia="Times New Roman" w:hAnsi="Times New Roman" w:cs="Times New Roman"/>
          <w:color w:val="000000"/>
          <w:szCs w:val="24"/>
        </w:rPr>
      </w:pPr>
      <w:r w:rsidRPr="00D84719">
        <w:rPr>
          <w:rFonts w:ascii="Times New Roman" w:eastAsia="Times New Roman" w:hAnsi="Times New Roman" w:cs="Times New Roman"/>
          <w:noProof/>
          <w:color w:val="000000"/>
          <w:szCs w:val="24"/>
          <w:lang w:eastAsia="hr-HR"/>
        </w:rPr>
        <w:drawing>
          <wp:inline distT="0" distB="0" distL="0" distR="0" wp14:anchorId="43DCA368" wp14:editId="027599A9">
            <wp:extent cx="4953000" cy="2895600"/>
            <wp:effectExtent l="0" t="0" r="0" b="0"/>
            <wp:docPr id="11" name="Chart 2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4CEE9D2" w14:textId="78CB532B" w:rsidR="00D84719" w:rsidRPr="00D84719" w:rsidRDefault="00D84719" w:rsidP="00D84719">
      <w:pPr>
        <w:keepNext/>
        <w:spacing w:before="80" w:after="0" w:line="276" w:lineRule="auto"/>
        <w:jc w:val="both"/>
        <w:rPr>
          <w:rFonts w:ascii="Times New Roman" w:eastAsia="Times New Roman" w:hAnsi="Times New Roman" w:cs="Times New Roman"/>
          <w:b/>
          <w:bCs/>
          <w:i/>
          <w:sz w:val="20"/>
          <w:szCs w:val="20"/>
          <w:lang w:bidi="en-US"/>
        </w:rPr>
      </w:pPr>
      <w:r w:rsidRPr="00D84719">
        <w:rPr>
          <w:rFonts w:ascii="Times New Roman" w:eastAsia="Times New Roman" w:hAnsi="Times New Roman" w:cs="Times New Roman"/>
          <w:b/>
          <w:bCs/>
          <w:i/>
          <w:sz w:val="20"/>
          <w:szCs w:val="20"/>
        </w:rPr>
        <w:t xml:space="preserve">Slika </w:t>
      </w:r>
      <w:r w:rsidRPr="00D84719">
        <w:rPr>
          <w:rFonts w:ascii="Times New Roman" w:eastAsia="Times New Roman" w:hAnsi="Times New Roman" w:cs="Times New Roman"/>
          <w:b/>
          <w:bCs/>
          <w:i/>
          <w:sz w:val="20"/>
          <w:szCs w:val="20"/>
        </w:rPr>
        <w:fldChar w:fldCharType="begin"/>
      </w:r>
      <w:r w:rsidRPr="00D84719">
        <w:rPr>
          <w:rFonts w:ascii="Times New Roman" w:eastAsia="Times New Roman" w:hAnsi="Times New Roman" w:cs="Times New Roman"/>
          <w:b/>
          <w:bCs/>
          <w:i/>
          <w:sz w:val="20"/>
          <w:szCs w:val="20"/>
        </w:rPr>
        <w:instrText xml:space="preserve"> STYLEREF 2 \s </w:instrText>
      </w:r>
      <w:r w:rsidRPr="00D84719">
        <w:rPr>
          <w:rFonts w:ascii="Times New Roman" w:eastAsia="Times New Roman" w:hAnsi="Times New Roman" w:cs="Times New Roman"/>
          <w:b/>
          <w:bCs/>
          <w:i/>
          <w:sz w:val="20"/>
          <w:szCs w:val="20"/>
        </w:rPr>
        <w:fldChar w:fldCharType="separate"/>
      </w:r>
      <w:r w:rsidRPr="00D84719">
        <w:rPr>
          <w:rFonts w:ascii="Times New Roman" w:eastAsia="Times New Roman" w:hAnsi="Times New Roman" w:cs="Times New Roman"/>
          <w:b/>
          <w:bCs/>
          <w:i/>
          <w:sz w:val="20"/>
          <w:szCs w:val="20"/>
        </w:rPr>
        <w:t>3.4</w:t>
      </w:r>
      <w:r w:rsidRPr="00D84719">
        <w:rPr>
          <w:rFonts w:ascii="Times New Roman" w:eastAsia="Times New Roman" w:hAnsi="Times New Roman" w:cs="Times New Roman"/>
          <w:b/>
          <w:bCs/>
          <w:i/>
          <w:sz w:val="20"/>
          <w:szCs w:val="20"/>
        </w:rPr>
        <w:fldChar w:fldCharType="end"/>
      </w:r>
      <w:r w:rsidRPr="00D84719">
        <w:rPr>
          <w:rFonts w:ascii="Times New Roman" w:eastAsia="Times New Roman" w:hAnsi="Times New Roman" w:cs="Times New Roman"/>
          <w:b/>
          <w:bCs/>
          <w:i/>
          <w:sz w:val="20"/>
          <w:szCs w:val="20"/>
        </w:rPr>
        <w:noBreakHyphen/>
      </w:r>
      <w:r w:rsidRPr="00D84719">
        <w:rPr>
          <w:rFonts w:ascii="Times New Roman" w:eastAsia="Times New Roman" w:hAnsi="Times New Roman" w:cs="Times New Roman"/>
          <w:b/>
          <w:bCs/>
          <w:i/>
          <w:sz w:val="20"/>
          <w:szCs w:val="20"/>
        </w:rPr>
        <w:fldChar w:fldCharType="begin"/>
      </w:r>
      <w:r w:rsidRPr="00D84719">
        <w:rPr>
          <w:rFonts w:ascii="Times New Roman" w:eastAsia="Times New Roman" w:hAnsi="Times New Roman" w:cs="Times New Roman"/>
          <w:b/>
          <w:bCs/>
          <w:i/>
          <w:sz w:val="20"/>
          <w:szCs w:val="20"/>
        </w:rPr>
        <w:instrText xml:space="preserve"> SEQ Slika \* ARABIC \s 2 </w:instrText>
      </w:r>
      <w:r w:rsidRPr="00D84719">
        <w:rPr>
          <w:rFonts w:ascii="Times New Roman" w:eastAsia="Times New Roman" w:hAnsi="Times New Roman" w:cs="Times New Roman"/>
          <w:b/>
          <w:bCs/>
          <w:i/>
          <w:sz w:val="20"/>
          <w:szCs w:val="20"/>
        </w:rPr>
        <w:fldChar w:fldCharType="separate"/>
      </w:r>
      <w:r w:rsidRPr="00D84719">
        <w:rPr>
          <w:rFonts w:ascii="Times New Roman" w:eastAsia="Times New Roman" w:hAnsi="Times New Roman" w:cs="Times New Roman"/>
          <w:b/>
          <w:bCs/>
          <w:i/>
          <w:sz w:val="20"/>
          <w:szCs w:val="20"/>
        </w:rPr>
        <w:t>1</w:t>
      </w:r>
      <w:r w:rsidRPr="00D84719">
        <w:rPr>
          <w:rFonts w:ascii="Times New Roman" w:eastAsia="Times New Roman" w:hAnsi="Times New Roman" w:cs="Times New Roman"/>
          <w:b/>
          <w:bCs/>
          <w:i/>
          <w:sz w:val="20"/>
          <w:szCs w:val="20"/>
        </w:rPr>
        <w:fldChar w:fldCharType="end"/>
      </w:r>
      <w:r w:rsidRPr="00D84719">
        <w:rPr>
          <w:rFonts w:ascii="Times New Roman" w:eastAsia="Times New Roman" w:hAnsi="Times New Roman" w:cs="Times New Roman"/>
          <w:b/>
          <w:bCs/>
          <w:i/>
          <w:sz w:val="20"/>
          <w:szCs w:val="20"/>
        </w:rPr>
        <w:t>: Ukupni trend PCDD/PCDF emisija za razdoblje od 2001. do 2017</w:t>
      </w:r>
      <w:r w:rsidR="005C26BD">
        <w:rPr>
          <w:rFonts w:ascii="Times New Roman" w:eastAsia="Times New Roman" w:hAnsi="Times New Roman" w:cs="Times New Roman"/>
          <w:b/>
          <w:bCs/>
          <w:i/>
          <w:sz w:val="20"/>
          <w:szCs w:val="20"/>
        </w:rPr>
        <w:t>.</w:t>
      </w:r>
    </w:p>
    <w:p w14:paraId="40ED188C" w14:textId="77777777" w:rsidR="00D84719" w:rsidRPr="00D84719" w:rsidRDefault="00D84719" w:rsidP="00D84719">
      <w:pPr>
        <w:spacing w:before="80" w:line="276" w:lineRule="auto"/>
        <w:jc w:val="both"/>
        <w:rPr>
          <w:rFonts w:ascii="Times New Roman" w:eastAsia="Times New Roman" w:hAnsi="Times New Roman" w:cs="Times New Roman"/>
          <w:color w:val="000000"/>
          <w:szCs w:val="24"/>
          <w:lang w:bidi="en-US"/>
        </w:rPr>
      </w:pPr>
    </w:p>
    <w:p w14:paraId="62D3850E" w14:textId="77777777" w:rsidR="00D84719" w:rsidRPr="00D84719" w:rsidRDefault="00D84719" w:rsidP="00682E97">
      <w:pPr>
        <w:pStyle w:val="Naslov4"/>
      </w:pPr>
      <w:bookmarkStart w:id="121" w:name="_Toc41638266"/>
      <w:bookmarkStart w:id="122" w:name="_Toc64460719"/>
      <w:r w:rsidRPr="00D84719">
        <w:t xml:space="preserve">ISZO - </w:t>
      </w:r>
      <w:bookmarkEnd w:id="121"/>
      <w:r w:rsidR="007C52A9">
        <w:t>Informacijski sustav zaštite okoliša</w:t>
      </w:r>
      <w:bookmarkEnd w:id="122"/>
    </w:p>
    <w:p w14:paraId="67A44DE3" w14:textId="11B197AF" w:rsidR="00D84719" w:rsidRPr="00D84719" w:rsidRDefault="00D84719" w:rsidP="00D84719">
      <w:pPr>
        <w:spacing w:before="80" w:line="276" w:lineRule="auto"/>
        <w:jc w:val="both"/>
        <w:rPr>
          <w:rFonts w:ascii="Times New Roman" w:eastAsia="Times New Roman" w:hAnsi="Times New Roman" w:cs="Times New Roman"/>
          <w:sz w:val="24"/>
          <w:szCs w:val="24"/>
        </w:rPr>
      </w:pPr>
      <w:r w:rsidRPr="00D84719">
        <w:rPr>
          <w:rFonts w:ascii="Times New Roman" w:eastAsia="Times New Roman" w:hAnsi="Times New Roman" w:cs="Times New Roman"/>
          <w:sz w:val="24"/>
          <w:szCs w:val="24"/>
        </w:rPr>
        <w:t>Sukladno Pravilniku o registru onečišćavanja okoliša („Narodne novine“, broj 87/15), podaci o emisijama POPs-ova u zrak, vodu i/ili more i tlo iz pojedinačnih izvora te nastanak otpada koji sadrži PCB, prikupljaju se u bazu ROO.</w:t>
      </w:r>
      <w:r w:rsidR="00612979">
        <w:rPr>
          <w:rFonts w:ascii="Times New Roman" w:eastAsia="Times New Roman" w:hAnsi="Times New Roman" w:cs="Times New Roman"/>
          <w:sz w:val="24"/>
          <w:szCs w:val="24"/>
        </w:rPr>
        <w:t xml:space="preserve"> </w:t>
      </w:r>
      <w:r w:rsidRPr="00D84719">
        <w:rPr>
          <w:rFonts w:ascii="Times New Roman" w:eastAsia="Times New Roman" w:hAnsi="Times New Roman" w:cs="Times New Roman"/>
          <w:sz w:val="24"/>
          <w:szCs w:val="24"/>
        </w:rPr>
        <w:t xml:space="preserve">Za 2016., 2017. i 2018. u bazi ROO prikupljeni su podaci o emisijama u zrak iz nepokretnih izvora ispuštanja za PAU. U 2016. ukupna emisija </w:t>
      </w:r>
      <w:r w:rsidRPr="00D84719">
        <w:rPr>
          <w:rFonts w:ascii="Times New Roman" w:eastAsia="Times New Roman" w:hAnsi="Times New Roman" w:cs="Times New Roman"/>
          <w:sz w:val="24"/>
          <w:szCs w:val="24"/>
        </w:rPr>
        <w:lastRenderedPageBreak/>
        <w:t>PAU prijavljena od strane jednog operatera iznosi 37</w:t>
      </w:r>
      <w:r w:rsidR="00463368">
        <w:rPr>
          <w:rFonts w:ascii="Times New Roman" w:eastAsia="Times New Roman" w:hAnsi="Times New Roman" w:cs="Times New Roman"/>
          <w:sz w:val="24"/>
          <w:szCs w:val="24"/>
        </w:rPr>
        <w:t>,</w:t>
      </w:r>
      <w:r w:rsidRPr="00D84719">
        <w:rPr>
          <w:rFonts w:ascii="Times New Roman" w:eastAsia="Times New Roman" w:hAnsi="Times New Roman" w:cs="Times New Roman"/>
          <w:sz w:val="24"/>
          <w:szCs w:val="24"/>
        </w:rPr>
        <w:t>39 kg, u 2017. 36</w:t>
      </w:r>
      <w:r w:rsidR="00463368">
        <w:rPr>
          <w:rFonts w:ascii="Times New Roman" w:eastAsia="Times New Roman" w:hAnsi="Times New Roman" w:cs="Times New Roman"/>
          <w:sz w:val="24"/>
          <w:szCs w:val="24"/>
        </w:rPr>
        <w:t>,</w:t>
      </w:r>
      <w:r w:rsidRPr="00D84719">
        <w:rPr>
          <w:rFonts w:ascii="Times New Roman" w:eastAsia="Times New Roman" w:hAnsi="Times New Roman" w:cs="Times New Roman"/>
          <w:sz w:val="24"/>
          <w:szCs w:val="24"/>
        </w:rPr>
        <w:t>67 kg te u 2018</w:t>
      </w:r>
      <w:r w:rsidR="004C449C">
        <w:rPr>
          <w:rFonts w:ascii="Times New Roman" w:eastAsia="Times New Roman" w:hAnsi="Times New Roman" w:cs="Times New Roman"/>
          <w:sz w:val="24"/>
          <w:szCs w:val="24"/>
        </w:rPr>
        <w:t>.</w:t>
      </w:r>
      <w:r w:rsidRPr="00D84719">
        <w:rPr>
          <w:rFonts w:ascii="Times New Roman" w:eastAsia="Times New Roman" w:hAnsi="Times New Roman" w:cs="Times New Roman"/>
          <w:sz w:val="24"/>
          <w:szCs w:val="24"/>
        </w:rPr>
        <w:t xml:space="preserve"> 29</w:t>
      </w:r>
      <w:r w:rsidR="00463368">
        <w:rPr>
          <w:rFonts w:ascii="Times New Roman" w:eastAsia="Times New Roman" w:hAnsi="Times New Roman" w:cs="Times New Roman"/>
          <w:sz w:val="24"/>
          <w:szCs w:val="24"/>
        </w:rPr>
        <w:t>,</w:t>
      </w:r>
      <w:r w:rsidRPr="00D84719">
        <w:rPr>
          <w:rFonts w:ascii="Times New Roman" w:eastAsia="Times New Roman" w:hAnsi="Times New Roman" w:cs="Times New Roman"/>
          <w:sz w:val="24"/>
          <w:szCs w:val="24"/>
        </w:rPr>
        <w:t>7 kg.</w:t>
      </w:r>
    </w:p>
    <w:p w14:paraId="254CFB92" w14:textId="2A5E2BA6"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Za 2018</w:t>
      </w:r>
      <w:r w:rsidR="004C449C">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 xml:space="preserve"> u bazi ROO prikupljeni su podaci o emisijama u zrak iz nepokretnih izvora ispuštanja za PCDD+PCDF. U 2018</w:t>
      </w:r>
      <w:r w:rsidR="004C449C">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 xml:space="preserve"> ukupna emisija PCDD+PCDF izražena kao TEQ prijavljena je od strane jednog operatera i iznosi 3 g.</w:t>
      </w:r>
    </w:p>
    <w:p w14:paraId="155BDE6B" w14:textId="40453950"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U razdoblju od 2015. do 2017</w:t>
      </w:r>
      <w:r w:rsidR="005C26BD">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 xml:space="preserve"> u bazu ROO, odnosno E-PRTR nisu prijavljivane emisije u zrak, vode i tlo ostalih POPs-ova u Republici Hrvatskoj.</w:t>
      </w:r>
    </w:p>
    <w:p w14:paraId="00706234" w14:textId="77777777" w:rsidR="00D84719" w:rsidRPr="00D84719" w:rsidRDefault="00D84719" w:rsidP="00D84719">
      <w:pPr>
        <w:spacing w:before="80" w:line="276" w:lineRule="auto"/>
        <w:jc w:val="both"/>
        <w:rPr>
          <w:rFonts w:ascii="Times New Roman" w:eastAsia="Times New Roman" w:hAnsi="Times New Roman" w:cs="Times New Roman"/>
          <w:sz w:val="24"/>
          <w:szCs w:val="24"/>
          <w:lang w:bidi="en-US"/>
        </w:rPr>
      </w:pPr>
      <w:r w:rsidRPr="00D84719">
        <w:rPr>
          <w:rFonts w:ascii="Times New Roman" w:eastAsia="Times New Roman" w:hAnsi="Times New Roman" w:cs="Times New Roman"/>
          <w:sz w:val="24"/>
          <w:szCs w:val="24"/>
          <w:lang w:bidi="en-US"/>
        </w:rPr>
        <w:t xml:space="preserve">Sukladno Uredbi o sprječavanju velikih nesreća koje uključuju opasne tvari („Narodne novine“, br. 44/14, 31/17 i 45/17) i Pravilniku o registru postrojenja u kojima su prisutne opasne tvari i Očevidniku prijavljenih velikih nesreća („Narodne novine“, broj 139/14), predviđeno je prikupljanje podataka o POPs-ovima u bazu RPOT/OPVN. U bazi RPOT/OPVN se vode podaci o </w:t>
      </w:r>
      <w:r w:rsidR="00C309C2" w:rsidRPr="00D84719">
        <w:rPr>
          <w:rFonts w:ascii="Times New Roman" w:eastAsia="Times New Roman" w:hAnsi="Times New Roman" w:cs="Times New Roman"/>
          <w:sz w:val="24"/>
          <w:szCs w:val="24"/>
          <w:lang w:bidi="en-US"/>
        </w:rPr>
        <w:t>operat</w:t>
      </w:r>
      <w:r w:rsidR="00C309C2">
        <w:rPr>
          <w:rFonts w:ascii="Times New Roman" w:eastAsia="Times New Roman" w:hAnsi="Times New Roman" w:cs="Times New Roman"/>
          <w:sz w:val="24"/>
          <w:szCs w:val="24"/>
          <w:lang w:bidi="en-US"/>
        </w:rPr>
        <w:t>e</w:t>
      </w:r>
      <w:r w:rsidR="00C309C2" w:rsidRPr="00D84719">
        <w:rPr>
          <w:rFonts w:ascii="Times New Roman" w:eastAsia="Times New Roman" w:hAnsi="Times New Roman" w:cs="Times New Roman"/>
          <w:sz w:val="24"/>
          <w:szCs w:val="24"/>
          <w:lang w:bidi="en-US"/>
        </w:rPr>
        <w:t xml:space="preserve">rima </w:t>
      </w:r>
      <w:r w:rsidRPr="00D84719">
        <w:rPr>
          <w:rFonts w:ascii="Times New Roman" w:eastAsia="Times New Roman" w:hAnsi="Times New Roman" w:cs="Times New Roman"/>
          <w:sz w:val="24"/>
          <w:szCs w:val="24"/>
          <w:lang w:bidi="en-US"/>
        </w:rPr>
        <w:t xml:space="preserve">i njihovim </w:t>
      </w:r>
      <w:r w:rsidR="00C309C2">
        <w:rPr>
          <w:rFonts w:ascii="Times New Roman" w:eastAsia="Times New Roman" w:hAnsi="Times New Roman" w:cs="Times New Roman"/>
          <w:sz w:val="24"/>
          <w:szCs w:val="24"/>
          <w:lang w:bidi="en-US"/>
        </w:rPr>
        <w:t xml:space="preserve">područjima </w:t>
      </w:r>
      <w:r w:rsidR="00C309C2" w:rsidRPr="00D84719">
        <w:rPr>
          <w:rFonts w:ascii="Times New Roman" w:eastAsia="Times New Roman" w:hAnsi="Times New Roman" w:cs="Times New Roman"/>
          <w:sz w:val="24"/>
          <w:szCs w:val="24"/>
          <w:lang w:bidi="en-US"/>
        </w:rPr>
        <w:t>postrojenj</w:t>
      </w:r>
      <w:r w:rsidR="00C309C2">
        <w:rPr>
          <w:rFonts w:ascii="Times New Roman" w:eastAsia="Times New Roman" w:hAnsi="Times New Roman" w:cs="Times New Roman"/>
          <w:sz w:val="24"/>
          <w:szCs w:val="24"/>
          <w:lang w:bidi="en-US"/>
        </w:rPr>
        <w:t>a</w:t>
      </w:r>
      <w:r w:rsidR="00C309C2" w:rsidRPr="00D84719">
        <w:rPr>
          <w:rFonts w:ascii="Times New Roman" w:eastAsia="Times New Roman" w:hAnsi="Times New Roman" w:cs="Times New Roman"/>
          <w:sz w:val="24"/>
          <w:szCs w:val="24"/>
          <w:lang w:bidi="en-US"/>
        </w:rPr>
        <w:t xml:space="preserve"> </w:t>
      </w:r>
      <w:r w:rsidRPr="00D84719">
        <w:rPr>
          <w:rFonts w:ascii="Times New Roman" w:eastAsia="Times New Roman" w:hAnsi="Times New Roman" w:cs="Times New Roman"/>
          <w:sz w:val="24"/>
          <w:szCs w:val="24"/>
          <w:lang w:bidi="en-US"/>
        </w:rPr>
        <w:t xml:space="preserve">koja prijavljuju količine sirovina, intermedijera i produkata sukladno Prilogu I. navedene Uredbe te nema prijavljenih POPs-ova za razdoblje </w:t>
      </w:r>
      <w:r w:rsidR="00A04B3B">
        <w:rPr>
          <w:rFonts w:ascii="Times New Roman" w:eastAsia="Times New Roman" w:hAnsi="Times New Roman" w:cs="Times New Roman"/>
          <w:sz w:val="24"/>
          <w:szCs w:val="24"/>
          <w:lang w:bidi="en-US"/>
        </w:rPr>
        <w:t xml:space="preserve">od </w:t>
      </w:r>
      <w:r w:rsidR="00A04B3B" w:rsidRPr="00D84719">
        <w:rPr>
          <w:rFonts w:ascii="Times New Roman" w:eastAsia="Times New Roman" w:hAnsi="Times New Roman" w:cs="Times New Roman"/>
          <w:sz w:val="24"/>
          <w:szCs w:val="24"/>
          <w:lang w:bidi="en-US"/>
        </w:rPr>
        <w:t>201</w:t>
      </w:r>
      <w:r w:rsidR="00A04B3B">
        <w:rPr>
          <w:rFonts w:ascii="Times New Roman" w:eastAsia="Times New Roman" w:hAnsi="Times New Roman" w:cs="Times New Roman"/>
          <w:sz w:val="24"/>
          <w:szCs w:val="24"/>
          <w:lang w:bidi="en-US"/>
        </w:rPr>
        <w:t>5</w:t>
      </w:r>
      <w:r w:rsidRPr="00D84719">
        <w:rPr>
          <w:rFonts w:ascii="Times New Roman" w:eastAsia="Times New Roman" w:hAnsi="Times New Roman" w:cs="Times New Roman"/>
          <w:sz w:val="24"/>
          <w:szCs w:val="24"/>
          <w:lang w:bidi="en-US"/>
        </w:rPr>
        <w:t xml:space="preserve">. do </w:t>
      </w:r>
      <w:r w:rsidR="00A04B3B">
        <w:rPr>
          <w:rFonts w:ascii="Times New Roman" w:eastAsia="Times New Roman" w:hAnsi="Times New Roman" w:cs="Times New Roman"/>
          <w:sz w:val="24"/>
          <w:szCs w:val="24"/>
          <w:lang w:bidi="en-US"/>
        </w:rPr>
        <w:t>2019</w:t>
      </w:r>
      <w:r w:rsidRPr="00D84719">
        <w:rPr>
          <w:rFonts w:ascii="Times New Roman" w:eastAsia="Times New Roman" w:hAnsi="Times New Roman" w:cs="Times New Roman"/>
          <w:sz w:val="24"/>
          <w:szCs w:val="24"/>
          <w:lang w:bidi="en-US"/>
        </w:rPr>
        <w:t>.</w:t>
      </w:r>
      <w:r w:rsidR="00A04B3B">
        <w:rPr>
          <w:rFonts w:ascii="Times New Roman" w:eastAsia="Times New Roman" w:hAnsi="Times New Roman" w:cs="Times New Roman"/>
          <w:sz w:val="24"/>
          <w:szCs w:val="24"/>
          <w:lang w:bidi="en-US"/>
        </w:rPr>
        <w:t>.</w:t>
      </w:r>
    </w:p>
    <w:p w14:paraId="72740243" w14:textId="77777777" w:rsidR="00D84719" w:rsidRPr="00D84719" w:rsidRDefault="00D84719" w:rsidP="00D84719">
      <w:pPr>
        <w:spacing w:before="80" w:line="276" w:lineRule="auto"/>
        <w:jc w:val="both"/>
        <w:rPr>
          <w:rFonts w:ascii="Times New Roman" w:eastAsia="Times New Roman" w:hAnsi="Times New Roman" w:cs="Times New Roman"/>
          <w:szCs w:val="24"/>
          <w:lang w:bidi="en-US"/>
        </w:rPr>
      </w:pPr>
    </w:p>
    <w:p w14:paraId="6787A5F8" w14:textId="77777777" w:rsidR="00D84719" w:rsidRPr="00D84719" w:rsidRDefault="00D84719" w:rsidP="00682E97">
      <w:pPr>
        <w:pStyle w:val="Naslov2"/>
      </w:pPr>
      <w:bookmarkStart w:id="123" w:name="_Toc41638267"/>
      <w:bookmarkStart w:id="124" w:name="_Toc64460720"/>
      <w:r w:rsidRPr="00D84719">
        <w:t>Informacije o zalihama, kontaminiranim lokacijama i otpadu</w:t>
      </w:r>
      <w:bookmarkEnd w:id="123"/>
      <w:bookmarkEnd w:id="124"/>
      <w:r w:rsidRPr="00D84719">
        <w:t xml:space="preserve"> </w:t>
      </w:r>
    </w:p>
    <w:p w14:paraId="59F71A8C"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Na temelju podataka koji govore o primjeni POPs-ova u nekim područjima Republike Hrvatske trebalo bi odrediti nekoliko područja na kojima bi se provelo ispitivanje preostale prisutnosti, osobito pesticida koji sadrže tzv. nove POPs-ove.</w:t>
      </w:r>
    </w:p>
    <w:p w14:paraId="77C24592"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Poznajući doze ili koncentracije primjene i razumijevajući da su pesticidi korišteni u skladu s preporukama iz dozvole, nema većih izgleda za pronalaženje lokacija značajno onečišćenih pesticidima. Kako bi se to potvrdilo preporučuje se analiza.</w:t>
      </w:r>
    </w:p>
    <w:p w14:paraId="72F3F4A3" w14:textId="77777777" w:rsidR="00D84719" w:rsidRPr="00D84719" w:rsidRDefault="00D84719" w:rsidP="00D84719">
      <w:pPr>
        <w:spacing w:after="200" w:line="276" w:lineRule="auto"/>
        <w:rPr>
          <w:rFonts w:ascii="Times New Roman" w:eastAsia="Times New Roman" w:hAnsi="Times New Roman" w:cs="Times New Roman"/>
          <w:color w:val="000000"/>
          <w:szCs w:val="24"/>
        </w:rPr>
      </w:pPr>
    </w:p>
    <w:p w14:paraId="13FD0223" w14:textId="77777777" w:rsidR="00D84719" w:rsidRPr="00D84719" w:rsidRDefault="00D84719" w:rsidP="00682E97">
      <w:pPr>
        <w:pStyle w:val="Naslov2"/>
      </w:pPr>
      <w:bookmarkStart w:id="125" w:name="_Toc41638268"/>
      <w:bookmarkStart w:id="126" w:name="_Toc64460721"/>
      <w:r w:rsidRPr="00D84719">
        <w:t>Sažetak buduće proizvodnje, uporabe i ispuštanja POPs-ova</w:t>
      </w:r>
      <w:bookmarkEnd w:id="125"/>
      <w:bookmarkEnd w:id="126"/>
      <w:r w:rsidRPr="00D84719">
        <w:t xml:space="preserve"> </w:t>
      </w:r>
    </w:p>
    <w:p w14:paraId="6C47A1FF"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 xml:space="preserve">Trenutno u Republici Hrvatskoj ne postoji niti se u budućnosti planira proizvodnja POPs-ova jer je ista zabranjena, odnosno ograničena. Trenutna i procijenjena proizvodnja, uporaba i ispuštanje svih POPs-ova obuhvaćenih </w:t>
      </w:r>
      <w:proofErr w:type="spellStart"/>
      <w:r w:rsidRPr="00D84719">
        <w:rPr>
          <w:rFonts w:ascii="Times New Roman" w:eastAsia="Times New Roman" w:hAnsi="Times New Roman" w:cs="Times New Roman"/>
          <w:color w:val="000000"/>
          <w:sz w:val="24"/>
          <w:szCs w:val="24"/>
        </w:rPr>
        <w:t>Stockholmskom</w:t>
      </w:r>
      <w:proofErr w:type="spellEnd"/>
      <w:r w:rsidRPr="00D84719">
        <w:rPr>
          <w:rFonts w:ascii="Times New Roman" w:eastAsia="Times New Roman" w:hAnsi="Times New Roman" w:cs="Times New Roman"/>
          <w:color w:val="000000"/>
          <w:sz w:val="24"/>
          <w:szCs w:val="24"/>
        </w:rPr>
        <w:t xml:space="preserve"> konvencijom prikazana je u sljedećoj tablici.</w:t>
      </w:r>
    </w:p>
    <w:p w14:paraId="131EB710" w14:textId="77777777" w:rsidR="00D84719" w:rsidRPr="00D84719" w:rsidRDefault="00D84719" w:rsidP="00D84719">
      <w:pPr>
        <w:keepNext/>
        <w:spacing w:before="80" w:after="0" w:line="276" w:lineRule="auto"/>
        <w:jc w:val="both"/>
        <w:rPr>
          <w:rFonts w:ascii="Times New Roman" w:eastAsia="Times New Roman" w:hAnsi="Times New Roman" w:cs="Times New Roman"/>
          <w:b/>
          <w:bCs/>
          <w:i/>
          <w:sz w:val="20"/>
          <w:szCs w:val="20"/>
        </w:rPr>
      </w:pPr>
      <w:r w:rsidRPr="00D84719">
        <w:rPr>
          <w:rFonts w:ascii="Times New Roman" w:eastAsia="Times New Roman" w:hAnsi="Times New Roman" w:cs="Times New Roman"/>
          <w:b/>
          <w:bCs/>
          <w:i/>
          <w:sz w:val="20"/>
          <w:szCs w:val="20"/>
        </w:rPr>
        <w:t xml:space="preserve">Tablica </w:t>
      </w:r>
      <w:r w:rsidRPr="00D84719">
        <w:rPr>
          <w:rFonts w:ascii="Times New Roman" w:eastAsia="Times New Roman" w:hAnsi="Times New Roman" w:cs="Times New Roman"/>
          <w:b/>
          <w:bCs/>
          <w:i/>
          <w:sz w:val="20"/>
          <w:szCs w:val="20"/>
        </w:rPr>
        <w:fldChar w:fldCharType="begin"/>
      </w:r>
      <w:r w:rsidRPr="00D84719">
        <w:rPr>
          <w:rFonts w:ascii="Times New Roman" w:eastAsia="Times New Roman" w:hAnsi="Times New Roman" w:cs="Times New Roman"/>
          <w:b/>
          <w:bCs/>
          <w:i/>
          <w:sz w:val="20"/>
          <w:szCs w:val="20"/>
        </w:rPr>
        <w:instrText xml:space="preserve"> STYLEREF 2 \s </w:instrText>
      </w:r>
      <w:r w:rsidRPr="00D84719">
        <w:rPr>
          <w:rFonts w:ascii="Times New Roman" w:eastAsia="Times New Roman" w:hAnsi="Times New Roman" w:cs="Times New Roman"/>
          <w:b/>
          <w:bCs/>
          <w:i/>
          <w:sz w:val="20"/>
          <w:szCs w:val="20"/>
        </w:rPr>
        <w:fldChar w:fldCharType="separate"/>
      </w:r>
      <w:r w:rsidRPr="00D84719">
        <w:rPr>
          <w:rFonts w:ascii="Times New Roman" w:eastAsia="Times New Roman" w:hAnsi="Times New Roman" w:cs="Times New Roman"/>
          <w:b/>
          <w:bCs/>
          <w:i/>
          <w:sz w:val="20"/>
          <w:szCs w:val="20"/>
        </w:rPr>
        <w:t>3.6</w:t>
      </w:r>
      <w:r w:rsidRPr="00D84719">
        <w:rPr>
          <w:rFonts w:ascii="Times New Roman" w:eastAsia="Times New Roman" w:hAnsi="Times New Roman" w:cs="Times New Roman"/>
          <w:b/>
          <w:bCs/>
          <w:i/>
          <w:sz w:val="20"/>
          <w:szCs w:val="20"/>
        </w:rPr>
        <w:fldChar w:fldCharType="end"/>
      </w:r>
      <w:r w:rsidRPr="00D84719">
        <w:rPr>
          <w:rFonts w:ascii="Times New Roman" w:eastAsia="Times New Roman" w:hAnsi="Times New Roman" w:cs="Times New Roman"/>
          <w:b/>
          <w:bCs/>
          <w:i/>
          <w:sz w:val="20"/>
          <w:szCs w:val="20"/>
        </w:rPr>
        <w:noBreakHyphen/>
      </w:r>
      <w:r w:rsidRPr="00D84719">
        <w:rPr>
          <w:rFonts w:ascii="Times New Roman" w:eastAsia="Times New Roman" w:hAnsi="Times New Roman" w:cs="Times New Roman"/>
          <w:b/>
          <w:bCs/>
          <w:i/>
          <w:sz w:val="20"/>
          <w:szCs w:val="20"/>
        </w:rPr>
        <w:fldChar w:fldCharType="begin"/>
      </w:r>
      <w:r w:rsidRPr="00D84719">
        <w:rPr>
          <w:rFonts w:ascii="Times New Roman" w:eastAsia="Times New Roman" w:hAnsi="Times New Roman" w:cs="Times New Roman"/>
          <w:b/>
          <w:bCs/>
          <w:i/>
          <w:sz w:val="20"/>
          <w:szCs w:val="20"/>
        </w:rPr>
        <w:instrText xml:space="preserve"> SEQ Tablica \* ARABIC \s 2 </w:instrText>
      </w:r>
      <w:r w:rsidRPr="00D84719">
        <w:rPr>
          <w:rFonts w:ascii="Times New Roman" w:eastAsia="Times New Roman" w:hAnsi="Times New Roman" w:cs="Times New Roman"/>
          <w:b/>
          <w:bCs/>
          <w:i/>
          <w:sz w:val="20"/>
          <w:szCs w:val="20"/>
        </w:rPr>
        <w:fldChar w:fldCharType="separate"/>
      </w:r>
      <w:r w:rsidRPr="00D84719">
        <w:rPr>
          <w:rFonts w:ascii="Times New Roman" w:eastAsia="Times New Roman" w:hAnsi="Times New Roman" w:cs="Times New Roman"/>
          <w:b/>
          <w:bCs/>
          <w:i/>
          <w:sz w:val="20"/>
          <w:szCs w:val="20"/>
        </w:rPr>
        <w:t>1</w:t>
      </w:r>
      <w:r w:rsidRPr="00D84719">
        <w:rPr>
          <w:rFonts w:ascii="Times New Roman" w:eastAsia="Times New Roman" w:hAnsi="Times New Roman" w:cs="Times New Roman"/>
          <w:b/>
          <w:bCs/>
          <w:i/>
          <w:sz w:val="20"/>
          <w:szCs w:val="20"/>
        </w:rPr>
        <w:fldChar w:fldCharType="end"/>
      </w:r>
      <w:r w:rsidRPr="00D84719">
        <w:rPr>
          <w:rFonts w:ascii="Times New Roman" w:eastAsia="Times New Roman" w:hAnsi="Times New Roman" w:cs="Times New Roman"/>
          <w:b/>
          <w:bCs/>
          <w:i/>
          <w:sz w:val="20"/>
          <w:szCs w:val="20"/>
        </w:rPr>
        <w:t>. Trenutna i procijenjena proizvodnja, uporaba i ispušta</w:t>
      </w:r>
      <w:r w:rsidR="00CE5610">
        <w:rPr>
          <w:rFonts w:ascii="Times New Roman" w:eastAsia="Times New Roman" w:hAnsi="Times New Roman" w:cs="Times New Roman"/>
          <w:b/>
          <w:bCs/>
          <w:i/>
          <w:sz w:val="20"/>
          <w:szCs w:val="20"/>
        </w:rPr>
        <w:t>nje „starih“ i „novih“ POPs-ova</w:t>
      </w:r>
    </w:p>
    <w:tbl>
      <w:tblPr>
        <w:tblStyle w:val="Reetkatablice1"/>
        <w:tblW w:w="5159" w:type="pct"/>
        <w:jc w:val="center"/>
        <w:tblLayout w:type="fixed"/>
        <w:tblLook w:val="04A0" w:firstRow="1" w:lastRow="0" w:firstColumn="1" w:lastColumn="0" w:noHBand="0" w:noVBand="1"/>
      </w:tblPr>
      <w:tblGrid>
        <w:gridCol w:w="3779"/>
        <w:gridCol w:w="2880"/>
        <w:gridCol w:w="991"/>
        <w:gridCol w:w="656"/>
        <w:gridCol w:w="193"/>
        <w:gridCol w:w="851"/>
      </w:tblGrid>
      <w:tr w:rsidR="00134B26" w:rsidRPr="00D84719" w14:paraId="266B42C4" w14:textId="77777777" w:rsidTr="00134B26">
        <w:trPr>
          <w:jc w:val="center"/>
        </w:trPr>
        <w:tc>
          <w:tcPr>
            <w:tcW w:w="3561" w:type="pct"/>
            <w:gridSpan w:val="2"/>
            <w:tcBorders>
              <w:bottom w:val="single" w:sz="4" w:space="0" w:color="000000"/>
            </w:tcBorders>
            <w:vAlign w:val="center"/>
          </w:tcPr>
          <w:p w14:paraId="1C61AB5E" w14:textId="77777777" w:rsidR="00D84719" w:rsidRPr="00D84719" w:rsidRDefault="00D84719" w:rsidP="00D84719">
            <w:pPr>
              <w:jc w:val="center"/>
              <w:rPr>
                <w:b/>
                <w:bCs/>
                <w:color w:val="000000"/>
              </w:rPr>
            </w:pPr>
            <w:r w:rsidRPr="00D84719">
              <w:rPr>
                <w:b/>
                <w:bCs/>
                <w:color w:val="000000"/>
              </w:rPr>
              <w:t>Godina</w:t>
            </w:r>
          </w:p>
        </w:tc>
        <w:tc>
          <w:tcPr>
            <w:tcW w:w="530" w:type="pct"/>
            <w:tcBorders>
              <w:bottom w:val="single" w:sz="4" w:space="0" w:color="000000"/>
            </w:tcBorders>
            <w:vAlign w:val="center"/>
          </w:tcPr>
          <w:p w14:paraId="69F804B8" w14:textId="77777777" w:rsidR="00D84719" w:rsidRPr="00D84719" w:rsidRDefault="00D84719" w:rsidP="00D84719">
            <w:pPr>
              <w:spacing w:line="276" w:lineRule="auto"/>
              <w:jc w:val="center"/>
              <w:rPr>
                <w:b/>
                <w:bCs/>
                <w:color w:val="000000"/>
              </w:rPr>
            </w:pPr>
            <w:r w:rsidRPr="00D84719">
              <w:rPr>
                <w:b/>
                <w:bCs/>
                <w:color w:val="000000"/>
              </w:rPr>
              <w:t>2017.</w:t>
            </w:r>
          </w:p>
        </w:tc>
        <w:tc>
          <w:tcPr>
            <w:tcW w:w="454" w:type="pct"/>
            <w:gridSpan w:val="2"/>
            <w:tcBorders>
              <w:bottom w:val="single" w:sz="4" w:space="0" w:color="000000"/>
            </w:tcBorders>
            <w:vAlign w:val="center"/>
          </w:tcPr>
          <w:p w14:paraId="6ADA034C" w14:textId="77777777" w:rsidR="00D84719" w:rsidRPr="00D84719" w:rsidRDefault="00D84719" w:rsidP="00D84719">
            <w:pPr>
              <w:spacing w:line="276" w:lineRule="auto"/>
              <w:jc w:val="center"/>
              <w:rPr>
                <w:b/>
                <w:bCs/>
                <w:color w:val="000000"/>
              </w:rPr>
            </w:pPr>
            <w:r w:rsidRPr="00D84719">
              <w:rPr>
                <w:b/>
                <w:bCs/>
                <w:color w:val="000000"/>
              </w:rPr>
              <w:t>2025.</w:t>
            </w:r>
          </w:p>
        </w:tc>
        <w:tc>
          <w:tcPr>
            <w:tcW w:w="455" w:type="pct"/>
            <w:tcBorders>
              <w:bottom w:val="single" w:sz="4" w:space="0" w:color="000000"/>
            </w:tcBorders>
            <w:vAlign w:val="center"/>
          </w:tcPr>
          <w:p w14:paraId="48BD6F7F" w14:textId="77777777" w:rsidR="00D84719" w:rsidRPr="00D84719" w:rsidRDefault="00D84719" w:rsidP="00D84719">
            <w:pPr>
              <w:spacing w:line="276" w:lineRule="auto"/>
              <w:jc w:val="center"/>
              <w:rPr>
                <w:b/>
                <w:bCs/>
                <w:color w:val="000000"/>
              </w:rPr>
            </w:pPr>
            <w:r w:rsidRPr="00D84719">
              <w:rPr>
                <w:b/>
                <w:bCs/>
                <w:color w:val="000000"/>
              </w:rPr>
              <w:t>2035.</w:t>
            </w:r>
          </w:p>
        </w:tc>
      </w:tr>
      <w:tr w:rsidR="00D84719" w:rsidRPr="00D84719" w14:paraId="513FD30B" w14:textId="77777777" w:rsidTr="00134B26">
        <w:trPr>
          <w:jc w:val="center"/>
        </w:trPr>
        <w:tc>
          <w:tcPr>
            <w:tcW w:w="5000" w:type="pct"/>
            <w:gridSpan w:val="6"/>
            <w:tcBorders>
              <w:bottom w:val="single" w:sz="4" w:space="0" w:color="000000"/>
            </w:tcBorders>
            <w:shd w:val="clear" w:color="auto" w:fill="BFBFBF"/>
            <w:vAlign w:val="center"/>
          </w:tcPr>
          <w:p w14:paraId="7BED14B1" w14:textId="77777777" w:rsidR="00D84719" w:rsidRPr="00D84719" w:rsidRDefault="00D84719" w:rsidP="00D84719">
            <w:pPr>
              <w:spacing w:line="276" w:lineRule="auto"/>
              <w:jc w:val="center"/>
              <w:rPr>
                <w:b/>
                <w:bCs/>
                <w:color w:val="000000"/>
              </w:rPr>
            </w:pPr>
            <w:r w:rsidRPr="00D84719">
              <w:rPr>
                <w:b/>
                <w:bCs/>
                <w:color w:val="000000"/>
              </w:rPr>
              <w:t>POPS PESTICIDI</w:t>
            </w:r>
          </w:p>
        </w:tc>
      </w:tr>
      <w:tr w:rsidR="00134B26" w:rsidRPr="00D84719" w14:paraId="16FCAD02" w14:textId="77777777" w:rsidTr="00134B26">
        <w:trPr>
          <w:jc w:val="center"/>
        </w:trPr>
        <w:tc>
          <w:tcPr>
            <w:tcW w:w="3561" w:type="pct"/>
            <w:gridSpan w:val="2"/>
            <w:shd w:val="clear" w:color="auto" w:fill="F2F2F2"/>
            <w:vAlign w:val="center"/>
          </w:tcPr>
          <w:p w14:paraId="189039DF" w14:textId="77777777" w:rsidR="00D84719" w:rsidRPr="00D84719" w:rsidRDefault="00D84719" w:rsidP="00D84719">
            <w:pPr>
              <w:jc w:val="center"/>
              <w:rPr>
                <w:b/>
                <w:bCs/>
                <w:i/>
                <w:iCs/>
                <w:smallCaps/>
                <w:color w:val="000000"/>
                <w:sz w:val="20"/>
                <w:szCs w:val="20"/>
              </w:rPr>
            </w:pPr>
            <w:r w:rsidRPr="00D84719">
              <w:rPr>
                <w:b/>
                <w:bCs/>
                <w:i/>
                <w:iCs/>
                <w:smallCaps/>
                <w:color w:val="000000"/>
                <w:sz w:val="20"/>
                <w:szCs w:val="20"/>
              </w:rPr>
              <w:t>Proizvodnja (tona)</w:t>
            </w:r>
          </w:p>
        </w:tc>
        <w:tc>
          <w:tcPr>
            <w:tcW w:w="530" w:type="pct"/>
            <w:shd w:val="clear" w:color="auto" w:fill="F2F2F2"/>
            <w:vAlign w:val="center"/>
          </w:tcPr>
          <w:p w14:paraId="7008D090" w14:textId="77777777" w:rsidR="00D84719" w:rsidRPr="00CA7596" w:rsidRDefault="00D84719" w:rsidP="00D84719">
            <w:pPr>
              <w:spacing w:line="276" w:lineRule="auto"/>
              <w:jc w:val="center"/>
              <w:rPr>
                <w:b/>
                <w:bCs/>
                <w:i/>
                <w:iCs/>
                <w:smallCaps/>
                <w:color w:val="000000"/>
                <w:sz w:val="20"/>
                <w:szCs w:val="20"/>
              </w:rPr>
            </w:pPr>
            <w:r w:rsidRPr="00CA7596">
              <w:rPr>
                <w:b/>
                <w:bCs/>
                <w:i/>
                <w:iCs/>
                <w:smallCaps/>
                <w:color w:val="000000"/>
                <w:sz w:val="20"/>
                <w:szCs w:val="20"/>
              </w:rPr>
              <w:t>0</w:t>
            </w:r>
          </w:p>
        </w:tc>
        <w:tc>
          <w:tcPr>
            <w:tcW w:w="454" w:type="pct"/>
            <w:gridSpan w:val="2"/>
            <w:shd w:val="clear" w:color="auto" w:fill="F2F2F2"/>
            <w:vAlign w:val="center"/>
          </w:tcPr>
          <w:p w14:paraId="1D361921" w14:textId="77777777" w:rsidR="00D84719" w:rsidRPr="00CA7596" w:rsidRDefault="00D84719" w:rsidP="00D84719">
            <w:pPr>
              <w:spacing w:line="276" w:lineRule="auto"/>
              <w:jc w:val="center"/>
              <w:rPr>
                <w:b/>
                <w:bCs/>
                <w:i/>
                <w:iCs/>
                <w:smallCaps/>
                <w:color w:val="000000"/>
                <w:sz w:val="20"/>
                <w:szCs w:val="20"/>
              </w:rPr>
            </w:pPr>
            <w:r w:rsidRPr="00CA7596">
              <w:rPr>
                <w:b/>
                <w:bCs/>
                <w:i/>
                <w:iCs/>
                <w:smallCaps/>
                <w:color w:val="000000"/>
                <w:sz w:val="20"/>
                <w:szCs w:val="20"/>
              </w:rPr>
              <w:t>0</w:t>
            </w:r>
          </w:p>
        </w:tc>
        <w:tc>
          <w:tcPr>
            <w:tcW w:w="455" w:type="pct"/>
            <w:shd w:val="clear" w:color="auto" w:fill="F2F2F2"/>
            <w:vAlign w:val="center"/>
          </w:tcPr>
          <w:p w14:paraId="3F6EC15C" w14:textId="77777777" w:rsidR="00D84719" w:rsidRPr="00CA7596" w:rsidRDefault="00D84719" w:rsidP="00D84719">
            <w:pPr>
              <w:spacing w:line="276" w:lineRule="auto"/>
              <w:jc w:val="center"/>
              <w:rPr>
                <w:b/>
                <w:bCs/>
                <w:i/>
                <w:iCs/>
                <w:smallCaps/>
                <w:color w:val="000000"/>
                <w:sz w:val="20"/>
                <w:szCs w:val="20"/>
              </w:rPr>
            </w:pPr>
            <w:r w:rsidRPr="00CA7596">
              <w:rPr>
                <w:b/>
                <w:bCs/>
                <w:i/>
                <w:iCs/>
                <w:smallCaps/>
                <w:color w:val="000000"/>
                <w:sz w:val="20"/>
                <w:szCs w:val="20"/>
              </w:rPr>
              <w:t>0</w:t>
            </w:r>
          </w:p>
        </w:tc>
      </w:tr>
      <w:tr w:rsidR="00134B26" w:rsidRPr="00D84719" w14:paraId="7DB25717" w14:textId="77777777" w:rsidTr="00134B26">
        <w:trPr>
          <w:jc w:val="center"/>
        </w:trPr>
        <w:tc>
          <w:tcPr>
            <w:tcW w:w="2021" w:type="pct"/>
            <w:vAlign w:val="center"/>
          </w:tcPr>
          <w:p w14:paraId="7685DD3F" w14:textId="77777777" w:rsidR="00D84719" w:rsidRPr="00D84719" w:rsidRDefault="00D84719" w:rsidP="00D84719">
            <w:pPr>
              <w:spacing w:line="276" w:lineRule="auto"/>
              <w:jc w:val="both"/>
              <w:rPr>
                <w:color w:val="000000"/>
              </w:rPr>
            </w:pPr>
            <w:r w:rsidRPr="00D84719">
              <w:rPr>
                <w:color w:val="000000"/>
              </w:rPr>
              <w:t>Aldrin</w:t>
            </w:r>
          </w:p>
        </w:tc>
        <w:tc>
          <w:tcPr>
            <w:tcW w:w="1540" w:type="pct"/>
            <w:vAlign w:val="center"/>
          </w:tcPr>
          <w:p w14:paraId="0885AA95" w14:textId="77777777" w:rsidR="00D84719" w:rsidRPr="00D84719" w:rsidRDefault="00D84719" w:rsidP="00D84719">
            <w:pPr>
              <w:jc w:val="center"/>
              <w:rPr>
                <w:color w:val="000000"/>
              </w:rPr>
            </w:pPr>
          </w:p>
        </w:tc>
        <w:tc>
          <w:tcPr>
            <w:tcW w:w="530" w:type="pct"/>
            <w:vAlign w:val="center"/>
          </w:tcPr>
          <w:p w14:paraId="0AEDD0CD" w14:textId="77777777" w:rsidR="00D84719" w:rsidRPr="00CA7596" w:rsidRDefault="00D84719" w:rsidP="00D84719">
            <w:pPr>
              <w:spacing w:line="276" w:lineRule="auto"/>
              <w:jc w:val="center"/>
              <w:rPr>
                <w:color w:val="000000"/>
                <w:sz w:val="20"/>
                <w:szCs w:val="20"/>
              </w:rPr>
            </w:pPr>
            <w:r w:rsidRPr="00CA7596">
              <w:rPr>
                <w:color w:val="000000"/>
                <w:sz w:val="20"/>
                <w:szCs w:val="20"/>
              </w:rPr>
              <w:t>0</w:t>
            </w:r>
          </w:p>
        </w:tc>
        <w:tc>
          <w:tcPr>
            <w:tcW w:w="454" w:type="pct"/>
            <w:gridSpan w:val="2"/>
            <w:vAlign w:val="center"/>
          </w:tcPr>
          <w:p w14:paraId="60700490" w14:textId="77777777" w:rsidR="00D84719" w:rsidRPr="00CA7596" w:rsidRDefault="00D84719" w:rsidP="00D84719">
            <w:pPr>
              <w:spacing w:line="276" w:lineRule="auto"/>
              <w:jc w:val="center"/>
              <w:rPr>
                <w:color w:val="000000"/>
                <w:sz w:val="20"/>
                <w:szCs w:val="20"/>
              </w:rPr>
            </w:pPr>
            <w:r w:rsidRPr="00CA7596">
              <w:rPr>
                <w:color w:val="000000"/>
                <w:sz w:val="20"/>
                <w:szCs w:val="20"/>
              </w:rPr>
              <w:t>0</w:t>
            </w:r>
          </w:p>
        </w:tc>
        <w:tc>
          <w:tcPr>
            <w:tcW w:w="455" w:type="pct"/>
            <w:vAlign w:val="center"/>
          </w:tcPr>
          <w:p w14:paraId="446BFC14" w14:textId="77777777" w:rsidR="00D84719" w:rsidRPr="00CA7596" w:rsidRDefault="00D84719" w:rsidP="00D84719">
            <w:pPr>
              <w:spacing w:line="276" w:lineRule="auto"/>
              <w:jc w:val="center"/>
              <w:rPr>
                <w:color w:val="000000"/>
                <w:sz w:val="20"/>
                <w:szCs w:val="20"/>
              </w:rPr>
            </w:pPr>
            <w:r w:rsidRPr="00CA7596">
              <w:rPr>
                <w:color w:val="000000"/>
                <w:sz w:val="20"/>
                <w:szCs w:val="20"/>
              </w:rPr>
              <w:t>0</w:t>
            </w:r>
          </w:p>
        </w:tc>
      </w:tr>
      <w:tr w:rsidR="00134B26" w:rsidRPr="00D84719" w14:paraId="0DE4525F" w14:textId="77777777" w:rsidTr="00134B26">
        <w:trPr>
          <w:jc w:val="center"/>
        </w:trPr>
        <w:tc>
          <w:tcPr>
            <w:tcW w:w="2021" w:type="pct"/>
            <w:vAlign w:val="center"/>
          </w:tcPr>
          <w:p w14:paraId="3DC406AA" w14:textId="77777777" w:rsidR="00D84719" w:rsidRPr="00D84719" w:rsidRDefault="00D84719" w:rsidP="00D84719">
            <w:pPr>
              <w:spacing w:line="276" w:lineRule="auto"/>
              <w:jc w:val="both"/>
              <w:rPr>
                <w:color w:val="000000"/>
              </w:rPr>
            </w:pPr>
            <w:r w:rsidRPr="00D84719">
              <w:rPr>
                <w:color w:val="000000"/>
              </w:rPr>
              <w:t>Klordan</w:t>
            </w:r>
          </w:p>
        </w:tc>
        <w:tc>
          <w:tcPr>
            <w:tcW w:w="1540" w:type="pct"/>
            <w:vAlign w:val="center"/>
          </w:tcPr>
          <w:p w14:paraId="24408499" w14:textId="77777777" w:rsidR="00D84719" w:rsidRPr="00D84719" w:rsidRDefault="00D84719" w:rsidP="00D84719">
            <w:pPr>
              <w:jc w:val="center"/>
              <w:rPr>
                <w:color w:val="000000"/>
              </w:rPr>
            </w:pPr>
          </w:p>
        </w:tc>
        <w:tc>
          <w:tcPr>
            <w:tcW w:w="530" w:type="pct"/>
            <w:vAlign w:val="center"/>
          </w:tcPr>
          <w:p w14:paraId="5A2B9714" w14:textId="77777777" w:rsidR="00D84719" w:rsidRPr="00CA7596" w:rsidRDefault="00D84719" w:rsidP="00D84719">
            <w:pPr>
              <w:spacing w:line="276" w:lineRule="auto"/>
              <w:jc w:val="center"/>
              <w:rPr>
                <w:color w:val="000000"/>
                <w:sz w:val="20"/>
                <w:szCs w:val="20"/>
              </w:rPr>
            </w:pPr>
            <w:r w:rsidRPr="00CA7596">
              <w:rPr>
                <w:color w:val="000000"/>
                <w:sz w:val="20"/>
                <w:szCs w:val="20"/>
              </w:rPr>
              <w:t>0</w:t>
            </w:r>
          </w:p>
        </w:tc>
        <w:tc>
          <w:tcPr>
            <w:tcW w:w="454" w:type="pct"/>
            <w:gridSpan w:val="2"/>
            <w:vAlign w:val="center"/>
          </w:tcPr>
          <w:p w14:paraId="554FCEA1" w14:textId="77777777" w:rsidR="00D84719" w:rsidRPr="00CA7596" w:rsidRDefault="00D84719" w:rsidP="00D84719">
            <w:pPr>
              <w:spacing w:line="276" w:lineRule="auto"/>
              <w:jc w:val="center"/>
              <w:rPr>
                <w:color w:val="000000"/>
                <w:sz w:val="20"/>
                <w:szCs w:val="20"/>
              </w:rPr>
            </w:pPr>
            <w:r w:rsidRPr="00CA7596">
              <w:rPr>
                <w:color w:val="000000"/>
                <w:sz w:val="20"/>
                <w:szCs w:val="20"/>
              </w:rPr>
              <w:t>0</w:t>
            </w:r>
          </w:p>
        </w:tc>
        <w:tc>
          <w:tcPr>
            <w:tcW w:w="455" w:type="pct"/>
            <w:vAlign w:val="center"/>
          </w:tcPr>
          <w:p w14:paraId="71B6D3B2" w14:textId="77777777" w:rsidR="00D84719" w:rsidRPr="00CA7596" w:rsidRDefault="00D84719" w:rsidP="00D84719">
            <w:pPr>
              <w:spacing w:line="276" w:lineRule="auto"/>
              <w:jc w:val="center"/>
              <w:rPr>
                <w:color w:val="000000"/>
                <w:sz w:val="20"/>
                <w:szCs w:val="20"/>
              </w:rPr>
            </w:pPr>
            <w:r w:rsidRPr="00CA7596">
              <w:rPr>
                <w:color w:val="000000"/>
                <w:sz w:val="20"/>
                <w:szCs w:val="20"/>
              </w:rPr>
              <w:t>0</w:t>
            </w:r>
          </w:p>
        </w:tc>
      </w:tr>
      <w:tr w:rsidR="00134B26" w:rsidRPr="00D84719" w14:paraId="3060D8BE" w14:textId="77777777" w:rsidTr="00134B26">
        <w:trPr>
          <w:jc w:val="center"/>
        </w:trPr>
        <w:tc>
          <w:tcPr>
            <w:tcW w:w="2021" w:type="pct"/>
            <w:vAlign w:val="center"/>
          </w:tcPr>
          <w:p w14:paraId="0B38BFFC" w14:textId="77777777" w:rsidR="00D84719" w:rsidRPr="00D84719" w:rsidRDefault="00D84719" w:rsidP="00D84719">
            <w:pPr>
              <w:spacing w:line="276" w:lineRule="auto"/>
              <w:jc w:val="both"/>
              <w:rPr>
                <w:color w:val="000000"/>
              </w:rPr>
            </w:pPr>
            <w:r w:rsidRPr="00D84719">
              <w:rPr>
                <w:color w:val="000000"/>
              </w:rPr>
              <w:t>Dieldrin</w:t>
            </w:r>
          </w:p>
        </w:tc>
        <w:tc>
          <w:tcPr>
            <w:tcW w:w="1540" w:type="pct"/>
            <w:vAlign w:val="center"/>
          </w:tcPr>
          <w:p w14:paraId="1B29E63D" w14:textId="77777777" w:rsidR="00D84719" w:rsidRPr="00D84719" w:rsidRDefault="00D84719" w:rsidP="00D84719">
            <w:pPr>
              <w:jc w:val="center"/>
              <w:rPr>
                <w:color w:val="000000"/>
              </w:rPr>
            </w:pPr>
          </w:p>
        </w:tc>
        <w:tc>
          <w:tcPr>
            <w:tcW w:w="530" w:type="pct"/>
            <w:vAlign w:val="center"/>
          </w:tcPr>
          <w:p w14:paraId="317274C6" w14:textId="77777777" w:rsidR="00D84719" w:rsidRPr="00CA7596" w:rsidRDefault="00D84719" w:rsidP="00D84719">
            <w:pPr>
              <w:spacing w:line="276" w:lineRule="auto"/>
              <w:jc w:val="center"/>
              <w:rPr>
                <w:color w:val="000000"/>
                <w:sz w:val="20"/>
                <w:szCs w:val="20"/>
              </w:rPr>
            </w:pPr>
            <w:r w:rsidRPr="00CA7596">
              <w:rPr>
                <w:color w:val="000000"/>
                <w:sz w:val="20"/>
                <w:szCs w:val="20"/>
              </w:rPr>
              <w:t>0</w:t>
            </w:r>
          </w:p>
        </w:tc>
        <w:tc>
          <w:tcPr>
            <w:tcW w:w="454" w:type="pct"/>
            <w:gridSpan w:val="2"/>
            <w:vAlign w:val="center"/>
          </w:tcPr>
          <w:p w14:paraId="0EF695C4" w14:textId="77777777" w:rsidR="00D84719" w:rsidRPr="00CA7596" w:rsidRDefault="00D84719" w:rsidP="00D84719">
            <w:pPr>
              <w:spacing w:line="276" w:lineRule="auto"/>
              <w:jc w:val="center"/>
              <w:rPr>
                <w:color w:val="000000"/>
                <w:sz w:val="20"/>
                <w:szCs w:val="20"/>
              </w:rPr>
            </w:pPr>
            <w:r w:rsidRPr="00CA7596">
              <w:rPr>
                <w:color w:val="000000"/>
                <w:sz w:val="20"/>
                <w:szCs w:val="20"/>
              </w:rPr>
              <w:t>0</w:t>
            </w:r>
          </w:p>
        </w:tc>
        <w:tc>
          <w:tcPr>
            <w:tcW w:w="455" w:type="pct"/>
            <w:vAlign w:val="center"/>
          </w:tcPr>
          <w:p w14:paraId="24DC3EC5" w14:textId="77777777" w:rsidR="00D84719" w:rsidRPr="00CA7596" w:rsidRDefault="00D84719" w:rsidP="00D84719">
            <w:pPr>
              <w:spacing w:line="276" w:lineRule="auto"/>
              <w:jc w:val="center"/>
              <w:rPr>
                <w:color w:val="000000"/>
                <w:sz w:val="20"/>
                <w:szCs w:val="20"/>
              </w:rPr>
            </w:pPr>
            <w:r w:rsidRPr="00CA7596">
              <w:rPr>
                <w:color w:val="000000"/>
                <w:sz w:val="20"/>
                <w:szCs w:val="20"/>
              </w:rPr>
              <w:t>0</w:t>
            </w:r>
          </w:p>
        </w:tc>
      </w:tr>
      <w:tr w:rsidR="00134B26" w:rsidRPr="00D84719" w14:paraId="6E03154C" w14:textId="77777777" w:rsidTr="00134B26">
        <w:trPr>
          <w:jc w:val="center"/>
        </w:trPr>
        <w:tc>
          <w:tcPr>
            <w:tcW w:w="2021" w:type="pct"/>
            <w:vAlign w:val="center"/>
          </w:tcPr>
          <w:p w14:paraId="0E67CE50" w14:textId="77777777" w:rsidR="00D84719" w:rsidRPr="00D84719" w:rsidRDefault="00D84719" w:rsidP="00D84719">
            <w:pPr>
              <w:spacing w:line="276" w:lineRule="auto"/>
              <w:jc w:val="both"/>
              <w:rPr>
                <w:color w:val="000000"/>
              </w:rPr>
            </w:pPr>
            <w:r w:rsidRPr="00D84719">
              <w:rPr>
                <w:color w:val="000000"/>
              </w:rPr>
              <w:t>Endrin</w:t>
            </w:r>
          </w:p>
        </w:tc>
        <w:tc>
          <w:tcPr>
            <w:tcW w:w="1540" w:type="pct"/>
            <w:vAlign w:val="center"/>
          </w:tcPr>
          <w:p w14:paraId="3F628C02" w14:textId="77777777" w:rsidR="00D84719" w:rsidRPr="00D84719" w:rsidRDefault="00D84719" w:rsidP="00D84719">
            <w:pPr>
              <w:jc w:val="center"/>
              <w:rPr>
                <w:color w:val="000000"/>
              </w:rPr>
            </w:pPr>
          </w:p>
        </w:tc>
        <w:tc>
          <w:tcPr>
            <w:tcW w:w="530" w:type="pct"/>
            <w:vAlign w:val="center"/>
          </w:tcPr>
          <w:p w14:paraId="42A2045D" w14:textId="77777777" w:rsidR="00D84719" w:rsidRPr="00CA7596" w:rsidRDefault="00D84719" w:rsidP="00D84719">
            <w:pPr>
              <w:spacing w:line="276" w:lineRule="auto"/>
              <w:jc w:val="center"/>
              <w:rPr>
                <w:color w:val="000000"/>
                <w:sz w:val="20"/>
                <w:szCs w:val="20"/>
              </w:rPr>
            </w:pPr>
            <w:r w:rsidRPr="00CA7596">
              <w:rPr>
                <w:color w:val="000000"/>
                <w:sz w:val="20"/>
                <w:szCs w:val="20"/>
              </w:rPr>
              <w:t>0</w:t>
            </w:r>
          </w:p>
        </w:tc>
        <w:tc>
          <w:tcPr>
            <w:tcW w:w="454" w:type="pct"/>
            <w:gridSpan w:val="2"/>
            <w:vAlign w:val="center"/>
          </w:tcPr>
          <w:p w14:paraId="5C8E433E" w14:textId="77777777" w:rsidR="00D84719" w:rsidRPr="00CA7596" w:rsidRDefault="00D84719" w:rsidP="00D84719">
            <w:pPr>
              <w:spacing w:line="276" w:lineRule="auto"/>
              <w:jc w:val="center"/>
              <w:rPr>
                <w:color w:val="000000"/>
                <w:sz w:val="20"/>
                <w:szCs w:val="20"/>
              </w:rPr>
            </w:pPr>
            <w:r w:rsidRPr="00CA7596">
              <w:rPr>
                <w:color w:val="000000"/>
                <w:sz w:val="20"/>
                <w:szCs w:val="20"/>
              </w:rPr>
              <w:t>0</w:t>
            </w:r>
          </w:p>
        </w:tc>
        <w:tc>
          <w:tcPr>
            <w:tcW w:w="455" w:type="pct"/>
            <w:vAlign w:val="center"/>
          </w:tcPr>
          <w:p w14:paraId="58B68B19" w14:textId="77777777" w:rsidR="00D84719" w:rsidRPr="00CA7596" w:rsidRDefault="00D84719" w:rsidP="00D84719">
            <w:pPr>
              <w:spacing w:line="276" w:lineRule="auto"/>
              <w:jc w:val="center"/>
              <w:rPr>
                <w:color w:val="000000"/>
                <w:sz w:val="20"/>
                <w:szCs w:val="20"/>
              </w:rPr>
            </w:pPr>
            <w:r w:rsidRPr="00CA7596">
              <w:rPr>
                <w:color w:val="000000"/>
                <w:sz w:val="20"/>
                <w:szCs w:val="20"/>
              </w:rPr>
              <w:t>0</w:t>
            </w:r>
          </w:p>
        </w:tc>
      </w:tr>
      <w:tr w:rsidR="00134B26" w:rsidRPr="00D84719" w14:paraId="1DF6B042" w14:textId="77777777" w:rsidTr="00134B26">
        <w:trPr>
          <w:jc w:val="center"/>
        </w:trPr>
        <w:tc>
          <w:tcPr>
            <w:tcW w:w="2021" w:type="pct"/>
            <w:vAlign w:val="center"/>
          </w:tcPr>
          <w:p w14:paraId="0754EEF0" w14:textId="77777777" w:rsidR="00D84719" w:rsidRPr="00D84719" w:rsidRDefault="00D84719" w:rsidP="00D84719">
            <w:pPr>
              <w:spacing w:line="276" w:lineRule="auto"/>
              <w:jc w:val="both"/>
              <w:rPr>
                <w:color w:val="000000"/>
              </w:rPr>
            </w:pPr>
            <w:r w:rsidRPr="00D84719">
              <w:rPr>
                <w:color w:val="000000"/>
              </w:rPr>
              <w:t>heptaklor</w:t>
            </w:r>
          </w:p>
        </w:tc>
        <w:tc>
          <w:tcPr>
            <w:tcW w:w="1540" w:type="pct"/>
            <w:vAlign w:val="center"/>
          </w:tcPr>
          <w:p w14:paraId="605F1712" w14:textId="77777777" w:rsidR="00D84719" w:rsidRPr="00D84719" w:rsidRDefault="00D84719" w:rsidP="00D84719">
            <w:pPr>
              <w:jc w:val="center"/>
              <w:rPr>
                <w:color w:val="000000"/>
              </w:rPr>
            </w:pPr>
          </w:p>
        </w:tc>
        <w:tc>
          <w:tcPr>
            <w:tcW w:w="530" w:type="pct"/>
            <w:vAlign w:val="center"/>
          </w:tcPr>
          <w:p w14:paraId="3B04FBFC" w14:textId="77777777" w:rsidR="00D84719" w:rsidRPr="00CA7596" w:rsidRDefault="00D84719" w:rsidP="00D84719">
            <w:pPr>
              <w:spacing w:line="276" w:lineRule="auto"/>
              <w:jc w:val="center"/>
              <w:rPr>
                <w:color w:val="000000"/>
                <w:sz w:val="20"/>
                <w:szCs w:val="20"/>
              </w:rPr>
            </w:pPr>
            <w:r w:rsidRPr="00CA7596">
              <w:rPr>
                <w:color w:val="000000"/>
                <w:sz w:val="20"/>
                <w:szCs w:val="20"/>
              </w:rPr>
              <w:t>0</w:t>
            </w:r>
          </w:p>
        </w:tc>
        <w:tc>
          <w:tcPr>
            <w:tcW w:w="454" w:type="pct"/>
            <w:gridSpan w:val="2"/>
            <w:vAlign w:val="center"/>
          </w:tcPr>
          <w:p w14:paraId="4943C258" w14:textId="77777777" w:rsidR="00D84719" w:rsidRPr="00CA7596" w:rsidRDefault="00D84719" w:rsidP="00D84719">
            <w:pPr>
              <w:spacing w:line="276" w:lineRule="auto"/>
              <w:jc w:val="center"/>
              <w:rPr>
                <w:color w:val="000000"/>
                <w:sz w:val="20"/>
                <w:szCs w:val="20"/>
              </w:rPr>
            </w:pPr>
            <w:r w:rsidRPr="00CA7596">
              <w:rPr>
                <w:color w:val="000000"/>
                <w:sz w:val="20"/>
                <w:szCs w:val="20"/>
              </w:rPr>
              <w:t>0</w:t>
            </w:r>
          </w:p>
        </w:tc>
        <w:tc>
          <w:tcPr>
            <w:tcW w:w="455" w:type="pct"/>
            <w:vAlign w:val="center"/>
          </w:tcPr>
          <w:p w14:paraId="478394F7" w14:textId="77777777" w:rsidR="00D84719" w:rsidRPr="00CA7596" w:rsidRDefault="00D84719" w:rsidP="00D84719">
            <w:pPr>
              <w:spacing w:line="276" w:lineRule="auto"/>
              <w:jc w:val="center"/>
              <w:rPr>
                <w:color w:val="000000"/>
                <w:sz w:val="20"/>
                <w:szCs w:val="20"/>
              </w:rPr>
            </w:pPr>
            <w:r w:rsidRPr="00CA7596">
              <w:rPr>
                <w:color w:val="000000"/>
                <w:sz w:val="20"/>
                <w:szCs w:val="20"/>
              </w:rPr>
              <w:t>0</w:t>
            </w:r>
          </w:p>
        </w:tc>
      </w:tr>
      <w:tr w:rsidR="00134B26" w:rsidRPr="00D84719" w14:paraId="00EC8DC8" w14:textId="77777777" w:rsidTr="00134B26">
        <w:trPr>
          <w:jc w:val="center"/>
        </w:trPr>
        <w:tc>
          <w:tcPr>
            <w:tcW w:w="2021" w:type="pct"/>
            <w:vAlign w:val="center"/>
          </w:tcPr>
          <w:p w14:paraId="1BD4965E" w14:textId="77777777" w:rsidR="00D84719" w:rsidRPr="00D84719" w:rsidRDefault="00D84719" w:rsidP="00D84719">
            <w:pPr>
              <w:spacing w:line="276" w:lineRule="auto"/>
              <w:jc w:val="both"/>
              <w:rPr>
                <w:color w:val="000000"/>
              </w:rPr>
            </w:pPr>
            <w:r w:rsidRPr="00D84719">
              <w:rPr>
                <w:color w:val="000000"/>
              </w:rPr>
              <w:t xml:space="preserve">heksaklorobenzen </w:t>
            </w:r>
          </w:p>
        </w:tc>
        <w:tc>
          <w:tcPr>
            <w:tcW w:w="1540" w:type="pct"/>
            <w:vAlign w:val="center"/>
          </w:tcPr>
          <w:p w14:paraId="45994514" w14:textId="77777777" w:rsidR="00D84719" w:rsidRPr="00D84719" w:rsidRDefault="00D84719" w:rsidP="00D84719">
            <w:pPr>
              <w:jc w:val="center"/>
              <w:rPr>
                <w:color w:val="000000"/>
              </w:rPr>
            </w:pPr>
          </w:p>
        </w:tc>
        <w:tc>
          <w:tcPr>
            <w:tcW w:w="530" w:type="pct"/>
            <w:vAlign w:val="center"/>
          </w:tcPr>
          <w:p w14:paraId="23FBDB32" w14:textId="77777777" w:rsidR="00D84719" w:rsidRPr="00CA7596" w:rsidRDefault="00D84719" w:rsidP="00D84719">
            <w:pPr>
              <w:spacing w:line="276" w:lineRule="auto"/>
              <w:jc w:val="center"/>
              <w:rPr>
                <w:color w:val="000000"/>
                <w:sz w:val="20"/>
                <w:szCs w:val="20"/>
              </w:rPr>
            </w:pPr>
            <w:r w:rsidRPr="00CA7596">
              <w:rPr>
                <w:color w:val="000000"/>
                <w:sz w:val="20"/>
                <w:szCs w:val="20"/>
              </w:rPr>
              <w:t>0</w:t>
            </w:r>
          </w:p>
        </w:tc>
        <w:tc>
          <w:tcPr>
            <w:tcW w:w="454" w:type="pct"/>
            <w:gridSpan w:val="2"/>
            <w:vAlign w:val="center"/>
          </w:tcPr>
          <w:p w14:paraId="1014D938" w14:textId="77777777" w:rsidR="00D84719" w:rsidRPr="00CA7596" w:rsidRDefault="00D84719" w:rsidP="00D84719">
            <w:pPr>
              <w:spacing w:line="276" w:lineRule="auto"/>
              <w:jc w:val="center"/>
              <w:rPr>
                <w:color w:val="000000"/>
                <w:sz w:val="20"/>
                <w:szCs w:val="20"/>
              </w:rPr>
            </w:pPr>
            <w:r w:rsidRPr="00CA7596">
              <w:rPr>
                <w:color w:val="000000"/>
                <w:sz w:val="20"/>
                <w:szCs w:val="20"/>
              </w:rPr>
              <w:t>0</w:t>
            </w:r>
          </w:p>
        </w:tc>
        <w:tc>
          <w:tcPr>
            <w:tcW w:w="455" w:type="pct"/>
            <w:vAlign w:val="center"/>
          </w:tcPr>
          <w:p w14:paraId="0ADDFAD6" w14:textId="77777777" w:rsidR="00D84719" w:rsidRPr="00CA7596" w:rsidRDefault="00D84719" w:rsidP="00D84719">
            <w:pPr>
              <w:spacing w:line="276" w:lineRule="auto"/>
              <w:jc w:val="center"/>
              <w:rPr>
                <w:color w:val="000000"/>
                <w:sz w:val="20"/>
                <w:szCs w:val="20"/>
              </w:rPr>
            </w:pPr>
            <w:r w:rsidRPr="00CA7596">
              <w:rPr>
                <w:color w:val="000000"/>
                <w:sz w:val="20"/>
                <w:szCs w:val="20"/>
              </w:rPr>
              <w:t>0</w:t>
            </w:r>
          </w:p>
        </w:tc>
      </w:tr>
      <w:tr w:rsidR="00134B26" w:rsidRPr="00D84719" w14:paraId="1CCB9B6F" w14:textId="77777777" w:rsidTr="00134B26">
        <w:trPr>
          <w:jc w:val="center"/>
        </w:trPr>
        <w:tc>
          <w:tcPr>
            <w:tcW w:w="2021" w:type="pct"/>
            <w:vAlign w:val="center"/>
          </w:tcPr>
          <w:p w14:paraId="0E07E150" w14:textId="77777777" w:rsidR="00D84719" w:rsidRPr="00D84719" w:rsidRDefault="00D84719" w:rsidP="00D84719">
            <w:pPr>
              <w:spacing w:line="276" w:lineRule="auto"/>
              <w:jc w:val="both"/>
              <w:rPr>
                <w:color w:val="000000"/>
              </w:rPr>
            </w:pPr>
            <w:r w:rsidRPr="00D84719">
              <w:rPr>
                <w:color w:val="000000"/>
              </w:rPr>
              <w:lastRenderedPageBreak/>
              <w:t>mireks</w:t>
            </w:r>
          </w:p>
        </w:tc>
        <w:tc>
          <w:tcPr>
            <w:tcW w:w="1540" w:type="pct"/>
            <w:vAlign w:val="center"/>
          </w:tcPr>
          <w:p w14:paraId="5F5B819E" w14:textId="77777777" w:rsidR="00D84719" w:rsidRPr="00D84719" w:rsidRDefault="00D84719" w:rsidP="00D84719">
            <w:pPr>
              <w:jc w:val="center"/>
              <w:rPr>
                <w:color w:val="000000"/>
              </w:rPr>
            </w:pPr>
          </w:p>
        </w:tc>
        <w:tc>
          <w:tcPr>
            <w:tcW w:w="530" w:type="pct"/>
            <w:vAlign w:val="center"/>
          </w:tcPr>
          <w:p w14:paraId="548881A5" w14:textId="77777777" w:rsidR="00D84719" w:rsidRPr="00CA7596" w:rsidRDefault="00D84719" w:rsidP="00D84719">
            <w:pPr>
              <w:spacing w:line="276" w:lineRule="auto"/>
              <w:jc w:val="center"/>
              <w:rPr>
                <w:color w:val="000000"/>
                <w:sz w:val="20"/>
                <w:szCs w:val="20"/>
              </w:rPr>
            </w:pPr>
            <w:r w:rsidRPr="00CA7596">
              <w:rPr>
                <w:color w:val="000000"/>
                <w:sz w:val="20"/>
                <w:szCs w:val="20"/>
              </w:rPr>
              <w:t>0</w:t>
            </w:r>
          </w:p>
        </w:tc>
        <w:tc>
          <w:tcPr>
            <w:tcW w:w="454" w:type="pct"/>
            <w:gridSpan w:val="2"/>
            <w:vAlign w:val="center"/>
          </w:tcPr>
          <w:p w14:paraId="13E2870A" w14:textId="77777777" w:rsidR="00D84719" w:rsidRPr="00CA7596" w:rsidRDefault="00D84719" w:rsidP="00D84719">
            <w:pPr>
              <w:spacing w:line="276" w:lineRule="auto"/>
              <w:jc w:val="center"/>
              <w:rPr>
                <w:color w:val="000000"/>
                <w:sz w:val="20"/>
                <w:szCs w:val="20"/>
              </w:rPr>
            </w:pPr>
            <w:r w:rsidRPr="00CA7596">
              <w:rPr>
                <w:color w:val="000000"/>
                <w:sz w:val="20"/>
                <w:szCs w:val="20"/>
              </w:rPr>
              <w:t>0</w:t>
            </w:r>
          </w:p>
        </w:tc>
        <w:tc>
          <w:tcPr>
            <w:tcW w:w="455" w:type="pct"/>
            <w:vAlign w:val="center"/>
          </w:tcPr>
          <w:p w14:paraId="746333EA" w14:textId="77777777" w:rsidR="00D84719" w:rsidRPr="00CA7596" w:rsidRDefault="00D84719" w:rsidP="00D84719">
            <w:pPr>
              <w:spacing w:line="276" w:lineRule="auto"/>
              <w:jc w:val="center"/>
              <w:rPr>
                <w:color w:val="000000"/>
                <w:sz w:val="20"/>
                <w:szCs w:val="20"/>
              </w:rPr>
            </w:pPr>
            <w:r w:rsidRPr="00CA7596">
              <w:rPr>
                <w:color w:val="000000"/>
                <w:sz w:val="20"/>
                <w:szCs w:val="20"/>
              </w:rPr>
              <w:t>0</w:t>
            </w:r>
          </w:p>
        </w:tc>
      </w:tr>
      <w:tr w:rsidR="00134B26" w:rsidRPr="00D84719" w14:paraId="40B791F9" w14:textId="77777777" w:rsidTr="00134B26">
        <w:trPr>
          <w:jc w:val="center"/>
        </w:trPr>
        <w:tc>
          <w:tcPr>
            <w:tcW w:w="2021" w:type="pct"/>
            <w:vAlign w:val="center"/>
          </w:tcPr>
          <w:p w14:paraId="4A16BBE1" w14:textId="77777777" w:rsidR="00D84719" w:rsidRPr="00D84719" w:rsidRDefault="00D84719" w:rsidP="00D84719">
            <w:pPr>
              <w:spacing w:line="276" w:lineRule="auto"/>
              <w:jc w:val="both"/>
              <w:rPr>
                <w:color w:val="000000"/>
              </w:rPr>
            </w:pPr>
            <w:r w:rsidRPr="00D84719">
              <w:rPr>
                <w:color w:val="000000"/>
              </w:rPr>
              <w:t>toksafen</w:t>
            </w:r>
          </w:p>
        </w:tc>
        <w:tc>
          <w:tcPr>
            <w:tcW w:w="1540" w:type="pct"/>
            <w:vAlign w:val="center"/>
          </w:tcPr>
          <w:p w14:paraId="6532764F" w14:textId="77777777" w:rsidR="00D84719" w:rsidRPr="00D84719" w:rsidRDefault="00D84719" w:rsidP="00D84719">
            <w:pPr>
              <w:jc w:val="center"/>
              <w:rPr>
                <w:color w:val="000000"/>
              </w:rPr>
            </w:pPr>
          </w:p>
        </w:tc>
        <w:tc>
          <w:tcPr>
            <w:tcW w:w="530" w:type="pct"/>
            <w:vAlign w:val="center"/>
          </w:tcPr>
          <w:p w14:paraId="5BF1B127" w14:textId="77777777" w:rsidR="00D84719" w:rsidRPr="00CA7596" w:rsidRDefault="00D84719" w:rsidP="00D84719">
            <w:pPr>
              <w:spacing w:line="276" w:lineRule="auto"/>
              <w:jc w:val="center"/>
              <w:rPr>
                <w:color w:val="000000"/>
                <w:sz w:val="20"/>
                <w:szCs w:val="20"/>
              </w:rPr>
            </w:pPr>
            <w:r w:rsidRPr="00CA7596">
              <w:rPr>
                <w:color w:val="000000"/>
                <w:sz w:val="20"/>
                <w:szCs w:val="20"/>
              </w:rPr>
              <w:t>0</w:t>
            </w:r>
          </w:p>
        </w:tc>
        <w:tc>
          <w:tcPr>
            <w:tcW w:w="454" w:type="pct"/>
            <w:gridSpan w:val="2"/>
            <w:vAlign w:val="center"/>
          </w:tcPr>
          <w:p w14:paraId="62261A0E" w14:textId="77777777" w:rsidR="00D84719" w:rsidRPr="00CA7596" w:rsidRDefault="00D84719" w:rsidP="00D84719">
            <w:pPr>
              <w:spacing w:line="276" w:lineRule="auto"/>
              <w:jc w:val="center"/>
              <w:rPr>
                <w:color w:val="000000"/>
                <w:sz w:val="20"/>
                <w:szCs w:val="20"/>
              </w:rPr>
            </w:pPr>
            <w:r w:rsidRPr="00CA7596">
              <w:rPr>
                <w:color w:val="000000"/>
                <w:sz w:val="20"/>
                <w:szCs w:val="20"/>
              </w:rPr>
              <w:t>0</w:t>
            </w:r>
          </w:p>
        </w:tc>
        <w:tc>
          <w:tcPr>
            <w:tcW w:w="455" w:type="pct"/>
            <w:vAlign w:val="center"/>
          </w:tcPr>
          <w:p w14:paraId="6AC272B6" w14:textId="77777777" w:rsidR="00D84719" w:rsidRPr="00CA7596" w:rsidRDefault="00D84719" w:rsidP="00D84719">
            <w:pPr>
              <w:spacing w:line="276" w:lineRule="auto"/>
              <w:jc w:val="center"/>
              <w:rPr>
                <w:color w:val="000000"/>
                <w:sz w:val="20"/>
                <w:szCs w:val="20"/>
              </w:rPr>
            </w:pPr>
            <w:r w:rsidRPr="00CA7596">
              <w:rPr>
                <w:color w:val="000000"/>
                <w:sz w:val="20"/>
                <w:szCs w:val="20"/>
              </w:rPr>
              <w:t>0</w:t>
            </w:r>
          </w:p>
        </w:tc>
      </w:tr>
      <w:tr w:rsidR="00134B26" w:rsidRPr="00D84719" w14:paraId="66124B96" w14:textId="77777777" w:rsidTr="00134B26">
        <w:trPr>
          <w:jc w:val="center"/>
        </w:trPr>
        <w:tc>
          <w:tcPr>
            <w:tcW w:w="2021" w:type="pct"/>
            <w:vAlign w:val="center"/>
          </w:tcPr>
          <w:p w14:paraId="5D67DFD6" w14:textId="77777777" w:rsidR="00D84719" w:rsidRPr="00D84719" w:rsidRDefault="00D84719" w:rsidP="00D84719">
            <w:pPr>
              <w:spacing w:line="276" w:lineRule="auto"/>
              <w:jc w:val="both"/>
              <w:rPr>
                <w:color w:val="000000"/>
              </w:rPr>
            </w:pPr>
            <w:r w:rsidRPr="00D84719">
              <w:rPr>
                <w:color w:val="000000"/>
              </w:rPr>
              <w:t>klordekon</w:t>
            </w:r>
          </w:p>
        </w:tc>
        <w:tc>
          <w:tcPr>
            <w:tcW w:w="1540" w:type="pct"/>
            <w:vAlign w:val="center"/>
          </w:tcPr>
          <w:p w14:paraId="75030189" w14:textId="77777777" w:rsidR="00D84719" w:rsidRPr="00D84719" w:rsidRDefault="00D84719" w:rsidP="00D84719">
            <w:pPr>
              <w:jc w:val="center"/>
              <w:rPr>
                <w:color w:val="000000"/>
              </w:rPr>
            </w:pPr>
          </w:p>
        </w:tc>
        <w:tc>
          <w:tcPr>
            <w:tcW w:w="530" w:type="pct"/>
            <w:vAlign w:val="center"/>
          </w:tcPr>
          <w:p w14:paraId="0F5EDB16" w14:textId="77777777" w:rsidR="00D84719" w:rsidRPr="00CA7596" w:rsidRDefault="00D84719" w:rsidP="00D84719">
            <w:pPr>
              <w:spacing w:line="276" w:lineRule="auto"/>
              <w:jc w:val="center"/>
              <w:rPr>
                <w:color w:val="000000"/>
                <w:sz w:val="20"/>
                <w:szCs w:val="20"/>
              </w:rPr>
            </w:pPr>
            <w:r w:rsidRPr="00CA7596">
              <w:rPr>
                <w:color w:val="000000"/>
                <w:sz w:val="20"/>
                <w:szCs w:val="20"/>
              </w:rPr>
              <w:t>0</w:t>
            </w:r>
          </w:p>
        </w:tc>
        <w:tc>
          <w:tcPr>
            <w:tcW w:w="454" w:type="pct"/>
            <w:gridSpan w:val="2"/>
            <w:vAlign w:val="center"/>
          </w:tcPr>
          <w:p w14:paraId="45078746" w14:textId="77777777" w:rsidR="00D84719" w:rsidRPr="00CA7596" w:rsidRDefault="00D84719" w:rsidP="00D84719">
            <w:pPr>
              <w:spacing w:line="276" w:lineRule="auto"/>
              <w:jc w:val="center"/>
              <w:rPr>
                <w:color w:val="000000"/>
                <w:sz w:val="20"/>
                <w:szCs w:val="20"/>
              </w:rPr>
            </w:pPr>
            <w:r w:rsidRPr="00CA7596">
              <w:rPr>
                <w:color w:val="000000"/>
                <w:sz w:val="20"/>
                <w:szCs w:val="20"/>
              </w:rPr>
              <w:t>0</w:t>
            </w:r>
          </w:p>
        </w:tc>
        <w:tc>
          <w:tcPr>
            <w:tcW w:w="455" w:type="pct"/>
            <w:vAlign w:val="center"/>
          </w:tcPr>
          <w:p w14:paraId="4CDD6FAE" w14:textId="77777777" w:rsidR="00D84719" w:rsidRPr="00CA7596" w:rsidRDefault="00D84719" w:rsidP="00D84719">
            <w:pPr>
              <w:spacing w:line="276" w:lineRule="auto"/>
              <w:jc w:val="center"/>
              <w:rPr>
                <w:color w:val="000000"/>
                <w:sz w:val="20"/>
                <w:szCs w:val="20"/>
              </w:rPr>
            </w:pPr>
            <w:r w:rsidRPr="00CA7596">
              <w:rPr>
                <w:color w:val="000000"/>
                <w:sz w:val="20"/>
                <w:szCs w:val="20"/>
              </w:rPr>
              <w:t>0</w:t>
            </w:r>
          </w:p>
        </w:tc>
      </w:tr>
      <w:tr w:rsidR="00134B26" w:rsidRPr="00D84719" w14:paraId="24E5512D" w14:textId="77777777" w:rsidTr="00134B26">
        <w:trPr>
          <w:trHeight w:val="70"/>
          <w:jc w:val="center"/>
        </w:trPr>
        <w:tc>
          <w:tcPr>
            <w:tcW w:w="2021" w:type="pct"/>
            <w:vMerge w:val="restart"/>
            <w:vAlign w:val="center"/>
          </w:tcPr>
          <w:p w14:paraId="66EAB07A" w14:textId="77777777" w:rsidR="00D84719" w:rsidRPr="00D84719" w:rsidRDefault="00D84719" w:rsidP="00D84719">
            <w:pPr>
              <w:spacing w:line="276" w:lineRule="auto"/>
              <w:rPr>
                <w:color w:val="000000"/>
              </w:rPr>
            </w:pPr>
            <w:r w:rsidRPr="00D84719">
              <w:rPr>
                <w:color w:val="000000"/>
              </w:rPr>
              <w:t>alfa, beta i gama</w:t>
            </w:r>
            <w:r w:rsidR="00612979">
              <w:rPr>
                <w:color w:val="000000"/>
              </w:rPr>
              <w:t xml:space="preserve"> </w:t>
            </w:r>
            <w:r w:rsidRPr="00D84719">
              <w:rPr>
                <w:color w:val="000000"/>
              </w:rPr>
              <w:t>heksaklorocikloheksan</w:t>
            </w:r>
          </w:p>
        </w:tc>
        <w:tc>
          <w:tcPr>
            <w:tcW w:w="1540" w:type="pct"/>
            <w:vAlign w:val="center"/>
          </w:tcPr>
          <w:p w14:paraId="5481233E" w14:textId="77777777" w:rsidR="00D84719" w:rsidRPr="00C82F02" w:rsidRDefault="00D84719" w:rsidP="00D84719">
            <w:pPr>
              <w:jc w:val="center"/>
              <w:rPr>
                <w:color w:val="000000"/>
                <w:sz w:val="20"/>
                <w:szCs w:val="16"/>
              </w:rPr>
            </w:pPr>
            <w:r w:rsidRPr="00C82F02">
              <w:rPr>
                <w:color w:val="000000"/>
                <w:sz w:val="20"/>
                <w:szCs w:val="16"/>
              </w:rPr>
              <w:t>alfa heksaklorocikloheksan</w:t>
            </w:r>
          </w:p>
        </w:tc>
        <w:tc>
          <w:tcPr>
            <w:tcW w:w="530" w:type="pct"/>
            <w:vMerge w:val="restart"/>
            <w:vAlign w:val="center"/>
          </w:tcPr>
          <w:p w14:paraId="7931E314" w14:textId="77777777" w:rsidR="00D84719" w:rsidRPr="00CA7596" w:rsidRDefault="00D84719" w:rsidP="00D84719">
            <w:pPr>
              <w:spacing w:line="276" w:lineRule="auto"/>
              <w:jc w:val="center"/>
              <w:rPr>
                <w:color w:val="000000"/>
                <w:sz w:val="20"/>
                <w:szCs w:val="20"/>
              </w:rPr>
            </w:pPr>
            <w:r w:rsidRPr="00CA7596">
              <w:rPr>
                <w:color w:val="000000"/>
                <w:sz w:val="20"/>
                <w:szCs w:val="20"/>
              </w:rPr>
              <w:t>0</w:t>
            </w:r>
          </w:p>
        </w:tc>
        <w:tc>
          <w:tcPr>
            <w:tcW w:w="454" w:type="pct"/>
            <w:gridSpan w:val="2"/>
            <w:vMerge w:val="restart"/>
            <w:vAlign w:val="center"/>
          </w:tcPr>
          <w:p w14:paraId="09E16324" w14:textId="77777777" w:rsidR="00D84719" w:rsidRPr="00CA7596" w:rsidRDefault="00D84719" w:rsidP="00D84719">
            <w:pPr>
              <w:spacing w:line="276" w:lineRule="auto"/>
              <w:jc w:val="center"/>
              <w:rPr>
                <w:color w:val="000000"/>
                <w:sz w:val="20"/>
                <w:szCs w:val="20"/>
              </w:rPr>
            </w:pPr>
            <w:r w:rsidRPr="00CA7596">
              <w:rPr>
                <w:color w:val="000000"/>
                <w:sz w:val="20"/>
                <w:szCs w:val="20"/>
              </w:rPr>
              <w:t>0</w:t>
            </w:r>
          </w:p>
        </w:tc>
        <w:tc>
          <w:tcPr>
            <w:tcW w:w="455" w:type="pct"/>
            <w:vMerge w:val="restart"/>
            <w:vAlign w:val="center"/>
          </w:tcPr>
          <w:p w14:paraId="26A50CB5" w14:textId="77777777" w:rsidR="00D84719" w:rsidRPr="00CA7596" w:rsidRDefault="00D84719" w:rsidP="00D84719">
            <w:pPr>
              <w:spacing w:line="276" w:lineRule="auto"/>
              <w:jc w:val="center"/>
              <w:rPr>
                <w:color w:val="000000"/>
                <w:sz w:val="20"/>
                <w:szCs w:val="20"/>
              </w:rPr>
            </w:pPr>
            <w:r w:rsidRPr="00CA7596">
              <w:rPr>
                <w:color w:val="000000"/>
                <w:sz w:val="20"/>
                <w:szCs w:val="20"/>
              </w:rPr>
              <w:t>0</w:t>
            </w:r>
          </w:p>
        </w:tc>
      </w:tr>
      <w:tr w:rsidR="00134B26" w:rsidRPr="00D84719" w14:paraId="55F39AFA" w14:textId="77777777" w:rsidTr="00134B26">
        <w:trPr>
          <w:trHeight w:val="70"/>
          <w:jc w:val="center"/>
        </w:trPr>
        <w:tc>
          <w:tcPr>
            <w:tcW w:w="2021" w:type="pct"/>
            <w:vMerge/>
            <w:vAlign w:val="center"/>
          </w:tcPr>
          <w:p w14:paraId="0C67E186" w14:textId="77777777" w:rsidR="00D84719" w:rsidRPr="00D84719" w:rsidRDefault="00D84719" w:rsidP="00D84719">
            <w:pPr>
              <w:jc w:val="both"/>
              <w:rPr>
                <w:color w:val="000000"/>
              </w:rPr>
            </w:pPr>
          </w:p>
        </w:tc>
        <w:tc>
          <w:tcPr>
            <w:tcW w:w="1540" w:type="pct"/>
            <w:vAlign w:val="center"/>
          </w:tcPr>
          <w:p w14:paraId="084391AC" w14:textId="77777777" w:rsidR="00D84719" w:rsidRPr="00C82F02" w:rsidRDefault="00D84719" w:rsidP="00D84719">
            <w:pPr>
              <w:jc w:val="center"/>
              <w:rPr>
                <w:color w:val="000000"/>
                <w:sz w:val="20"/>
                <w:szCs w:val="16"/>
              </w:rPr>
            </w:pPr>
            <w:r w:rsidRPr="00C82F02">
              <w:rPr>
                <w:color w:val="000000"/>
                <w:sz w:val="20"/>
                <w:szCs w:val="16"/>
              </w:rPr>
              <w:t>beta heksaklorocikloheksan</w:t>
            </w:r>
          </w:p>
        </w:tc>
        <w:tc>
          <w:tcPr>
            <w:tcW w:w="530" w:type="pct"/>
            <w:vMerge/>
            <w:vAlign w:val="center"/>
          </w:tcPr>
          <w:p w14:paraId="23382B9C" w14:textId="77777777" w:rsidR="00D84719" w:rsidRPr="00CA7596" w:rsidRDefault="00D84719" w:rsidP="00D84719">
            <w:pPr>
              <w:jc w:val="center"/>
              <w:rPr>
                <w:color w:val="000000"/>
                <w:sz w:val="20"/>
                <w:szCs w:val="20"/>
              </w:rPr>
            </w:pPr>
          </w:p>
        </w:tc>
        <w:tc>
          <w:tcPr>
            <w:tcW w:w="454" w:type="pct"/>
            <w:gridSpan w:val="2"/>
            <w:vMerge/>
            <w:vAlign w:val="center"/>
          </w:tcPr>
          <w:p w14:paraId="3CEDB505" w14:textId="77777777" w:rsidR="00D84719" w:rsidRPr="00CA7596" w:rsidRDefault="00D84719" w:rsidP="00D84719">
            <w:pPr>
              <w:jc w:val="center"/>
              <w:rPr>
                <w:color w:val="000000"/>
                <w:sz w:val="20"/>
                <w:szCs w:val="20"/>
              </w:rPr>
            </w:pPr>
          </w:p>
        </w:tc>
        <w:tc>
          <w:tcPr>
            <w:tcW w:w="455" w:type="pct"/>
            <w:vMerge/>
            <w:vAlign w:val="center"/>
          </w:tcPr>
          <w:p w14:paraId="0646673F" w14:textId="77777777" w:rsidR="00D84719" w:rsidRPr="00CA7596" w:rsidRDefault="00D84719" w:rsidP="00D84719">
            <w:pPr>
              <w:jc w:val="center"/>
              <w:rPr>
                <w:color w:val="000000"/>
                <w:sz w:val="20"/>
                <w:szCs w:val="20"/>
              </w:rPr>
            </w:pPr>
          </w:p>
        </w:tc>
      </w:tr>
      <w:tr w:rsidR="00134B26" w:rsidRPr="00D84719" w14:paraId="11F8F046" w14:textId="77777777" w:rsidTr="00134B26">
        <w:trPr>
          <w:trHeight w:val="70"/>
          <w:jc w:val="center"/>
        </w:trPr>
        <w:tc>
          <w:tcPr>
            <w:tcW w:w="2021" w:type="pct"/>
            <w:vMerge/>
            <w:vAlign w:val="center"/>
          </w:tcPr>
          <w:p w14:paraId="7D8D4068" w14:textId="77777777" w:rsidR="00D84719" w:rsidRPr="00D84719" w:rsidRDefault="00D84719" w:rsidP="00D84719">
            <w:pPr>
              <w:jc w:val="both"/>
              <w:rPr>
                <w:color w:val="000000"/>
              </w:rPr>
            </w:pPr>
          </w:p>
        </w:tc>
        <w:tc>
          <w:tcPr>
            <w:tcW w:w="1540" w:type="pct"/>
            <w:vAlign w:val="center"/>
          </w:tcPr>
          <w:p w14:paraId="2EECE2F3" w14:textId="77777777" w:rsidR="00D84719" w:rsidRPr="00C82F02" w:rsidRDefault="00D84719" w:rsidP="00D84719">
            <w:pPr>
              <w:jc w:val="center"/>
              <w:rPr>
                <w:color w:val="000000"/>
                <w:sz w:val="20"/>
                <w:szCs w:val="16"/>
              </w:rPr>
            </w:pPr>
            <w:r w:rsidRPr="00C82F02">
              <w:rPr>
                <w:color w:val="000000"/>
                <w:sz w:val="20"/>
                <w:szCs w:val="16"/>
              </w:rPr>
              <w:t>lindan</w:t>
            </w:r>
          </w:p>
        </w:tc>
        <w:tc>
          <w:tcPr>
            <w:tcW w:w="530" w:type="pct"/>
            <w:vMerge/>
            <w:vAlign w:val="center"/>
          </w:tcPr>
          <w:p w14:paraId="50CB3FD8" w14:textId="77777777" w:rsidR="00D84719" w:rsidRPr="00CA7596" w:rsidRDefault="00D84719" w:rsidP="00D84719">
            <w:pPr>
              <w:jc w:val="center"/>
              <w:rPr>
                <w:color w:val="000000"/>
                <w:sz w:val="20"/>
                <w:szCs w:val="20"/>
              </w:rPr>
            </w:pPr>
          </w:p>
        </w:tc>
        <w:tc>
          <w:tcPr>
            <w:tcW w:w="454" w:type="pct"/>
            <w:gridSpan w:val="2"/>
            <w:vMerge/>
            <w:vAlign w:val="center"/>
          </w:tcPr>
          <w:p w14:paraId="205D2AD2" w14:textId="77777777" w:rsidR="00D84719" w:rsidRPr="00CA7596" w:rsidRDefault="00D84719" w:rsidP="00D84719">
            <w:pPr>
              <w:jc w:val="center"/>
              <w:rPr>
                <w:color w:val="000000"/>
                <w:sz w:val="20"/>
                <w:szCs w:val="20"/>
              </w:rPr>
            </w:pPr>
          </w:p>
        </w:tc>
        <w:tc>
          <w:tcPr>
            <w:tcW w:w="455" w:type="pct"/>
            <w:vMerge/>
            <w:vAlign w:val="center"/>
          </w:tcPr>
          <w:p w14:paraId="31407C9A" w14:textId="77777777" w:rsidR="00D84719" w:rsidRPr="00CA7596" w:rsidRDefault="00D84719" w:rsidP="00D84719">
            <w:pPr>
              <w:jc w:val="center"/>
              <w:rPr>
                <w:color w:val="000000"/>
                <w:sz w:val="20"/>
                <w:szCs w:val="20"/>
              </w:rPr>
            </w:pPr>
          </w:p>
        </w:tc>
      </w:tr>
      <w:tr w:rsidR="00134B26" w:rsidRPr="00D84719" w14:paraId="1A386943" w14:textId="77777777" w:rsidTr="00134B26">
        <w:trPr>
          <w:jc w:val="center"/>
        </w:trPr>
        <w:tc>
          <w:tcPr>
            <w:tcW w:w="2021" w:type="pct"/>
            <w:vAlign w:val="center"/>
          </w:tcPr>
          <w:p w14:paraId="1626561E" w14:textId="77777777" w:rsidR="00D84719" w:rsidRPr="00D84719" w:rsidRDefault="00D84719" w:rsidP="00D84719">
            <w:pPr>
              <w:spacing w:line="276" w:lineRule="auto"/>
              <w:jc w:val="both"/>
              <w:rPr>
                <w:color w:val="000000"/>
              </w:rPr>
            </w:pPr>
            <w:r w:rsidRPr="00D84719">
              <w:rPr>
                <w:color w:val="000000"/>
              </w:rPr>
              <w:t>pentaklorobenzen</w:t>
            </w:r>
          </w:p>
        </w:tc>
        <w:tc>
          <w:tcPr>
            <w:tcW w:w="1540" w:type="pct"/>
            <w:vAlign w:val="center"/>
          </w:tcPr>
          <w:p w14:paraId="57C28893" w14:textId="77777777" w:rsidR="00D84719" w:rsidRPr="00D84719" w:rsidRDefault="00D84719" w:rsidP="00D84719">
            <w:pPr>
              <w:jc w:val="center"/>
              <w:rPr>
                <w:color w:val="000000"/>
              </w:rPr>
            </w:pPr>
          </w:p>
        </w:tc>
        <w:tc>
          <w:tcPr>
            <w:tcW w:w="530" w:type="pct"/>
            <w:vAlign w:val="center"/>
          </w:tcPr>
          <w:p w14:paraId="5CFE5AC6" w14:textId="77777777" w:rsidR="00D84719" w:rsidRPr="00CA7596" w:rsidRDefault="00D84719" w:rsidP="00D84719">
            <w:pPr>
              <w:spacing w:line="276" w:lineRule="auto"/>
              <w:jc w:val="center"/>
              <w:rPr>
                <w:color w:val="000000"/>
                <w:sz w:val="20"/>
                <w:szCs w:val="20"/>
              </w:rPr>
            </w:pPr>
            <w:r w:rsidRPr="00CA7596">
              <w:rPr>
                <w:color w:val="000000"/>
                <w:sz w:val="20"/>
                <w:szCs w:val="20"/>
              </w:rPr>
              <w:t>0</w:t>
            </w:r>
          </w:p>
        </w:tc>
        <w:tc>
          <w:tcPr>
            <w:tcW w:w="454" w:type="pct"/>
            <w:gridSpan w:val="2"/>
            <w:vAlign w:val="center"/>
          </w:tcPr>
          <w:p w14:paraId="24ED42EF" w14:textId="77777777" w:rsidR="00D84719" w:rsidRPr="00CA7596" w:rsidRDefault="00D84719" w:rsidP="00D84719">
            <w:pPr>
              <w:spacing w:line="276" w:lineRule="auto"/>
              <w:jc w:val="center"/>
              <w:rPr>
                <w:color w:val="000000"/>
                <w:sz w:val="20"/>
                <w:szCs w:val="20"/>
              </w:rPr>
            </w:pPr>
            <w:r w:rsidRPr="00CA7596">
              <w:rPr>
                <w:color w:val="000000"/>
                <w:sz w:val="20"/>
                <w:szCs w:val="20"/>
              </w:rPr>
              <w:t>0</w:t>
            </w:r>
          </w:p>
        </w:tc>
        <w:tc>
          <w:tcPr>
            <w:tcW w:w="455" w:type="pct"/>
            <w:vAlign w:val="center"/>
          </w:tcPr>
          <w:p w14:paraId="3D2D9EF8" w14:textId="77777777" w:rsidR="00D84719" w:rsidRPr="00CA7596" w:rsidRDefault="00D84719" w:rsidP="00D84719">
            <w:pPr>
              <w:spacing w:line="276" w:lineRule="auto"/>
              <w:jc w:val="center"/>
              <w:rPr>
                <w:color w:val="000000"/>
                <w:sz w:val="20"/>
                <w:szCs w:val="20"/>
              </w:rPr>
            </w:pPr>
            <w:r w:rsidRPr="00CA7596">
              <w:rPr>
                <w:color w:val="000000"/>
                <w:sz w:val="20"/>
                <w:szCs w:val="20"/>
              </w:rPr>
              <w:t>0</w:t>
            </w:r>
          </w:p>
        </w:tc>
      </w:tr>
      <w:tr w:rsidR="00134B26" w:rsidRPr="00D84719" w14:paraId="22ED1878" w14:textId="77777777" w:rsidTr="00134B26">
        <w:trPr>
          <w:jc w:val="center"/>
        </w:trPr>
        <w:tc>
          <w:tcPr>
            <w:tcW w:w="2021" w:type="pct"/>
            <w:vAlign w:val="center"/>
          </w:tcPr>
          <w:p w14:paraId="012AE8AA" w14:textId="77777777" w:rsidR="00D84719" w:rsidRPr="00D84719" w:rsidRDefault="00D84719" w:rsidP="00D84719">
            <w:pPr>
              <w:spacing w:line="276" w:lineRule="auto"/>
              <w:jc w:val="both"/>
              <w:rPr>
                <w:color w:val="000000"/>
              </w:rPr>
            </w:pPr>
            <w:r w:rsidRPr="00D84719">
              <w:rPr>
                <w:color w:val="000000"/>
              </w:rPr>
              <w:t>tehnički endosulfan i njegovi izomeri</w:t>
            </w:r>
          </w:p>
        </w:tc>
        <w:tc>
          <w:tcPr>
            <w:tcW w:w="1540" w:type="pct"/>
            <w:vAlign w:val="center"/>
          </w:tcPr>
          <w:p w14:paraId="662C7382" w14:textId="77777777" w:rsidR="00D84719" w:rsidRPr="00D84719" w:rsidRDefault="00D84719" w:rsidP="00D84719">
            <w:pPr>
              <w:jc w:val="center"/>
              <w:rPr>
                <w:color w:val="000000"/>
              </w:rPr>
            </w:pPr>
          </w:p>
        </w:tc>
        <w:tc>
          <w:tcPr>
            <w:tcW w:w="530" w:type="pct"/>
            <w:vAlign w:val="center"/>
          </w:tcPr>
          <w:p w14:paraId="52583372" w14:textId="77777777" w:rsidR="00D84719" w:rsidRPr="00CA7596" w:rsidRDefault="00D84719" w:rsidP="00D84719">
            <w:pPr>
              <w:spacing w:line="276" w:lineRule="auto"/>
              <w:jc w:val="center"/>
              <w:rPr>
                <w:color w:val="000000"/>
                <w:sz w:val="20"/>
                <w:szCs w:val="20"/>
              </w:rPr>
            </w:pPr>
            <w:r w:rsidRPr="00CA7596">
              <w:rPr>
                <w:color w:val="000000"/>
                <w:sz w:val="20"/>
                <w:szCs w:val="20"/>
              </w:rPr>
              <w:t>0</w:t>
            </w:r>
          </w:p>
        </w:tc>
        <w:tc>
          <w:tcPr>
            <w:tcW w:w="454" w:type="pct"/>
            <w:gridSpan w:val="2"/>
            <w:vAlign w:val="center"/>
          </w:tcPr>
          <w:p w14:paraId="1CBA6CF7" w14:textId="77777777" w:rsidR="00D84719" w:rsidRPr="00CA7596" w:rsidRDefault="00D84719" w:rsidP="00D84719">
            <w:pPr>
              <w:spacing w:line="276" w:lineRule="auto"/>
              <w:jc w:val="center"/>
              <w:rPr>
                <w:color w:val="000000"/>
                <w:sz w:val="20"/>
                <w:szCs w:val="20"/>
              </w:rPr>
            </w:pPr>
            <w:r w:rsidRPr="00CA7596">
              <w:rPr>
                <w:color w:val="000000"/>
                <w:sz w:val="20"/>
                <w:szCs w:val="20"/>
              </w:rPr>
              <w:t>0</w:t>
            </w:r>
          </w:p>
        </w:tc>
        <w:tc>
          <w:tcPr>
            <w:tcW w:w="455" w:type="pct"/>
            <w:vAlign w:val="center"/>
          </w:tcPr>
          <w:p w14:paraId="36F2FD53" w14:textId="77777777" w:rsidR="00D84719" w:rsidRPr="00CA7596" w:rsidRDefault="00D84719" w:rsidP="00D84719">
            <w:pPr>
              <w:spacing w:line="276" w:lineRule="auto"/>
              <w:jc w:val="center"/>
              <w:rPr>
                <w:color w:val="000000"/>
                <w:sz w:val="20"/>
                <w:szCs w:val="20"/>
              </w:rPr>
            </w:pPr>
            <w:r w:rsidRPr="00CA7596">
              <w:rPr>
                <w:color w:val="000000"/>
                <w:sz w:val="20"/>
                <w:szCs w:val="20"/>
              </w:rPr>
              <w:t>0</w:t>
            </w:r>
          </w:p>
        </w:tc>
      </w:tr>
      <w:tr w:rsidR="00134B26" w:rsidRPr="00D84719" w14:paraId="04FBFC94" w14:textId="77777777" w:rsidTr="00134B26">
        <w:trPr>
          <w:jc w:val="center"/>
        </w:trPr>
        <w:tc>
          <w:tcPr>
            <w:tcW w:w="2021" w:type="pct"/>
            <w:tcBorders>
              <w:bottom w:val="single" w:sz="4" w:space="0" w:color="000000"/>
            </w:tcBorders>
            <w:vAlign w:val="center"/>
          </w:tcPr>
          <w:p w14:paraId="7CD079B9" w14:textId="77777777" w:rsidR="00D84719" w:rsidRPr="00D84719" w:rsidRDefault="00D84719" w:rsidP="00D84719">
            <w:pPr>
              <w:spacing w:line="276" w:lineRule="auto"/>
              <w:jc w:val="both"/>
              <w:rPr>
                <w:color w:val="000000"/>
              </w:rPr>
            </w:pPr>
            <w:r w:rsidRPr="00D84719">
              <w:rPr>
                <w:color w:val="000000"/>
              </w:rPr>
              <w:t>pentaklorofenol i njegove soli i esteri</w:t>
            </w:r>
          </w:p>
        </w:tc>
        <w:tc>
          <w:tcPr>
            <w:tcW w:w="1540" w:type="pct"/>
            <w:tcBorders>
              <w:bottom w:val="single" w:sz="4" w:space="0" w:color="000000"/>
            </w:tcBorders>
            <w:vAlign w:val="center"/>
          </w:tcPr>
          <w:p w14:paraId="64DAAF02" w14:textId="77777777" w:rsidR="00D84719" w:rsidRPr="00D84719" w:rsidRDefault="00D84719" w:rsidP="00D84719">
            <w:pPr>
              <w:jc w:val="center"/>
              <w:rPr>
                <w:color w:val="000000"/>
              </w:rPr>
            </w:pPr>
          </w:p>
        </w:tc>
        <w:tc>
          <w:tcPr>
            <w:tcW w:w="530" w:type="pct"/>
            <w:tcBorders>
              <w:bottom w:val="single" w:sz="4" w:space="0" w:color="000000"/>
            </w:tcBorders>
            <w:vAlign w:val="center"/>
          </w:tcPr>
          <w:p w14:paraId="3478C2DC" w14:textId="77777777" w:rsidR="00D84719" w:rsidRPr="00CA7596" w:rsidRDefault="00D84719" w:rsidP="00D84719">
            <w:pPr>
              <w:spacing w:line="276" w:lineRule="auto"/>
              <w:jc w:val="center"/>
              <w:rPr>
                <w:color w:val="000000"/>
                <w:sz w:val="20"/>
                <w:szCs w:val="20"/>
              </w:rPr>
            </w:pPr>
            <w:r w:rsidRPr="00CA7596">
              <w:rPr>
                <w:color w:val="000000"/>
                <w:sz w:val="20"/>
                <w:szCs w:val="20"/>
              </w:rPr>
              <w:t>0</w:t>
            </w:r>
          </w:p>
        </w:tc>
        <w:tc>
          <w:tcPr>
            <w:tcW w:w="454" w:type="pct"/>
            <w:gridSpan w:val="2"/>
            <w:tcBorders>
              <w:bottom w:val="single" w:sz="4" w:space="0" w:color="000000"/>
            </w:tcBorders>
            <w:vAlign w:val="center"/>
          </w:tcPr>
          <w:p w14:paraId="17D83150" w14:textId="77777777" w:rsidR="00D84719" w:rsidRPr="00CA7596" w:rsidRDefault="00D84719" w:rsidP="00D84719">
            <w:pPr>
              <w:spacing w:line="276" w:lineRule="auto"/>
              <w:jc w:val="center"/>
              <w:rPr>
                <w:color w:val="000000"/>
                <w:sz w:val="20"/>
                <w:szCs w:val="20"/>
              </w:rPr>
            </w:pPr>
            <w:r w:rsidRPr="00CA7596">
              <w:rPr>
                <w:color w:val="000000"/>
                <w:sz w:val="20"/>
                <w:szCs w:val="20"/>
              </w:rPr>
              <w:t>0</w:t>
            </w:r>
          </w:p>
        </w:tc>
        <w:tc>
          <w:tcPr>
            <w:tcW w:w="455" w:type="pct"/>
            <w:tcBorders>
              <w:bottom w:val="single" w:sz="4" w:space="0" w:color="000000"/>
            </w:tcBorders>
            <w:vAlign w:val="center"/>
          </w:tcPr>
          <w:p w14:paraId="5BE8972A" w14:textId="77777777" w:rsidR="00D84719" w:rsidRPr="00CA7596" w:rsidRDefault="00D84719" w:rsidP="00D84719">
            <w:pPr>
              <w:spacing w:line="276" w:lineRule="auto"/>
              <w:jc w:val="center"/>
              <w:rPr>
                <w:color w:val="000000"/>
                <w:sz w:val="20"/>
                <w:szCs w:val="20"/>
              </w:rPr>
            </w:pPr>
            <w:r w:rsidRPr="00CA7596">
              <w:rPr>
                <w:color w:val="000000"/>
                <w:sz w:val="20"/>
                <w:szCs w:val="20"/>
              </w:rPr>
              <w:t>0</w:t>
            </w:r>
          </w:p>
        </w:tc>
      </w:tr>
      <w:tr w:rsidR="00134B26" w:rsidRPr="00D84719" w14:paraId="29F21F8C" w14:textId="77777777" w:rsidTr="00134B26">
        <w:trPr>
          <w:jc w:val="center"/>
        </w:trPr>
        <w:tc>
          <w:tcPr>
            <w:tcW w:w="3561" w:type="pct"/>
            <w:gridSpan w:val="2"/>
            <w:tcBorders>
              <w:bottom w:val="single" w:sz="4" w:space="0" w:color="000000"/>
            </w:tcBorders>
            <w:shd w:val="clear" w:color="auto" w:fill="F2F2F2"/>
            <w:vAlign w:val="center"/>
          </w:tcPr>
          <w:p w14:paraId="521576D5" w14:textId="77777777" w:rsidR="00D84719" w:rsidRPr="00D84719" w:rsidRDefault="00D84719" w:rsidP="00D84719">
            <w:pPr>
              <w:jc w:val="center"/>
              <w:rPr>
                <w:b/>
                <w:bCs/>
                <w:i/>
                <w:iCs/>
                <w:smallCaps/>
                <w:color w:val="000000"/>
                <w:sz w:val="20"/>
                <w:szCs w:val="20"/>
              </w:rPr>
            </w:pPr>
            <w:r w:rsidRPr="00C82F02">
              <w:rPr>
                <w:b/>
                <w:bCs/>
                <w:i/>
                <w:iCs/>
                <w:smallCaps/>
                <w:color w:val="000000"/>
                <w:sz w:val="22"/>
                <w:szCs w:val="20"/>
              </w:rPr>
              <w:t>Uporaba (tona)</w:t>
            </w:r>
          </w:p>
        </w:tc>
        <w:tc>
          <w:tcPr>
            <w:tcW w:w="530" w:type="pct"/>
            <w:tcBorders>
              <w:bottom w:val="single" w:sz="4" w:space="0" w:color="000000"/>
            </w:tcBorders>
            <w:shd w:val="clear" w:color="auto" w:fill="F2F2F2"/>
            <w:vAlign w:val="center"/>
          </w:tcPr>
          <w:p w14:paraId="1C7CA4A5" w14:textId="77777777" w:rsidR="00D84719" w:rsidRPr="00CA7596" w:rsidRDefault="00D84719" w:rsidP="00D84719">
            <w:pPr>
              <w:spacing w:line="276" w:lineRule="auto"/>
              <w:jc w:val="center"/>
              <w:rPr>
                <w:b/>
                <w:bCs/>
                <w:i/>
                <w:iCs/>
                <w:color w:val="000000"/>
                <w:sz w:val="20"/>
                <w:szCs w:val="20"/>
              </w:rPr>
            </w:pPr>
            <w:r w:rsidRPr="00CA7596">
              <w:rPr>
                <w:b/>
                <w:bCs/>
                <w:i/>
                <w:iCs/>
                <w:color w:val="000000"/>
                <w:sz w:val="20"/>
                <w:szCs w:val="20"/>
              </w:rPr>
              <w:t>0</w:t>
            </w:r>
          </w:p>
        </w:tc>
        <w:tc>
          <w:tcPr>
            <w:tcW w:w="454" w:type="pct"/>
            <w:gridSpan w:val="2"/>
            <w:tcBorders>
              <w:bottom w:val="single" w:sz="4" w:space="0" w:color="000000"/>
            </w:tcBorders>
            <w:shd w:val="clear" w:color="auto" w:fill="F2F2F2"/>
            <w:vAlign w:val="center"/>
          </w:tcPr>
          <w:p w14:paraId="74C50A8E" w14:textId="77777777" w:rsidR="00D84719" w:rsidRPr="00CA7596" w:rsidRDefault="00D84719" w:rsidP="00D84719">
            <w:pPr>
              <w:spacing w:line="276" w:lineRule="auto"/>
              <w:jc w:val="center"/>
              <w:rPr>
                <w:b/>
                <w:bCs/>
                <w:i/>
                <w:iCs/>
                <w:color w:val="000000"/>
                <w:sz w:val="20"/>
                <w:szCs w:val="20"/>
              </w:rPr>
            </w:pPr>
            <w:r w:rsidRPr="00CA7596">
              <w:rPr>
                <w:b/>
                <w:bCs/>
                <w:i/>
                <w:iCs/>
                <w:color w:val="000000"/>
                <w:sz w:val="20"/>
                <w:szCs w:val="20"/>
              </w:rPr>
              <w:t>0</w:t>
            </w:r>
          </w:p>
        </w:tc>
        <w:tc>
          <w:tcPr>
            <w:tcW w:w="455" w:type="pct"/>
            <w:tcBorders>
              <w:bottom w:val="single" w:sz="4" w:space="0" w:color="000000"/>
            </w:tcBorders>
            <w:shd w:val="clear" w:color="auto" w:fill="F2F2F2"/>
            <w:vAlign w:val="center"/>
          </w:tcPr>
          <w:p w14:paraId="4632E7C4" w14:textId="77777777" w:rsidR="00D84719" w:rsidRPr="00CA7596" w:rsidRDefault="00D84719" w:rsidP="00D84719">
            <w:pPr>
              <w:spacing w:line="276" w:lineRule="auto"/>
              <w:jc w:val="center"/>
              <w:rPr>
                <w:b/>
                <w:bCs/>
                <w:i/>
                <w:iCs/>
                <w:color w:val="000000"/>
                <w:sz w:val="20"/>
                <w:szCs w:val="20"/>
              </w:rPr>
            </w:pPr>
            <w:r w:rsidRPr="00CA7596">
              <w:rPr>
                <w:b/>
                <w:bCs/>
                <w:i/>
                <w:iCs/>
                <w:color w:val="000000"/>
                <w:sz w:val="20"/>
                <w:szCs w:val="20"/>
              </w:rPr>
              <w:t>0</w:t>
            </w:r>
          </w:p>
        </w:tc>
      </w:tr>
      <w:tr w:rsidR="00134B26" w:rsidRPr="00D84719" w14:paraId="269B740E" w14:textId="77777777" w:rsidTr="00134B26">
        <w:trPr>
          <w:jc w:val="center"/>
        </w:trPr>
        <w:tc>
          <w:tcPr>
            <w:tcW w:w="2021" w:type="pct"/>
            <w:tcBorders>
              <w:bottom w:val="single" w:sz="4" w:space="0" w:color="000000"/>
            </w:tcBorders>
            <w:shd w:val="clear" w:color="auto" w:fill="FFFFFF"/>
            <w:vAlign w:val="center"/>
          </w:tcPr>
          <w:p w14:paraId="48B1136D" w14:textId="77777777" w:rsidR="00D84719" w:rsidRPr="00D84719" w:rsidRDefault="00D84719" w:rsidP="00D84719">
            <w:pPr>
              <w:spacing w:line="276" w:lineRule="auto"/>
              <w:jc w:val="both"/>
              <w:rPr>
                <w:color w:val="000000"/>
              </w:rPr>
            </w:pPr>
            <w:r w:rsidRPr="00D84719">
              <w:rPr>
                <w:color w:val="000000"/>
              </w:rPr>
              <w:t>aldrin</w:t>
            </w:r>
          </w:p>
        </w:tc>
        <w:tc>
          <w:tcPr>
            <w:tcW w:w="1540" w:type="pct"/>
            <w:tcBorders>
              <w:bottom w:val="single" w:sz="4" w:space="0" w:color="000000"/>
            </w:tcBorders>
            <w:shd w:val="clear" w:color="auto" w:fill="FFFFFF"/>
            <w:vAlign w:val="center"/>
          </w:tcPr>
          <w:p w14:paraId="4C432712" w14:textId="77777777" w:rsidR="00D84719" w:rsidRPr="00D84719" w:rsidRDefault="00D84719" w:rsidP="00D84719">
            <w:pPr>
              <w:jc w:val="center"/>
              <w:rPr>
                <w:color w:val="000000"/>
              </w:rPr>
            </w:pPr>
          </w:p>
        </w:tc>
        <w:tc>
          <w:tcPr>
            <w:tcW w:w="530" w:type="pct"/>
            <w:tcBorders>
              <w:bottom w:val="single" w:sz="4" w:space="0" w:color="000000"/>
            </w:tcBorders>
            <w:shd w:val="clear" w:color="auto" w:fill="FFFFFF"/>
            <w:vAlign w:val="center"/>
          </w:tcPr>
          <w:p w14:paraId="473EBBA6" w14:textId="77777777" w:rsidR="00D84719" w:rsidRPr="00CA7596" w:rsidRDefault="00D84719" w:rsidP="00D84719">
            <w:pPr>
              <w:spacing w:line="276" w:lineRule="auto"/>
              <w:jc w:val="center"/>
              <w:rPr>
                <w:color w:val="000000"/>
                <w:sz w:val="20"/>
                <w:szCs w:val="20"/>
              </w:rPr>
            </w:pPr>
            <w:r w:rsidRPr="00CA7596">
              <w:rPr>
                <w:color w:val="000000"/>
                <w:sz w:val="20"/>
                <w:szCs w:val="20"/>
              </w:rPr>
              <w:t>0</w:t>
            </w:r>
          </w:p>
        </w:tc>
        <w:tc>
          <w:tcPr>
            <w:tcW w:w="454" w:type="pct"/>
            <w:gridSpan w:val="2"/>
            <w:tcBorders>
              <w:bottom w:val="single" w:sz="4" w:space="0" w:color="000000"/>
            </w:tcBorders>
            <w:shd w:val="clear" w:color="auto" w:fill="FFFFFF"/>
            <w:vAlign w:val="center"/>
          </w:tcPr>
          <w:p w14:paraId="4CB1AE8A" w14:textId="77777777" w:rsidR="00D84719" w:rsidRPr="00CA7596" w:rsidRDefault="00D84719" w:rsidP="00D84719">
            <w:pPr>
              <w:spacing w:line="276" w:lineRule="auto"/>
              <w:jc w:val="center"/>
              <w:rPr>
                <w:color w:val="000000"/>
                <w:sz w:val="20"/>
                <w:szCs w:val="20"/>
              </w:rPr>
            </w:pPr>
            <w:r w:rsidRPr="00CA7596">
              <w:rPr>
                <w:color w:val="000000"/>
                <w:sz w:val="20"/>
                <w:szCs w:val="20"/>
              </w:rPr>
              <w:t>0</w:t>
            </w:r>
          </w:p>
        </w:tc>
        <w:tc>
          <w:tcPr>
            <w:tcW w:w="455" w:type="pct"/>
            <w:tcBorders>
              <w:bottom w:val="single" w:sz="4" w:space="0" w:color="000000"/>
            </w:tcBorders>
            <w:shd w:val="clear" w:color="auto" w:fill="FFFFFF"/>
            <w:vAlign w:val="center"/>
          </w:tcPr>
          <w:p w14:paraId="5781B8CD" w14:textId="77777777" w:rsidR="00D84719" w:rsidRPr="00CA7596" w:rsidRDefault="00D84719" w:rsidP="00D84719">
            <w:pPr>
              <w:spacing w:line="276" w:lineRule="auto"/>
              <w:jc w:val="center"/>
              <w:rPr>
                <w:color w:val="000000"/>
                <w:sz w:val="20"/>
                <w:szCs w:val="20"/>
              </w:rPr>
            </w:pPr>
            <w:r w:rsidRPr="00CA7596">
              <w:rPr>
                <w:color w:val="000000"/>
                <w:sz w:val="20"/>
                <w:szCs w:val="20"/>
              </w:rPr>
              <w:t>0</w:t>
            </w:r>
          </w:p>
        </w:tc>
      </w:tr>
      <w:tr w:rsidR="00134B26" w:rsidRPr="00D84719" w14:paraId="337AFE23" w14:textId="77777777" w:rsidTr="00134B26">
        <w:trPr>
          <w:jc w:val="center"/>
        </w:trPr>
        <w:tc>
          <w:tcPr>
            <w:tcW w:w="2021" w:type="pct"/>
            <w:tcBorders>
              <w:bottom w:val="single" w:sz="4" w:space="0" w:color="000000"/>
            </w:tcBorders>
            <w:shd w:val="clear" w:color="auto" w:fill="FFFFFF"/>
            <w:vAlign w:val="center"/>
          </w:tcPr>
          <w:p w14:paraId="34BFFFEC" w14:textId="77777777" w:rsidR="00D84719" w:rsidRPr="00D84719" w:rsidRDefault="00D84719" w:rsidP="00D84719">
            <w:pPr>
              <w:spacing w:line="276" w:lineRule="auto"/>
              <w:jc w:val="both"/>
              <w:rPr>
                <w:color w:val="000000"/>
              </w:rPr>
            </w:pPr>
            <w:r w:rsidRPr="00D84719">
              <w:rPr>
                <w:color w:val="000000"/>
              </w:rPr>
              <w:t>klordan</w:t>
            </w:r>
          </w:p>
        </w:tc>
        <w:tc>
          <w:tcPr>
            <w:tcW w:w="1540" w:type="pct"/>
            <w:tcBorders>
              <w:bottom w:val="single" w:sz="4" w:space="0" w:color="000000"/>
            </w:tcBorders>
            <w:shd w:val="clear" w:color="auto" w:fill="FFFFFF"/>
            <w:vAlign w:val="center"/>
          </w:tcPr>
          <w:p w14:paraId="44C9DB79" w14:textId="77777777" w:rsidR="00D84719" w:rsidRPr="00D84719" w:rsidRDefault="00D84719" w:rsidP="00D84719">
            <w:pPr>
              <w:jc w:val="center"/>
              <w:rPr>
                <w:color w:val="000000"/>
              </w:rPr>
            </w:pPr>
          </w:p>
        </w:tc>
        <w:tc>
          <w:tcPr>
            <w:tcW w:w="530" w:type="pct"/>
            <w:tcBorders>
              <w:bottom w:val="single" w:sz="4" w:space="0" w:color="000000"/>
            </w:tcBorders>
            <w:shd w:val="clear" w:color="auto" w:fill="FFFFFF"/>
            <w:vAlign w:val="center"/>
          </w:tcPr>
          <w:p w14:paraId="0EF58987" w14:textId="77777777" w:rsidR="00D84719" w:rsidRPr="00CA7596" w:rsidRDefault="00D84719" w:rsidP="00D84719">
            <w:pPr>
              <w:spacing w:line="276" w:lineRule="auto"/>
              <w:jc w:val="center"/>
              <w:rPr>
                <w:color w:val="000000"/>
                <w:sz w:val="20"/>
                <w:szCs w:val="20"/>
              </w:rPr>
            </w:pPr>
            <w:r w:rsidRPr="00CA7596">
              <w:rPr>
                <w:color w:val="000000"/>
                <w:sz w:val="20"/>
                <w:szCs w:val="20"/>
              </w:rPr>
              <w:t>0</w:t>
            </w:r>
          </w:p>
        </w:tc>
        <w:tc>
          <w:tcPr>
            <w:tcW w:w="454" w:type="pct"/>
            <w:gridSpan w:val="2"/>
            <w:tcBorders>
              <w:bottom w:val="single" w:sz="4" w:space="0" w:color="000000"/>
            </w:tcBorders>
            <w:shd w:val="clear" w:color="auto" w:fill="FFFFFF"/>
            <w:vAlign w:val="center"/>
          </w:tcPr>
          <w:p w14:paraId="7CA9A7FA" w14:textId="77777777" w:rsidR="00D84719" w:rsidRPr="00CA7596" w:rsidRDefault="00D84719" w:rsidP="00D84719">
            <w:pPr>
              <w:spacing w:line="276" w:lineRule="auto"/>
              <w:jc w:val="center"/>
              <w:rPr>
                <w:color w:val="000000"/>
                <w:sz w:val="20"/>
                <w:szCs w:val="20"/>
              </w:rPr>
            </w:pPr>
            <w:r w:rsidRPr="00CA7596">
              <w:rPr>
                <w:color w:val="000000"/>
                <w:sz w:val="20"/>
                <w:szCs w:val="20"/>
              </w:rPr>
              <w:t>0</w:t>
            </w:r>
          </w:p>
        </w:tc>
        <w:tc>
          <w:tcPr>
            <w:tcW w:w="455" w:type="pct"/>
            <w:tcBorders>
              <w:bottom w:val="single" w:sz="4" w:space="0" w:color="000000"/>
            </w:tcBorders>
            <w:shd w:val="clear" w:color="auto" w:fill="FFFFFF"/>
            <w:vAlign w:val="center"/>
          </w:tcPr>
          <w:p w14:paraId="139E1AE8" w14:textId="77777777" w:rsidR="00D84719" w:rsidRPr="00CA7596" w:rsidRDefault="00D84719" w:rsidP="00D84719">
            <w:pPr>
              <w:spacing w:line="276" w:lineRule="auto"/>
              <w:jc w:val="center"/>
              <w:rPr>
                <w:color w:val="000000"/>
                <w:sz w:val="20"/>
                <w:szCs w:val="20"/>
              </w:rPr>
            </w:pPr>
            <w:r w:rsidRPr="00CA7596">
              <w:rPr>
                <w:color w:val="000000"/>
                <w:sz w:val="20"/>
                <w:szCs w:val="20"/>
              </w:rPr>
              <w:t>0</w:t>
            </w:r>
          </w:p>
        </w:tc>
      </w:tr>
      <w:tr w:rsidR="00134B26" w:rsidRPr="00D84719" w14:paraId="6097A65A" w14:textId="77777777" w:rsidTr="00134B26">
        <w:trPr>
          <w:jc w:val="center"/>
        </w:trPr>
        <w:tc>
          <w:tcPr>
            <w:tcW w:w="2021" w:type="pct"/>
            <w:tcBorders>
              <w:bottom w:val="single" w:sz="4" w:space="0" w:color="000000"/>
            </w:tcBorders>
            <w:shd w:val="clear" w:color="auto" w:fill="FFFFFF"/>
            <w:vAlign w:val="center"/>
          </w:tcPr>
          <w:p w14:paraId="107465FA" w14:textId="77777777" w:rsidR="00D84719" w:rsidRPr="00D84719" w:rsidRDefault="00D84719" w:rsidP="00D84719">
            <w:pPr>
              <w:spacing w:line="276" w:lineRule="auto"/>
              <w:jc w:val="both"/>
              <w:rPr>
                <w:color w:val="000000"/>
              </w:rPr>
            </w:pPr>
            <w:r w:rsidRPr="00D84719">
              <w:rPr>
                <w:color w:val="000000"/>
              </w:rPr>
              <w:t>dieldrin</w:t>
            </w:r>
          </w:p>
        </w:tc>
        <w:tc>
          <w:tcPr>
            <w:tcW w:w="1540" w:type="pct"/>
            <w:tcBorders>
              <w:bottom w:val="single" w:sz="4" w:space="0" w:color="000000"/>
            </w:tcBorders>
            <w:shd w:val="clear" w:color="auto" w:fill="FFFFFF"/>
            <w:vAlign w:val="center"/>
          </w:tcPr>
          <w:p w14:paraId="5C78D274" w14:textId="77777777" w:rsidR="00D84719" w:rsidRPr="00D84719" w:rsidRDefault="00D84719" w:rsidP="00D84719">
            <w:pPr>
              <w:jc w:val="center"/>
              <w:rPr>
                <w:color w:val="000000"/>
              </w:rPr>
            </w:pPr>
          </w:p>
        </w:tc>
        <w:tc>
          <w:tcPr>
            <w:tcW w:w="530" w:type="pct"/>
            <w:tcBorders>
              <w:bottom w:val="single" w:sz="4" w:space="0" w:color="000000"/>
            </w:tcBorders>
            <w:shd w:val="clear" w:color="auto" w:fill="FFFFFF"/>
            <w:vAlign w:val="center"/>
          </w:tcPr>
          <w:p w14:paraId="222E938B" w14:textId="77777777" w:rsidR="00D84719" w:rsidRPr="00CA7596" w:rsidRDefault="00D84719" w:rsidP="00D84719">
            <w:pPr>
              <w:spacing w:line="276" w:lineRule="auto"/>
              <w:jc w:val="center"/>
              <w:rPr>
                <w:color w:val="000000"/>
                <w:sz w:val="20"/>
                <w:szCs w:val="20"/>
              </w:rPr>
            </w:pPr>
            <w:r w:rsidRPr="00CA7596">
              <w:rPr>
                <w:color w:val="000000"/>
                <w:sz w:val="20"/>
                <w:szCs w:val="20"/>
              </w:rPr>
              <w:t>0</w:t>
            </w:r>
          </w:p>
        </w:tc>
        <w:tc>
          <w:tcPr>
            <w:tcW w:w="454" w:type="pct"/>
            <w:gridSpan w:val="2"/>
            <w:tcBorders>
              <w:bottom w:val="single" w:sz="4" w:space="0" w:color="000000"/>
            </w:tcBorders>
            <w:shd w:val="clear" w:color="auto" w:fill="FFFFFF"/>
            <w:vAlign w:val="center"/>
          </w:tcPr>
          <w:p w14:paraId="6FDF0872" w14:textId="77777777" w:rsidR="00D84719" w:rsidRPr="00CA7596" w:rsidRDefault="00D84719" w:rsidP="00D84719">
            <w:pPr>
              <w:spacing w:line="276" w:lineRule="auto"/>
              <w:jc w:val="center"/>
              <w:rPr>
                <w:color w:val="000000"/>
                <w:sz w:val="20"/>
                <w:szCs w:val="20"/>
              </w:rPr>
            </w:pPr>
            <w:r w:rsidRPr="00CA7596">
              <w:rPr>
                <w:color w:val="000000"/>
                <w:sz w:val="20"/>
                <w:szCs w:val="20"/>
              </w:rPr>
              <w:t>0</w:t>
            </w:r>
          </w:p>
        </w:tc>
        <w:tc>
          <w:tcPr>
            <w:tcW w:w="455" w:type="pct"/>
            <w:tcBorders>
              <w:bottom w:val="single" w:sz="4" w:space="0" w:color="000000"/>
            </w:tcBorders>
            <w:shd w:val="clear" w:color="auto" w:fill="FFFFFF"/>
            <w:vAlign w:val="center"/>
          </w:tcPr>
          <w:p w14:paraId="5A53EC28" w14:textId="77777777" w:rsidR="00D84719" w:rsidRPr="00CA7596" w:rsidRDefault="00D84719" w:rsidP="00D84719">
            <w:pPr>
              <w:spacing w:line="276" w:lineRule="auto"/>
              <w:jc w:val="center"/>
              <w:rPr>
                <w:color w:val="000000"/>
                <w:sz w:val="20"/>
                <w:szCs w:val="20"/>
              </w:rPr>
            </w:pPr>
            <w:r w:rsidRPr="00CA7596">
              <w:rPr>
                <w:color w:val="000000"/>
                <w:sz w:val="20"/>
                <w:szCs w:val="20"/>
              </w:rPr>
              <w:t>0</w:t>
            </w:r>
          </w:p>
        </w:tc>
      </w:tr>
      <w:tr w:rsidR="00134B26" w:rsidRPr="00D84719" w14:paraId="6FFFBA76" w14:textId="77777777" w:rsidTr="00134B26">
        <w:trPr>
          <w:jc w:val="center"/>
        </w:trPr>
        <w:tc>
          <w:tcPr>
            <w:tcW w:w="2021" w:type="pct"/>
            <w:tcBorders>
              <w:bottom w:val="single" w:sz="4" w:space="0" w:color="000000"/>
            </w:tcBorders>
            <w:shd w:val="clear" w:color="auto" w:fill="FFFFFF"/>
            <w:vAlign w:val="center"/>
          </w:tcPr>
          <w:p w14:paraId="34D5B325" w14:textId="77777777" w:rsidR="00D84719" w:rsidRPr="00D84719" w:rsidRDefault="00D84719" w:rsidP="00D84719">
            <w:pPr>
              <w:spacing w:line="276" w:lineRule="auto"/>
              <w:jc w:val="both"/>
              <w:rPr>
                <w:color w:val="000000"/>
              </w:rPr>
            </w:pPr>
            <w:r w:rsidRPr="00D84719">
              <w:rPr>
                <w:color w:val="000000"/>
              </w:rPr>
              <w:t>endrin</w:t>
            </w:r>
          </w:p>
        </w:tc>
        <w:tc>
          <w:tcPr>
            <w:tcW w:w="1540" w:type="pct"/>
            <w:tcBorders>
              <w:bottom w:val="single" w:sz="4" w:space="0" w:color="000000"/>
            </w:tcBorders>
            <w:shd w:val="clear" w:color="auto" w:fill="FFFFFF"/>
            <w:vAlign w:val="center"/>
          </w:tcPr>
          <w:p w14:paraId="0546743A" w14:textId="77777777" w:rsidR="00D84719" w:rsidRPr="00D84719" w:rsidRDefault="00D84719" w:rsidP="00D84719">
            <w:pPr>
              <w:jc w:val="center"/>
              <w:rPr>
                <w:color w:val="000000"/>
              </w:rPr>
            </w:pPr>
          </w:p>
        </w:tc>
        <w:tc>
          <w:tcPr>
            <w:tcW w:w="530" w:type="pct"/>
            <w:tcBorders>
              <w:bottom w:val="single" w:sz="4" w:space="0" w:color="000000"/>
            </w:tcBorders>
            <w:shd w:val="clear" w:color="auto" w:fill="FFFFFF"/>
            <w:vAlign w:val="center"/>
          </w:tcPr>
          <w:p w14:paraId="7AE58A1E" w14:textId="77777777" w:rsidR="00D84719" w:rsidRPr="00CA7596" w:rsidRDefault="00D84719" w:rsidP="00D84719">
            <w:pPr>
              <w:spacing w:line="276" w:lineRule="auto"/>
              <w:jc w:val="center"/>
              <w:rPr>
                <w:color w:val="000000"/>
                <w:sz w:val="20"/>
                <w:szCs w:val="20"/>
              </w:rPr>
            </w:pPr>
            <w:r w:rsidRPr="00CA7596">
              <w:rPr>
                <w:color w:val="000000"/>
                <w:sz w:val="20"/>
                <w:szCs w:val="20"/>
              </w:rPr>
              <w:t>0</w:t>
            </w:r>
          </w:p>
        </w:tc>
        <w:tc>
          <w:tcPr>
            <w:tcW w:w="454" w:type="pct"/>
            <w:gridSpan w:val="2"/>
            <w:tcBorders>
              <w:bottom w:val="single" w:sz="4" w:space="0" w:color="000000"/>
            </w:tcBorders>
            <w:shd w:val="clear" w:color="auto" w:fill="FFFFFF"/>
            <w:vAlign w:val="center"/>
          </w:tcPr>
          <w:p w14:paraId="52F091D1" w14:textId="77777777" w:rsidR="00D84719" w:rsidRPr="00CA7596" w:rsidRDefault="00D84719" w:rsidP="00D84719">
            <w:pPr>
              <w:spacing w:line="276" w:lineRule="auto"/>
              <w:jc w:val="center"/>
              <w:rPr>
                <w:color w:val="000000"/>
                <w:sz w:val="20"/>
                <w:szCs w:val="20"/>
              </w:rPr>
            </w:pPr>
            <w:r w:rsidRPr="00CA7596">
              <w:rPr>
                <w:color w:val="000000"/>
                <w:sz w:val="20"/>
                <w:szCs w:val="20"/>
              </w:rPr>
              <w:t>0</w:t>
            </w:r>
          </w:p>
        </w:tc>
        <w:tc>
          <w:tcPr>
            <w:tcW w:w="455" w:type="pct"/>
            <w:tcBorders>
              <w:bottom w:val="single" w:sz="4" w:space="0" w:color="000000"/>
            </w:tcBorders>
            <w:shd w:val="clear" w:color="auto" w:fill="FFFFFF"/>
            <w:vAlign w:val="center"/>
          </w:tcPr>
          <w:p w14:paraId="7216CE92" w14:textId="77777777" w:rsidR="00D84719" w:rsidRPr="00CA7596" w:rsidRDefault="00D84719" w:rsidP="00D84719">
            <w:pPr>
              <w:spacing w:line="276" w:lineRule="auto"/>
              <w:jc w:val="center"/>
              <w:rPr>
                <w:color w:val="000000"/>
                <w:sz w:val="20"/>
                <w:szCs w:val="20"/>
              </w:rPr>
            </w:pPr>
            <w:r w:rsidRPr="00CA7596">
              <w:rPr>
                <w:color w:val="000000"/>
                <w:sz w:val="20"/>
                <w:szCs w:val="20"/>
              </w:rPr>
              <w:t>0</w:t>
            </w:r>
          </w:p>
        </w:tc>
      </w:tr>
      <w:tr w:rsidR="00134B26" w:rsidRPr="00D84719" w14:paraId="4340696C" w14:textId="77777777" w:rsidTr="00134B26">
        <w:trPr>
          <w:jc w:val="center"/>
        </w:trPr>
        <w:tc>
          <w:tcPr>
            <w:tcW w:w="2021" w:type="pct"/>
            <w:tcBorders>
              <w:bottom w:val="single" w:sz="4" w:space="0" w:color="000000"/>
            </w:tcBorders>
            <w:shd w:val="clear" w:color="auto" w:fill="FFFFFF"/>
            <w:vAlign w:val="center"/>
          </w:tcPr>
          <w:p w14:paraId="40A131C9" w14:textId="77777777" w:rsidR="00D84719" w:rsidRPr="00D84719" w:rsidRDefault="00D84719" w:rsidP="00D84719">
            <w:pPr>
              <w:spacing w:line="276" w:lineRule="auto"/>
              <w:jc w:val="both"/>
              <w:rPr>
                <w:color w:val="000000"/>
              </w:rPr>
            </w:pPr>
            <w:r w:rsidRPr="00D84719">
              <w:rPr>
                <w:color w:val="000000"/>
              </w:rPr>
              <w:t>heptaklor</w:t>
            </w:r>
          </w:p>
        </w:tc>
        <w:tc>
          <w:tcPr>
            <w:tcW w:w="1540" w:type="pct"/>
            <w:tcBorders>
              <w:bottom w:val="single" w:sz="4" w:space="0" w:color="000000"/>
            </w:tcBorders>
            <w:shd w:val="clear" w:color="auto" w:fill="FFFFFF"/>
            <w:vAlign w:val="center"/>
          </w:tcPr>
          <w:p w14:paraId="02FFBBAC" w14:textId="77777777" w:rsidR="00D84719" w:rsidRPr="00D84719" w:rsidRDefault="00D84719" w:rsidP="00D84719">
            <w:pPr>
              <w:jc w:val="center"/>
              <w:rPr>
                <w:color w:val="000000"/>
              </w:rPr>
            </w:pPr>
          </w:p>
        </w:tc>
        <w:tc>
          <w:tcPr>
            <w:tcW w:w="530" w:type="pct"/>
            <w:tcBorders>
              <w:bottom w:val="single" w:sz="4" w:space="0" w:color="000000"/>
            </w:tcBorders>
            <w:shd w:val="clear" w:color="auto" w:fill="FFFFFF"/>
            <w:vAlign w:val="center"/>
          </w:tcPr>
          <w:p w14:paraId="27CF6C2F" w14:textId="77777777" w:rsidR="00D84719" w:rsidRPr="00CA7596" w:rsidRDefault="00D84719" w:rsidP="00D84719">
            <w:pPr>
              <w:spacing w:line="276" w:lineRule="auto"/>
              <w:jc w:val="center"/>
              <w:rPr>
                <w:color w:val="000000"/>
                <w:sz w:val="20"/>
                <w:szCs w:val="20"/>
              </w:rPr>
            </w:pPr>
            <w:r w:rsidRPr="00CA7596">
              <w:rPr>
                <w:color w:val="000000"/>
                <w:sz w:val="20"/>
                <w:szCs w:val="20"/>
              </w:rPr>
              <w:t>0</w:t>
            </w:r>
          </w:p>
        </w:tc>
        <w:tc>
          <w:tcPr>
            <w:tcW w:w="454" w:type="pct"/>
            <w:gridSpan w:val="2"/>
            <w:tcBorders>
              <w:bottom w:val="single" w:sz="4" w:space="0" w:color="000000"/>
            </w:tcBorders>
            <w:shd w:val="clear" w:color="auto" w:fill="FFFFFF"/>
            <w:vAlign w:val="center"/>
          </w:tcPr>
          <w:p w14:paraId="5B76117B" w14:textId="77777777" w:rsidR="00D84719" w:rsidRPr="00CA7596" w:rsidRDefault="00D84719" w:rsidP="00D84719">
            <w:pPr>
              <w:spacing w:line="276" w:lineRule="auto"/>
              <w:jc w:val="center"/>
              <w:rPr>
                <w:color w:val="000000"/>
                <w:sz w:val="20"/>
                <w:szCs w:val="20"/>
              </w:rPr>
            </w:pPr>
            <w:r w:rsidRPr="00CA7596">
              <w:rPr>
                <w:color w:val="000000"/>
                <w:sz w:val="20"/>
                <w:szCs w:val="20"/>
              </w:rPr>
              <w:t>0</w:t>
            </w:r>
          </w:p>
        </w:tc>
        <w:tc>
          <w:tcPr>
            <w:tcW w:w="455" w:type="pct"/>
            <w:tcBorders>
              <w:bottom w:val="single" w:sz="4" w:space="0" w:color="000000"/>
            </w:tcBorders>
            <w:shd w:val="clear" w:color="auto" w:fill="FFFFFF"/>
            <w:vAlign w:val="center"/>
          </w:tcPr>
          <w:p w14:paraId="5B897453" w14:textId="77777777" w:rsidR="00D84719" w:rsidRPr="00CA7596" w:rsidRDefault="00D84719" w:rsidP="00D84719">
            <w:pPr>
              <w:spacing w:line="276" w:lineRule="auto"/>
              <w:jc w:val="center"/>
              <w:rPr>
                <w:color w:val="000000"/>
                <w:sz w:val="20"/>
                <w:szCs w:val="20"/>
              </w:rPr>
            </w:pPr>
            <w:r w:rsidRPr="00CA7596">
              <w:rPr>
                <w:color w:val="000000"/>
                <w:sz w:val="20"/>
                <w:szCs w:val="20"/>
              </w:rPr>
              <w:t>0</w:t>
            </w:r>
          </w:p>
        </w:tc>
      </w:tr>
      <w:tr w:rsidR="00134B26" w:rsidRPr="00D84719" w14:paraId="3DC6C6AB" w14:textId="77777777" w:rsidTr="00134B26">
        <w:trPr>
          <w:jc w:val="center"/>
        </w:trPr>
        <w:tc>
          <w:tcPr>
            <w:tcW w:w="2021" w:type="pct"/>
            <w:tcBorders>
              <w:bottom w:val="single" w:sz="4" w:space="0" w:color="000000"/>
            </w:tcBorders>
            <w:shd w:val="clear" w:color="auto" w:fill="FFFFFF"/>
            <w:vAlign w:val="center"/>
          </w:tcPr>
          <w:p w14:paraId="191922D6" w14:textId="77777777" w:rsidR="00D84719" w:rsidRPr="00D84719" w:rsidRDefault="00D84719" w:rsidP="00D84719">
            <w:pPr>
              <w:spacing w:line="276" w:lineRule="auto"/>
              <w:jc w:val="both"/>
              <w:rPr>
                <w:color w:val="000000"/>
              </w:rPr>
            </w:pPr>
            <w:r w:rsidRPr="00D84719">
              <w:rPr>
                <w:color w:val="000000"/>
              </w:rPr>
              <w:t>heksaklorobenzen</w:t>
            </w:r>
          </w:p>
        </w:tc>
        <w:tc>
          <w:tcPr>
            <w:tcW w:w="1540" w:type="pct"/>
            <w:tcBorders>
              <w:bottom w:val="single" w:sz="4" w:space="0" w:color="000000"/>
            </w:tcBorders>
            <w:shd w:val="clear" w:color="auto" w:fill="FFFFFF"/>
            <w:vAlign w:val="center"/>
          </w:tcPr>
          <w:p w14:paraId="745A33F8" w14:textId="77777777" w:rsidR="00D84719" w:rsidRPr="00D84719" w:rsidRDefault="00D84719" w:rsidP="00D84719">
            <w:pPr>
              <w:jc w:val="center"/>
              <w:rPr>
                <w:color w:val="000000"/>
              </w:rPr>
            </w:pPr>
          </w:p>
        </w:tc>
        <w:tc>
          <w:tcPr>
            <w:tcW w:w="530" w:type="pct"/>
            <w:tcBorders>
              <w:bottom w:val="single" w:sz="4" w:space="0" w:color="000000"/>
            </w:tcBorders>
            <w:shd w:val="clear" w:color="auto" w:fill="FFFFFF"/>
            <w:vAlign w:val="center"/>
          </w:tcPr>
          <w:p w14:paraId="4388B531" w14:textId="77777777" w:rsidR="00D84719" w:rsidRPr="00CA7596" w:rsidRDefault="00D84719" w:rsidP="00D84719">
            <w:pPr>
              <w:spacing w:line="276" w:lineRule="auto"/>
              <w:jc w:val="center"/>
              <w:rPr>
                <w:color w:val="000000"/>
                <w:sz w:val="20"/>
                <w:szCs w:val="20"/>
              </w:rPr>
            </w:pPr>
            <w:r w:rsidRPr="00CA7596">
              <w:rPr>
                <w:color w:val="000000"/>
                <w:sz w:val="20"/>
                <w:szCs w:val="20"/>
              </w:rPr>
              <w:t>0</w:t>
            </w:r>
          </w:p>
        </w:tc>
        <w:tc>
          <w:tcPr>
            <w:tcW w:w="454" w:type="pct"/>
            <w:gridSpan w:val="2"/>
            <w:tcBorders>
              <w:bottom w:val="single" w:sz="4" w:space="0" w:color="000000"/>
            </w:tcBorders>
            <w:shd w:val="clear" w:color="auto" w:fill="FFFFFF"/>
            <w:vAlign w:val="center"/>
          </w:tcPr>
          <w:p w14:paraId="6E9BFBA1" w14:textId="77777777" w:rsidR="00D84719" w:rsidRPr="00CA7596" w:rsidRDefault="00D84719" w:rsidP="00D84719">
            <w:pPr>
              <w:spacing w:line="276" w:lineRule="auto"/>
              <w:jc w:val="center"/>
              <w:rPr>
                <w:color w:val="000000"/>
                <w:sz w:val="20"/>
                <w:szCs w:val="20"/>
              </w:rPr>
            </w:pPr>
            <w:r w:rsidRPr="00CA7596">
              <w:rPr>
                <w:color w:val="000000"/>
                <w:sz w:val="20"/>
                <w:szCs w:val="20"/>
              </w:rPr>
              <w:t>0</w:t>
            </w:r>
          </w:p>
        </w:tc>
        <w:tc>
          <w:tcPr>
            <w:tcW w:w="455" w:type="pct"/>
            <w:tcBorders>
              <w:bottom w:val="single" w:sz="4" w:space="0" w:color="000000"/>
            </w:tcBorders>
            <w:shd w:val="clear" w:color="auto" w:fill="FFFFFF"/>
            <w:vAlign w:val="center"/>
          </w:tcPr>
          <w:p w14:paraId="71113FBA" w14:textId="77777777" w:rsidR="00D84719" w:rsidRPr="00CA7596" w:rsidRDefault="00D84719" w:rsidP="00D84719">
            <w:pPr>
              <w:spacing w:line="276" w:lineRule="auto"/>
              <w:jc w:val="center"/>
              <w:rPr>
                <w:color w:val="000000"/>
                <w:sz w:val="20"/>
                <w:szCs w:val="20"/>
              </w:rPr>
            </w:pPr>
            <w:r w:rsidRPr="00CA7596">
              <w:rPr>
                <w:color w:val="000000"/>
                <w:sz w:val="20"/>
                <w:szCs w:val="20"/>
              </w:rPr>
              <w:t>0</w:t>
            </w:r>
          </w:p>
        </w:tc>
      </w:tr>
      <w:tr w:rsidR="00134B26" w:rsidRPr="00D84719" w14:paraId="73F83884" w14:textId="77777777" w:rsidTr="00134B26">
        <w:trPr>
          <w:jc w:val="center"/>
        </w:trPr>
        <w:tc>
          <w:tcPr>
            <w:tcW w:w="2021" w:type="pct"/>
            <w:tcBorders>
              <w:bottom w:val="single" w:sz="4" w:space="0" w:color="000000"/>
            </w:tcBorders>
            <w:shd w:val="clear" w:color="auto" w:fill="FFFFFF"/>
            <w:vAlign w:val="center"/>
          </w:tcPr>
          <w:p w14:paraId="0DC070F4" w14:textId="77777777" w:rsidR="00D84719" w:rsidRPr="00D84719" w:rsidRDefault="00D84719" w:rsidP="00D84719">
            <w:pPr>
              <w:spacing w:line="276" w:lineRule="auto"/>
              <w:jc w:val="both"/>
              <w:rPr>
                <w:color w:val="000000"/>
              </w:rPr>
            </w:pPr>
            <w:r w:rsidRPr="00D84719">
              <w:rPr>
                <w:color w:val="000000"/>
              </w:rPr>
              <w:t>mireks</w:t>
            </w:r>
          </w:p>
        </w:tc>
        <w:tc>
          <w:tcPr>
            <w:tcW w:w="1540" w:type="pct"/>
            <w:tcBorders>
              <w:bottom w:val="single" w:sz="4" w:space="0" w:color="000000"/>
            </w:tcBorders>
            <w:shd w:val="clear" w:color="auto" w:fill="FFFFFF"/>
            <w:vAlign w:val="center"/>
          </w:tcPr>
          <w:p w14:paraId="2ABA0A86" w14:textId="77777777" w:rsidR="00D84719" w:rsidRPr="00D84719" w:rsidRDefault="00D84719" w:rsidP="00D84719">
            <w:pPr>
              <w:jc w:val="center"/>
              <w:rPr>
                <w:color w:val="000000"/>
              </w:rPr>
            </w:pPr>
          </w:p>
        </w:tc>
        <w:tc>
          <w:tcPr>
            <w:tcW w:w="530" w:type="pct"/>
            <w:tcBorders>
              <w:bottom w:val="single" w:sz="4" w:space="0" w:color="000000"/>
            </w:tcBorders>
            <w:shd w:val="clear" w:color="auto" w:fill="FFFFFF"/>
            <w:vAlign w:val="center"/>
          </w:tcPr>
          <w:p w14:paraId="3E326DE7" w14:textId="77777777" w:rsidR="00D84719" w:rsidRPr="00CA7596" w:rsidRDefault="00D84719" w:rsidP="00D84719">
            <w:pPr>
              <w:spacing w:line="276" w:lineRule="auto"/>
              <w:jc w:val="center"/>
              <w:rPr>
                <w:color w:val="000000"/>
                <w:sz w:val="20"/>
                <w:szCs w:val="20"/>
              </w:rPr>
            </w:pPr>
            <w:r w:rsidRPr="00CA7596">
              <w:rPr>
                <w:color w:val="000000"/>
                <w:sz w:val="20"/>
                <w:szCs w:val="20"/>
              </w:rPr>
              <w:t>0</w:t>
            </w:r>
          </w:p>
        </w:tc>
        <w:tc>
          <w:tcPr>
            <w:tcW w:w="454" w:type="pct"/>
            <w:gridSpan w:val="2"/>
            <w:tcBorders>
              <w:bottom w:val="single" w:sz="4" w:space="0" w:color="000000"/>
            </w:tcBorders>
            <w:shd w:val="clear" w:color="auto" w:fill="FFFFFF"/>
            <w:vAlign w:val="center"/>
          </w:tcPr>
          <w:p w14:paraId="2FAF0BBD" w14:textId="77777777" w:rsidR="00D84719" w:rsidRPr="00CA7596" w:rsidRDefault="00D84719" w:rsidP="00D84719">
            <w:pPr>
              <w:spacing w:line="276" w:lineRule="auto"/>
              <w:jc w:val="center"/>
              <w:rPr>
                <w:color w:val="000000"/>
                <w:sz w:val="20"/>
                <w:szCs w:val="20"/>
              </w:rPr>
            </w:pPr>
            <w:r w:rsidRPr="00CA7596">
              <w:rPr>
                <w:color w:val="000000"/>
                <w:sz w:val="20"/>
                <w:szCs w:val="20"/>
              </w:rPr>
              <w:t>0</w:t>
            </w:r>
          </w:p>
        </w:tc>
        <w:tc>
          <w:tcPr>
            <w:tcW w:w="455" w:type="pct"/>
            <w:tcBorders>
              <w:bottom w:val="single" w:sz="4" w:space="0" w:color="000000"/>
            </w:tcBorders>
            <w:shd w:val="clear" w:color="auto" w:fill="FFFFFF"/>
            <w:vAlign w:val="center"/>
          </w:tcPr>
          <w:p w14:paraId="69621CD0" w14:textId="77777777" w:rsidR="00D84719" w:rsidRPr="00CA7596" w:rsidRDefault="00D84719" w:rsidP="00D84719">
            <w:pPr>
              <w:spacing w:line="276" w:lineRule="auto"/>
              <w:jc w:val="center"/>
              <w:rPr>
                <w:color w:val="000000"/>
                <w:sz w:val="20"/>
                <w:szCs w:val="20"/>
              </w:rPr>
            </w:pPr>
            <w:r w:rsidRPr="00CA7596">
              <w:rPr>
                <w:color w:val="000000"/>
                <w:sz w:val="20"/>
                <w:szCs w:val="20"/>
              </w:rPr>
              <w:t>0</w:t>
            </w:r>
          </w:p>
        </w:tc>
      </w:tr>
      <w:tr w:rsidR="00134B26" w:rsidRPr="00D84719" w14:paraId="190AB159" w14:textId="77777777" w:rsidTr="00134B26">
        <w:trPr>
          <w:jc w:val="center"/>
        </w:trPr>
        <w:tc>
          <w:tcPr>
            <w:tcW w:w="2021" w:type="pct"/>
            <w:tcBorders>
              <w:bottom w:val="single" w:sz="4" w:space="0" w:color="000000"/>
            </w:tcBorders>
            <w:shd w:val="clear" w:color="auto" w:fill="FFFFFF"/>
            <w:vAlign w:val="center"/>
          </w:tcPr>
          <w:p w14:paraId="149D21CF" w14:textId="77777777" w:rsidR="00D84719" w:rsidRPr="00D84719" w:rsidRDefault="00D84719" w:rsidP="00D84719">
            <w:pPr>
              <w:spacing w:line="276" w:lineRule="auto"/>
              <w:jc w:val="both"/>
              <w:rPr>
                <w:color w:val="000000"/>
              </w:rPr>
            </w:pPr>
            <w:r w:rsidRPr="00D84719">
              <w:rPr>
                <w:color w:val="000000"/>
              </w:rPr>
              <w:t>toksafen</w:t>
            </w:r>
          </w:p>
        </w:tc>
        <w:tc>
          <w:tcPr>
            <w:tcW w:w="1540" w:type="pct"/>
            <w:tcBorders>
              <w:bottom w:val="single" w:sz="4" w:space="0" w:color="000000"/>
            </w:tcBorders>
            <w:shd w:val="clear" w:color="auto" w:fill="FFFFFF"/>
            <w:vAlign w:val="center"/>
          </w:tcPr>
          <w:p w14:paraId="6B26AD6E" w14:textId="77777777" w:rsidR="00D84719" w:rsidRPr="00D84719" w:rsidRDefault="00D84719" w:rsidP="00D84719">
            <w:pPr>
              <w:jc w:val="center"/>
              <w:rPr>
                <w:color w:val="000000"/>
              </w:rPr>
            </w:pPr>
          </w:p>
        </w:tc>
        <w:tc>
          <w:tcPr>
            <w:tcW w:w="530" w:type="pct"/>
            <w:tcBorders>
              <w:bottom w:val="single" w:sz="4" w:space="0" w:color="000000"/>
            </w:tcBorders>
            <w:shd w:val="clear" w:color="auto" w:fill="FFFFFF"/>
            <w:vAlign w:val="center"/>
          </w:tcPr>
          <w:p w14:paraId="45D84DBF" w14:textId="77777777" w:rsidR="00D84719" w:rsidRPr="00CA7596" w:rsidRDefault="00D84719" w:rsidP="00D84719">
            <w:pPr>
              <w:spacing w:line="276" w:lineRule="auto"/>
              <w:jc w:val="center"/>
              <w:rPr>
                <w:color w:val="000000"/>
                <w:sz w:val="20"/>
                <w:szCs w:val="20"/>
              </w:rPr>
            </w:pPr>
            <w:r w:rsidRPr="00CA7596">
              <w:rPr>
                <w:color w:val="000000"/>
                <w:sz w:val="20"/>
                <w:szCs w:val="20"/>
              </w:rPr>
              <w:t>0</w:t>
            </w:r>
          </w:p>
        </w:tc>
        <w:tc>
          <w:tcPr>
            <w:tcW w:w="454" w:type="pct"/>
            <w:gridSpan w:val="2"/>
            <w:tcBorders>
              <w:bottom w:val="single" w:sz="4" w:space="0" w:color="000000"/>
            </w:tcBorders>
            <w:shd w:val="clear" w:color="auto" w:fill="FFFFFF"/>
            <w:vAlign w:val="center"/>
          </w:tcPr>
          <w:p w14:paraId="162B6ABC" w14:textId="77777777" w:rsidR="00D84719" w:rsidRPr="00CA7596" w:rsidRDefault="00D84719" w:rsidP="00D84719">
            <w:pPr>
              <w:spacing w:line="276" w:lineRule="auto"/>
              <w:jc w:val="center"/>
              <w:rPr>
                <w:color w:val="000000"/>
                <w:sz w:val="20"/>
                <w:szCs w:val="20"/>
              </w:rPr>
            </w:pPr>
            <w:r w:rsidRPr="00CA7596">
              <w:rPr>
                <w:color w:val="000000"/>
                <w:sz w:val="20"/>
                <w:szCs w:val="20"/>
              </w:rPr>
              <w:t>0</w:t>
            </w:r>
          </w:p>
        </w:tc>
        <w:tc>
          <w:tcPr>
            <w:tcW w:w="455" w:type="pct"/>
            <w:tcBorders>
              <w:bottom w:val="single" w:sz="4" w:space="0" w:color="000000"/>
            </w:tcBorders>
            <w:shd w:val="clear" w:color="auto" w:fill="FFFFFF"/>
            <w:vAlign w:val="center"/>
          </w:tcPr>
          <w:p w14:paraId="1AAA79AD" w14:textId="77777777" w:rsidR="00D84719" w:rsidRPr="00CA7596" w:rsidRDefault="00D84719" w:rsidP="00D84719">
            <w:pPr>
              <w:spacing w:line="276" w:lineRule="auto"/>
              <w:jc w:val="center"/>
              <w:rPr>
                <w:color w:val="000000"/>
                <w:sz w:val="20"/>
                <w:szCs w:val="20"/>
              </w:rPr>
            </w:pPr>
            <w:r w:rsidRPr="00CA7596">
              <w:rPr>
                <w:color w:val="000000"/>
                <w:sz w:val="20"/>
                <w:szCs w:val="20"/>
              </w:rPr>
              <w:t>0</w:t>
            </w:r>
          </w:p>
        </w:tc>
      </w:tr>
      <w:tr w:rsidR="00134B26" w:rsidRPr="00D84719" w14:paraId="1C2B9AE7" w14:textId="77777777" w:rsidTr="00134B26">
        <w:trPr>
          <w:jc w:val="center"/>
        </w:trPr>
        <w:tc>
          <w:tcPr>
            <w:tcW w:w="2021" w:type="pct"/>
            <w:tcBorders>
              <w:bottom w:val="single" w:sz="4" w:space="0" w:color="000000"/>
            </w:tcBorders>
            <w:shd w:val="clear" w:color="auto" w:fill="FFFFFF"/>
            <w:vAlign w:val="center"/>
          </w:tcPr>
          <w:p w14:paraId="4A427275" w14:textId="77777777" w:rsidR="00D84719" w:rsidRPr="00D84719" w:rsidRDefault="00D84719" w:rsidP="00D84719">
            <w:pPr>
              <w:spacing w:line="276" w:lineRule="auto"/>
              <w:jc w:val="both"/>
              <w:rPr>
                <w:color w:val="000000"/>
              </w:rPr>
            </w:pPr>
            <w:r w:rsidRPr="00D84719">
              <w:rPr>
                <w:color w:val="000000"/>
              </w:rPr>
              <w:t>klordekon</w:t>
            </w:r>
          </w:p>
        </w:tc>
        <w:tc>
          <w:tcPr>
            <w:tcW w:w="1540" w:type="pct"/>
            <w:tcBorders>
              <w:bottom w:val="single" w:sz="4" w:space="0" w:color="000000"/>
            </w:tcBorders>
            <w:shd w:val="clear" w:color="auto" w:fill="FFFFFF"/>
            <w:vAlign w:val="center"/>
          </w:tcPr>
          <w:p w14:paraId="722DC526" w14:textId="77777777" w:rsidR="00D84719" w:rsidRPr="00D84719" w:rsidRDefault="00D84719" w:rsidP="00D84719">
            <w:pPr>
              <w:jc w:val="center"/>
              <w:rPr>
                <w:color w:val="000000"/>
              </w:rPr>
            </w:pPr>
          </w:p>
        </w:tc>
        <w:tc>
          <w:tcPr>
            <w:tcW w:w="530" w:type="pct"/>
            <w:tcBorders>
              <w:bottom w:val="single" w:sz="4" w:space="0" w:color="000000"/>
            </w:tcBorders>
            <w:shd w:val="clear" w:color="auto" w:fill="FFFFFF"/>
            <w:vAlign w:val="center"/>
          </w:tcPr>
          <w:p w14:paraId="60F12A0E" w14:textId="77777777" w:rsidR="00D84719" w:rsidRPr="00CA7596" w:rsidRDefault="00D84719" w:rsidP="00D84719">
            <w:pPr>
              <w:spacing w:line="276" w:lineRule="auto"/>
              <w:jc w:val="center"/>
              <w:rPr>
                <w:color w:val="000000"/>
                <w:sz w:val="20"/>
                <w:szCs w:val="20"/>
              </w:rPr>
            </w:pPr>
            <w:r w:rsidRPr="00CA7596">
              <w:rPr>
                <w:color w:val="000000"/>
                <w:sz w:val="20"/>
                <w:szCs w:val="20"/>
              </w:rPr>
              <w:t>0</w:t>
            </w:r>
          </w:p>
        </w:tc>
        <w:tc>
          <w:tcPr>
            <w:tcW w:w="454" w:type="pct"/>
            <w:gridSpan w:val="2"/>
            <w:tcBorders>
              <w:bottom w:val="single" w:sz="4" w:space="0" w:color="000000"/>
            </w:tcBorders>
            <w:shd w:val="clear" w:color="auto" w:fill="FFFFFF"/>
            <w:vAlign w:val="center"/>
          </w:tcPr>
          <w:p w14:paraId="1EE7409E" w14:textId="77777777" w:rsidR="00D84719" w:rsidRPr="00CA7596" w:rsidRDefault="00D84719" w:rsidP="00D84719">
            <w:pPr>
              <w:spacing w:line="276" w:lineRule="auto"/>
              <w:jc w:val="center"/>
              <w:rPr>
                <w:color w:val="000000"/>
                <w:sz w:val="20"/>
                <w:szCs w:val="20"/>
              </w:rPr>
            </w:pPr>
            <w:r w:rsidRPr="00CA7596">
              <w:rPr>
                <w:color w:val="000000"/>
                <w:sz w:val="20"/>
                <w:szCs w:val="20"/>
              </w:rPr>
              <w:t>0</w:t>
            </w:r>
          </w:p>
        </w:tc>
        <w:tc>
          <w:tcPr>
            <w:tcW w:w="455" w:type="pct"/>
            <w:tcBorders>
              <w:bottom w:val="single" w:sz="4" w:space="0" w:color="000000"/>
            </w:tcBorders>
            <w:shd w:val="clear" w:color="auto" w:fill="FFFFFF"/>
            <w:vAlign w:val="center"/>
          </w:tcPr>
          <w:p w14:paraId="28A6A599" w14:textId="77777777" w:rsidR="00D84719" w:rsidRPr="00CA7596" w:rsidRDefault="00D84719" w:rsidP="00D84719">
            <w:pPr>
              <w:spacing w:line="276" w:lineRule="auto"/>
              <w:jc w:val="center"/>
              <w:rPr>
                <w:color w:val="000000"/>
                <w:sz w:val="20"/>
                <w:szCs w:val="20"/>
              </w:rPr>
            </w:pPr>
            <w:r w:rsidRPr="00CA7596">
              <w:rPr>
                <w:color w:val="000000"/>
                <w:sz w:val="20"/>
                <w:szCs w:val="20"/>
              </w:rPr>
              <w:t>0</w:t>
            </w:r>
          </w:p>
        </w:tc>
      </w:tr>
      <w:tr w:rsidR="00134B26" w:rsidRPr="00D84719" w14:paraId="641C0DEF" w14:textId="77777777" w:rsidTr="00134B26">
        <w:trPr>
          <w:jc w:val="center"/>
        </w:trPr>
        <w:tc>
          <w:tcPr>
            <w:tcW w:w="2021" w:type="pct"/>
            <w:vMerge w:val="restart"/>
            <w:shd w:val="clear" w:color="auto" w:fill="FFFFFF"/>
            <w:vAlign w:val="center"/>
          </w:tcPr>
          <w:p w14:paraId="4FE24BDC" w14:textId="77777777" w:rsidR="00D84719" w:rsidRPr="00D84719" w:rsidRDefault="00D84719" w:rsidP="00475E83">
            <w:pPr>
              <w:spacing w:line="276" w:lineRule="auto"/>
              <w:rPr>
                <w:color w:val="000000"/>
              </w:rPr>
            </w:pPr>
            <w:r w:rsidRPr="00D84719">
              <w:rPr>
                <w:color w:val="000000"/>
              </w:rPr>
              <w:t>alfa, beta i gama heksaklorocikloheksan</w:t>
            </w:r>
          </w:p>
        </w:tc>
        <w:tc>
          <w:tcPr>
            <w:tcW w:w="1540" w:type="pct"/>
            <w:tcBorders>
              <w:bottom w:val="single" w:sz="4" w:space="0" w:color="000000"/>
            </w:tcBorders>
            <w:shd w:val="clear" w:color="auto" w:fill="FFFFFF"/>
            <w:vAlign w:val="center"/>
          </w:tcPr>
          <w:p w14:paraId="37851CC0" w14:textId="77777777" w:rsidR="00D84719" w:rsidRPr="00C82F02" w:rsidRDefault="00D84719" w:rsidP="00D84719">
            <w:pPr>
              <w:jc w:val="center"/>
              <w:rPr>
                <w:color w:val="000000"/>
                <w:sz w:val="20"/>
                <w:szCs w:val="16"/>
              </w:rPr>
            </w:pPr>
            <w:r w:rsidRPr="00C82F02">
              <w:rPr>
                <w:color w:val="000000"/>
                <w:sz w:val="20"/>
                <w:szCs w:val="16"/>
              </w:rPr>
              <w:t>alfa heksaklorocikloheksan</w:t>
            </w:r>
          </w:p>
        </w:tc>
        <w:tc>
          <w:tcPr>
            <w:tcW w:w="530" w:type="pct"/>
            <w:vMerge w:val="restart"/>
            <w:shd w:val="clear" w:color="auto" w:fill="FFFFFF"/>
            <w:vAlign w:val="center"/>
          </w:tcPr>
          <w:p w14:paraId="08ACC5D3" w14:textId="77777777" w:rsidR="00D84719" w:rsidRPr="00CA7596" w:rsidRDefault="00D84719" w:rsidP="00D84719">
            <w:pPr>
              <w:spacing w:line="276" w:lineRule="auto"/>
              <w:jc w:val="center"/>
              <w:rPr>
                <w:color w:val="000000"/>
                <w:sz w:val="20"/>
                <w:szCs w:val="20"/>
              </w:rPr>
            </w:pPr>
            <w:r w:rsidRPr="00CA7596">
              <w:rPr>
                <w:color w:val="000000"/>
                <w:sz w:val="20"/>
                <w:szCs w:val="20"/>
              </w:rPr>
              <w:t>0</w:t>
            </w:r>
          </w:p>
        </w:tc>
        <w:tc>
          <w:tcPr>
            <w:tcW w:w="454" w:type="pct"/>
            <w:gridSpan w:val="2"/>
            <w:vMerge w:val="restart"/>
            <w:shd w:val="clear" w:color="auto" w:fill="FFFFFF"/>
            <w:vAlign w:val="center"/>
          </w:tcPr>
          <w:p w14:paraId="672DDB7C" w14:textId="77777777" w:rsidR="00D84719" w:rsidRPr="00CA7596" w:rsidRDefault="00D84719" w:rsidP="00D84719">
            <w:pPr>
              <w:spacing w:line="276" w:lineRule="auto"/>
              <w:jc w:val="center"/>
              <w:rPr>
                <w:color w:val="000000"/>
                <w:sz w:val="20"/>
                <w:szCs w:val="20"/>
              </w:rPr>
            </w:pPr>
            <w:r w:rsidRPr="00CA7596">
              <w:rPr>
                <w:color w:val="000000"/>
                <w:sz w:val="20"/>
                <w:szCs w:val="20"/>
              </w:rPr>
              <w:t>0</w:t>
            </w:r>
          </w:p>
        </w:tc>
        <w:tc>
          <w:tcPr>
            <w:tcW w:w="455" w:type="pct"/>
            <w:vMerge w:val="restart"/>
            <w:shd w:val="clear" w:color="auto" w:fill="FFFFFF"/>
            <w:vAlign w:val="center"/>
          </w:tcPr>
          <w:p w14:paraId="654A07D9" w14:textId="77777777" w:rsidR="00D84719" w:rsidRPr="00CA7596" w:rsidRDefault="00D84719" w:rsidP="00D84719">
            <w:pPr>
              <w:spacing w:line="276" w:lineRule="auto"/>
              <w:jc w:val="center"/>
              <w:rPr>
                <w:color w:val="000000"/>
                <w:sz w:val="20"/>
                <w:szCs w:val="20"/>
              </w:rPr>
            </w:pPr>
            <w:r w:rsidRPr="00CA7596">
              <w:rPr>
                <w:color w:val="000000"/>
                <w:sz w:val="20"/>
                <w:szCs w:val="20"/>
              </w:rPr>
              <w:t>0</w:t>
            </w:r>
          </w:p>
        </w:tc>
      </w:tr>
      <w:tr w:rsidR="00134B26" w:rsidRPr="00D84719" w14:paraId="4A02C4AC" w14:textId="77777777" w:rsidTr="00134B26">
        <w:trPr>
          <w:jc w:val="center"/>
        </w:trPr>
        <w:tc>
          <w:tcPr>
            <w:tcW w:w="2021" w:type="pct"/>
            <w:vMerge/>
            <w:shd w:val="clear" w:color="auto" w:fill="FFFFFF"/>
            <w:vAlign w:val="center"/>
          </w:tcPr>
          <w:p w14:paraId="234F7E91" w14:textId="77777777" w:rsidR="00D84719" w:rsidRPr="00D84719" w:rsidRDefault="00D84719" w:rsidP="00D84719">
            <w:pPr>
              <w:jc w:val="both"/>
              <w:rPr>
                <w:color w:val="000000"/>
              </w:rPr>
            </w:pPr>
          </w:p>
        </w:tc>
        <w:tc>
          <w:tcPr>
            <w:tcW w:w="1540" w:type="pct"/>
            <w:tcBorders>
              <w:bottom w:val="single" w:sz="4" w:space="0" w:color="000000"/>
            </w:tcBorders>
            <w:shd w:val="clear" w:color="auto" w:fill="FFFFFF"/>
            <w:vAlign w:val="center"/>
          </w:tcPr>
          <w:p w14:paraId="3BB73401" w14:textId="77777777" w:rsidR="00D84719" w:rsidRPr="00C82F02" w:rsidRDefault="00D84719" w:rsidP="00D84719">
            <w:pPr>
              <w:jc w:val="center"/>
              <w:rPr>
                <w:color w:val="000000"/>
                <w:sz w:val="20"/>
                <w:szCs w:val="16"/>
              </w:rPr>
            </w:pPr>
            <w:r w:rsidRPr="00C82F02">
              <w:rPr>
                <w:color w:val="000000"/>
                <w:sz w:val="20"/>
                <w:szCs w:val="16"/>
              </w:rPr>
              <w:t>beta heksaklorocikloheksan</w:t>
            </w:r>
          </w:p>
        </w:tc>
        <w:tc>
          <w:tcPr>
            <w:tcW w:w="530" w:type="pct"/>
            <w:vMerge/>
            <w:shd w:val="clear" w:color="auto" w:fill="FFFFFF"/>
            <w:vAlign w:val="center"/>
          </w:tcPr>
          <w:p w14:paraId="7E52CE18" w14:textId="77777777" w:rsidR="00D84719" w:rsidRPr="00CA7596" w:rsidRDefault="00D84719" w:rsidP="00D84719">
            <w:pPr>
              <w:jc w:val="center"/>
              <w:rPr>
                <w:color w:val="000000"/>
                <w:sz w:val="20"/>
                <w:szCs w:val="20"/>
              </w:rPr>
            </w:pPr>
          </w:p>
        </w:tc>
        <w:tc>
          <w:tcPr>
            <w:tcW w:w="454" w:type="pct"/>
            <w:gridSpan w:val="2"/>
            <w:vMerge/>
            <w:shd w:val="clear" w:color="auto" w:fill="FFFFFF"/>
            <w:vAlign w:val="center"/>
          </w:tcPr>
          <w:p w14:paraId="49B976B7" w14:textId="77777777" w:rsidR="00D84719" w:rsidRPr="00CA7596" w:rsidRDefault="00D84719" w:rsidP="00D84719">
            <w:pPr>
              <w:jc w:val="center"/>
              <w:rPr>
                <w:color w:val="000000"/>
                <w:sz w:val="20"/>
                <w:szCs w:val="20"/>
              </w:rPr>
            </w:pPr>
          </w:p>
        </w:tc>
        <w:tc>
          <w:tcPr>
            <w:tcW w:w="455" w:type="pct"/>
            <w:vMerge/>
            <w:shd w:val="clear" w:color="auto" w:fill="FFFFFF"/>
            <w:vAlign w:val="center"/>
          </w:tcPr>
          <w:p w14:paraId="6B0C1807" w14:textId="77777777" w:rsidR="00D84719" w:rsidRPr="00CA7596" w:rsidRDefault="00D84719" w:rsidP="00D84719">
            <w:pPr>
              <w:jc w:val="center"/>
              <w:rPr>
                <w:color w:val="000000"/>
                <w:sz w:val="20"/>
                <w:szCs w:val="20"/>
              </w:rPr>
            </w:pPr>
          </w:p>
        </w:tc>
      </w:tr>
      <w:tr w:rsidR="00134B26" w:rsidRPr="00D84719" w14:paraId="26E6348F" w14:textId="77777777" w:rsidTr="00134B26">
        <w:trPr>
          <w:jc w:val="center"/>
        </w:trPr>
        <w:tc>
          <w:tcPr>
            <w:tcW w:w="2021" w:type="pct"/>
            <w:vMerge/>
            <w:tcBorders>
              <w:bottom w:val="single" w:sz="4" w:space="0" w:color="000000"/>
            </w:tcBorders>
            <w:shd w:val="clear" w:color="auto" w:fill="FFFFFF"/>
            <w:vAlign w:val="center"/>
          </w:tcPr>
          <w:p w14:paraId="673FC556" w14:textId="77777777" w:rsidR="00D84719" w:rsidRPr="00D84719" w:rsidRDefault="00D84719" w:rsidP="00D84719">
            <w:pPr>
              <w:jc w:val="both"/>
              <w:rPr>
                <w:color w:val="000000"/>
              </w:rPr>
            </w:pPr>
          </w:p>
        </w:tc>
        <w:tc>
          <w:tcPr>
            <w:tcW w:w="1540" w:type="pct"/>
            <w:tcBorders>
              <w:bottom w:val="single" w:sz="4" w:space="0" w:color="000000"/>
            </w:tcBorders>
            <w:shd w:val="clear" w:color="auto" w:fill="FFFFFF"/>
            <w:vAlign w:val="center"/>
          </w:tcPr>
          <w:p w14:paraId="14825FB1" w14:textId="77777777" w:rsidR="00D84719" w:rsidRPr="00C82F02" w:rsidRDefault="00D84719" w:rsidP="00D84719">
            <w:pPr>
              <w:jc w:val="center"/>
              <w:rPr>
                <w:color w:val="000000"/>
                <w:sz w:val="20"/>
                <w:szCs w:val="16"/>
              </w:rPr>
            </w:pPr>
            <w:r w:rsidRPr="00C82F02">
              <w:rPr>
                <w:color w:val="000000"/>
                <w:sz w:val="20"/>
                <w:szCs w:val="16"/>
              </w:rPr>
              <w:t>lindan</w:t>
            </w:r>
          </w:p>
        </w:tc>
        <w:tc>
          <w:tcPr>
            <w:tcW w:w="530" w:type="pct"/>
            <w:vMerge/>
            <w:tcBorders>
              <w:bottom w:val="single" w:sz="4" w:space="0" w:color="000000"/>
            </w:tcBorders>
            <w:shd w:val="clear" w:color="auto" w:fill="FFFFFF"/>
            <w:vAlign w:val="center"/>
          </w:tcPr>
          <w:p w14:paraId="689DCEE8" w14:textId="77777777" w:rsidR="00D84719" w:rsidRPr="00CA7596" w:rsidRDefault="00D84719" w:rsidP="00D84719">
            <w:pPr>
              <w:jc w:val="center"/>
              <w:rPr>
                <w:color w:val="000000"/>
                <w:sz w:val="20"/>
                <w:szCs w:val="20"/>
              </w:rPr>
            </w:pPr>
          </w:p>
        </w:tc>
        <w:tc>
          <w:tcPr>
            <w:tcW w:w="454" w:type="pct"/>
            <w:gridSpan w:val="2"/>
            <w:vMerge/>
            <w:tcBorders>
              <w:bottom w:val="single" w:sz="4" w:space="0" w:color="000000"/>
            </w:tcBorders>
            <w:shd w:val="clear" w:color="auto" w:fill="FFFFFF"/>
            <w:vAlign w:val="center"/>
          </w:tcPr>
          <w:p w14:paraId="091790AC" w14:textId="77777777" w:rsidR="00D84719" w:rsidRPr="00CA7596" w:rsidRDefault="00D84719" w:rsidP="00D84719">
            <w:pPr>
              <w:jc w:val="center"/>
              <w:rPr>
                <w:color w:val="000000"/>
                <w:sz w:val="20"/>
                <w:szCs w:val="20"/>
              </w:rPr>
            </w:pPr>
          </w:p>
        </w:tc>
        <w:tc>
          <w:tcPr>
            <w:tcW w:w="455" w:type="pct"/>
            <w:vMerge/>
            <w:tcBorders>
              <w:bottom w:val="single" w:sz="4" w:space="0" w:color="000000"/>
            </w:tcBorders>
            <w:shd w:val="clear" w:color="auto" w:fill="FFFFFF"/>
            <w:vAlign w:val="center"/>
          </w:tcPr>
          <w:p w14:paraId="6815C9A9" w14:textId="77777777" w:rsidR="00D84719" w:rsidRPr="00CA7596" w:rsidRDefault="00D84719" w:rsidP="00D84719">
            <w:pPr>
              <w:jc w:val="center"/>
              <w:rPr>
                <w:color w:val="000000"/>
                <w:sz w:val="20"/>
                <w:szCs w:val="20"/>
              </w:rPr>
            </w:pPr>
          </w:p>
        </w:tc>
      </w:tr>
      <w:tr w:rsidR="00134B26" w:rsidRPr="00D84719" w14:paraId="51CDF4E4" w14:textId="77777777" w:rsidTr="00134B26">
        <w:trPr>
          <w:jc w:val="center"/>
        </w:trPr>
        <w:tc>
          <w:tcPr>
            <w:tcW w:w="2021" w:type="pct"/>
            <w:tcBorders>
              <w:bottom w:val="single" w:sz="4" w:space="0" w:color="000000"/>
            </w:tcBorders>
            <w:shd w:val="clear" w:color="auto" w:fill="FFFFFF"/>
            <w:vAlign w:val="center"/>
          </w:tcPr>
          <w:p w14:paraId="687B1575" w14:textId="77777777" w:rsidR="00D84719" w:rsidRPr="00D84719" w:rsidRDefault="00D84719" w:rsidP="00D84719">
            <w:pPr>
              <w:spacing w:line="276" w:lineRule="auto"/>
              <w:jc w:val="both"/>
              <w:rPr>
                <w:color w:val="000000"/>
              </w:rPr>
            </w:pPr>
            <w:r w:rsidRPr="00D84719">
              <w:rPr>
                <w:color w:val="000000"/>
              </w:rPr>
              <w:t>pentaklorobenzen</w:t>
            </w:r>
          </w:p>
        </w:tc>
        <w:tc>
          <w:tcPr>
            <w:tcW w:w="1540" w:type="pct"/>
            <w:tcBorders>
              <w:bottom w:val="single" w:sz="4" w:space="0" w:color="000000"/>
            </w:tcBorders>
            <w:shd w:val="clear" w:color="auto" w:fill="FFFFFF"/>
            <w:vAlign w:val="center"/>
          </w:tcPr>
          <w:p w14:paraId="54F31C98" w14:textId="77777777" w:rsidR="00D84719" w:rsidRPr="00D84719" w:rsidRDefault="00D84719" w:rsidP="00D84719">
            <w:pPr>
              <w:jc w:val="center"/>
              <w:rPr>
                <w:color w:val="000000"/>
              </w:rPr>
            </w:pPr>
          </w:p>
        </w:tc>
        <w:tc>
          <w:tcPr>
            <w:tcW w:w="530" w:type="pct"/>
            <w:tcBorders>
              <w:bottom w:val="single" w:sz="4" w:space="0" w:color="000000"/>
            </w:tcBorders>
            <w:shd w:val="clear" w:color="auto" w:fill="FFFFFF"/>
            <w:vAlign w:val="center"/>
          </w:tcPr>
          <w:p w14:paraId="0D9CCD10" w14:textId="77777777" w:rsidR="00D84719" w:rsidRPr="00CA7596" w:rsidRDefault="00D84719" w:rsidP="00D84719">
            <w:pPr>
              <w:spacing w:line="276" w:lineRule="auto"/>
              <w:jc w:val="center"/>
              <w:rPr>
                <w:color w:val="000000"/>
                <w:sz w:val="20"/>
                <w:szCs w:val="20"/>
              </w:rPr>
            </w:pPr>
            <w:r w:rsidRPr="00CA7596">
              <w:rPr>
                <w:color w:val="000000"/>
                <w:sz w:val="20"/>
                <w:szCs w:val="20"/>
              </w:rPr>
              <w:t>0</w:t>
            </w:r>
          </w:p>
        </w:tc>
        <w:tc>
          <w:tcPr>
            <w:tcW w:w="454" w:type="pct"/>
            <w:gridSpan w:val="2"/>
            <w:tcBorders>
              <w:bottom w:val="single" w:sz="4" w:space="0" w:color="000000"/>
            </w:tcBorders>
            <w:shd w:val="clear" w:color="auto" w:fill="FFFFFF"/>
            <w:vAlign w:val="center"/>
          </w:tcPr>
          <w:p w14:paraId="53738A1F" w14:textId="77777777" w:rsidR="00D84719" w:rsidRPr="00CA7596" w:rsidRDefault="00D84719" w:rsidP="00D84719">
            <w:pPr>
              <w:spacing w:line="276" w:lineRule="auto"/>
              <w:jc w:val="center"/>
              <w:rPr>
                <w:color w:val="000000"/>
                <w:sz w:val="20"/>
                <w:szCs w:val="20"/>
              </w:rPr>
            </w:pPr>
            <w:r w:rsidRPr="00CA7596">
              <w:rPr>
                <w:color w:val="000000"/>
                <w:sz w:val="20"/>
                <w:szCs w:val="20"/>
              </w:rPr>
              <w:t>0</w:t>
            </w:r>
          </w:p>
        </w:tc>
        <w:tc>
          <w:tcPr>
            <w:tcW w:w="455" w:type="pct"/>
            <w:tcBorders>
              <w:bottom w:val="single" w:sz="4" w:space="0" w:color="000000"/>
            </w:tcBorders>
            <w:shd w:val="clear" w:color="auto" w:fill="FFFFFF"/>
            <w:vAlign w:val="center"/>
          </w:tcPr>
          <w:p w14:paraId="1286A0A7" w14:textId="77777777" w:rsidR="00D84719" w:rsidRPr="00CA7596" w:rsidRDefault="00D84719" w:rsidP="00D84719">
            <w:pPr>
              <w:spacing w:line="276" w:lineRule="auto"/>
              <w:jc w:val="center"/>
              <w:rPr>
                <w:color w:val="000000"/>
                <w:sz w:val="20"/>
                <w:szCs w:val="20"/>
              </w:rPr>
            </w:pPr>
            <w:r w:rsidRPr="00CA7596">
              <w:rPr>
                <w:color w:val="000000"/>
                <w:sz w:val="20"/>
                <w:szCs w:val="20"/>
              </w:rPr>
              <w:t>0</w:t>
            </w:r>
          </w:p>
        </w:tc>
      </w:tr>
      <w:tr w:rsidR="00134B26" w:rsidRPr="00D84719" w14:paraId="5F545D00" w14:textId="77777777" w:rsidTr="00134B26">
        <w:trPr>
          <w:jc w:val="center"/>
        </w:trPr>
        <w:tc>
          <w:tcPr>
            <w:tcW w:w="2021" w:type="pct"/>
            <w:tcBorders>
              <w:bottom w:val="single" w:sz="4" w:space="0" w:color="000000"/>
            </w:tcBorders>
            <w:shd w:val="clear" w:color="auto" w:fill="FFFFFF"/>
            <w:vAlign w:val="center"/>
          </w:tcPr>
          <w:p w14:paraId="6538C0F1" w14:textId="77777777" w:rsidR="00D84719" w:rsidRPr="00D84719" w:rsidRDefault="00D84719" w:rsidP="00D84719">
            <w:pPr>
              <w:spacing w:line="276" w:lineRule="auto"/>
              <w:jc w:val="both"/>
              <w:rPr>
                <w:color w:val="000000"/>
              </w:rPr>
            </w:pPr>
            <w:r w:rsidRPr="00D84719">
              <w:rPr>
                <w:color w:val="000000"/>
              </w:rPr>
              <w:t>tehnički endosulfan i njegovi izomeri</w:t>
            </w:r>
          </w:p>
        </w:tc>
        <w:tc>
          <w:tcPr>
            <w:tcW w:w="1540" w:type="pct"/>
            <w:tcBorders>
              <w:bottom w:val="single" w:sz="4" w:space="0" w:color="000000"/>
            </w:tcBorders>
            <w:shd w:val="clear" w:color="auto" w:fill="FFFFFF"/>
            <w:vAlign w:val="center"/>
          </w:tcPr>
          <w:p w14:paraId="4D4ECFE4" w14:textId="77777777" w:rsidR="00D84719" w:rsidRPr="00D84719" w:rsidRDefault="00D84719" w:rsidP="00D84719">
            <w:pPr>
              <w:jc w:val="center"/>
              <w:rPr>
                <w:color w:val="000000"/>
              </w:rPr>
            </w:pPr>
          </w:p>
        </w:tc>
        <w:tc>
          <w:tcPr>
            <w:tcW w:w="530" w:type="pct"/>
            <w:tcBorders>
              <w:bottom w:val="single" w:sz="4" w:space="0" w:color="000000"/>
            </w:tcBorders>
            <w:shd w:val="clear" w:color="auto" w:fill="FFFFFF"/>
            <w:vAlign w:val="center"/>
          </w:tcPr>
          <w:p w14:paraId="638A3EB5" w14:textId="77777777" w:rsidR="00D84719" w:rsidRPr="00CA7596" w:rsidRDefault="00D84719" w:rsidP="00D84719">
            <w:pPr>
              <w:spacing w:line="276" w:lineRule="auto"/>
              <w:jc w:val="center"/>
              <w:rPr>
                <w:color w:val="000000"/>
                <w:sz w:val="20"/>
                <w:szCs w:val="20"/>
              </w:rPr>
            </w:pPr>
            <w:r w:rsidRPr="00CA7596">
              <w:rPr>
                <w:color w:val="000000"/>
                <w:sz w:val="20"/>
                <w:szCs w:val="20"/>
              </w:rPr>
              <w:t>0</w:t>
            </w:r>
          </w:p>
        </w:tc>
        <w:tc>
          <w:tcPr>
            <w:tcW w:w="454" w:type="pct"/>
            <w:gridSpan w:val="2"/>
            <w:tcBorders>
              <w:bottom w:val="single" w:sz="4" w:space="0" w:color="000000"/>
            </w:tcBorders>
            <w:shd w:val="clear" w:color="auto" w:fill="FFFFFF"/>
            <w:vAlign w:val="center"/>
          </w:tcPr>
          <w:p w14:paraId="4994A0A3" w14:textId="77777777" w:rsidR="00D84719" w:rsidRPr="00CA7596" w:rsidRDefault="00D84719" w:rsidP="00D84719">
            <w:pPr>
              <w:spacing w:line="276" w:lineRule="auto"/>
              <w:jc w:val="center"/>
              <w:rPr>
                <w:color w:val="000000"/>
                <w:sz w:val="20"/>
                <w:szCs w:val="20"/>
              </w:rPr>
            </w:pPr>
            <w:r w:rsidRPr="00CA7596">
              <w:rPr>
                <w:color w:val="000000"/>
                <w:sz w:val="20"/>
                <w:szCs w:val="20"/>
              </w:rPr>
              <w:t>0</w:t>
            </w:r>
          </w:p>
        </w:tc>
        <w:tc>
          <w:tcPr>
            <w:tcW w:w="455" w:type="pct"/>
            <w:tcBorders>
              <w:bottom w:val="single" w:sz="4" w:space="0" w:color="000000"/>
            </w:tcBorders>
            <w:shd w:val="clear" w:color="auto" w:fill="FFFFFF"/>
            <w:vAlign w:val="center"/>
          </w:tcPr>
          <w:p w14:paraId="65E362DB" w14:textId="77777777" w:rsidR="00D84719" w:rsidRPr="00CA7596" w:rsidRDefault="00D84719" w:rsidP="00D84719">
            <w:pPr>
              <w:spacing w:line="276" w:lineRule="auto"/>
              <w:jc w:val="center"/>
              <w:rPr>
                <w:color w:val="000000"/>
                <w:sz w:val="20"/>
                <w:szCs w:val="20"/>
              </w:rPr>
            </w:pPr>
            <w:r w:rsidRPr="00CA7596">
              <w:rPr>
                <w:color w:val="000000"/>
                <w:sz w:val="20"/>
                <w:szCs w:val="20"/>
              </w:rPr>
              <w:t>0</w:t>
            </w:r>
          </w:p>
        </w:tc>
      </w:tr>
      <w:tr w:rsidR="00134B26" w:rsidRPr="00D84719" w14:paraId="3BF71FF0" w14:textId="77777777" w:rsidTr="00134B26">
        <w:trPr>
          <w:jc w:val="center"/>
        </w:trPr>
        <w:tc>
          <w:tcPr>
            <w:tcW w:w="2021" w:type="pct"/>
            <w:tcBorders>
              <w:bottom w:val="single" w:sz="4" w:space="0" w:color="000000"/>
            </w:tcBorders>
            <w:shd w:val="clear" w:color="auto" w:fill="FFFFFF"/>
            <w:vAlign w:val="center"/>
          </w:tcPr>
          <w:p w14:paraId="4280A2FD" w14:textId="77777777" w:rsidR="00D84719" w:rsidRPr="00D84719" w:rsidRDefault="00D84719" w:rsidP="00D84719">
            <w:pPr>
              <w:spacing w:line="276" w:lineRule="auto"/>
              <w:jc w:val="both"/>
              <w:rPr>
                <w:color w:val="000000"/>
              </w:rPr>
            </w:pPr>
            <w:r w:rsidRPr="00D84719">
              <w:rPr>
                <w:color w:val="000000"/>
              </w:rPr>
              <w:t>pentaklorofenol i njegove soli i esteri</w:t>
            </w:r>
          </w:p>
        </w:tc>
        <w:tc>
          <w:tcPr>
            <w:tcW w:w="1540" w:type="pct"/>
            <w:tcBorders>
              <w:bottom w:val="single" w:sz="4" w:space="0" w:color="000000"/>
            </w:tcBorders>
            <w:shd w:val="clear" w:color="auto" w:fill="FFFFFF"/>
            <w:vAlign w:val="center"/>
          </w:tcPr>
          <w:p w14:paraId="5BF9A384" w14:textId="77777777" w:rsidR="00D84719" w:rsidRPr="00D84719" w:rsidRDefault="00D84719" w:rsidP="00D84719">
            <w:pPr>
              <w:jc w:val="center"/>
              <w:rPr>
                <w:color w:val="000000"/>
              </w:rPr>
            </w:pPr>
          </w:p>
        </w:tc>
        <w:tc>
          <w:tcPr>
            <w:tcW w:w="530" w:type="pct"/>
            <w:tcBorders>
              <w:bottom w:val="single" w:sz="4" w:space="0" w:color="000000"/>
            </w:tcBorders>
            <w:shd w:val="clear" w:color="auto" w:fill="FFFFFF"/>
            <w:vAlign w:val="center"/>
          </w:tcPr>
          <w:p w14:paraId="1302F678" w14:textId="77777777" w:rsidR="00D84719" w:rsidRPr="00CA7596" w:rsidRDefault="00D84719" w:rsidP="00D84719">
            <w:pPr>
              <w:spacing w:line="276" w:lineRule="auto"/>
              <w:jc w:val="center"/>
              <w:rPr>
                <w:color w:val="000000"/>
                <w:sz w:val="20"/>
                <w:szCs w:val="20"/>
              </w:rPr>
            </w:pPr>
            <w:r w:rsidRPr="00CA7596">
              <w:rPr>
                <w:color w:val="000000"/>
                <w:sz w:val="20"/>
                <w:szCs w:val="20"/>
              </w:rPr>
              <w:t>0</w:t>
            </w:r>
          </w:p>
        </w:tc>
        <w:tc>
          <w:tcPr>
            <w:tcW w:w="454" w:type="pct"/>
            <w:gridSpan w:val="2"/>
            <w:tcBorders>
              <w:bottom w:val="single" w:sz="4" w:space="0" w:color="000000"/>
            </w:tcBorders>
            <w:shd w:val="clear" w:color="auto" w:fill="FFFFFF"/>
            <w:vAlign w:val="center"/>
          </w:tcPr>
          <w:p w14:paraId="73B60234" w14:textId="77777777" w:rsidR="00D84719" w:rsidRPr="00CA7596" w:rsidRDefault="00D84719" w:rsidP="00D84719">
            <w:pPr>
              <w:spacing w:line="276" w:lineRule="auto"/>
              <w:jc w:val="center"/>
              <w:rPr>
                <w:color w:val="000000"/>
                <w:sz w:val="20"/>
                <w:szCs w:val="20"/>
              </w:rPr>
            </w:pPr>
            <w:r w:rsidRPr="00CA7596">
              <w:rPr>
                <w:color w:val="000000"/>
                <w:sz w:val="20"/>
                <w:szCs w:val="20"/>
              </w:rPr>
              <w:t>0</w:t>
            </w:r>
          </w:p>
        </w:tc>
        <w:tc>
          <w:tcPr>
            <w:tcW w:w="455" w:type="pct"/>
            <w:tcBorders>
              <w:bottom w:val="single" w:sz="4" w:space="0" w:color="000000"/>
            </w:tcBorders>
            <w:shd w:val="clear" w:color="auto" w:fill="FFFFFF"/>
            <w:vAlign w:val="center"/>
          </w:tcPr>
          <w:p w14:paraId="287F6FF7" w14:textId="77777777" w:rsidR="00D84719" w:rsidRPr="00CA7596" w:rsidRDefault="00D84719" w:rsidP="00D84719">
            <w:pPr>
              <w:spacing w:line="276" w:lineRule="auto"/>
              <w:jc w:val="center"/>
              <w:rPr>
                <w:color w:val="000000"/>
                <w:sz w:val="20"/>
                <w:szCs w:val="20"/>
              </w:rPr>
            </w:pPr>
            <w:r w:rsidRPr="00CA7596">
              <w:rPr>
                <w:color w:val="000000"/>
                <w:sz w:val="20"/>
                <w:szCs w:val="20"/>
              </w:rPr>
              <w:t>0</w:t>
            </w:r>
          </w:p>
        </w:tc>
      </w:tr>
      <w:tr w:rsidR="00134B26" w:rsidRPr="00D84719" w14:paraId="3648C437" w14:textId="77777777" w:rsidTr="00134B26">
        <w:trPr>
          <w:jc w:val="center"/>
        </w:trPr>
        <w:tc>
          <w:tcPr>
            <w:tcW w:w="2021" w:type="pct"/>
            <w:tcBorders>
              <w:bottom w:val="single" w:sz="4" w:space="0" w:color="000000"/>
            </w:tcBorders>
            <w:shd w:val="clear" w:color="auto" w:fill="BFBFBF"/>
            <w:vAlign w:val="center"/>
          </w:tcPr>
          <w:p w14:paraId="1290FF6D" w14:textId="77777777" w:rsidR="00D84719" w:rsidRPr="00D84719" w:rsidRDefault="00D84719" w:rsidP="00D84719">
            <w:pPr>
              <w:spacing w:line="276" w:lineRule="auto"/>
              <w:jc w:val="both"/>
              <w:rPr>
                <w:color w:val="000000"/>
              </w:rPr>
            </w:pPr>
            <w:r w:rsidRPr="00D84719">
              <w:rPr>
                <w:color w:val="000000"/>
              </w:rPr>
              <w:t>DDT</w:t>
            </w:r>
          </w:p>
        </w:tc>
        <w:tc>
          <w:tcPr>
            <w:tcW w:w="1540" w:type="pct"/>
            <w:tcBorders>
              <w:bottom w:val="single" w:sz="4" w:space="0" w:color="000000"/>
            </w:tcBorders>
            <w:shd w:val="clear" w:color="auto" w:fill="BFBFBF"/>
            <w:vAlign w:val="center"/>
          </w:tcPr>
          <w:p w14:paraId="5FA3A5C7" w14:textId="77777777" w:rsidR="00D84719" w:rsidRPr="00D84719" w:rsidRDefault="00D84719" w:rsidP="00D84719">
            <w:pPr>
              <w:jc w:val="center"/>
              <w:rPr>
                <w:color w:val="000000"/>
              </w:rPr>
            </w:pPr>
          </w:p>
        </w:tc>
        <w:tc>
          <w:tcPr>
            <w:tcW w:w="530" w:type="pct"/>
            <w:tcBorders>
              <w:bottom w:val="single" w:sz="4" w:space="0" w:color="000000"/>
            </w:tcBorders>
            <w:shd w:val="clear" w:color="auto" w:fill="BFBFBF"/>
            <w:vAlign w:val="center"/>
          </w:tcPr>
          <w:p w14:paraId="241BB171" w14:textId="77777777" w:rsidR="00D84719" w:rsidRPr="00CA7596" w:rsidRDefault="00D84719" w:rsidP="00D84719">
            <w:pPr>
              <w:spacing w:line="276" w:lineRule="auto"/>
              <w:jc w:val="center"/>
              <w:rPr>
                <w:color w:val="000000"/>
                <w:sz w:val="20"/>
                <w:szCs w:val="20"/>
              </w:rPr>
            </w:pPr>
          </w:p>
        </w:tc>
        <w:tc>
          <w:tcPr>
            <w:tcW w:w="454" w:type="pct"/>
            <w:gridSpan w:val="2"/>
            <w:tcBorders>
              <w:bottom w:val="single" w:sz="4" w:space="0" w:color="000000"/>
            </w:tcBorders>
            <w:shd w:val="clear" w:color="auto" w:fill="BFBFBF"/>
            <w:vAlign w:val="center"/>
          </w:tcPr>
          <w:p w14:paraId="5572EFFA" w14:textId="77777777" w:rsidR="00D84719" w:rsidRPr="00CA7596" w:rsidRDefault="00D84719" w:rsidP="00D84719">
            <w:pPr>
              <w:spacing w:line="276" w:lineRule="auto"/>
              <w:jc w:val="center"/>
              <w:rPr>
                <w:color w:val="000000"/>
                <w:sz w:val="20"/>
                <w:szCs w:val="20"/>
              </w:rPr>
            </w:pPr>
          </w:p>
        </w:tc>
        <w:tc>
          <w:tcPr>
            <w:tcW w:w="455" w:type="pct"/>
            <w:tcBorders>
              <w:bottom w:val="single" w:sz="4" w:space="0" w:color="000000"/>
            </w:tcBorders>
            <w:shd w:val="clear" w:color="auto" w:fill="BFBFBF"/>
            <w:vAlign w:val="center"/>
          </w:tcPr>
          <w:p w14:paraId="356D1EF1" w14:textId="77777777" w:rsidR="00D84719" w:rsidRPr="00CA7596" w:rsidRDefault="00D84719" w:rsidP="00D84719">
            <w:pPr>
              <w:spacing w:line="276" w:lineRule="auto"/>
              <w:jc w:val="center"/>
              <w:rPr>
                <w:color w:val="000000"/>
                <w:sz w:val="20"/>
                <w:szCs w:val="20"/>
              </w:rPr>
            </w:pPr>
          </w:p>
        </w:tc>
      </w:tr>
      <w:tr w:rsidR="00134B26" w:rsidRPr="00D84719" w14:paraId="79268A04" w14:textId="77777777" w:rsidTr="00134B26">
        <w:trPr>
          <w:jc w:val="center"/>
        </w:trPr>
        <w:tc>
          <w:tcPr>
            <w:tcW w:w="3561" w:type="pct"/>
            <w:gridSpan w:val="2"/>
            <w:shd w:val="clear" w:color="auto" w:fill="F2F2F2"/>
            <w:vAlign w:val="center"/>
          </w:tcPr>
          <w:p w14:paraId="209C4275" w14:textId="77777777" w:rsidR="00D84719" w:rsidRPr="002462BE" w:rsidRDefault="00D84719" w:rsidP="00D84719">
            <w:pPr>
              <w:jc w:val="center"/>
              <w:rPr>
                <w:b/>
                <w:bCs/>
                <w:i/>
                <w:iCs/>
                <w:smallCaps/>
                <w:color w:val="000000"/>
                <w:sz w:val="22"/>
                <w:szCs w:val="20"/>
              </w:rPr>
            </w:pPr>
            <w:r w:rsidRPr="002462BE">
              <w:rPr>
                <w:b/>
                <w:bCs/>
                <w:i/>
                <w:iCs/>
                <w:smallCaps/>
                <w:color w:val="000000"/>
                <w:sz w:val="22"/>
                <w:szCs w:val="20"/>
              </w:rPr>
              <w:t>Proizvodnja (tona)</w:t>
            </w:r>
          </w:p>
        </w:tc>
        <w:tc>
          <w:tcPr>
            <w:tcW w:w="530" w:type="pct"/>
            <w:shd w:val="clear" w:color="auto" w:fill="F2F2F2"/>
            <w:vAlign w:val="center"/>
          </w:tcPr>
          <w:p w14:paraId="25AE3921" w14:textId="77777777" w:rsidR="00D84719" w:rsidRPr="00CA7596" w:rsidRDefault="00D84719" w:rsidP="00D84719">
            <w:pPr>
              <w:spacing w:line="276" w:lineRule="auto"/>
              <w:jc w:val="center"/>
              <w:rPr>
                <w:b/>
                <w:bCs/>
                <w:i/>
                <w:iCs/>
                <w:smallCaps/>
                <w:color w:val="000000"/>
                <w:sz w:val="20"/>
                <w:szCs w:val="20"/>
              </w:rPr>
            </w:pPr>
            <w:r w:rsidRPr="00CA7596">
              <w:rPr>
                <w:b/>
                <w:bCs/>
                <w:i/>
                <w:iCs/>
                <w:smallCaps/>
                <w:color w:val="000000"/>
                <w:sz w:val="20"/>
                <w:szCs w:val="20"/>
              </w:rPr>
              <w:t>0</w:t>
            </w:r>
          </w:p>
        </w:tc>
        <w:tc>
          <w:tcPr>
            <w:tcW w:w="454" w:type="pct"/>
            <w:gridSpan w:val="2"/>
            <w:shd w:val="clear" w:color="auto" w:fill="F2F2F2"/>
            <w:vAlign w:val="center"/>
          </w:tcPr>
          <w:p w14:paraId="27D26A6D" w14:textId="77777777" w:rsidR="00D84719" w:rsidRPr="00CA7596" w:rsidRDefault="00D84719" w:rsidP="00D84719">
            <w:pPr>
              <w:spacing w:line="276" w:lineRule="auto"/>
              <w:jc w:val="center"/>
              <w:rPr>
                <w:b/>
                <w:bCs/>
                <w:i/>
                <w:iCs/>
                <w:smallCaps/>
                <w:color w:val="000000"/>
                <w:sz w:val="20"/>
                <w:szCs w:val="20"/>
              </w:rPr>
            </w:pPr>
            <w:r w:rsidRPr="00CA7596">
              <w:rPr>
                <w:b/>
                <w:bCs/>
                <w:i/>
                <w:iCs/>
                <w:smallCaps/>
                <w:color w:val="000000"/>
                <w:sz w:val="20"/>
                <w:szCs w:val="20"/>
              </w:rPr>
              <w:t>0</w:t>
            </w:r>
          </w:p>
        </w:tc>
        <w:tc>
          <w:tcPr>
            <w:tcW w:w="455" w:type="pct"/>
            <w:shd w:val="clear" w:color="auto" w:fill="F2F2F2"/>
            <w:vAlign w:val="center"/>
          </w:tcPr>
          <w:p w14:paraId="4E499D5B" w14:textId="77777777" w:rsidR="00D84719" w:rsidRPr="00CA7596" w:rsidRDefault="00D84719" w:rsidP="00D84719">
            <w:pPr>
              <w:spacing w:line="276" w:lineRule="auto"/>
              <w:jc w:val="center"/>
              <w:rPr>
                <w:b/>
                <w:bCs/>
                <w:i/>
                <w:iCs/>
                <w:smallCaps/>
                <w:color w:val="000000"/>
                <w:sz w:val="20"/>
                <w:szCs w:val="20"/>
              </w:rPr>
            </w:pPr>
            <w:r w:rsidRPr="00CA7596">
              <w:rPr>
                <w:b/>
                <w:bCs/>
                <w:i/>
                <w:iCs/>
                <w:smallCaps/>
                <w:color w:val="000000"/>
                <w:sz w:val="20"/>
                <w:szCs w:val="20"/>
              </w:rPr>
              <w:t>0</w:t>
            </w:r>
          </w:p>
        </w:tc>
      </w:tr>
      <w:tr w:rsidR="00134B26" w:rsidRPr="00D84719" w14:paraId="49F382FE" w14:textId="77777777" w:rsidTr="00134B26">
        <w:trPr>
          <w:jc w:val="center"/>
        </w:trPr>
        <w:tc>
          <w:tcPr>
            <w:tcW w:w="3561" w:type="pct"/>
            <w:gridSpan w:val="2"/>
            <w:tcBorders>
              <w:bottom w:val="single" w:sz="4" w:space="0" w:color="000000"/>
            </w:tcBorders>
            <w:shd w:val="clear" w:color="auto" w:fill="F2F2F2"/>
            <w:vAlign w:val="center"/>
          </w:tcPr>
          <w:p w14:paraId="5689B31D" w14:textId="77777777" w:rsidR="00D84719" w:rsidRPr="002462BE" w:rsidRDefault="00D84719" w:rsidP="00D84719">
            <w:pPr>
              <w:jc w:val="center"/>
              <w:rPr>
                <w:b/>
                <w:bCs/>
                <w:i/>
                <w:iCs/>
                <w:smallCaps/>
                <w:color w:val="000000"/>
                <w:sz w:val="22"/>
                <w:szCs w:val="20"/>
              </w:rPr>
            </w:pPr>
            <w:r w:rsidRPr="002462BE">
              <w:rPr>
                <w:b/>
                <w:bCs/>
                <w:i/>
                <w:iCs/>
                <w:smallCaps/>
                <w:color w:val="000000"/>
                <w:sz w:val="22"/>
                <w:szCs w:val="20"/>
              </w:rPr>
              <w:t>Uporaba (tona)</w:t>
            </w:r>
          </w:p>
        </w:tc>
        <w:tc>
          <w:tcPr>
            <w:tcW w:w="530" w:type="pct"/>
            <w:tcBorders>
              <w:bottom w:val="single" w:sz="4" w:space="0" w:color="000000"/>
            </w:tcBorders>
            <w:shd w:val="clear" w:color="auto" w:fill="F2F2F2"/>
            <w:vAlign w:val="center"/>
          </w:tcPr>
          <w:p w14:paraId="7BA93C85" w14:textId="77777777" w:rsidR="00D84719" w:rsidRPr="00CA7596" w:rsidRDefault="00D84719" w:rsidP="00D84719">
            <w:pPr>
              <w:spacing w:line="276" w:lineRule="auto"/>
              <w:jc w:val="center"/>
              <w:rPr>
                <w:b/>
                <w:bCs/>
                <w:i/>
                <w:iCs/>
                <w:smallCaps/>
                <w:color w:val="000000"/>
                <w:sz w:val="20"/>
                <w:szCs w:val="20"/>
              </w:rPr>
            </w:pPr>
            <w:r w:rsidRPr="00CA7596">
              <w:rPr>
                <w:b/>
                <w:bCs/>
                <w:i/>
                <w:iCs/>
                <w:smallCaps/>
                <w:color w:val="000000"/>
                <w:sz w:val="20"/>
                <w:szCs w:val="20"/>
              </w:rPr>
              <w:t>0</w:t>
            </w:r>
          </w:p>
        </w:tc>
        <w:tc>
          <w:tcPr>
            <w:tcW w:w="454" w:type="pct"/>
            <w:gridSpan w:val="2"/>
            <w:tcBorders>
              <w:bottom w:val="single" w:sz="4" w:space="0" w:color="000000"/>
            </w:tcBorders>
            <w:shd w:val="clear" w:color="auto" w:fill="F2F2F2"/>
            <w:vAlign w:val="center"/>
          </w:tcPr>
          <w:p w14:paraId="2683A41E" w14:textId="77777777" w:rsidR="00D84719" w:rsidRPr="00CA7596" w:rsidRDefault="00D84719" w:rsidP="00D84719">
            <w:pPr>
              <w:spacing w:line="276" w:lineRule="auto"/>
              <w:jc w:val="center"/>
              <w:rPr>
                <w:b/>
                <w:bCs/>
                <w:i/>
                <w:iCs/>
                <w:smallCaps/>
                <w:color w:val="000000"/>
                <w:sz w:val="20"/>
                <w:szCs w:val="20"/>
              </w:rPr>
            </w:pPr>
            <w:r w:rsidRPr="00CA7596">
              <w:rPr>
                <w:b/>
                <w:bCs/>
                <w:i/>
                <w:iCs/>
                <w:smallCaps/>
                <w:color w:val="000000"/>
                <w:sz w:val="20"/>
                <w:szCs w:val="20"/>
              </w:rPr>
              <w:t>0</w:t>
            </w:r>
          </w:p>
        </w:tc>
        <w:tc>
          <w:tcPr>
            <w:tcW w:w="455" w:type="pct"/>
            <w:tcBorders>
              <w:bottom w:val="single" w:sz="4" w:space="0" w:color="000000"/>
            </w:tcBorders>
            <w:shd w:val="clear" w:color="auto" w:fill="F2F2F2"/>
            <w:vAlign w:val="center"/>
          </w:tcPr>
          <w:p w14:paraId="233BD8A9" w14:textId="77777777" w:rsidR="00D84719" w:rsidRPr="00CA7596" w:rsidRDefault="00D84719" w:rsidP="00D84719">
            <w:pPr>
              <w:spacing w:line="276" w:lineRule="auto"/>
              <w:jc w:val="center"/>
              <w:rPr>
                <w:b/>
                <w:bCs/>
                <w:i/>
                <w:iCs/>
                <w:smallCaps/>
                <w:color w:val="000000"/>
                <w:sz w:val="20"/>
                <w:szCs w:val="20"/>
              </w:rPr>
            </w:pPr>
            <w:r w:rsidRPr="00CA7596">
              <w:rPr>
                <w:b/>
                <w:bCs/>
                <w:i/>
                <w:iCs/>
                <w:smallCaps/>
                <w:color w:val="000000"/>
                <w:sz w:val="20"/>
                <w:szCs w:val="20"/>
              </w:rPr>
              <w:t>0</w:t>
            </w:r>
          </w:p>
        </w:tc>
      </w:tr>
      <w:tr w:rsidR="00D84719" w:rsidRPr="00D84719" w14:paraId="5F2F8CF3" w14:textId="77777777" w:rsidTr="00134B26">
        <w:trPr>
          <w:jc w:val="center"/>
        </w:trPr>
        <w:tc>
          <w:tcPr>
            <w:tcW w:w="5000" w:type="pct"/>
            <w:gridSpan w:val="6"/>
            <w:tcBorders>
              <w:bottom w:val="single" w:sz="4" w:space="0" w:color="000000"/>
            </w:tcBorders>
            <w:shd w:val="clear" w:color="auto" w:fill="BFBFBF"/>
            <w:vAlign w:val="center"/>
          </w:tcPr>
          <w:p w14:paraId="1DF51B93" w14:textId="77777777" w:rsidR="00D84719" w:rsidRPr="00D84719" w:rsidRDefault="00D84719" w:rsidP="00D84719">
            <w:pPr>
              <w:spacing w:line="276" w:lineRule="auto"/>
              <w:jc w:val="center"/>
              <w:rPr>
                <w:b/>
                <w:bCs/>
                <w:color w:val="000000"/>
              </w:rPr>
            </w:pPr>
            <w:r w:rsidRPr="00D84719">
              <w:rPr>
                <w:b/>
                <w:bCs/>
                <w:color w:val="000000"/>
              </w:rPr>
              <w:t>INDUSTRIJSKE KEMIKALIJE</w:t>
            </w:r>
          </w:p>
        </w:tc>
      </w:tr>
      <w:tr w:rsidR="00134B26" w:rsidRPr="00D84719" w14:paraId="55EE8D78" w14:textId="77777777" w:rsidTr="00134B26">
        <w:trPr>
          <w:jc w:val="center"/>
        </w:trPr>
        <w:tc>
          <w:tcPr>
            <w:tcW w:w="3561" w:type="pct"/>
            <w:gridSpan w:val="2"/>
            <w:shd w:val="clear" w:color="auto" w:fill="F2F2F2"/>
            <w:vAlign w:val="center"/>
          </w:tcPr>
          <w:p w14:paraId="3E3F291C" w14:textId="77777777" w:rsidR="00D84719" w:rsidRPr="00D84719" w:rsidRDefault="00D84719" w:rsidP="00D84719">
            <w:pPr>
              <w:jc w:val="center"/>
              <w:rPr>
                <w:b/>
                <w:bCs/>
                <w:i/>
                <w:iCs/>
                <w:smallCaps/>
                <w:color w:val="000000"/>
              </w:rPr>
            </w:pPr>
            <w:r w:rsidRPr="00D84719">
              <w:rPr>
                <w:b/>
                <w:bCs/>
                <w:i/>
                <w:iCs/>
                <w:smallCaps/>
                <w:color w:val="000000"/>
                <w:sz w:val="20"/>
                <w:szCs w:val="20"/>
              </w:rPr>
              <w:t>Proizvodnja (tona)</w:t>
            </w:r>
          </w:p>
        </w:tc>
        <w:tc>
          <w:tcPr>
            <w:tcW w:w="530" w:type="pct"/>
            <w:shd w:val="clear" w:color="auto" w:fill="F2F2F2"/>
            <w:vAlign w:val="center"/>
          </w:tcPr>
          <w:p w14:paraId="1818E10E" w14:textId="77777777" w:rsidR="00D84719" w:rsidRPr="00CA7596" w:rsidRDefault="00D84719" w:rsidP="00D84719">
            <w:pPr>
              <w:spacing w:line="276" w:lineRule="auto"/>
              <w:jc w:val="center"/>
              <w:rPr>
                <w:b/>
                <w:bCs/>
                <w:i/>
                <w:iCs/>
                <w:smallCaps/>
                <w:color w:val="000000"/>
                <w:sz w:val="20"/>
                <w:szCs w:val="20"/>
              </w:rPr>
            </w:pPr>
            <w:r w:rsidRPr="00CA7596">
              <w:rPr>
                <w:b/>
                <w:bCs/>
                <w:i/>
                <w:iCs/>
                <w:smallCaps/>
                <w:color w:val="000000"/>
                <w:sz w:val="20"/>
                <w:szCs w:val="20"/>
              </w:rPr>
              <w:t>0</w:t>
            </w:r>
          </w:p>
        </w:tc>
        <w:tc>
          <w:tcPr>
            <w:tcW w:w="351" w:type="pct"/>
            <w:shd w:val="clear" w:color="auto" w:fill="F2F2F2"/>
            <w:vAlign w:val="center"/>
          </w:tcPr>
          <w:p w14:paraId="0D7E8D50" w14:textId="77777777" w:rsidR="00D84719" w:rsidRPr="00CA7596" w:rsidRDefault="00D84719" w:rsidP="00D84719">
            <w:pPr>
              <w:spacing w:line="276" w:lineRule="auto"/>
              <w:jc w:val="center"/>
              <w:rPr>
                <w:b/>
                <w:bCs/>
                <w:i/>
                <w:iCs/>
                <w:smallCaps/>
                <w:color w:val="000000"/>
                <w:sz w:val="20"/>
                <w:szCs w:val="20"/>
              </w:rPr>
            </w:pPr>
            <w:r w:rsidRPr="00CA7596">
              <w:rPr>
                <w:b/>
                <w:bCs/>
                <w:i/>
                <w:iCs/>
                <w:smallCaps/>
                <w:color w:val="000000"/>
                <w:sz w:val="20"/>
                <w:szCs w:val="20"/>
              </w:rPr>
              <w:t>0</w:t>
            </w:r>
          </w:p>
        </w:tc>
        <w:tc>
          <w:tcPr>
            <w:tcW w:w="558" w:type="pct"/>
            <w:gridSpan w:val="2"/>
            <w:shd w:val="clear" w:color="auto" w:fill="F2F2F2"/>
            <w:vAlign w:val="center"/>
          </w:tcPr>
          <w:p w14:paraId="4AFFE485" w14:textId="77777777" w:rsidR="00D84719" w:rsidRPr="00CA7596" w:rsidRDefault="00D84719" w:rsidP="00D84719">
            <w:pPr>
              <w:spacing w:line="276" w:lineRule="auto"/>
              <w:jc w:val="center"/>
              <w:rPr>
                <w:b/>
                <w:bCs/>
                <w:i/>
                <w:iCs/>
                <w:smallCaps/>
                <w:color w:val="000000"/>
                <w:sz w:val="20"/>
                <w:szCs w:val="20"/>
              </w:rPr>
            </w:pPr>
            <w:r w:rsidRPr="00CA7596">
              <w:rPr>
                <w:b/>
                <w:bCs/>
                <w:i/>
                <w:iCs/>
                <w:smallCaps/>
                <w:color w:val="000000"/>
                <w:sz w:val="20"/>
                <w:szCs w:val="20"/>
              </w:rPr>
              <w:t>0</w:t>
            </w:r>
          </w:p>
        </w:tc>
      </w:tr>
      <w:tr w:rsidR="00134B26" w:rsidRPr="00D84719" w14:paraId="02D4AC74" w14:textId="77777777" w:rsidTr="00134B26">
        <w:trPr>
          <w:jc w:val="center"/>
        </w:trPr>
        <w:tc>
          <w:tcPr>
            <w:tcW w:w="3561" w:type="pct"/>
            <w:gridSpan w:val="2"/>
            <w:shd w:val="clear" w:color="auto" w:fill="F2F2F2"/>
            <w:vAlign w:val="center"/>
          </w:tcPr>
          <w:p w14:paraId="3BB6158D" w14:textId="77777777" w:rsidR="00D84719" w:rsidRPr="00D84719" w:rsidRDefault="00D84719" w:rsidP="00D84719">
            <w:pPr>
              <w:jc w:val="center"/>
              <w:rPr>
                <w:b/>
                <w:bCs/>
                <w:i/>
                <w:iCs/>
                <w:smallCaps/>
                <w:color w:val="000000"/>
              </w:rPr>
            </w:pPr>
            <w:r w:rsidRPr="00D84719">
              <w:rPr>
                <w:b/>
                <w:bCs/>
                <w:i/>
                <w:iCs/>
                <w:smallCaps/>
                <w:color w:val="000000"/>
                <w:sz w:val="20"/>
                <w:szCs w:val="20"/>
              </w:rPr>
              <w:t>Zalihe/uporaba (tona)</w:t>
            </w:r>
          </w:p>
        </w:tc>
        <w:tc>
          <w:tcPr>
            <w:tcW w:w="530" w:type="pct"/>
            <w:shd w:val="clear" w:color="auto" w:fill="F2F2F2"/>
            <w:vAlign w:val="center"/>
          </w:tcPr>
          <w:p w14:paraId="53659DB6" w14:textId="77777777" w:rsidR="00D84719" w:rsidRPr="00CA7596" w:rsidRDefault="00D84719" w:rsidP="00D84719">
            <w:pPr>
              <w:spacing w:line="276" w:lineRule="auto"/>
              <w:jc w:val="center"/>
              <w:rPr>
                <w:b/>
                <w:bCs/>
                <w:i/>
                <w:iCs/>
                <w:smallCaps/>
                <w:color w:val="000000"/>
                <w:sz w:val="20"/>
                <w:szCs w:val="20"/>
              </w:rPr>
            </w:pPr>
          </w:p>
        </w:tc>
        <w:tc>
          <w:tcPr>
            <w:tcW w:w="351" w:type="pct"/>
            <w:shd w:val="clear" w:color="auto" w:fill="F2F2F2"/>
            <w:vAlign w:val="center"/>
          </w:tcPr>
          <w:p w14:paraId="7C6020A3" w14:textId="77777777" w:rsidR="00D84719" w:rsidRPr="00CA7596" w:rsidRDefault="00D84719" w:rsidP="00D84719">
            <w:pPr>
              <w:spacing w:line="276" w:lineRule="auto"/>
              <w:jc w:val="center"/>
              <w:rPr>
                <w:b/>
                <w:bCs/>
                <w:i/>
                <w:iCs/>
                <w:smallCaps/>
                <w:color w:val="000000"/>
                <w:sz w:val="20"/>
                <w:szCs w:val="20"/>
              </w:rPr>
            </w:pPr>
          </w:p>
        </w:tc>
        <w:tc>
          <w:tcPr>
            <w:tcW w:w="558" w:type="pct"/>
            <w:gridSpan w:val="2"/>
            <w:shd w:val="clear" w:color="auto" w:fill="F2F2F2"/>
            <w:vAlign w:val="center"/>
          </w:tcPr>
          <w:p w14:paraId="0ED0FF09" w14:textId="77777777" w:rsidR="00D84719" w:rsidRPr="00CA7596" w:rsidRDefault="00D84719" w:rsidP="00D84719">
            <w:pPr>
              <w:spacing w:line="276" w:lineRule="auto"/>
              <w:jc w:val="center"/>
              <w:rPr>
                <w:b/>
                <w:bCs/>
                <w:i/>
                <w:iCs/>
                <w:smallCaps/>
                <w:color w:val="000000"/>
                <w:sz w:val="20"/>
                <w:szCs w:val="20"/>
              </w:rPr>
            </w:pPr>
          </w:p>
        </w:tc>
      </w:tr>
      <w:tr w:rsidR="00D84719" w:rsidRPr="00D84719" w14:paraId="7ED7F33D" w14:textId="77777777" w:rsidTr="00134B26">
        <w:trPr>
          <w:jc w:val="center"/>
        </w:trPr>
        <w:tc>
          <w:tcPr>
            <w:tcW w:w="2021" w:type="pct"/>
            <w:tcBorders>
              <w:bottom w:val="single" w:sz="4" w:space="0" w:color="000000"/>
            </w:tcBorders>
            <w:vAlign w:val="center"/>
          </w:tcPr>
          <w:p w14:paraId="33E889C0" w14:textId="77777777" w:rsidR="00D84719" w:rsidRPr="00D84719" w:rsidRDefault="00D84719" w:rsidP="00D84719">
            <w:pPr>
              <w:spacing w:line="276" w:lineRule="auto"/>
              <w:jc w:val="both"/>
              <w:rPr>
                <w:color w:val="000000"/>
              </w:rPr>
            </w:pPr>
            <w:r w:rsidRPr="00D84719">
              <w:rPr>
                <w:color w:val="000000"/>
              </w:rPr>
              <w:t>heksaklorobenzen</w:t>
            </w:r>
          </w:p>
        </w:tc>
        <w:tc>
          <w:tcPr>
            <w:tcW w:w="1540" w:type="pct"/>
            <w:tcBorders>
              <w:bottom w:val="single" w:sz="4" w:space="0" w:color="000000"/>
            </w:tcBorders>
            <w:vAlign w:val="center"/>
          </w:tcPr>
          <w:p w14:paraId="7AF959A6" w14:textId="77777777" w:rsidR="00D84719" w:rsidRPr="00D84719" w:rsidRDefault="00D84719" w:rsidP="00D84719">
            <w:pPr>
              <w:jc w:val="center"/>
              <w:rPr>
                <w:color w:val="000000"/>
              </w:rPr>
            </w:pPr>
          </w:p>
        </w:tc>
        <w:tc>
          <w:tcPr>
            <w:tcW w:w="530" w:type="pct"/>
            <w:tcBorders>
              <w:bottom w:val="single" w:sz="4" w:space="0" w:color="000000"/>
            </w:tcBorders>
            <w:vAlign w:val="center"/>
          </w:tcPr>
          <w:p w14:paraId="4AF13069" w14:textId="77777777" w:rsidR="00D84719" w:rsidRPr="00CA7596" w:rsidRDefault="00D84719" w:rsidP="00D84719">
            <w:pPr>
              <w:spacing w:line="276" w:lineRule="auto"/>
              <w:jc w:val="center"/>
              <w:rPr>
                <w:color w:val="000000"/>
                <w:sz w:val="20"/>
                <w:szCs w:val="20"/>
              </w:rPr>
            </w:pPr>
            <w:r w:rsidRPr="00CA7596">
              <w:rPr>
                <w:color w:val="000000"/>
                <w:sz w:val="20"/>
                <w:szCs w:val="20"/>
              </w:rPr>
              <w:t>0</w:t>
            </w:r>
          </w:p>
        </w:tc>
        <w:tc>
          <w:tcPr>
            <w:tcW w:w="351" w:type="pct"/>
            <w:tcBorders>
              <w:bottom w:val="single" w:sz="4" w:space="0" w:color="000000"/>
            </w:tcBorders>
            <w:vAlign w:val="center"/>
          </w:tcPr>
          <w:p w14:paraId="21DB16C5" w14:textId="77777777" w:rsidR="00D84719" w:rsidRPr="00CA7596" w:rsidRDefault="00D84719" w:rsidP="00D84719">
            <w:pPr>
              <w:spacing w:line="276" w:lineRule="auto"/>
              <w:jc w:val="center"/>
              <w:rPr>
                <w:color w:val="000000"/>
                <w:sz w:val="20"/>
                <w:szCs w:val="20"/>
              </w:rPr>
            </w:pPr>
            <w:r w:rsidRPr="00CA7596">
              <w:rPr>
                <w:color w:val="000000"/>
                <w:sz w:val="20"/>
                <w:szCs w:val="20"/>
              </w:rPr>
              <w:t>0</w:t>
            </w:r>
          </w:p>
        </w:tc>
        <w:tc>
          <w:tcPr>
            <w:tcW w:w="558" w:type="pct"/>
            <w:gridSpan w:val="2"/>
            <w:tcBorders>
              <w:bottom w:val="single" w:sz="4" w:space="0" w:color="000000"/>
            </w:tcBorders>
            <w:vAlign w:val="center"/>
          </w:tcPr>
          <w:p w14:paraId="6D05493F" w14:textId="77777777" w:rsidR="00D84719" w:rsidRPr="00CA7596" w:rsidRDefault="00D84719" w:rsidP="00D84719">
            <w:pPr>
              <w:spacing w:line="276" w:lineRule="auto"/>
              <w:jc w:val="center"/>
              <w:rPr>
                <w:color w:val="000000"/>
                <w:sz w:val="20"/>
                <w:szCs w:val="20"/>
              </w:rPr>
            </w:pPr>
            <w:r w:rsidRPr="00CA7596">
              <w:rPr>
                <w:color w:val="000000"/>
                <w:sz w:val="20"/>
                <w:szCs w:val="20"/>
              </w:rPr>
              <w:t>0</w:t>
            </w:r>
          </w:p>
        </w:tc>
      </w:tr>
      <w:tr w:rsidR="00D84719" w:rsidRPr="00D84719" w14:paraId="3EC2550C" w14:textId="77777777" w:rsidTr="00134B26">
        <w:trPr>
          <w:jc w:val="center"/>
        </w:trPr>
        <w:tc>
          <w:tcPr>
            <w:tcW w:w="2021" w:type="pct"/>
            <w:tcBorders>
              <w:bottom w:val="single" w:sz="4" w:space="0" w:color="000000"/>
            </w:tcBorders>
            <w:vAlign w:val="center"/>
          </w:tcPr>
          <w:p w14:paraId="3D9B6704" w14:textId="77777777" w:rsidR="00D84719" w:rsidRPr="00D84719" w:rsidRDefault="00D84719" w:rsidP="00D84719">
            <w:pPr>
              <w:spacing w:line="276" w:lineRule="auto"/>
              <w:jc w:val="both"/>
              <w:rPr>
                <w:color w:val="000000"/>
              </w:rPr>
            </w:pPr>
            <w:r w:rsidRPr="00D84719">
              <w:rPr>
                <w:color w:val="000000"/>
              </w:rPr>
              <w:t>poliklorirani bifenili</w:t>
            </w:r>
          </w:p>
        </w:tc>
        <w:tc>
          <w:tcPr>
            <w:tcW w:w="1540" w:type="pct"/>
            <w:tcBorders>
              <w:bottom w:val="single" w:sz="4" w:space="0" w:color="000000"/>
            </w:tcBorders>
            <w:vAlign w:val="center"/>
          </w:tcPr>
          <w:p w14:paraId="0DCBE809" w14:textId="77777777" w:rsidR="00D84719" w:rsidRPr="00D84719" w:rsidRDefault="00D84719" w:rsidP="00D84719">
            <w:pPr>
              <w:jc w:val="center"/>
              <w:rPr>
                <w:color w:val="000000"/>
              </w:rPr>
            </w:pPr>
          </w:p>
        </w:tc>
        <w:tc>
          <w:tcPr>
            <w:tcW w:w="530" w:type="pct"/>
            <w:tcBorders>
              <w:bottom w:val="single" w:sz="4" w:space="0" w:color="000000"/>
            </w:tcBorders>
            <w:vAlign w:val="center"/>
          </w:tcPr>
          <w:p w14:paraId="6291641B" w14:textId="77777777" w:rsidR="00D84719" w:rsidRPr="00CA7596" w:rsidRDefault="00D84719" w:rsidP="00D84719">
            <w:pPr>
              <w:spacing w:line="276" w:lineRule="auto"/>
              <w:jc w:val="center"/>
              <w:rPr>
                <w:color w:val="000000"/>
                <w:sz w:val="20"/>
                <w:szCs w:val="20"/>
              </w:rPr>
            </w:pPr>
          </w:p>
        </w:tc>
        <w:tc>
          <w:tcPr>
            <w:tcW w:w="351" w:type="pct"/>
            <w:tcBorders>
              <w:bottom w:val="single" w:sz="4" w:space="0" w:color="000000"/>
            </w:tcBorders>
            <w:vAlign w:val="center"/>
          </w:tcPr>
          <w:p w14:paraId="7EBA3A8B" w14:textId="77777777" w:rsidR="00D84719" w:rsidRPr="00CA7596" w:rsidRDefault="00D84719" w:rsidP="00D84719">
            <w:pPr>
              <w:spacing w:line="276" w:lineRule="auto"/>
              <w:jc w:val="center"/>
              <w:rPr>
                <w:color w:val="000000"/>
                <w:sz w:val="20"/>
                <w:szCs w:val="20"/>
              </w:rPr>
            </w:pPr>
          </w:p>
        </w:tc>
        <w:tc>
          <w:tcPr>
            <w:tcW w:w="558" w:type="pct"/>
            <w:gridSpan w:val="2"/>
            <w:tcBorders>
              <w:bottom w:val="single" w:sz="4" w:space="0" w:color="000000"/>
            </w:tcBorders>
            <w:vAlign w:val="center"/>
          </w:tcPr>
          <w:p w14:paraId="4964E56D" w14:textId="77777777" w:rsidR="00D84719" w:rsidRPr="00CA7596" w:rsidRDefault="00D84719" w:rsidP="00D84719">
            <w:pPr>
              <w:spacing w:line="276" w:lineRule="auto"/>
              <w:jc w:val="center"/>
              <w:rPr>
                <w:color w:val="000000"/>
                <w:sz w:val="20"/>
                <w:szCs w:val="20"/>
              </w:rPr>
            </w:pPr>
          </w:p>
        </w:tc>
      </w:tr>
      <w:tr w:rsidR="00D84719" w:rsidRPr="00D84719" w14:paraId="01075BB6" w14:textId="77777777" w:rsidTr="00134B26">
        <w:trPr>
          <w:jc w:val="center"/>
        </w:trPr>
        <w:tc>
          <w:tcPr>
            <w:tcW w:w="2021" w:type="pct"/>
            <w:tcBorders>
              <w:bottom w:val="single" w:sz="4" w:space="0" w:color="000000"/>
            </w:tcBorders>
            <w:vAlign w:val="center"/>
          </w:tcPr>
          <w:p w14:paraId="40458E04" w14:textId="77777777" w:rsidR="00D84719" w:rsidRPr="00BA2A9E" w:rsidRDefault="00D84719" w:rsidP="00D84719">
            <w:pPr>
              <w:spacing w:line="276" w:lineRule="auto"/>
              <w:jc w:val="both"/>
            </w:pPr>
            <w:r w:rsidRPr="00BA2A9E">
              <w:rPr>
                <w:sz w:val="22"/>
                <w:szCs w:val="18"/>
              </w:rPr>
              <w:t>Ukupna masa opreme koja sadrži PCB</w:t>
            </w:r>
          </w:p>
        </w:tc>
        <w:tc>
          <w:tcPr>
            <w:tcW w:w="1540" w:type="pct"/>
            <w:tcBorders>
              <w:bottom w:val="single" w:sz="4" w:space="0" w:color="000000"/>
            </w:tcBorders>
            <w:vAlign w:val="center"/>
          </w:tcPr>
          <w:p w14:paraId="4766156E" w14:textId="77777777" w:rsidR="00D84719" w:rsidRPr="00BA2A9E" w:rsidRDefault="00D84719" w:rsidP="00D84719">
            <w:pPr>
              <w:jc w:val="center"/>
            </w:pPr>
          </w:p>
        </w:tc>
        <w:tc>
          <w:tcPr>
            <w:tcW w:w="530" w:type="pct"/>
            <w:tcBorders>
              <w:bottom w:val="single" w:sz="4" w:space="0" w:color="000000"/>
            </w:tcBorders>
            <w:vAlign w:val="center"/>
          </w:tcPr>
          <w:p w14:paraId="3250FEF8" w14:textId="77777777" w:rsidR="00D84719" w:rsidRPr="00BA2A9E" w:rsidRDefault="00C63200" w:rsidP="00463368">
            <w:pPr>
              <w:spacing w:line="276" w:lineRule="auto"/>
              <w:jc w:val="center"/>
              <w:rPr>
                <w:sz w:val="18"/>
                <w:szCs w:val="20"/>
              </w:rPr>
            </w:pPr>
            <w:r w:rsidRPr="00BA2A9E">
              <w:rPr>
                <w:sz w:val="18"/>
                <w:szCs w:val="20"/>
              </w:rPr>
              <w:t>714</w:t>
            </w:r>
          </w:p>
        </w:tc>
        <w:tc>
          <w:tcPr>
            <w:tcW w:w="351" w:type="pct"/>
            <w:tcBorders>
              <w:bottom w:val="single" w:sz="4" w:space="0" w:color="000000"/>
            </w:tcBorders>
            <w:vAlign w:val="center"/>
          </w:tcPr>
          <w:p w14:paraId="68523A0C" w14:textId="77777777" w:rsidR="00D84719" w:rsidRPr="00BA2A9E" w:rsidRDefault="00D84719" w:rsidP="00D84719">
            <w:pPr>
              <w:spacing w:line="276" w:lineRule="auto"/>
              <w:jc w:val="center"/>
              <w:rPr>
                <w:sz w:val="20"/>
                <w:szCs w:val="20"/>
              </w:rPr>
            </w:pPr>
            <w:r w:rsidRPr="00BA2A9E">
              <w:rPr>
                <w:sz w:val="20"/>
                <w:szCs w:val="20"/>
              </w:rPr>
              <w:t>*</w:t>
            </w:r>
          </w:p>
        </w:tc>
        <w:tc>
          <w:tcPr>
            <w:tcW w:w="558" w:type="pct"/>
            <w:gridSpan w:val="2"/>
            <w:tcBorders>
              <w:bottom w:val="single" w:sz="4" w:space="0" w:color="000000"/>
            </w:tcBorders>
            <w:vAlign w:val="center"/>
          </w:tcPr>
          <w:p w14:paraId="3589C2EA" w14:textId="77777777" w:rsidR="00D84719" w:rsidRPr="00BA2A9E" w:rsidRDefault="00D84719" w:rsidP="00D84719">
            <w:pPr>
              <w:spacing w:line="276" w:lineRule="auto"/>
              <w:jc w:val="center"/>
              <w:rPr>
                <w:sz w:val="20"/>
                <w:szCs w:val="20"/>
              </w:rPr>
            </w:pPr>
            <w:r w:rsidRPr="00BA2A9E">
              <w:rPr>
                <w:sz w:val="20"/>
                <w:szCs w:val="20"/>
              </w:rPr>
              <w:t>*</w:t>
            </w:r>
          </w:p>
        </w:tc>
      </w:tr>
      <w:tr w:rsidR="00D84719" w:rsidRPr="00D84719" w14:paraId="2A9925A8" w14:textId="77777777" w:rsidTr="00134B26">
        <w:trPr>
          <w:jc w:val="center"/>
        </w:trPr>
        <w:tc>
          <w:tcPr>
            <w:tcW w:w="2021" w:type="pct"/>
            <w:tcBorders>
              <w:bottom w:val="single" w:sz="4" w:space="0" w:color="000000"/>
            </w:tcBorders>
            <w:vAlign w:val="center"/>
          </w:tcPr>
          <w:p w14:paraId="1255FA49" w14:textId="77777777" w:rsidR="00D84719" w:rsidRPr="00D84719" w:rsidRDefault="00D84719" w:rsidP="00D84719">
            <w:pPr>
              <w:spacing w:line="276" w:lineRule="auto"/>
              <w:jc w:val="both"/>
              <w:rPr>
                <w:color w:val="000000"/>
              </w:rPr>
            </w:pPr>
            <w:r w:rsidRPr="00D84719">
              <w:rPr>
                <w:color w:val="000000"/>
              </w:rPr>
              <w:t>heksabromobifenil</w:t>
            </w:r>
          </w:p>
        </w:tc>
        <w:tc>
          <w:tcPr>
            <w:tcW w:w="1540" w:type="pct"/>
            <w:tcBorders>
              <w:bottom w:val="single" w:sz="4" w:space="0" w:color="000000"/>
            </w:tcBorders>
            <w:vAlign w:val="center"/>
          </w:tcPr>
          <w:p w14:paraId="076F7999" w14:textId="77777777" w:rsidR="00D84719" w:rsidRPr="00D84719" w:rsidRDefault="00D84719" w:rsidP="00D84719">
            <w:pPr>
              <w:jc w:val="center"/>
              <w:rPr>
                <w:color w:val="000000"/>
              </w:rPr>
            </w:pPr>
          </w:p>
        </w:tc>
        <w:tc>
          <w:tcPr>
            <w:tcW w:w="530" w:type="pct"/>
            <w:tcBorders>
              <w:bottom w:val="single" w:sz="4" w:space="0" w:color="000000"/>
            </w:tcBorders>
            <w:vAlign w:val="center"/>
          </w:tcPr>
          <w:p w14:paraId="5A988E9A" w14:textId="77777777" w:rsidR="00D84719" w:rsidRPr="00CA7596" w:rsidRDefault="00D84719" w:rsidP="00D84719">
            <w:pPr>
              <w:spacing w:line="276" w:lineRule="auto"/>
              <w:jc w:val="center"/>
              <w:rPr>
                <w:color w:val="000000"/>
                <w:sz w:val="20"/>
                <w:szCs w:val="20"/>
              </w:rPr>
            </w:pPr>
            <w:r w:rsidRPr="00CA7596">
              <w:rPr>
                <w:color w:val="000000"/>
                <w:sz w:val="20"/>
                <w:szCs w:val="20"/>
              </w:rPr>
              <w:t>0</w:t>
            </w:r>
          </w:p>
        </w:tc>
        <w:tc>
          <w:tcPr>
            <w:tcW w:w="351" w:type="pct"/>
            <w:tcBorders>
              <w:bottom w:val="single" w:sz="4" w:space="0" w:color="000000"/>
            </w:tcBorders>
            <w:vAlign w:val="center"/>
          </w:tcPr>
          <w:p w14:paraId="29A38BFE" w14:textId="77777777" w:rsidR="00D84719" w:rsidRPr="00CA7596" w:rsidRDefault="00D84719" w:rsidP="00D84719">
            <w:pPr>
              <w:spacing w:line="276" w:lineRule="auto"/>
              <w:jc w:val="center"/>
              <w:rPr>
                <w:color w:val="000000"/>
                <w:sz w:val="20"/>
                <w:szCs w:val="20"/>
              </w:rPr>
            </w:pPr>
            <w:r w:rsidRPr="00CA7596">
              <w:rPr>
                <w:color w:val="000000"/>
                <w:sz w:val="20"/>
                <w:szCs w:val="20"/>
              </w:rPr>
              <w:t>0</w:t>
            </w:r>
          </w:p>
        </w:tc>
        <w:tc>
          <w:tcPr>
            <w:tcW w:w="558" w:type="pct"/>
            <w:gridSpan w:val="2"/>
            <w:tcBorders>
              <w:bottom w:val="single" w:sz="4" w:space="0" w:color="000000"/>
            </w:tcBorders>
            <w:vAlign w:val="center"/>
          </w:tcPr>
          <w:p w14:paraId="023E4992" w14:textId="77777777" w:rsidR="00D84719" w:rsidRPr="00CA7596" w:rsidRDefault="00D84719" w:rsidP="00D84719">
            <w:pPr>
              <w:spacing w:line="276" w:lineRule="auto"/>
              <w:jc w:val="center"/>
              <w:rPr>
                <w:color w:val="000000"/>
                <w:sz w:val="20"/>
                <w:szCs w:val="20"/>
              </w:rPr>
            </w:pPr>
            <w:r w:rsidRPr="00CA7596">
              <w:rPr>
                <w:color w:val="000000"/>
                <w:sz w:val="20"/>
                <w:szCs w:val="20"/>
              </w:rPr>
              <w:t>0</w:t>
            </w:r>
          </w:p>
        </w:tc>
      </w:tr>
      <w:tr w:rsidR="00D84719" w:rsidRPr="00D84719" w14:paraId="0119A572" w14:textId="77777777" w:rsidTr="00134B26">
        <w:trPr>
          <w:jc w:val="center"/>
        </w:trPr>
        <w:tc>
          <w:tcPr>
            <w:tcW w:w="2021" w:type="pct"/>
            <w:vMerge w:val="restart"/>
            <w:vAlign w:val="center"/>
          </w:tcPr>
          <w:p w14:paraId="504659AD" w14:textId="77777777" w:rsidR="00D84719" w:rsidRPr="00D84719" w:rsidRDefault="00D84719" w:rsidP="00D84719">
            <w:pPr>
              <w:spacing w:line="276" w:lineRule="auto"/>
              <w:jc w:val="both"/>
              <w:rPr>
                <w:color w:val="000000"/>
              </w:rPr>
            </w:pPr>
            <w:r w:rsidRPr="00D84719">
              <w:rPr>
                <w:color w:val="000000"/>
              </w:rPr>
              <w:t>polibromirani difenil eteri</w:t>
            </w:r>
          </w:p>
        </w:tc>
        <w:tc>
          <w:tcPr>
            <w:tcW w:w="1540" w:type="pct"/>
            <w:tcBorders>
              <w:bottom w:val="single" w:sz="4" w:space="0" w:color="000000"/>
            </w:tcBorders>
            <w:vAlign w:val="center"/>
          </w:tcPr>
          <w:p w14:paraId="35EB22CE" w14:textId="77777777" w:rsidR="00D84719" w:rsidRPr="00D14E86" w:rsidRDefault="00D84719" w:rsidP="00D84719">
            <w:pPr>
              <w:jc w:val="center"/>
              <w:rPr>
                <w:color w:val="000000"/>
                <w:sz w:val="20"/>
                <w:szCs w:val="14"/>
              </w:rPr>
            </w:pPr>
            <w:r w:rsidRPr="00D14E86">
              <w:rPr>
                <w:color w:val="000000"/>
                <w:sz w:val="20"/>
                <w:szCs w:val="14"/>
              </w:rPr>
              <w:t>tetrabromodifenil eter</w:t>
            </w:r>
          </w:p>
        </w:tc>
        <w:tc>
          <w:tcPr>
            <w:tcW w:w="530" w:type="pct"/>
            <w:vMerge w:val="restart"/>
            <w:vAlign w:val="center"/>
          </w:tcPr>
          <w:p w14:paraId="18A31453" w14:textId="77777777" w:rsidR="00D84719" w:rsidRPr="00CA7596" w:rsidRDefault="00D84719" w:rsidP="00D84719">
            <w:pPr>
              <w:spacing w:line="276" w:lineRule="auto"/>
              <w:jc w:val="center"/>
              <w:rPr>
                <w:color w:val="000000"/>
                <w:sz w:val="20"/>
                <w:szCs w:val="20"/>
              </w:rPr>
            </w:pPr>
            <w:r w:rsidRPr="00CA7596">
              <w:rPr>
                <w:color w:val="000000"/>
                <w:sz w:val="20"/>
                <w:szCs w:val="20"/>
              </w:rPr>
              <w:t>Preliminarni inventar</w:t>
            </w:r>
          </w:p>
        </w:tc>
        <w:tc>
          <w:tcPr>
            <w:tcW w:w="351" w:type="pct"/>
            <w:vMerge w:val="restart"/>
            <w:vAlign w:val="center"/>
          </w:tcPr>
          <w:p w14:paraId="434F85AD" w14:textId="77777777" w:rsidR="00D84719" w:rsidRPr="00CA7596" w:rsidRDefault="00D84719" w:rsidP="00D84719">
            <w:pPr>
              <w:spacing w:line="276" w:lineRule="auto"/>
              <w:jc w:val="center"/>
              <w:rPr>
                <w:color w:val="000000"/>
                <w:sz w:val="20"/>
                <w:szCs w:val="20"/>
              </w:rPr>
            </w:pPr>
            <w:r w:rsidRPr="00CA7596">
              <w:rPr>
                <w:color w:val="000000"/>
                <w:sz w:val="20"/>
                <w:szCs w:val="20"/>
              </w:rPr>
              <w:t>0</w:t>
            </w:r>
          </w:p>
        </w:tc>
        <w:tc>
          <w:tcPr>
            <w:tcW w:w="558" w:type="pct"/>
            <w:gridSpan w:val="2"/>
            <w:vMerge w:val="restart"/>
            <w:vAlign w:val="center"/>
          </w:tcPr>
          <w:p w14:paraId="5CC8094D" w14:textId="77777777" w:rsidR="00D84719" w:rsidRPr="00CA7596" w:rsidRDefault="00D84719" w:rsidP="00D84719">
            <w:pPr>
              <w:spacing w:line="276" w:lineRule="auto"/>
              <w:jc w:val="center"/>
              <w:rPr>
                <w:color w:val="000000"/>
                <w:sz w:val="20"/>
                <w:szCs w:val="20"/>
              </w:rPr>
            </w:pPr>
            <w:r w:rsidRPr="00CA7596">
              <w:rPr>
                <w:color w:val="000000"/>
                <w:sz w:val="20"/>
                <w:szCs w:val="20"/>
              </w:rPr>
              <w:t>0</w:t>
            </w:r>
          </w:p>
        </w:tc>
      </w:tr>
      <w:tr w:rsidR="00D84719" w:rsidRPr="00D84719" w14:paraId="6A83ACA1" w14:textId="77777777" w:rsidTr="00134B26">
        <w:trPr>
          <w:jc w:val="center"/>
        </w:trPr>
        <w:tc>
          <w:tcPr>
            <w:tcW w:w="2021" w:type="pct"/>
            <w:vMerge/>
            <w:vAlign w:val="center"/>
          </w:tcPr>
          <w:p w14:paraId="4FECAB0E" w14:textId="77777777" w:rsidR="00D84719" w:rsidRPr="00D84719" w:rsidRDefault="00D84719" w:rsidP="00D84719">
            <w:pPr>
              <w:jc w:val="both"/>
              <w:rPr>
                <w:color w:val="000000"/>
              </w:rPr>
            </w:pPr>
          </w:p>
        </w:tc>
        <w:tc>
          <w:tcPr>
            <w:tcW w:w="1540" w:type="pct"/>
            <w:tcBorders>
              <w:bottom w:val="single" w:sz="4" w:space="0" w:color="000000"/>
            </w:tcBorders>
            <w:vAlign w:val="center"/>
          </w:tcPr>
          <w:p w14:paraId="456B0B1C" w14:textId="77777777" w:rsidR="00D84719" w:rsidRPr="00D14E86" w:rsidRDefault="00D84719" w:rsidP="00D84719">
            <w:pPr>
              <w:jc w:val="center"/>
              <w:rPr>
                <w:color w:val="000000"/>
                <w:sz w:val="20"/>
                <w:szCs w:val="14"/>
              </w:rPr>
            </w:pPr>
            <w:r w:rsidRPr="00D14E86">
              <w:rPr>
                <w:color w:val="000000"/>
                <w:sz w:val="20"/>
                <w:szCs w:val="14"/>
              </w:rPr>
              <w:t>pentabromodifenil eter</w:t>
            </w:r>
          </w:p>
        </w:tc>
        <w:tc>
          <w:tcPr>
            <w:tcW w:w="530" w:type="pct"/>
            <w:vMerge/>
            <w:vAlign w:val="center"/>
          </w:tcPr>
          <w:p w14:paraId="3695FA01" w14:textId="77777777" w:rsidR="00D84719" w:rsidRPr="00CA7596" w:rsidRDefault="00D84719" w:rsidP="00D84719">
            <w:pPr>
              <w:jc w:val="center"/>
              <w:rPr>
                <w:color w:val="000000"/>
                <w:sz w:val="20"/>
                <w:szCs w:val="20"/>
              </w:rPr>
            </w:pPr>
          </w:p>
        </w:tc>
        <w:tc>
          <w:tcPr>
            <w:tcW w:w="351" w:type="pct"/>
            <w:vMerge/>
            <w:vAlign w:val="center"/>
          </w:tcPr>
          <w:p w14:paraId="32A4C11F" w14:textId="77777777" w:rsidR="00D84719" w:rsidRPr="00CA7596" w:rsidRDefault="00D84719" w:rsidP="00D84719">
            <w:pPr>
              <w:jc w:val="center"/>
              <w:rPr>
                <w:color w:val="000000"/>
                <w:sz w:val="20"/>
                <w:szCs w:val="20"/>
              </w:rPr>
            </w:pPr>
          </w:p>
        </w:tc>
        <w:tc>
          <w:tcPr>
            <w:tcW w:w="558" w:type="pct"/>
            <w:gridSpan w:val="2"/>
            <w:vMerge/>
            <w:vAlign w:val="center"/>
          </w:tcPr>
          <w:p w14:paraId="7591840C" w14:textId="77777777" w:rsidR="00D84719" w:rsidRPr="00CA7596" w:rsidRDefault="00D84719" w:rsidP="00D84719">
            <w:pPr>
              <w:jc w:val="center"/>
              <w:rPr>
                <w:color w:val="000000"/>
                <w:sz w:val="20"/>
                <w:szCs w:val="20"/>
              </w:rPr>
            </w:pPr>
          </w:p>
        </w:tc>
      </w:tr>
      <w:tr w:rsidR="00D84719" w:rsidRPr="00D84719" w14:paraId="4ECC7021" w14:textId="77777777" w:rsidTr="00134B26">
        <w:trPr>
          <w:jc w:val="center"/>
        </w:trPr>
        <w:tc>
          <w:tcPr>
            <w:tcW w:w="2021" w:type="pct"/>
            <w:vMerge/>
            <w:tcBorders>
              <w:bottom w:val="single" w:sz="4" w:space="0" w:color="000000"/>
            </w:tcBorders>
            <w:vAlign w:val="center"/>
          </w:tcPr>
          <w:p w14:paraId="58828875" w14:textId="77777777" w:rsidR="00D84719" w:rsidRPr="00D84719" w:rsidRDefault="00D84719" w:rsidP="00D84719">
            <w:pPr>
              <w:jc w:val="both"/>
              <w:rPr>
                <w:color w:val="000000"/>
              </w:rPr>
            </w:pPr>
          </w:p>
        </w:tc>
        <w:tc>
          <w:tcPr>
            <w:tcW w:w="1540" w:type="pct"/>
            <w:tcBorders>
              <w:bottom w:val="single" w:sz="4" w:space="0" w:color="000000"/>
            </w:tcBorders>
            <w:vAlign w:val="center"/>
          </w:tcPr>
          <w:p w14:paraId="22B9E6E5" w14:textId="77777777" w:rsidR="00D84719" w:rsidRPr="00D14E86" w:rsidRDefault="00D84719" w:rsidP="00D84719">
            <w:pPr>
              <w:jc w:val="center"/>
              <w:rPr>
                <w:color w:val="000000"/>
                <w:sz w:val="20"/>
                <w:szCs w:val="14"/>
              </w:rPr>
            </w:pPr>
            <w:r w:rsidRPr="00D14E86">
              <w:rPr>
                <w:color w:val="000000"/>
                <w:sz w:val="20"/>
                <w:szCs w:val="14"/>
              </w:rPr>
              <w:t>dekabromodifenileter</w:t>
            </w:r>
          </w:p>
        </w:tc>
        <w:tc>
          <w:tcPr>
            <w:tcW w:w="530" w:type="pct"/>
            <w:vMerge/>
            <w:tcBorders>
              <w:bottom w:val="single" w:sz="4" w:space="0" w:color="000000"/>
            </w:tcBorders>
            <w:vAlign w:val="center"/>
          </w:tcPr>
          <w:p w14:paraId="50DB925E" w14:textId="77777777" w:rsidR="00D84719" w:rsidRPr="00CA7596" w:rsidRDefault="00D84719" w:rsidP="00D84719">
            <w:pPr>
              <w:jc w:val="center"/>
              <w:rPr>
                <w:color w:val="000000"/>
                <w:sz w:val="20"/>
                <w:szCs w:val="20"/>
              </w:rPr>
            </w:pPr>
          </w:p>
        </w:tc>
        <w:tc>
          <w:tcPr>
            <w:tcW w:w="351" w:type="pct"/>
            <w:vMerge/>
            <w:tcBorders>
              <w:bottom w:val="single" w:sz="4" w:space="0" w:color="000000"/>
            </w:tcBorders>
            <w:vAlign w:val="center"/>
          </w:tcPr>
          <w:p w14:paraId="128AFC50" w14:textId="77777777" w:rsidR="00D84719" w:rsidRPr="00CA7596" w:rsidRDefault="00D84719" w:rsidP="00D84719">
            <w:pPr>
              <w:jc w:val="center"/>
              <w:rPr>
                <w:color w:val="000000"/>
                <w:sz w:val="20"/>
                <w:szCs w:val="20"/>
              </w:rPr>
            </w:pPr>
          </w:p>
        </w:tc>
        <w:tc>
          <w:tcPr>
            <w:tcW w:w="558" w:type="pct"/>
            <w:gridSpan w:val="2"/>
            <w:vMerge/>
            <w:tcBorders>
              <w:bottom w:val="single" w:sz="4" w:space="0" w:color="000000"/>
            </w:tcBorders>
            <w:vAlign w:val="center"/>
          </w:tcPr>
          <w:p w14:paraId="78FE4C92" w14:textId="77777777" w:rsidR="00D84719" w:rsidRPr="00CA7596" w:rsidRDefault="00D84719" w:rsidP="00D84719">
            <w:pPr>
              <w:jc w:val="center"/>
              <w:rPr>
                <w:color w:val="000000"/>
                <w:sz w:val="20"/>
                <w:szCs w:val="20"/>
              </w:rPr>
            </w:pPr>
          </w:p>
        </w:tc>
      </w:tr>
      <w:tr w:rsidR="00D84719" w:rsidRPr="00D84719" w14:paraId="47DAC92A" w14:textId="77777777" w:rsidTr="00134B26">
        <w:trPr>
          <w:jc w:val="center"/>
        </w:trPr>
        <w:tc>
          <w:tcPr>
            <w:tcW w:w="2021" w:type="pct"/>
            <w:tcBorders>
              <w:bottom w:val="single" w:sz="4" w:space="0" w:color="000000"/>
            </w:tcBorders>
            <w:vAlign w:val="center"/>
          </w:tcPr>
          <w:p w14:paraId="13F67BD5" w14:textId="77777777" w:rsidR="00D84719" w:rsidRPr="00D84719" w:rsidRDefault="00D84719" w:rsidP="00D84719">
            <w:pPr>
              <w:spacing w:line="276" w:lineRule="auto"/>
              <w:jc w:val="both"/>
              <w:rPr>
                <w:color w:val="000000"/>
              </w:rPr>
            </w:pPr>
            <w:r w:rsidRPr="00D84719">
              <w:rPr>
                <w:color w:val="000000"/>
              </w:rPr>
              <w:t>pentaklorobenzen</w:t>
            </w:r>
          </w:p>
        </w:tc>
        <w:tc>
          <w:tcPr>
            <w:tcW w:w="1540" w:type="pct"/>
            <w:tcBorders>
              <w:bottom w:val="single" w:sz="4" w:space="0" w:color="000000"/>
            </w:tcBorders>
            <w:vAlign w:val="center"/>
          </w:tcPr>
          <w:p w14:paraId="71F945AF" w14:textId="77777777" w:rsidR="00D84719" w:rsidRPr="00D84719" w:rsidRDefault="00D84719" w:rsidP="00D84719">
            <w:pPr>
              <w:jc w:val="center"/>
              <w:rPr>
                <w:color w:val="000000"/>
              </w:rPr>
            </w:pPr>
          </w:p>
        </w:tc>
        <w:tc>
          <w:tcPr>
            <w:tcW w:w="530" w:type="pct"/>
            <w:tcBorders>
              <w:bottom w:val="single" w:sz="4" w:space="0" w:color="000000"/>
            </w:tcBorders>
            <w:vAlign w:val="center"/>
          </w:tcPr>
          <w:p w14:paraId="02F34A55" w14:textId="77777777" w:rsidR="00D84719" w:rsidRPr="00CA7596" w:rsidRDefault="00D84719" w:rsidP="00D84719">
            <w:pPr>
              <w:spacing w:line="276" w:lineRule="auto"/>
              <w:jc w:val="center"/>
              <w:rPr>
                <w:color w:val="000000"/>
                <w:sz w:val="20"/>
                <w:szCs w:val="20"/>
              </w:rPr>
            </w:pPr>
            <w:r w:rsidRPr="00CA7596">
              <w:rPr>
                <w:color w:val="000000"/>
                <w:sz w:val="20"/>
                <w:szCs w:val="20"/>
              </w:rPr>
              <w:t>0</w:t>
            </w:r>
          </w:p>
        </w:tc>
        <w:tc>
          <w:tcPr>
            <w:tcW w:w="351" w:type="pct"/>
            <w:tcBorders>
              <w:bottom w:val="single" w:sz="4" w:space="0" w:color="000000"/>
            </w:tcBorders>
            <w:vAlign w:val="center"/>
          </w:tcPr>
          <w:p w14:paraId="4A7746D1" w14:textId="77777777" w:rsidR="00D84719" w:rsidRPr="00CA7596" w:rsidRDefault="00D84719" w:rsidP="00D84719">
            <w:pPr>
              <w:spacing w:line="276" w:lineRule="auto"/>
              <w:jc w:val="center"/>
              <w:rPr>
                <w:color w:val="000000"/>
                <w:sz w:val="20"/>
                <w:szCs w:val="20"/>
              </w:rPr>
            </w:pPr>
            <w:r w:rsidRPr="00CA7596">
              <w:rPr>
                <w:color w:val="000000"/>
                <w:sz w:val="20"/>
                <w:szCs w:val="20"/>
              </w:rPr>
              <w:t>0</w:t>
            </w:r>
          </w:p>
        </w:tc>
        <w:tc>
          <w:tcPr>
            <w:tcW w:w="558" w:type="pct"/>
            <w:gridSpan w:val="2"/>
            <w:tcBorders>
              <w:bottom w:val="single" w:sz="4" w:space="0" w:color="000000"/>
            </w:tcBorders>
            <w:vAlign w:val="center"/>
          </w:tcPr>
          <w:p w14:paraId="5CE492A6" w14:textId="77777777" w:rsidR="00D84719" w:rsidRPr="00CA7596" w:rsidRDefault="00D84719" w:rsidP="00D84719">
            <w:pPr>
              <w:spacing w:line="276" w:lineRule="auto"/>
              <w:jc w:val="center"/>
              <w:rPr>
                <w:color w:val="000000"/>
                <w:sz w:val="20"/>
                <w:szCs w:val="20"/>
              </w:rPr>
            </w:pPr>
            <w:r w:rsidRPr="00CA7596">
              <w:rPr>
                <w:color w:val="000000"/>
                <w:sz w:val="20"/>
                <w:szCs w:val="20"/>
              </w:rPr>
              <w:t>0</w:t>
            </w:r>
          </w:p>
        </w:tc>
      </w:tr>
      <w:tr w:rsidR="00D84719" w:rsidRPr="00D84719" w14:paraId="09358A36" w14:textId="77777777" w:rsidTr="00134B26">
        <w:trPr>
          <w:jc w:val="center"/>
        </w:trPr>
        <w:tc>
          <w:tcPr>
            <w:tcW w:w="2021" w:type="pct"/>
            <w:tcBorders>
              <w:bottom w:val="single" w:sz="4" w:space="0" w:color="000000"/>
            </w:tcBorders>
            <w:vAlign w:val="center"/>
          </w:tcPr>
          <w:p w14:paraId="2F642873" w14:textId="77777777" w:rsidR="00D84719" w:rsidRPr="00D84719" w:rsidRDefault="00D84719" w:rsidP="00D84719">
            <w:pPr>
              <w:spacing w:line="276" w:lineRule="auto"/>
              <w:jc w:val="both"/>
              <w:rPr>
                <w:color w:val="000000"/>
              </w:rPr>
            </w:pPr>
            <w:r w:rsidRPr="00D84719">
              <w:rPr>
                <w:color w:val="000000"/>
              </w:rPr>
              <w:t>heksabromociklododekan</w:t>
            </w:r>
          </w:p>
        </w:tc>
        <w:tc>
          <w:tcPr>
            <w:tcW w:w="1540" w:type="pct"/>
            <w:tcBorders>
              <w:bottom w:val="single" w:sz="4" w:space="0" w:color="000000"/>
            </w:tcBorders>
            <w:vAlign w:val="center"/>
          </w:tcPr>
          <w:p w14:paraId="3070959A" w14:textId="77777777" w:rsidR="00D84719" w:rsidRPr="00D84719" w:rsidRDefault="00D84719" w:rsidP="00D84719">
            <w:pPr>
              <w:jc w:val="center"/>
              <w:rPr>
                <w:color w:val="000000"/>
              </w:rPr>
            </w:pPr>
          </w:p>
        </w:tc>
        <w:tc>
          <w:tcPr>
            <w:tcW w:w="530" w:type="pct"/>
            <w:tcBorders>
              <w:bottom w:val="single" w:sz="4" w:space="0" w:color="000000"/>
            </w:tcBorders>
            <w:vAlign w:val="center"/>
          </w:tcPr>
          <w:p w14:paraId="6A27F5E8" w14:textId="77777777" w:rsidR="00D84719" w:rsidRPr="00CA7596" w:rsidRDefault="00D84719" w:rsidP="00D84719">
            <w:pPr>
              <w:spacing w:line="276" w:lineRule="auto"/>
              <w:jc w:val="center"/>
              <w:rPr>
                <w:color w:val="000000"/>
                <w:sz w:val="20"/>
                <w:szCs w:val="20"/>
              </w:rPr>
            </w:pPr>
            <w:r w:rsidRPr="00CA7596">
              <w:rPr>
                <w:color w:val="000000"/>
                <w:sz w:val="20"/>
                <w:szCs w:val="20"/>
              </w:rPr>
              <w:t>0</w:t>
            </w:r>
          </w:p>
        </w:tc>
        <w:tc>
          <w:tcPr>
            <w:tcW w:w="351" w:type="pct"/>
            <w:tcBorders>
              <w:bottom w:val="single" w:sz="4" w:space="0" w:color="000000"/>
            </w:tcBorders>
            <w:vAlign w:val="center"/>
          </w:tcPr>
          <w:p w14:paraId="1A11B1A1" w14:textId="77777777" w:rsidR="00D84719" w:rsidRPr="00CA7596" w:rsidRDefault="00D84719" w:rsidP="00D84719">
            <w:pPr>
              <w:spacing w:line="276" w:lineRule="auto"/>
              <w:jc w:val="center"/>
              <w:rPr>
                <w:color w:val="000000"/>
                <w:sz w:val="20"/>
                <w:szCs w:val="20"/>
              </w:rPr>
            </w:pPr>
            <w:r w:rsidRPr="00CA7596">
              <w:rPr>
                <w:color w:val="000000"/>
                <w:sz w:val="20"/>
                <w:szCs w:val="20"/>
              </w:rPr>
              <w:t>0</w:t>
            </w:r>
          </w:p>
        </w:tc>
        <w:tc>
          <w:tcPr>
            <w:tcW w:w="558" w:type="pct"/>
            <w:gridSpan w:val="2"/>
            <w:tcBorders>
              <w:bottom w:val="single" w:sz="4" w:space="0" w:color="000000"/>
            </w:tcBorders>
            <w:vAlign w:val="center"/>
          </w:tcPr>
          <w:p w14:paraId="33D839FE" w14:textId="77777777" w:rsidR="00D84719" w:rsidRPr="00CA7596" w:rsidRDefault="00D84719" w:rsidP="00D84719">
            <w:pPr>
              <w:spacing w:line="276" w:lineRule="auto"/>
              <w:jc w:val="center"/>
              <w:rPr>
                <w:color w:val="000000"/>
                <w:sz w:val="20"/>
                <w:szCs w:val="20"/>
              </w:rPr>
            </w:pPr>
            <w:r w:rsidRPr="00CA7596">
              <w:rPr>
                <w:color w:val="000000"/>
                <w:sz w:val="20"/>
                <w:szCs w:val="20"/>
              </w:rPr>
              <w:t>0</w:t>
            </w:r>
          </w:p>
        </w:tc>
      </w:tr>
      <w:tr w:rsidR="00D84719" w:rsidRPr="00D84719" w14:paraId="45CAB6FC" w14:textId="77777777" w:rsidTr="00134B26">
        <w:trPr>
          <w:jc w:val="center"/>
        </w:trPr>
        <w:tc>
          <w:tcPr>
            <w:tcW w:w="2021" w:type="pct"/>
            <w:tcBorders>
              <w:bottom w:val="single" w:sz="4" w:space="0" w:color="000000"/>
            </w:tcBorders>
            <w:vAlign w:val="center"/>
          </w:tcPr>
          <w:p w14:paraId="6603F149" w14:textId="77777777" w:rsidR="00D84719" w:rsidRPr="00D84719" w:rsidRDefault="00D84719" w:rsidP="00D84719">
            <w:pPr>
              <w:spacing w:line="276" w:lineRule="auto"/>
              <w:jc w:val="both"/>
              <w:rPr>
                <w:color w:val="000000"/>
              </w:rPr>
            </w:pPr>
            <w:r w:rsidRPr="00D84719">
              <w:rPr>
                <w:color w:val="000000"/>
              </w:rPr>
              <w:t>heksaklorobutadien</w:t>
            </w:r>
          </w:p>
        </w:tc>
        <w:tc>
          <w:tcPr>
            <w:tcW w:w="1540" w:type="pct"/>
            <w:tcBorders>
              <w:bottom w:val="single" w:sz="4" w:space="0" w:color="000000"/>
            </w:tcBorders>
            <w:vAlign w:val="center"/>
          </w:tcPr>
          <w:p w14:paraId="404C7C26" w14:textId="77777777" w:rsidR="00D84719" w:rsidRPr="00D84719" w:rsidRDefault="00D84719" w:rsidP="00D84719">
            <w:pPr>
              <w:jc w:val="center"/>
              <w:rPr>
                <w:color w:val="000000"/>
              </w:rPr>
            </w:pPr>
          </w:p>
        </w:tc>
        <w:tc>
          <w:tcPr>
            <w:tcW w:w="530" w:type="pct"/>
            <w:tcBorders>
              <w:bottom w:val="single" w:sz="4" w:space="0" w:color="000000"/>
            </w:tcBorders>
            <w:vAlign w:val="center"/>
          </w:tcPr>
          <w:p w14:paraId="51439698" w14:textId="77777777" w:rsidR="00D84719" w:rsidRPr="00CA7596" w:rsidRDefault="00D84719" w:rsidP="00D84719">
            <w:pPr>
              <w:spacing w:line="276" w:lineRule="auto"/>
              <w:jc w:val="center"/>
              <w:rPr>
                <w:color w:val="000000"/>
                <w:sz w:val="20"/>
                <w:szCs w:val="20"/>
              </w:rPr>
            </w:pPr>
            <w:r w:rsidRPr="00CA7596">
              <w:rPr>
                <w:color w:val="000000"/>
                <w:sz w:val="20"/>
                <w:szCs w:val="20"/>
              </w:rPr>
              <w:t>0</w:t>
            </w:r>
          </w:p>
        </w:tc>
        <w:tc>
          <w:tcPr>
            <w:tcW w:w="351" w:type="pct"/>
            <w:tcBorders>
              <w:bottom w:val="single" w:sz="4" w:space="0" w:color="000000"/>
            </w:tcBorders>
            <w:vAlign w:val="center"/>
          </w:tcPr>
          <w:p w14:paraId="28F5286D" w14:textId="77777777" w:rsidR="00D84719" w:rsidRPr="00CA7596" w:rsidRDefault="00D84719" w:rsidP="00D84719">
            <w:pPr>
              <w:spacing w:line="276" w:lineRule="auto"/>
              <w:jc w:val="center"/>
              <w:rPr>
                <w:color w:val="000000"/>
                <w:sz w:val="20"/>
                <w:szCs w:val="20"/>
              </w:rPr>
            </w:pPr>
            <w:r w:rsidRPr="00CA7596">
              <w:rPr>
                <w:color w:val="000000"/>
                <w:sz w:val="20"/>
                <w:szCs w:val="20"/>
              </w:rPr>
              <w:t>0</w:t>
            </w:r>
          </w:p>
        </w:tc>
        <w:tc>
          <w:tcPr>
            <w:tcW w:w="558" w:type="pct"/>
            <w:gridSpan w:val="2"/>
            <w:tcBorders>
              <w:bottom w:val="single" w:sz="4" w:space="0" w:color="000000"/>
            </w:tcBorders>
            <w:vAlign w:val="center"/>
          </w:tcPr>
          <w:p w14:paraId="601CA3F4" w14:textId="77777777" w:rsidR="00D84719" w:rsidRPr="00CA7596" w:rsidRDefault="00D84719" w:rsidP="00D84719">
            <w:pPr>
              <w:spacing w:line="276" w:lineRule="auto"/>
              <w:jc w:val="center"/>
              <w:rPr>
                <w:color w:val="000000"/>
                <w:sz w:val="20"/>
                <w:szCs w:val="20"/>
              </w:rPr>
            </w:pPr>
            <w:r w:rsidRPr="00CA7596">
              <w:rPr>
                <w:color w:val="000000"/>
                <w:sz w:val="20"/>
                <w:szCs w:val="20"/>
              </w:rPr>
              <w:t>0</w:t>
            </w:r>
          </w:p>
        </w:tc>
      </w:tr>
      <w:tr w:rsidR="00D84719" w:rsidRPr="00D84719" w14:paraId="04FB2997" w14:textId="77777777" w:rsidTr="00134B26">
        <w:trPr>
          <w:jc w:val="center"/>
        </w:trPr>
        <w:tc>
          <w:tcPr>
            <w:tcW w:w="2021" w:type="pct"/>
            <w:tcBorders>
              <w:bottom w:val="single" w:sz="4" w:space="0" w:color="000000"/>
            </w:tcBorders>
            <w:vAlign w:val="center"/>
          </w:tcPr>
          <w:p w14:paraId="0CDAB83E" w14:textId="77777777" w:rsidR="00D84719" w:rsidRPr="00D84719" w:rsidRDefault="00D84719" w:rsidP="00D84719">
            <w:pPr>
              <w:spacing w:line="276" w:lineRule="auto"/>
              <w:jc w:val="both"/>
              <w:rPr>
                <w:color w:val="000000"/>
              </w:rPr>
            </w:pPr>
            <w:r w:rsidRPr="00D84719">
              <w:rPr>
                <w:color w:val="000000"/>
              </w:rPr>
              <w:t>poliklorirani naftaleni</w:t>
            </w:r>
          </w:p>
        </w:tc>
        <w:tc>
          <w:tcPr>
            <w:tcW w:w="1540" w:type="pct"/>
            <w:tcBorders>
              <w:bottom w:val="single" w:sz="4" w:space="0" w:color="000000"/>
            </w:tcBorders>
            <w:vAlign w:val="center"/>
          </w:tcPr>
          <w:p w14:paraId="3DDADC12" w14:textId="77777777" w:rsidR="00D84719" w:rsidRPr="00D84719" w:rsidRDefault="00D84719" w:rsidP="00D84719">
            <w:pPr>
              <w:jc w:val="center"/>
              <w:rPr>
                <w:color w:val="000000"/>
              </w:rPr>
            </w:pPr>
          </w:p>
        </w:tc>
        <w:tc>
          <w:tcPr>
            <w:tcW w:w="530" w:type="pct"/>
            <w:tcBorders>
              <w:bottom w:val="single" w:sz="4" w:space="0" w:color="000000"/>
            </w:tcBorders>
            <w:vAlign w:val="center"/>
          </w:tcPr>
          <w:p w14:paraId="10396533" w14:textId="77777777" w:rsidR="00D84719" w:rsidRPr="00CA7596" w:rsidRDefault="00D84719" w:rsidP="00D84719">
            <w:pPr>
              <w:spacing w:line="276" w:lineRule="auto"/>
              <w:jc w:val="center"/>
              <w:rPr>
                <w:color w:val="000000"/>
                <w:sz w:val="20"/>
                <w:szCs w:val="20"/>
              </w:rPr>
            </w:pPr>
            <w:r w:rsidRPr="00CA7596">
              <w:rPr>
                <w:color w:val="000000"/>
                <w:sz w:val="20"/>
                <w:szCs w:val="20"/>
              </w:rPr>
              <w:t>0</w:t>
            </w:r>
          </w:p>
        </w:tc>
        <w:tc>
          <w:tcPr>
            <w:tcW w:w="351" w:type="pct"/>
            <w:tcBorders>
              <w:bottom w:val="single" w:sz="4" w:space="0" w:color="000000"/>
            </w:tcBorders>
            <w:vAlign w:val="center"/>
          </w:tcPr>
          <w:p w14:paraId="04EC1405" w14:textId="77777777" w:rsidR="00D84719" w:rsidRPr="00CA7596" w:rsidRDefault="00D84719" w:rsidP="00D84719">
            <w:pPr>
              <w:spacing w:line="276" w:lineRule="auto"/>
              <w:jc w:val="center"/>
              <w:rPr>
                <w:color w:val="000000"/>
                <w:sz w:val="20"/>
                <w:szCs w:val="20"/>
              </w:rPr>
            </w:pPr>
            <w:r w:rsidRPr="00CA7596">
              <w:rPr>
                <w:color w:val="000000"/>
                <w:sz w:val="20"/>
                <w:szCs w:val="20"/>
              </w:rPr>
              <w:t>0</w:t>
            </w:r>
          </w:p>
        </w:tc>
        <w:tc>
          <w:tcPr>
            <w:tcW w:w="558" w:type="pct"/>
            <w:gridSpan w:val="2"/>
            <w:tcBorders>
              <w:bottom w:val="single" w:sz="4" w:space="0" w:color="000000"/>
            </w:tcBorders>
            <w:vAlign w:val="center"/>
          </w:tcPr>
          <w:p w14:paraId="6FC8CA06" w14:textId="77777777" w:rsidR="00D84719" w:rsidRPr="00CA7596" w:rsidRDefault="00D84719" w:rsidP="00D84719">
            <w:pPr>
              <w:spacing w:line="276" w:lineRule="auto"/>
              <w:jc w:val="center"/>
              <w:rPr>
                <w:color w:val="000000"/>
                <w:sz w:val="20"/>
                <w:szCs w:val="20"/>
              </w:rPr>
            </w:pPr>
            <w:r w:rsidRPr="00CA7596">
              <w:rPr>
                <w:color w:val="000000"/>
                <w:sz w:val="20"/>
                <w:szCs w:val="20"/>
              </w:rPr>
              <w:t>0</w:t>
            </w:r>
          </w:p>
        </w:tc>
      </w:tr>
      <w:tr w:rsidR="00D84719" w:rsidRPr="00D84719" w14:paraId="6BC63A55" w14:textId="77777777" w:rsidTr="00134B26">
        <w:trPr>
          <w:jc w:val="center"/>
        </w:trPr>
        <w:tc>
          <w:tcPr>
            <w:tcW w:w="2021" w:type="pct"/>
            <w:tcBorders>
              <w:bottom w:val="single" w:sz="4" w:space="0" w:color="000000"/>
            </w:tcBorders>
            <w:vAlign w:val="center"/>
          </w:tcPr>
          <w:p w14:paraId="32773E6D" w14:textId="77777777" w:rsidR="00D84719" w:rsidRPr="00D84719" w:rsidRDefault="00D84719" w:rsidP="00D84719">
            <w:pPr>
              <w:spacing w:line="276" w:lineRule="auto"/>
              <w:jc w:val="both"/>
              <w:rPr>
                <w:color w:val="000000"/>
              </w:rPr>
            </w:pPr>
            <w:r w:rsidRPr="00D84719">
              <w:rPr>
                <w:color w:val="000000"/>
              </w:rPr>
              <w:t>kratkolančani klorirani parafini</w:t>
            </w:r>
          </w:p>
        </w:tc>
        <w:tc>
          <w:tcPr>
            <w:tcW w:w="1540" w:type="pct"/>
            <w:tcBorders>
              <w:bottom w:val="single" w:sz="4" w:space="0" w:color="000000"/>
            </w:tcBorders>
            <w:vAlign w:val="center"/>
          </w:tcPr>
          <w:p w14:paraId="23A2BAC2" w14:textId="77777777" w:rsidR="00D84719" w:rsidRPr="00D84719" w:rsidRDefault="00D84719" w:rsidP="00D84719">
            <w:pPr>
              <w:jc w:val="center"/>
              <w:rPr>
                <w:color w:val="000000"/>
              </w:rPr>
            </w:pPr>
          </w:p>
        </w:tc>
        <w:tc>
          <w:tcPr>
            <w:tcW w:w="530" w:type="pct"/>
            <w:tcBorders>
              <w:bottom w:val="single" w:sz="4" w:space="0" w:color="000000"/>
            </w:tcBorders>
            <w:vAlign w:val="center"/>
          </w:tcPr>
          <w:p w14:paraId="34E3722E" w14:textId="77777777" w:rsidR="00D84719" w:rsidRPr="00CA7596" w:rsidRDefault="00D84719" w:rsidP="00D84719">
            <w:pPr>
              <w:spacing w:line="276" w:lineRule="auto"/>
              <w:jc w:val="center"/>
              <w:rPr>
                <w:color w:val="000000"/>
                <w:sz w:val="20"/>
                <w:szCs w:val="20"/>
              </w:rPr>
            </w:pPr>
            <w:r w:rsidRPr="00CA7596">
              <w:rPr>
                <w:color w:val="000000"/>
                <w:sz w:val="20"/>
                <w:szCs w:val="20"/>
              </w:rPr>
              <w:t>0</w:t>
            </w:r>
          </w:p>
        </w:tc>
        <w:tc>
          <w:tcPr>
            <w:tcW w:w="351" w:type="pct"/>
            <w:tcBorders>
              <w:bottom w:val="single" w:sz="4" w:space="0" w:color="000000"/>
            </w:tcBorders>
            <w:vAlign w:val="center"/>
          </w:tcPr>
          <w:p w14:paraId="14A0100D" w14:textId="77777777" w:rsidR="00D84719" w:rsidRPr="00CA7596" w:rsidRDefault="00D84719" w:rsidP="00D84719">
            <w:pPr>
              <w:spacing w:line="276" w:lineRule="auto"/>
              <w:jc w:val="center"/>
              <w:rPr>
                <w:color w:val="000000"/>
                <w:sz w:val="20"/>
                <w:szCs w:val="20"/>
              </w:rPr>
            </w:pPr>
            <w:r w:rsidRPr="00CA7596">
              <w:rPr>
                <w:color w:val="000000"/>
                <w:sz w:val="20"/>
                <w:szCs w:val="20"/>
              </w:rPr>
              <w:t>0</w:t>
            </w:r>
          </w:p>
        </w:tc>
        <w:tc>
          <w:tcPr>
            <w:tcW w:w="558" w:type="pct"/>
            <w:gridSpan w:val="2"/>
            <w:tcBorders>
              <w:bottom w:val="single" w:sz="4" w:space="0" w:color="000000"/>
            </w:tcBorders>
            <w:vAlign w:val="center"/>
          </w:tcPr>
          <w:p w14:paraId="5B94852F" w14:textId="77777777" w:rsidR="00D84719" w:rsidRPr="00CA7596" w:rsidRDefault="00D84719" w:rsidP="00D84719">
            <w:pPr>
              <w:spacing w:line="276" w:lineRule="auto"/>
              <w:jc w:val="center"/>
              <w:rPr>
                <w:color w:val="000000"/>
                <w:sz w:val="20"/>
                <w:szCs w:val="20"/>
              </w:rPr>
            </w:pPr>
            <w:r w:rsidRPr="00CA7596">
              <w:rPr>
                <w:color w:val="000000"/>
                <w:sz w:val="20"/>
                <w:szCs w:val="20"/>
              </w:rPr>
              <w:t>0</w:t>
            </w:r>
          </w:p>
        </w:tc>
      </w:tr>
      <w:tr w:rsidR="00134B26" w:rsidRPr="00D84719" w14:paraId="1F0594FD" w14:textId="77777777" w:rsidTr="00134B26">
        <w:trPr>
          <w:trHeight w:val="405"/>
          <w:jc w:val="center"/>
        </w:trPr>
        <w:tc>
          <w:tcPr>
            <w:tcW w:w="2021" w:type="pct"/>
            <w:tcBorders>
              <w:bottom w:val="single" w:sz="4" w:space="0" w:color="000000"/>
            </w:tcBorders>
            <w:shd w:val="clear" w:color="auto" w:fill="BFBFBF"/>
            <w:vAlign w:val="center"/>
          </w:tcPr>
          <w:p w14:paraId="2EB8BC0D" w14:textId="77777777" w:rsidR="00D84719" w:rsidRPr="00D84719" w:rsidRDefault="00D84719" w:rsidP="00D84719">
            <w:pPr>
              <w:spacing w:line="276" w:lineRule="auto"/>
              <w:jc w:val="both"/>
              <w:rPr>
                <w:color w:val="000000"/>
              </w:rPr>
            </w:pPr>
            <w:r w:rsidRPr="00D84719">
              <w:rPr>
                <w:color w:val="000000"/>
              </w:rPr>
              <w:lastRenderedPageBreak/>
              <w:t>perfluorooktan sulfonska kiselina, njezine soli i perfluorooktan sulfonil fluorid</w:t>
            </w:r>
          </w:p>
        </w:tc>
        <w:tc>
          <w:tcPr>
            <w:tcW w:w="1540" w:type="pct"/>
            <w:tcBorders>
              <w:bottom w:val="single" w:sz="4" w:space="0" w:color="000000"/>
            </w:tcBorders>
            <w:shd w:val="clear" w:color="auto" w:fill="BFBFBF"/>
            <w:vAlign w:val="center"/>
          </w:tcPr>
          <w:p w14:paraId="00130B3B" w14:textId="77777777" w:rsidR="00D84719" w:rsidRPr="00D84719" w:rsidRDefault="00D84719" w:rsidP="00D84719">
            <w:pPr>
              <w:jc w:val="center"/>
              <w:rPr>
                <w:color w:val="000000"/>
              </w:rPr>
            </w:pPr>
          </w:p>
        </w:tc>
        <w:tc>
          <w:tcPr>
            <w:tcW w:w="530" w:type="pct"/>
            <w:tcBorders>
              <w:bottom w:val="single" w:sz="4" w:space="0" w:color="000000"/>
            </w:tcBorders>
            <w:shd w:val="clear" w:color="auto" w:fill="BFBFBF"/>
            <w:vAlign w:val="center"/>
          </w:tcPr>
          <w:p w14:paraId="75A27500" w14:textId="77777777" w:rsidR="00D84719" w:rsidRPr="00D84719" w:rsidRDefault="00D84719" w:rsidP="00D84719">
            <w:pPr>
              <w:spacing w:line="276" w:lineRule="auto"/>
              <w:jc w:val="center"/>
              <w:rPr>
                <w:color w:val="000000"/>
              </w:rPr>
            </w:pPr>
          </w:p>
        </w:tc>
        <w:tc>
          <w:tcPr>
            <w:tcW w:w="351" w:type="pct"/>
            <w:tcBorders>
              <w:bottom w:val="single" w:sz="4" w:space="0" w:color="000000"/>
            </w:tcBorders>
            <w:shd w:val="clear" w:color="auto" w:fill="BFBFBF"/>
            <w:vAlign w:val="center"/>
          </w:tcPr>
          <w:p w14:paraId="746F8566" w14:textId="77777777" w:rsidR="00D84719" w:rsidRPr="00D84719" w:rsidRDefault="00D84719" w:rsidP="00D84719">
            <w:pPr>
              <w:spacing w:line="276" w:lineRule="auto"/>
              <w:jc w:val="center"/>
              <w:rPr>
                <w:color w:val="000000"/>
              </w:rPr>
            </w:pPr>
          </w:p>
        </w:tc>
        <w:tc>
          <w:tcPr>
            <w:tcW w:w="558" w:type="pct"/>
            <w:gridSpan w:val="2"/>
            <w:tcBorders>
              <w:bottom w:val="single" w:sz="4" w:space="0" w:color="000000"/>
            </w:tcBorders>
            <w:shd w:val="clear" w:color="auto" w:fill="BFBFBF"/>
            <w:vAlign w:val="center"/>
          </w:tcPr>
          <w:p w14:paraId="755D8007" w14:textId="77777777" w:rsidR="00D84719" w:rsidRPr="00D84719" w:rsidRDefault="00D84719" w:rsidP="00D84719">
            <w:pPr>
              <w:spacing w:line="276" w:lineRule="auto"/>
              <w:jc w:val="center"/>
              <w:rPr>
                <w:color w:val="000000"/>
              </w:rPr>
            </w:pPr>
          </w:p>
        </w:tc>
      </w:tr>
      <w:tr w:rsidR="00134B26" w:rsidRPr="00D84719" w14:paraId="743F1CE7" w14:textId="77777777" w:rsidTr="00134B26">
        <w:trPr>
          <w:jc w:val="center"/>
        </w:trPr>
        <w:tc>
          <w:tcPr>
            <w:tcW w:w="3561" w:type="pct"/>
            <w:gridSpan w:val="2"/>
            <w:shd w:val="clear" w:color="auto" w:fill="F2F2F2"/>
            <w:vAlign w:val="center"/>
          </w:tcPr>
          <w:p w14:paraId="34317EE9" w14:textId="77777777" w:rsidR="00D84719" w:rsidRPr="002462BE" w:rsidRDefault="00D84719" w:rsidP="00D84719">
            <w:pPr>
              <w:jc w:val="center"/>
              <w:rPr>
                <w:b/>
                <w:bCs/>
                <w:color w:val="000000"/>
                <w:sz w:val="22"/>
                <w:szCs w:val="20"/>
              </w:rPr>
            </w:pPr>
            <w:r w:rsidRPr="002462BE">
              <w:rPr>
                <w:b/>
                <w:bCs/>
                <w:i/>
                <w:iCs/>
                <w:smallCaps/>
                <w:color w:val="000000"/>
                <w:sz w:val="22"/>
                <w:szCs w:val="20"/>
              </w:rPr>
              <w:t>Proizvodnja (tona)</w:t>
            </w:r>
          </w:p>
        </w:tc>
        <w:tc>
          <w:tcPr>
            <w:tcW w:w="530" w:type="pct"/>
            <w:shd w:val="clear" w:color="auto" w:fill="F2F2F2"/>
            <w:vAlign w:val="center"/>
          </w:tcPr>
          <w:p w14:paraId="69DE71AE" w14:textId="77777777" w:rsidR="00D84719" w:rsidRPr="00CA7596" w:rsidRDefault="00D84719" w:rsidP="00D84719">
            <w:pPr>
              <w:spacing w:line="276" w:lineRule="auto"/>
              <w:jc w:val="center"/>
              <w:rPr>
                <w:b/>
                <w:bCs/>
                <w:i/>
                <w:iCs/>
                <w:color w:val="000000"/>
                <w:sz w:val="20"/>
                <w:szCs w:val="20"/>
              </w:rPr>
            </w:pPr>
            <w:r w:rsidRPr="00CA7596">
              <w:rPr>
                <w:b/>
                <w:bCs/>
                <w:i/>
                <w:iCs/>
                <w:color w:val="000000"/>
                <w:sz w:val="20"/>
                <w:szCs w:val="20"/>
              </w:rPr>
              <w:t>0</w:t>
            </w:r>
          </w:p>
        </w:tc>
        <w:tc>
          <w:tcPr>
            <w:tcW w:w="351" w:type="pct"/>
            <w:shd w:val="clear" w:color="auto" w:fill="F2F2F2"/>
            <w:vAlign w:val="center"/>
          </w:tcPr>
          <w:p w14:paraId="15BC1387" w14:textId="77777777" w:rsidR="00D84719" w:rsidRPr="00CA7596" w:rsidRDefault="00D84719" w:rsidP="00D84719">
            <w:pPr>
              <w:spacing w:line="276" w:lineRule="auto"/>
              <w:jc w:val="center"/>
              <w:rPr>
                <w:b/>
                <w:bCs/>
                <w:i/>
                <w:iCs/>
                <w:color w:val="000000"/>
                <w:sz w:val="20"/>
                <w:szCs w:val="20"/>
              </w:rPr>
            </w:pPr>
            <w:r w:rsidRPr="00CA7596">
              <w:rPr>
                <w:b/>
                <w:bCs/>
                <w:i/>
                <w:iCs/>
                <w:color w:val="000000"/>
                <w:sz w:val="20"/>
                <w:szCs w:val="20"/>
              </w:rPr>
              <w:t>0</w:t>
            </w:r>
          </w:p>
        </w:tc>
        <w:tc>
          <w:tcPr>
            <w:tcW w:w="558" w:type="pct"/>
            <w:gridSpan w:val="2"/>
            <w:shd w:val="clear" w:color="auto" w:fill="F2F2F2"/>
            <w:vAlign w:val="center"/>
          </w:tcPr>
          <w:p w14:paraId="6B45EA6C" w14:textId="77777777" w:rsidR="00D84719" w:rsidRPr="00CA7596" w:rsidRDefault="00D84719" w:rsidP="00D84719">
            <w:pPr>
              <w:spacing w:line="276" w:lineRule="auto"/>
              <w:jc w:val="center"/>
              <w:rPr>
                <w:b/>
                <w:bCs/>
                <w:i/>
                <w:iCs/>
                <w:color w:val="000000"/>
                <w:sz w:val="20"/>
                <w:szCs w:val="20"/>
              </w:rPr>
            </w:pPr>
            <w:r w:rsidRPr="00CA7596">
              <w:rPr>
                <w:b/>
                <w:bCs/>
                <w:i/>
                <w:iCs/>
                <w:color w:val="000000"/>
                <w:sz w:val="20"/>
                <w:szCs w:val="20"/>
              </w:rPr>
              <w:t>0</w:t>
            </w:r>
          </w:p>
        </w:tc>
      </w:tr>
      <w:tr w:rsidR="00134B26" w:rsidRPr="00D84719" w14:paraId="7AC484E5" w14:textId="77777777" w:rsidTr="00134B26">
        <w:trPr>
          <w:jc w:val="center"/>
        </w:trPr>
        <w:tc>
          <w:tcPr>
            <w:tcW w:w="3561" w:type="pct"/>
            <w:gridSpan w:val="2"/>
            <w:tcBorders>
              <w:bottom w:val="single" w:sz="4" w:space="0" w:color="000000"/>
            </w:tcBorders>
            <w:shd w:val="clear" w:color="auto" w:fill="F2F2F2"/>
            <w:vAlign w:val="center"/>
          </w:tcPr>
          <w:p w14:paraId="3444CADF" w14:textId="77777777" w:rsidR="00D84719" w:rsidRPr="002462BE" w:rsidRDefault="00D84719" w:rsidP="00D84719">
            <w:pPr>
              <w:jc w:val="center"/>
              <w:rPr>
                <w:b/>
                <w:bCs/>
                <w:color w:val="000000"/>
                <w:sz w:val="22"/>
                <w:szCs w:val="20"/>
              </w:rPr>
            </w:pPr>
            <w:r w:rsidRPr="002462BE">
              <w:rPr>
                <w:b/>
                <w:bCs/>
                <w:i/>
                <w:iCs/>
                <w:smallCaps/>
                <w:color w:val="000000"/>
                <w:sz w:val="22"/>
                <w:szCs w:val="20"/>
              </w:rPr>
              <w:t>Zalihe/uporaba (tona)</w:t>
            </w:r>
          </w:p>
        </w:tc>
        <w:tc>
          <w:tcPr>
            <w:tcW w:w="530" w:type="pct"/>
            <w:tcBorders>
              <w:bottom w:val="single" w:sz="4" w:space="0" w:color="000000"/>
            </w:tcBorders>
            <w:shd w:val="clear" w:color="auto" w:fill="F2F2F2"/>
            <w:vAlign w:val="center"/>
          </w:tcPr>
          <w:p w14:paraId="4E2797B7" w14:textId="77777777" w:rsidR="00D84719" w:rsidRPr="00CA7596" w:rsidRDefault="00D84719" w:rsidP="00D84719">
            <w:pPr>
              <w:spacing w:line="276" w:lineRule="auto"/>
              <w:jc w:val="center"/>
              <w:rPr>
                <w:b/>
                <w:bCs/>
                <w:i/>
                <w:iCs/>
                <w:color w:val="000000"/>
                <w:sz w:val="20"/>
                <w:szCs w:val="20"/>
              </w:rPr>
            </w:pPr>
            <w:r w:rsidRPr="00CA7596">
              <w:rPr>
                <w:b/>
                <w:bCs/>
                <w:i/>
                <w:iCs/>
                <w:color w:val="000000"/>
                <w:sz w:val="20"/>
                <w:szCs w:val="20"/>
              </w:rPr>
              <w:t>0</w:t>
            </w:r>
          </w:p>
        </w:tc>
        <w:tc>
          <w:tcPr>
            <w:tcW w:w="351" w:type="pct"/>
            <w:tcBorders>
              <w:bottom w:val="single" w:sz="4" w:space="0" w:color="000000"/>
            </w:tcBorders>
            <w:shd w:val="clear" w:color="auto" w:fill="F2F2F2"/>
            <w:vAlign w:val="center"/>
          </w:tcPr>
          <w:p w14:paraId="5FF424FD" w14:textId="77777777" w:rsidR="00D84719" w:rsidRPr="00CA7596" w:rsidRDefault="00D84719" w:rsidP="00D84719">
            <w:pPr>
              <w:spacing w:line="276" w:lineRule="auto"/>
              <w:jc w:val="center"/>
              <w:rPr>
                <w:b/>
                <w:bCs/>
                <w:i/>
                <w:iCs/>
                <w:color w:val="000000"/>
                <w:sz w:val="20"/>
                <w:szCs w:val="20"/>
              </w:rPr>
            </w:pPr>
            <w:r w:rsidRPr="00CA7596">
              <w:rPr>
                <w:b/>
                <w:bCs/>
                <w:i/>
                <w:iCs/>
                <w:color w:val="000000"/>
                <w:sz w:val="20"/>
                <w:szCs w:val="20"/>
              </w:rPr>
              <w:t>0</w:t>
            </w:r>
          </w:p>
        </w:tc>
        <w:tc>
          <w:tcPr>
            <w:tcW w:w="558" w:type="pct"/>
            <w:gridSpan w:val="2"/>
            <w:tcBorders>
              <w:bottom w:val="single" w:sz="4" w:space="0" w:color="000000"/>
            </w:tcBorders>
            <w:shd w:val="clear" w:color="auto" w:fill="F2F2F2"/>
            <w:vAlign w:val="center"/>
          </w:tcPr>
          <w:p w14:paraId="343BF220" w14:textId="77777777" w:rsidR="00D84719" w:rsidRPr="00CA7596" w:rsidRDefault="00D84719" w:rsidP="00D84719">
            <w:pPr>
              <w:spacing w:line="276" w:lineRule="auto"/>
              <w:jc w:val="center"/>
              <w:rPr>
                <w:b/>
                <w:bCs/>
                <w:i/>
                <w:iCs/>
                <w:color w:val="000000"/>
                <w:sz w:val="20"/>
                <w:szCs w:val="20"/>
              </w:rPr>
            </w:pPr>
            <w:r w:rsidRPr="00CA7596">
              <w:rPr>
                <w:b/>
                <w:bCs/>
                <w:i/>
                <w:iCs/>
                <w:color w:val="000000"/>
                <w:sz w:val="20"/>
                <w:szCs w:val="20"/>
              </w:rPr>
              <w:t>0</w:t>
            </w:r>
          </w:p>
        </w:tc>
      </w:tr>
      <w:tr w:rsidR="00D84719" w:rsidRPr="00D84719" w14:paraId="7814B9CC" w14:textId="77777777" w:rsidTr="00134B26">
        <w:trPr>
          <w:jc w:val="center"/>
        </w:trPr>
        <w:tc>
          <w:tcPr>
            <w:tcW w:w="5000" w:type="pct"/>
            <w:gridSpan w:val="6"/>
            <w:shd w:val="clear" w:color="auto" w:fill="BFBFBF"/>
            <w:vAlign w:val="center"/>
          </w:tcPr>
          <w:p w14:paraId="602B4C23" w14:textId="77777777" w:rsidR="00D84719" w:rsidRPr="00D84719" w:rsidRDefault="00D84719" w:rsidP="00D84719">
            <w:pPr>
              <w:spacing w:line="276" w:lineRule="auto"/>
              <w:jc w:val="center"/>
              <w:rPr>
                <w:b/>
                <w:bCs/>
                <w:color w:val="000000"/>
              </w:rPr>
            </w:pPr>
            <w:proofErr w:type="spellStart"/>
            <w:r w:rsidRPr="00D84719">
              <w:rPr>
                <w:b/>
                <w:bCs/>
                <w:color w:val="000000"/>
              </w:rPr>
              <w:t>UPOPs</w:t>
            </w:r>
            <w:proofErr w:type="spellEnd"/>
          </w:p>
        </w:tc>
      </w:tr>
      <w:tr w:rsidR="00D84719" w:rsidRPr="00D84719" w14:paraId="55FE94EC" w14:textId="77777777" w:rsidTr="00134B26">
        <w:trPr>
          <w:jc w:val="center"/>
        </w:trPr>
        <w:tc>
          <w:tcPr>
            <w:tcW w:w="2021" w:type="pct"/>
            <w:vAlign w:val="center"/>
          </w:tcPr>
          <w:p w14:paraId="4E28B434" w14:textId="77777777" w:rsidR="00D84719" w:rsidRPr="00D84719" w:rsidRDefault="00D84719" w:rsidP="00D84719">
            <w:pPr>
              <w:spacing w:line="276" w:lineRule="auto"/>
              <w:jc w:val="both"/>
              <w:rPr>
                <w:color w:val="000000"/>
              </w:rPr>
            </w:pPr>
            <w:r w:rsidRPr="00D84719">
              <w:rPr>
                <w:color w:val="000000"/>
              </w:rPr>
              <w:t>PCDD/PCDF (g TEQ godina</w:t>
            </w:r>
            <w:r w:rsidRPr="00D84719">
              <w:rPr>
                <w:color w:val="000000"/>
                <w:vertAlign w:val="superscript"/>
              </w:rPr>
              <w:t>-1</w:t>
            </w:r>
            <w:r w:rsidRPr="00D84719">
              <w:rPr>
                <w:color w:val="000000"/>
              </w:rPr>
              <w:t>)</w:t>
            </w:r>
          </w:p>
        </w:tc>
        <w:tc>
          <w:tcPr>
            <w:tcW w:w="1540" w:type="pct"/>
            <w:vAlign w:val="center"/>
          </w:tcPr>
          <w:p w14:paraId="0A961AB7" w14:textId="77777777" w:rsidR="00D84719" w:rsidRPr="00D84719" w:rsidRDefault="00D84719" w:rsidP="00D84719">
            <w:pPr>
              <w:jc w:val="center"/>
              <w:rPr>
                <w:color w:val="000000"/>
              </w:rPr>
            </w:pPr>
          </w:p>
        </w:tc>
        <w:tc>
          <w:tcPr>
            <w:tcW w:w="530" w:type="pct"/>
            <w:vAlign w:val="center"/>
          </w:tcPr>
          <w:p w14:paraId="3B8BA091" w14:textId="77777777" w:rsidR="00D84719" w:rsidRPr="00CA7596" w:rsidRDefault="00D84719" w:rsidP="00D84719">
            <w:pPr>
              <w:spacing w:line="276" w:lineRule="auto"/>
              <w:jc w:val="center"/>
              <w:rPr>
                <w:color w:val="000000"/>
                <w:sz w:val="20"/>
                <w:szCs w:val="20"/>
              </w:rPr>
            </w:pPr>
          </w:p>
        </w:tc>
        <w:tc>
          <w:tcPr>
            <w:tcW w:w="351" w:type="pct"/>
            <w:vAlign w:val="center"/>
          </w:tcPr>
          <w:p w14:paraId="769BBC74" w14:textId="77777777" w:rsidR="00D84719" w:rsidRPr="00CA7596" w:rsidRDefault="00D84719" w:rsidP="00D84719">
            <w:pPr>
              <w:spacing w:line="276" w:lineRule="auto"/>
              <w:jc w:val="center"/>
              <w:rPr>
                <w:color w:val="000000"/>
                <w:sz w:val="20"/>
                <w:szCs w:val="20"/>
              </w:rPr>
            </w:pPr>
            <w:r w:rsidRPr="00CA7596">
              <w:rPr>
                <w:color w:val="000000"/>
                <w:sz w:val="20"/>
                <w:szCs w:val="20"/>
              </w:rPr>
              <w:t>*</w:t>
            </w:r>
          </w:p>
        </w:tc>
        <w:tc>
          <w:tcPr>
            <w:tcW w:w="558" w:type="pct"/>
            <w:gridSpan w:val="2"/>
            <w:vAlign w:val="center"/>
          </w:tcPr>
          <w:p w14:paraId="4F99AFEA" w14:textId="77777777" w:rsidR="00D84719" w:rsidRPr="00CA7596" w:rsidRDefault="00D84719" w:rsidP="00D84719">
            <w:pPr>
              <w:spacing w:line="276" w:lineRule="auto"/>
              <w:jc w:val="center"/>
              <w:rPr>
                <w:color w:val="000000"/>
                <w:sz w:val="20"/>
                <w:szCs w:val="20"/>
              </w:rPr>
            </w:pPr>
            <w:r w:rsidRPr="00CA7596">
              <w:rPr>
                <w:color w:val="000000"/>
                <w:sz w:val="20"/>
                <w:szCs w:val="20"/>
              </w:rPr>
              <w:t>*</w:t>
            </w:r>
          </w:p>
        </w:tc>
      </w:tr>
      <w:tr w:rsidR="00D84719" w:rsidRPr="00D84719" w14:paraId="3AA1D203" w14:textId="77777777" w:rsidTr="00134B26">
        <w:trPr>
          <w:jc w:val="center"/>
        </w:trPr>
        <w:tc>
          <w:tcPr>
            <w:tcW w:w="2021" w:type="pct"/>
            <w:vAlign w:val="center"/>
          </w:tcPr>
          <w:p w14:paraId="22A417AC" w14:textId="77777777" w:rsidR="00D84719" w:rsidRPr="000A016F" w:rsidRDefault="00D84719" w:rsidP="00D84719">
            <w:pPr>
              <w:spacing w:line="276" w:lineRule="auto"/>
              <w:jc w:val="both"/>
            </w:pPr>
            <w:r w:rsidRPr="000A016F">
              <w:t>Spalionice otpada</w:t>
            </w:r>
          </w:p>
        </w:tc>
        <w:tc>
          <w:tcPr>
            <w:tcW w:w="1540" w:type="pct"/>
            <w:vAlign w:val="center"/>
          </w:tcPr>
          <w:p w14:paraId="0C2CF795" w14:textId="77777777" w:rsidR="00D84719" w:rsidRPr="00D84719" w:rsidRDefault="00D84719" w:rsidP="00D84719">
            <w:pPr>
              <w:jc w:val="center"/>
              <w:rPr>
                <w:color w:val="000000"/>
              </w:rPr>
            </w:pPr>
          </w:p>
        </w:tc>
        <w:tc>
          <w:tcPr>
            <w:tcW w:w="530" w:type="pct"/>
            <w:vAlign w:val="center"/>
          </w:tcPr>
          <w:p w14:paraId="3422B74B" w14:textId="77777777" w:rsidR="00D84719" w:rsidRPr="00CA7596" w:rsidRDefault="00D84719" w:rsidP="00463368">
            <w:pPr>
              <w:spacing w:line="276" w:lineRule="auto"/>
              <w:jc w:val="center"/>
              <w:rPr>
                <w:color w:val="000000"/>
                <w:sz w:val="20"/>
                <w:szCs w:val="20"/>
              </w:rPr>
            </w:pPr>
            <w:r w:rsidRPr="00CA7596">
              <w:rPr>
                <w:color w:val="000000"/>
                <w:sz w:val="20"/>
                <w:szCs w:val="20"/>
              </w:rPr>
              <w:t>0</w:t>
            </w:r>
            <w:r w:rsidR="00463368" w:rsidRPr="00CA7596">
              <w:rPr>
                <w:color w:val="000000"/>
                <w:sz w:val="20"/>
                <w:szCs w:val="20"/>
              </w:rPr>
              <w:t>,</w:t>
            </w:r>
            <w:r w:rsidRPr="00CA7596">
              <w:rPr>
                <w:color w:val="000000"/>
                <w:sz w:val="20"/>
                <w:szCs w:val="20"/>
              </w:rPr>
              <w:t>09</w:t>
            </w:r>
            <w:r w:rsidR="00E55280">
              <w:rPr>
                <w:color w:val="000000"/>
                <w:sz w:val="20"/>
                <w:szCs w:val="20"/>
              </w:rPr>
              <w:t>4</w:t>
            </w:r>
          </w:p>
        </w:tc>
        <w:tc>
          <w:tcPr>
            <w:tcW w:w="351" w:type="pct"/>
            <w:vAlign w:val="center"/>
          </w:tcPr>
          <w:p w14:paraId="32DE7983" w14:textId="77777777" w:rsidR="00D84719" w:rsidRPr="00CA7596" w:rsidRDefault="00D84719" w:rsidP="00D84719">
            <w:pPr>
              <w:spacing w:line="276" w:lineRule="auto"/>
              <w:jc w:val="center"/>
              <w:rPr>
                <w:color w:val="000000"/>
                <w:sz w:val="20"/>
                <w:szCs w:val="20"/>
              </w:rPr>
            </w:pPr>
            <w:r w:rsidRPr="00CA7596">
              <w:rPr>
                <w:color w:val="000000"/>
                <w:sz w:val="20"/>
                <w:szCs w:val="20"/>
              </w:rPr>
              <w:t>*</w:t>
            </w:r>
          </w:p>
        </w:tc>
        <w:tc>
          <w:tcPr>
            <w:tcW w:w="558" w:type="pct"/>
            <w:gridSpan w:val="2"/>
            <w:vAlign w:val="center"/>
          </w:tcPr>
          <w:p w14:paraId="1BE85216" w14:textId="77777777" w:rsidR="00D84719" w:rsidRPr="00CA7596" w:rsidRDefault="00D84719" w:rsidP="00D84719">
            <w:pPr>
              <w:spacing w:line="276" w:lineRule="auto"/>
              <w:jc w:val="center"/>
              <w:rPr>
                <w:color w:val="000000"/>
                <w:sz w:val="20"/>
                <w:szCs w:val="20"/>
              </w:rPr>
            </w:pPr>
            <w:r w:rsidRPr="00CA7596">
              <w:rPr>
                <w:color w:val="000000"/>
                <w:sz w:val="20"/>
                <w:szCs w:val="20"/>
              </w:rPr>
              <w:t>*</w:t>
            </w:r>
          </w:p>
        </w:tc>
      </w:tr>
      <w:tr w:rsidR="00D84719" w:rsidRPr="00D84719" w14:paraId="773316C6" w14:textId="77777777" w:rsidTr="00134B26">
        <w:trPr>
          <w:jc w:val="center"/>
        </w:trPr>
        <w:tc>
          <w:tcPr>
            <w:tcW w:w="2021" w:type="pct"/>
            <w:vAlign w:val="center"/>
          </w:tcPr>
          <w:p w14:paraId="6D028385" w14:textId="77777777" w:rsidR="00D84719" w:rsidRPr="000A016F" w:rsidRDefault="00D84719" w:rsidP="00D84719">
            <w:pPr>
              <w:spacing w:line="276" w:lineRule="auto"/>
              <w:jc w:val="both"/>
            </w:pPr>
            <w:r w:rsidRPr="000A016F">
              <w:t>Proizvodnja željeza i obojenih metala</w:t>
            </w:r>
          </w:p>
        </w:tc>
        <w:tc>
          <w:tcPr>
            <w:tcW w:w="1540" w:type="pct"/>
            <w:vAlign w:val="center"/>
          </w:tcPr>
          <w:p w14:paraId="147C7BA2" w14:textId="77777777" w:rsidR="00D84719" w:rsidRPr="00D84719" w:rsidRDefault="00D84719" w:rsidP="00D84719">
            <w:pPr>
              <w:jc w:val="center"/>
              <w:rPr>
                <w:color w:val="000000"/>
              </w:rPr>
            </w:pPr>
          </w:p>
        </w:tc>
        <w:tc>
          <w:tcPr>
            <w:tcW w:w="530" w:type="pct"/>
            <w:vAlign w:val="center"/>
          </w:tcPr>
          <w:p w14:paraId="069FA223" w14:textId="77777777" w:rsidR="00D84719" w:rsidRPr="00CA7596" w:rsidRDefault="00D84719" w:rsidP="00463368">
            <w:pPr>
              <w:spacing w:line="276" w:lineRule="auto"/>
              <w:jc w:val="center"/>
              <w:rPr>
                <w:color w:val="000000"/>
                <w:sz w:val="20"/>
                <w:szCs w:val="20"/>
              </w:rPr>
            </w:pPr>
            <w:r w:rsidRPr="00CA7596">
              <w:rPr>
                <w:color w:val="000000"/>
                <w:sz w:val="20"/>
                <w:szCs w:val="20"/>
              </w:rPr>
              <w:t>0</w:t>
            </w:r>
            <w:r w:rsidR="00463368" w:rsidRPr="00CA7596">
              <w:rPr>
                <w:color w:val="000000"/>
                <w:sz w:val="20"/>
                <w:szCs w:val="20"/>
              </w:rPr>
              <w:t>,</w:t>
            </w:r>
            <w:r w:rsidRPr="00CA7596">
              <w:rPr>
                <w:color w:val="000000"/>
                <w:sz w:val="20"/>
                <w:szCs w:val="20"/>
              </w:rPr>
              <w:t>4</w:t>
            </w:r>
            <w:r w:rsidR="00E55280">
              <w:rPr>
                <w:color w:val="000000"/>
                <w:sz w:val="20"/>
                <w:szCs w:val="20"/>
              </w:rPr>
              <w:t>03</w:t>
            </w:r>
          </w:p>
        </w:tc>
        <w:tc>
          <w:tcPr>
            <w:tcW w:w="351" w:type="pct"/>
            <w:vAlign w:val="center"/>
          </w:tcPr>
          <w:p w14:paraId="351BD99B" w14:textId="77777777" w:rsidR="00D84719" w:rsidRPr="00CA7596" w:rsidRDefault="00D84719" w:rsidP="00D84719">
            <w:pPr>
              <w:spacing w:line="276" w:lineRule="auto"/>
              <w:jc w:val="center"/>
              <w:rPr>
                <w:color w:val="000000"/>
                <w:sz w:val="20"/>
                <w:szCs w:val="20"/>
              </w:rPr>
            </w:pPr>
            <w:r w:rsidRPr="00CA7596">
              <w:rPr>
                <w:color w:val="000000"/>
                <w:sz w:val="20"/>
                <w:szCs w:val="20"/>
              </w:rPr>
              <w:t>*</w:t>
            </w:r>
          </w:p>
        </w:tc>
        <w:tc>
          <w:tcPr>
            <w:tcW w:w="558" w:type="pct"/>
            <w:gridSpan w:val="2"/>
            <w:vAlign w:val="center"/>
          </w:tcPr>
          <w:p w14:paraId="0877CE54" w14:textId="77777777" w:rsidR="00D84719" w:rsidRPr="00CA7596" w:rsidRDefault="00D84719" w:rsidP="00D84719">
            <w:pPr>
              <w:spacing w:line="276" w:lineRule="auto"/>
              <w:jc w:val="center"/>
              <w:rPr>
                <w:color w:val="000000"/>
                <w:sz w:val="20"/>
                <w:szCs w:val="20"/>
              </w:rPr>
            </w:pPr>
            <w:r w:rsidRPr="00CA7596">
              <w:rPr>
                <w:color w:val="000000"/>
                <w:sz w:val="20"/>
                <w:szCs w:val="20"/>
              </w:rPr>
              <w:t>*</w:t>
            </w:r>
          </w:p>
        </w:tc>
      </w:tr>
      <w:tr w:rsidR="00D84719" w:rsidRPr="00D84719" w14:paraId="47BA5CA0" w14:textId="77777777" w:rsidTr="00134B26">
        <w:trPr>
          <w:jc w:val="center"/>
        </w:trPr>
        <w:tc>
          <w:tcPr>
            <w:tcW w:w="2021" w:type="pct"/>
            <w:vAlign w:val="center"/>
          </w:tcPr>
          <w:p w14:paraId="7DFD94D9" w14:textId="77777777" w:rsidR="00D84719" w:rsidRPr="000A016F" w:rsidRDefault="00D84719" w:rsidP="00D84719">
            <w:pPr>
              <w:spacing w:line="276" w:lineRule="auto"/>
              <w:jc w:val="both"/>
            </w:pPr>
            <w:r w:rsidRPr="000A016F">
              <w:t>Proizvodnja energije i topline</w:t>
            </w:r>
          </w:p>
        </w:tc>
        <w:tc>
          <w:tcPr>
            <w:tcW w:w="1540" w:type="pct"/>
            <w:vAlign w:val="center"/>
          </w:tcPr>
          <w:p w14:paraId="044450D5" w14:textId="77777777" w:rsidR="00D84719" w:rsidRPr="00D84719" w:rsidRDefault="00D84719" w:rsidP="00D84719">
            <w:pPr>
              <w:jc w:val="center"/>
              <w:rPr>
                <w:color w:val="000000"/>
              </w:rPr>
            </w:pPr>
          </w:p>
        </w:tc>
        <w:tc>
          <w:tcPr>
            <w:tcW w:w="530" w:type="pct"/>
            <w:vAlign w:val="center"/>
          </w:tcPr>
          <w:p w14:paraId="4BDDA291" w14:textId="77777777" w:rsidR="00D84719" w:rsidRPr="00CA7596" w:rsidRDefault="00D84719" w:rsidP="00463368">
            <w:pPr>
              <w:spacing w:line="276" w:lineRule="auto"/>
              <w:jc w:val="center"/>
              <w:rPr>
                <w:color w:val="000000"/>
                <w:sz w:val="20"/>
                <w:szCs w:val="20"/>
              </w:rPr>
            </w:pPr>
            <w:r w:rsidRPr="00CA7596">
              <w:rPr>
                <w:color w:val="000000"/>
                <w:sz w:val="20"/>
                <w:szCs w:val="20"/>
              </w:rPr>
              <w:t>21</w:t>
            </w:r>
            <w:r w:rsidR="00463368" w:rsidRPr="00CA7596">
              <w:rPr>
                <w:color w:val="000000"/>
                <w:sz w:val="20"/>
                <w:szCs w:val="20"/>
              </w:rPr>
              <w:t>,</w:t>
            </w:r>
            <w:r w:rsidRPr="00CA7596">
              <w:rPr>
                <w:color w:val="000000"/>
                <w:sz w:val="20"/>
                <w:szCs w:val="20"/>
              </w:rPr>
              <w:t>930</w:t>
            </w:r>
          </w:p>
        </w:tc>
        <w:tc>
          <w:tcPr>
            <w:tcW w:w="351" w:type="pct"/>
            <w:vAlign w:val="center"/>
          </w:tcPr>
          <w:p w14:paraId="10B26E71" w14:textId="77777777" w:rsidR="00D84719" w:rsidRPr="00CA7596" w:rsidRDefault="00D84719" w:rsidP="00D84719">
            <w:pPr>
              <w:spacing w:line="276" w:lineRule="auto"/>
              <w:jc w:val="center"/>
              <w:rPr>
                <w:color w:val="000000"/>
                <w:sz w:val="20"/>
                <w:szCs w:val="20"/>
              </w:rPr>
            </w:pPr>
            <w:r w:rsidRPr="00CA7596">
              <w:rPr>
                <w:color w:val="000000"/>
                <w:sz w:val="20"/>
                <w:szCs w:val="20"/>
              </w:rPr>
              <w:t>*</w:t>
            </w:r>
          </w:p>
        </w:tc>
        <w:tc>
          <w:tcPr>
            <w:tcW w:w="558" w:type="pct"/>
            <w:gridSpan w:val="2"/>
            <w:vAlign w:val="center"/>
          </w:tcPr>
          <w:p w14:paraId="2843AFC2" w14:textId="77777777" w:rsidR="00D84719" w:rsidRPr="00CA7596" w:rsidRDefault="00D84719" w:rsidP="00D84719">
            <w:pPr>
              <w:spacing w:line="276" w:lineRule="auto"/>
              <w:jc w:val="center"/>
              <w:rPr>
                <w:color w:val="000000"/>
                <w:sz w:val="20"/>
                <w:szCs w:val="20"/>
              </w:rPr>
            </w:pPr>
            <w:r w:rsidRPr="00CA7596">
              <w:rPr>
                <w:color w:val="000000"/>
                <w:sz w:val="20"/>
                <w:szCs w:val="20"/>
              </w:rPr>
              <w:t>*</w:t>
            </w:r>
          </w:p>
        </w:tc>
      </w:tr>
      <w:tr w:rsidR="00D84719" w:rsidRPr="00D84719" w14:paraId="394F2989" w14:textId="77777777" w:rsidTr="00134B26">
        <w:trPr>
          <w:jc w:val="center"/>
        </w:trPr>
        <w:tc>
          <w:tcPr>
            <w:tcW w:w="2021" w:type="pct"/>
            <w:vAlign w:val="center"/>
          </w:tcPr>
          <w:p w14:paraId="538033FA" w14:textId="77777777" w:rsidR="00D84719" w:rsidRPr="000A016F" w:rsidRDefault="00D84719" w:rsidP="00D84719">
            <w:pPr>
              <w:spacing w:line="276" w:lineRule="auto"/>
              <w:jc w:val="both"/>
            </w:pPr>
            <w:r w:rsidRPr="000A016F">
              <w:t>Proizvodnja mineralnih proizvoda</w:t>
            </w:r>
          </w:p>
        </w:tc>
        <w:tc>
          <w:tcPr>
            <w:tcW w:w="1540" w:type="pct"/>
            <w:vAlign w:val="center"/>
          </w:tcPr>
          <w:p w14:paraId="7856CD17" w14:textId="77777777" w:rsidR="00D84719" w:rsidRPr="00D84719" w:rsidRDefault="00D84719" w:rsidP="00D84719">
            <w:pPr>
              <w:jc w:val="center"/>
              <w:rPr>
                <w:color w:val="000000"/>
              </w:rPr>
            </w:pPr>
          </w:p>
        </w:tc>
        <w:tc>
          <w:tcPr>
            <w:tcW w:w="530" w:type="pct"/>
            <w:vAlign w:val="center"/>
          </w:tcPr>
          <w:p w14:paraId="3506F24D" w14:textId="77777777" w:rsidR="00D84719" w:rsidRPr="00CA7596" w:rsidRDefault="00D84719" w:rsidP="00463368">
            <w:pPr>
              <w:spacing w:line="276" w:lineRule="auto"/>
              <w:jc w:val="center"/>
              <w:rPr>
                <w:color w:val="000000"/>
                <w:sz w:val="20"/>
                <w:szCs w:val="20"/>
              </w:rPr>
            </w:pPr>
            <w:r w:rsidRPr="00CA7596">
              <w:rPr>
                <w:color w:val="000000"/>
                <w:sz w:val="20"/>
                <w:szCs w:val="20"/>
              </w:rPr>
              <w:t>0</w:t>
            </w:r>
            <w:r w:rsidR="00463368" w:rsidRPr="00CA7596">
              <w:rPr>
                <w:color w:val="000000"/>
                <w:sz w:val="20"/>
                <w:szCs w:val="20"/>
              </w:rPr>
              <w:t>,</w:t>
            </w:r>
            <w:r w:rsidRPr="00CA7596">
              <w:rPr>
                <w:color w:val="000000"/>
                <w:sz w:val="20"/>
                <w:szCs w:val="20"/>
              </w:rPr>
              <w:t>241</w:t>
            </w:r>
          </w:p>
        </w:tc>
        <w:tc>
          <w:tcPr>
            <w:tcW w:w="351" w:type="pct"/>
            <w:vAlign w:val="center"/>
          </w:tcPr>
          <w:p w14:paraId="668A530E" w14:textId="77777777" w:rsidR="00D84719" w:rsidRPr="00CA7596" w:rsidRDefault="00D84719" w:rsidP="00D84719">
            <w:pPr>
              <w:spacing w:line="276" w:lineRule="auto"/>
              <w:jc w:val="center"/>
              <w:rPr>
                <w:color w:val="000000"/>
                <w:sz w:val="20"/>
                <w:szCs w:val="20"/>
              </w:rPr>
            </w:pPr>
            <w:r w:rsidRPr="00CA7596">
              <w:rPr>
                <w:color w:val="000000"/>
                <w:sz w:val="20"/>
                <w:szCs w:val="20"/>
              </w:rPr>
              <w:t>*</w:t>
            </w:r>
          </w:p>
        </w:tc>
        <w:tc>
          <w:tcPr>
            <w:tcW w:w="558" w:type="pct"/>
            <w:gridSpan w:val="2"/>
            <w:vAlign w:val="center"/>
          </w:tcPr>
          <w:p w14:paraId="63A12D2E" w14:textId="77777777" w:rsidR="00D84719" w:rsidRPr="00CA7596" w:rsidRDefault="00D84719" w:rsidP="00D84719">
            <w:pPr>
              <w:spacing w:line="276" w:lineRule="auto"/>
              <w:jc w:val="center"/>
              <w:rPr>
                <w:color w:val="000000"/>
                <w:sz w:val="20"/>
                <w:szCs w:val="20"/>
              </w:rPr>
            </w:pPr>
            <w:r w:rsidRPr="00CA7596">
              <w:rPr>
                <w:color w:val="000000"/>
                <w:sz w:val="20"/>
                <w:szCs w:val="20"/>
              </w:rPr>
              <w:t>*</w:t>
            </w:r>
          </w:p>
        </w:tc>
      </w:tr>
      <w:tr w:rsidR="00D84719" w:rsidRPr="00D84719" w14:paraId="03640A17" w14:textId="77777777" w:rsidTr="00134B26">
        <w:trPr>
          <w:jc w:val="center"/>
        </w:trPr>
        <w:tc>
          <w:tcPr>
            <w:tcW w:w="2021" w:type="pct"/>
            <w:vAlign w:val="center"/>
          </w:tcPr>
          <w:p w14:paraId="2CF92EDC" w14:textId="77777777" w:rsidR="00D84719" w:rsidRPr="000A016F" w:rsidRDefault="00D84719" w:rsidP="00D84719">
            <w:pPr>
              <w:spacing w:line="276" w:lineRule="auto"/>
              <w:jc w:val="both"/>
            </w:pPr>
            <w:r w:rsidRPr="000A016F">
              <w:t>Promet</w:t>
            </w:r>
          </w:p>
        </w:tc>
        <w:tc>
          <w:tcPr>
            <w:tcW w:w="1540" w:type="pct"/>
            <w:vAlign w:val="center"/>
          </w:tcPr>
          <w:p w14:paraId="6E876956" w14:textId="77777777" w:rsidR="00D84719" w:rsidRPr="00D84719" w:rsidRDefault="00D84719" w:rsidP="00D84719">
            <w:pPr>
              <w:jc w:val="center"/>
              <w:rPr>
                <w:color w:val="000000"/>
              </w:rPr>
            </w:pPr>
          </w:p>
        </w:tc>
        <w:tc>
          <w:tcPr>
            <w:tcW w:w="530" w:type="pct"/>
            <w:vAlign w:val="center"/>
          </w:tcPr>
          <w:p w14:paraId="5BE10A04" w14:textId="77777777" w:rsidR="00D84719" w:rsidRPr="00CA7596" w:rsidRDefault="00D84719" w:rsidP="00463368">
            <w:pPr>
              <w:spacing w:line="276" w:lineRule="auto"/>
              <w:jc w:val="center"/>
              <w:rPr>
                <w:color w:val="000000"/>
                <w:sz w:val="20"/>
                <w:szCs w:val="20"/>
              </w:rPr>
            </w:pPr>
            <w:r w:rsidRPr="00CA7596">
              <w:rPr>
                <w:color w:val="000000"/>
                <w:sz w:val="20"/>
                <w:szCs w:val="20"/>
              </w:rPr>
              <w:t>0</w:t>
            </w:r>
            <w:r w:rsidR="00463368" w:rsidRPr="00CA7596">
              <w:rPr>
                <w:color w:val="000000"/>
                <w:sz w:val="20"/>
                <w:szCs w:val="20"/>
              </w:rPr>
              <w:t>,</w:t>
            </w:r>
            <w:r w:rsidRPr="00CA7596">
              <w:rPr>
                <w:color w:val="000000"/>
                <w:sz w:val="20"/>
                <w:szCs w:val="20"/>
              </w:rPr>
              <w:t>23</w:t>
            </w:r>
            <w:r w:rsidR="00E55280">
              <w:rPr>
                <w:color w:val="000000"/>
                <w:sz w:val="20"/>
                <w:szCs w:val="20"/>
              </w:rPr>
              <w:t>0</w:t>
            </w:r>
          </w:p>
        </w:tc>
        <w:tc>
          <w:tcPr>
            <w:tcW w:w="351" w:type="pct"/>
            <w:vAlign w:val="center"/>
          </w:tcPr>
          <w:p w14:paraId="634A2C5E" w14:textId="77777777" w:rsidR="00D84719" w:rsidRPr="00CA7596" w:rsidRDefault="00D84719" w:rsidP="00D84719">
            <w:pPr>
              <w:spacing w:line="276" w:lineRule="auto"/>
              <w:jc w:val="center"/>
              <w:rPr>
                <w:color w:val="000000"/>
                <w:sz w:val="20"/>
                <w:szCs w:val="20"/>
              </w:rPr>
            </w:pPr>
            <w:r w:rsidRPr="00CA7596">
              <w:rPr>
                <w:color w:val="000000"/>
                <w:sz w:val="20"/>
                <w:szCs w:val="20"/>
              </w:rPr>
              <w:t>*</w:t>
            </w:r>
          </w:p>
        </w:tc>
        <w:tc>
          <w:tcPr>
            <w:tcW w:w="558" w:type="pct"/>
            <w:gridSpan w:val="2"/>
            <w:vAlign w:val="center"/>
          </w:tcPr>
          <w:p w14:paraId="2F950816" w14:textId="77777777" w:rsidR="00D84719" w:rsidRPr="00CA7596" w:rsidRDefault="00D84719" w:rsidP="00D84719">
            <w:pPr>
              <w:spacing w:line="276" w:lineRule="auto"/>
              <w:jc w:val="center"/>
              <w:rPr>
                <w:color w:val="000000"/>
                <w:sz w:val="20"/>
                <w:szCs w:val="20"/>
              </w:rPr>
            </w:pPr>
            <w:r w:rsidRPr="00CA7596">
              <w:rPr>
                <w:color w:val="000000"/>
                <w:sz w:val="20"/>
                <w:szCs w:val="20"/>
              </w:rPr>
              <w:t>*</w:t>
            </w:r>
          </w:p>
        </w:tc>
      </w:tr>
      <w:tr w:rsidR="00D84719" w:rsidRPr="00D84719" w14:paraId="2D70EA53" w14:textId="77777777" w:rsidTr="00134B26">
        <w:trPr>
          <w:jc w:val="center"/>
        </w:trPr>
        <w:tc>
          <w:tcPr>
            <w:tcW w:w="2021" w:type="pct"/>
            <w:vAlign w:val="center"/>
          </w:tcPr>
          <w:p w14:paraId="2FE3BC85" w14:textId="77777777" w:rsidR="00D84719" w:rsidRPr="000A016F" w:rsidRDefault="00D84719" w:rsidP="00D84719">
            <w:pPr>
              <w:spacing w:line="276" w:lineRule="auto"/>
              <w:jc w:val="both"/>
            </w:pPr>
            <w:r w:rsidRPr="000A016F">
              <w:t>Nekontrolirani procesi izgaranja</w:t>
            </w:r>
          </w:p>
        </w:tc>
        <w:tc>
          <w:tcPr>
            <w:tcW w:w="1540" w:type="pct"/>
            <w:vAlign w:val="center"/>
          </w:tcPr>
          <w:p w14:paraId="4EC3FB94" w14:textId="77777777" w:rsidR="00D84719" w:rsidRPr="00D84719" w:rsidRDefault="00D84719" w:rsidP="00D84719">
            <w:pPr>
              <w:jc w:val="center"/>
              <w:rPr>
                <w:color w:val="000000"/>
              </w:rPr>
            </w:pPr>
          </w:p>
        </w:tc>
        <w:tc>
          <w:tcPr>
            <w:tcW w:w="530" w:type="pct"/>
            <w:vAlign w:val="center"/>
          </w:tcPr>
          <w:p w14:paraId="4F973E9F" w14:textId="77777777" w:rsidR="00D84719" w:rsidRPr="00CA7596" w:rsidRDefault="00D84719" w:rsidP="00463368">
            <w:pPr>
              <w:spacing w:line="276" w:lineRule="auto"/>
              <w:jc w:val="center"/>
              <w:rPr>
                <w:color w:val="000000"/>
                <w:sz w:val="20"/>
                <w:szCs w:val="20"/>
              </w:rPr>
            </w:pPr>
            <w:r w:rsidRPr="00CA7596">
              <w:rPr>
                <w:color w:val="000000"/>
                <w:sz w:val="20"/>
                <w:szCs w:val="20"/>
              </w:rPr>
              <w:t>0</w:t>
            </w:r>
            <w:r w:rsidR="00463368" w:rsidRPr="00CA7596">
              <w:rPr>
                <w:color w:val="000000"/>
                <w:sz w:val="20"/>
                <w:szCs w:val="20"/>
              </w:rPr>
              <w:t>,</w:t>
            </w:r>
            <w:r w:rsidRPr="00CA7596">
              <w:rPr>
                <w:color w:val="000000"/>
                <w:sz w:val="20"/>
                <w:szCs w:val="20"/>
              </w:rPr>
              <w:t>02</w:t>
            </w:r>
            <w:r w:rsidR="00E55280">
              <w:rPr>
                <w:color w:val="000000"/>
                <w:sz w:val="20"/>
                <w:szCs w:val="20"/>
              </w:rPr>
              <w:t>8</w:t>
            </w:r>
          </w:p>
        </w:tc>
        <w:tc>
          <w:tcPr>
            <w:tcW w:w="351" w:type="pct"/>
            <w:vAlign w:val="center"/>
          </w:tcPr>
          <w:p w14:paraId="784A3C24" w14:textId="77777777" w:rsidR="00D84719" w:rsidRPr="00CA7596" w:rsidRDefault="00D84719" w:rsidP="00D84719">
            <w:pPr>
              <w:spacing w:line="276" w:lineRule="auto"/>
              <w:jc w:val="center"/>
              <w:rPr>
                <w:color w:val="000000"/>
                <w:sz w:val="20"/>
                <w:szCs w:val="20"/>
              </w:rPr>
            </w:pPr>
            <w:r w:rsidRPr="00CA7596">
              <w:rPr>
                <w:color w:val="000000"/>
                <w:sz w:val="20"/>
                <w:szCs w:val="20"/>
              </w:rPr>
              <w:t>*</w:t>
            </w:r>
          </w:p>
        </w:tc>
        <w:tc>
          <w:tcPr>
            <w:tcW w:w="558" w:type="pct"/>
            <w:gridSpan w:val="2"/>
            <w:vAlign w:val="center"/>
          </w:tcPr>
          <w:p w14:paraId="52F21DE0" w14:textId="77777777" w:rsidR="00D84719" w:rsidRPr="00CA7596" w:rsidRDefault="00D84719" w:rsidP="00D84719">
            <w:pPr>
              <w:spacing w:line="276" w:lineRule="auto"/>
              <w:jc w:val="center"/>
              <w:rPr>
                <w:color w:val="000000"/>
                <w:sz w:val="20"/>
                <w:szCs w:val="20"/>
              </w:rPr>
            </w:pPr>
            <w:r w:rsidRPr="00CA7596">
              <w:rPr>
                <w:color w:val="000000"/>
                <w:sz w:val="20"/>
                <w:szCs w:val="20"/>
              </w:rPr>
              <w:t>*</w:t>
            </w:r>
          </w:p>
        </w:tc>
      </w:tr>
      <w:tr w:rsidR="00D84719" w:rsidRPr="00D84719" w14:paraId="20277D3B" w14:textId="77777777" w:rsidTr="00134B26">
        <w:trPr>
          <w:trHeight w:val="597"/>
          <w:jc w:val="center"/>
        </w:trPr>
        <w:tc>
          <w:tcPr>
            <w:tcW w:w="2021" w:type="pct"/>
            <w:vAlign w:val="center"/>
          </w:tcPr>
          <w:p w14:paraId="5FDA44B9" w14:textId="77777777" w:rsidR="00D84719" w:rsidRPr="000A016F" w:rsidRDefault="00D84719" w:rsidP="00D84719">
            <w:pPr>
              <w:spacing w:line="276" w:lineRule="auto"/>
              <w:jc w:val="both"/>
            </w:pPr>
            <w:r w:rsidRPr="000A016F">
              <w:t>Proizvodnja i uporaba kemikalija i potrošačke robe</w:t>
            </w:r>
          </w:p>
        </w:tc>
        <w:tc>
          <w:tcPr>
            <w:tcW w:w="1540" w:type="pct"/>
            <w:vAlign w:val="center"/>
          </w:tcPr>
          <w:p w14:paraId="538B4D7D" w14:textId="77777777" w:rsidR="00D84719" w:rsidRPr="00D84719" w:rsidRDefault="00D84719" w:rsidP="00D84719">
            <w:pPr>
              <w:jc w:val="center"/>
              <w:rPr>
                <w:color w:val="000000"/>
              </w:rPr>
            </w:pPr>
          </w:p>
        </w:tc>
        <w:tc>
          <w:tcPr>
            <w:tcW w:w="530" w:type="pct"/>
            <w:vAlign w:val="center"/>
          </w:tcPr>
          <w:p w14:paraId="22289DE9" w14:textId="77777777" w:rsidR="00D84719" w:rsidRPr="00CA7596" w:rsidRDefault="00D84719" w:rsidP="00C82F02">
            <w:pPr>
              <w:spacing w:line="276" w:lineRule="auto"/>
              <w:jc w:val="center"/>
              <w:rPr>
                <w:color w:val="000000"/>
                <w:sz w:val="20"/>
                <w:szCs w:val="20"/>
              </w:rPr>
            </w:pPr>
            <w:r w:rsidRPr="00CA7596">
              <w:rPr>
                <w:color w:val="000000"/>
                <w:sz w:val="20"/>
                <w:szCs w:val="20"/>
              </w:rPr>
              <w:t>0</w:t>
            </w:r>
            <w:r w:rsidR="00C82F02" w:rsidRPr="00CA7596">
              <w:rPr>
                <w:color w:val="000000"/>
                <w:sz w:val="20"/>
                <w:szCs w:val="20"/>
              </w:rPr>
              <w:t>,</w:t>
            </w:r>
            <w:r w:rsidRPr="00CA7596">
              <w:rPr>
                <w:color w:val="000000"/>
                <w:sz w:val="20"/>
                <w:szCs w:val="20"/>
              </w:rPr>
              <w:t>685</w:t>
            </w:r>
          </w:p>
        </w:tc>
        <w:tc>
          <w:tcPr>
            <w:tcW w:w="351" w:type="pct"/>
            <w:vAlign w:val="center"/>
          </w:tcPr>
          <w:p w14:paraId="0B3EC3E5" w14:textId="77777777" w:rsidR="00D84719" w:rsidRPr="00CA7596" w:rsidRDefault="00D84719" w:rsidP="00D84719">
            <w:pPr>
              <w:spacing w:line="276" w:lineRule="auto"/>
              <w:jc w:val="center"/>
              <w:rPr>
                <w:color w:val="000000"/>
                <w:sz w:val="20"/>
                <w:szCs w:val="20"/>
              </w:rPr>
            </w:pPr>
            <w:r w:rsidRPr="00CA7596">
              <w:rPr>
                <w:color w:val="000000"/>
                <w:sz w:val="20"/>
                <w:szCs w:val="20"/>
              </w:rPr>
              <w:t>*</w:t>
            </w:r>
          </w:p>
        </w:tc>
        <w:tc>
          <w:tcPr>
            <w:tcW w:w="558" w:type="pct"/>
            <w:gridSpan w:val="2"/>
            <w:vAlign w:val="center"/>
          </w:tcPr>
          <w:p w14:paraId="01EDF047" w14:textId="77777777" w:rsidR="00D84719" w:rsidRPr="00CA7596" w:rsidRDefault="00D84719" w:rsidP="00D84719">
            <w:pPr>
              <w:spacing w:line="276" w:lineRule="auto"/>
              <w:jc w:val="center"/>
              <w:rPr>
                <w:color w:val="000000"/>
                <w:sz w:val="20"/>
                <w:szCs w:val="20"/>
              </w:rPr>
            </w:pPr>
            <w:r w:rsidRPr="00CA7596">
              <w:rPr>
                <w:color w:val="000000"/>
                <w:sz w:val="20"/>
                <w:szCs w:val="20"/>
              </w:rPr>
              <w:t>*</w:t>
            </w:r>
          </w:p>
        </w:tc>
      </w:tr>
      <w:tr w:rsidR="00C1666C" w:rsidRPr="00D84719" w14:paraId="3675FF92" w14:textId="77777777" w:rsidTr="00134B26">
        <w:trPr>
          <w:jc w:val="center"/>
        </w:trPr>
        <w:tc>
          <w:tcPr>
            <w:tcW w:w="2021" w:type="pct"/>
            <w:vAlign w:val="center"/>
          </w:tcPr>
          <w:p w14:paraId="25FC0512" w14:textId="77777777" w:rsidR="00C1666C" w:rsidRPr="000A016F" w:rsidRDefault="00C1666C" w:rsidP="00C1666C">
            <w:pPr>
              <w:spacing w:line="276" w:lineRule="auto"/>
              <w:jc w:val="both"/>
            </w:pPr>
            <w:r w:rsidRPr="000A016F">
              <w:t>Razno</w:t>
            </w:r>
          </w:p>
        </w:tc>
        <w:tc>
          <w:tcPr>
            <w:tcW w:w="1540" w:type="pct"/>
            <w:vAlign w:val="center"/>
          </w:tcPr>
          <w:p w14:paraId="505B5CB4" w14:textId="77777777" w:rsidR="00C1666C" w:rsidRPr="00D84719" w:rsidRDefault="00C1666C" w:rsidP="00C1666C">
            <w:pPr>
              <w:jc w:val="center"/>
              <w:rPr>
                <w:color w:val="000000"/>
              </w:rPr>
            </w:pPr>
          </w:p>
        </w:tc>
        <w:tc>
          <w:tcPr>
            <w:tcW w:w="530" w:type="pct"/>
            <w:vAlign w:val="center"/>
          </w:tcPr>
          <w:p w14:paraId="5C004513" w14:textId="77777777" w:rsidR="00C1666C" w:rsidRPr="00CA7596" w:rsidRDefault="00C1666C" w:rsidP="00C1666C">
            <w:pPr>
              <w:spacing w:line="276" w:lineRule="auto"/>
              <w:jc w:val="center"/>
              <w:rPr>
                <w:color w:val="000000"/>
                <w:sz w:val="20"/>
                <w:szCs w:val="20"/>
              </w:rPr>
            </w:pPr>
            <w:r w:rsidRPr="00CA7596">
              <w:rPr>
                <w:color w:val="000000"/>
                <w:sz w:val="20"/>
                <w:szCs w:val="20"/>
              </w:rPr>
              <w:t>0,01</w:t>
            </w:r>
            <w:r>
              <w:rPr>
                <w:color w:val="000000"/>
                <w:sz w:val="20"/>
                <w:szCs w:val="20"/>
              </w:rPr>
              <w:t>6</w:t>
            </w:r>
          </w:p>
        </w:tc>
        <w:tc>
          <w:tcPr>
            <w:tcW w:w="351" w:type="pct"/>
            <w:vAlign w:val="center"/>
          </w:tcPr>
          <w:p w14:paraId="1166C205" w14:textId="77777777" w:rsidR="00C1666C" w:rsidRPr="00CA7596" w:rsidRDefault="00C1666C" w:rsidP="00C1666C">
            <w:pPr>
              <w:spacing w:line="276" w:lineRule="auto"/>
              <w:jc w:val="center"/>
              <w:rPr>
                <w:color w:val="000000"/>
                <w:sz w:val="20"/>
                <w:szCs w:val="20"/>
              </w:rPr>
            </w:pPr>
            <w:r w:rsidRPr="00CA7596">
              <w:rPr>
                <w:color w:val="000000"/>
                <w:sz w:val="20"/>
                <w:szCs w:val="20"/>
              </w:rPr>
              <w:t>*</w:t>
            </w:r>
          </w:p>
        </w:tc>
        <w:tc>
          <w:tcPr>
            <w:tcW w:w="558" w:type="pct"/>
            <w:gridSpan w:val="2"/>
            <w:vAlign w:val="center"/>
          </w:tcPr>
          <w:p w14:paraId="2E2E04AC" w14:textId="77777777" w:rsidR="00C1666C" w:rsidRPr="00CA7596" w:rsidRDefault="00C1666C" w:rsidP="00C1666C">
            <w:pPr>
              <w:spacing w:line="276" w:lineRule="auto"/>
              <w:jc w:val="center"/>
              <w:rPr>
                <w:color w:val="000000"/>
                <w:sz w:val="20"/>
                <w:szCs w:val="20"/>
              </w:rPr>
            </w:pPr>
            <w:r w:rsidRPr="00CA7596">
              <w:rPr>
                <w:color w:val="000000"/>
                <w:sz w:val="20"/>
                <w:szCs w:val="20"/>
              </w:rPr>
              <w:t>*</w:t>
            </w:r>
          </w:p>
        </w:tc>
      </w:tr>
      <w:tr w:rsidR="00C1666C" w:rsidRPr="00D84719" w14:paraId="73898990" w14:textId="77777777" w:rsidTr="00134B26">
        <w:trPr>
          <w:jc w:val="center"/>
        </w:trPr>
        <w:tc>
          <w:tcPr>
            <w:tcW w:w="2021" w:type="pct"/>
            <w:vAlign w:val="center"/>
          </w:tcPr>
          <w:p w14:paraId="67DA49A5" w14:textId="77777777" w:rsidR="00C1666C" w:rsidRPr="000A016F" w:rsidRDefault="00C1666C" w:rsidP="00C1666C">
            <w:pPr>
              <w:spacing w:line="276" w:lineRule="auto"/>
              <w:jc w:val="both"/>
            </w:pPr>
            <w:r w:rsidRPr="000A016F">
              <w:t>Zbrinjavanje/odlaganje otpada</w:t>
            </w:r>
          </w:p>
        </w:tc>
        <w:tc>
          <w:tcPr>
            <w:tcW w:w="1540" w:type="pct"/>
            <w:vAlign w:val="center"/>
          </w:tcPr>
          <w:p w14:paraId="3C483554" w14:textId="77777777" w:rsidR="00C1666C" w:rsidRPr="00D84719" w:rsidRDefault="00C1666C" w:rsidP="00C1666C">
            <w:pPr>
              <w:jc w:val="center"/>
              <w:rPr>
                <w:color w:val="000000"/>
              </w:rPr>
            </w:pPr>
          </w:p>
        </w:tc>
        <w:tc>
          <w:tcPr>
            <w:tcW w:w="530" w:type="pct"/>
            <w:vAlign w:val="center"/>
          </w:tcPr>
          <w:p w14:paraId="3932B10E" w14:textId="77777777" w:rsidR="00C1666C" w:rsidRPr="00CA7596" w:rsidRDefault="00C1666C" w:rsidP="00C1666C">
            <w:pPr>
              <w:spacing w:line="276" w:lineRule="auto"/>
              <w:jc w:val="center"/>
              <w:rPr>
                <w:color w:val="000000"/>
                <w:sz w:val="20"/>
                <w:szCs w:val="20"/>
              </w:rPr>
            </w:pPr>
            <w:r w:rsidRPr="00CA7596">
              <w:rPr>
                <w:color w:val="000000"/>
                <w:sz w:val="20"/>
                <w:szCs w:val="20"/>
              </w:rPr>
              <w:t>7,57</w:t>
            </w:r>
            <w:r>
              <w:rPr>
                <w:color w:val="000000"/>
                <w:sz w:val="20"/>
                <w:szCs w:val="20"/>
              </w:rPr>
              <w:t>8</w:t>
            </w:r>
          </w:p>
        </w:tc>
        <w:tc>
          <w:tcPr>
            <w:tcW w:w="351" w:type="pct"/>
            <w:vAlign w:val="center"/>
          </w:tcPr>
          <w:p w14:paraId="68BF423F" w14:textId="77777777" w:rsidR="00C1666C" w:rsidRPr="00CA7596" w:rsidRDefault="00C1666C" w:rsidP="00C1666C">
            <w:pPr>
              <w:spacing w:line="276" w:lineRule="auto"/>
              <w:jc w:val="center"/>
              <w:rPr>
                <w:color w:val="000000"/>
                <w:sz w:val="20"/>
                <w:szCs w:val="20"/>
              </w:rPr>
            </w:pPr>
            <w:r w:rsidRPr="00CA7596">
              <w:rPr>
                <w:color w:val="000000"/>
                <w:sz w:val="20"/>
                <w:szCs w:val="20"/>
              </w:rPr>
              <w:t>*</w:t>
            </w:r>
          </w:p>
        </w:tc>
        <w:tc>
          <w:tcPr>
            <w:tcW w:w="558" w:type="pct"/>
            <w:gridSpan w:val="2"/>
            <w:vAlign w:val="center"/>
          </w:tcPr>
          <w:p w14:paraId="0C5D54C4" w14:textId="77777777" w:rsidR="00C1666C" w:rsidRPr="00CA7596" w:rsidRDefault="00C1666C" w:rsidP="00C1666C">
            <w:pPr>
              <w:spacing w:line="276" w:lineRule="auto"/>
              <w:jc w:val="center"/>
              <w:rPr>
                <w:color w:val="000000"/>
                <w:sz w:val="20"/>
                <w:szCs w:val="20"/>
              </w:rPr>
            </w:pPr>
            <w:r w:rsidRPr="00CA7596">
              <w:rPr>
                <w:color w:val="000000"/>
                <w:sz w:val="20"/>
                <w:szCs w:val="20"/>
              </w:rPr>
              <w:t>*</w:t>
            </w:r>
          </w:p>
        </w:tc>
      </w:tr>
      <w:tr w:rsidR="00C1666C" w:rsidRPr="00D84719" w14:paraId="15D3EBC8" w14:textId="77777777" w:rsidTr="00134B26">
        <w:trPr>
          <w:jc w:val="center"/>
        </w:trPr>
        <w:tc>
          <w:tcPr>
            <w:tcW w:w="2021" w:type="pct"/>
            <w:vAlign w:val="center"/>
          </w:tcPr>
          <w:p w14:paraId="7E6F5983" w14:textId="77777777" w:rsidR="00C1666C" w:rsidRPr="000A016F" w:rsidRDefault="00C1666C" w:rsidP="00C1666C">
            <w:pPr>
              <w:spacing w:line="276" w:lineRule="auto"/>
              <w:jc w:val="both"/>
            </w:pPr>
            <w:r w:rsidRPr="000A016F">
              <w:rPr>
                <w:sz w:val="20"/>
              </w:rPr>
              <w:t>Identifikacija potencijalnih žarišnih točki</w:t>
            </w:r>
          </w:p>
        </w:tc>
        <w:tc>
          <w:tcPr>
            <w:tcW w:w="1540" w:type="pct"/>
            <w:vAlign w:val="center"/>
          </w:tcPr>
          <w:p w14:paraId="10C9EEB4" w14:textId="77777777" w:rsidR="00C1666C" w:rsidRPr="00D84719" w:rsidRDefault="00C1666C" w:rsidP="00C1666C">
            <w:pPr>
              <w:jc w:val="center"/>
              <w:rPr>
                <w:color w:val="000000"/>
              </w:rPr>
            </w:pPr>
          </w:p>
        </w:tc>
        <w:tc>
          <w:tcPr>
            <w:tcW w:w="530" w:type="pct"/>
            <w:vAlign w:val="center"/>
          </w:tcPr>
          <w:p w14:paraId="2DD72976" w14:textId="77777777" w:rsidR="00C1666C" w:rsidRPr="00CA7596" w:rsidRDefault="00C1666C" w:rsidP="00C1666C">
            <w:pPr>
              <w:spacing w:line="276" w:lineRule="auto"/>
              <w:jc w:val="center"/>
              <w:rPr>
                <w:color w:val="000000"/>
                <w:sz w:val="20"/>
                <w:szCs w:val="20"/>
              </w:rPr>
            </w:pPr>
            <w:r>
              <w:rPr>
                <w:color w:val="000000"/>
                <w:sz w:val="20"/>
                <w:szCs w:val="20"/>
              </w:rPr>
              <w:t>0</w:t>
            </w:r>
          </w:p>
        </w:tc>
        <w:tc>
          <w:tcPr>
            <w:tcW w:w="351" w:type="pct"/>
            <w:vAlign w:val="center"/>
          </w:tcPr>
          <w:p w14:paraId="325E64F1" w14:textId="77777777" w:rsidR="00C1666C" w:rsidRPr="00CA7596" w:rsidRDefault="00C1666C" w:rsidP="00C1666C">
            <w:pPr>
              <w:spacing w:line="276" w:lineRule="auto"/>
              <w:jc w:val="center"/>
              <w:rPr>
                <w:color w:val="000000"/>
                <w:sz w:val="20"/>
                <w:szCs w:val="20"/>
              </w:rPr>
            </w:pPr>
            <w:r>
              <w:rPr>
                <w:color w:val="000000"/>
                <w:sz w:val="20"/>
                <w:szCs w:val="20"/>
              </w:rPr>
              <w:t>*</w:t>
            </w:r>
          </w:p>
        </w:tc>
        <w:tc>
          <w:tcPr>
            <w:tcW w:w="558" w:type="pct"/>
            <w:gridSpan w:val="2"/>
            <w:vAlign w:val="center"/>
          </w:tcPr>
          <w:p w14:paraId="6A53398E" w14:textId="77777777" w:rsidR="00C1666C" w:rsidRPr="00CA7596" w:rsidRDefault="00C1666C" w:rsidP="00C1666C">
            <w:pPr>
              <w:spacing w:line="276" w:lineRule="auto"/>
              <w:jc w:val="center"/>
              <w:rPr>
                <w:color w:val="000000"/>
                <w:sz w:val="20"/>
                <w:szCs w:val="20"/>
              </w:rPr>
            </w:pPr>
            <w:r>
              <w:rPr>
                <w:color w:val="000000"/>
                <w:sz w:val="20"/>
                <w:szCs w:val="20"/>
              </w:rPr>
              <w:t>*</w:t>
            </w:r>
          </w:p>
        </w:tc>
      </w:tr>
      <w:tr w:rsidR="00C1666C" w:rsidRPr="00D84719" w14:paraId="3B0F1551" w14:textId="77777777" w:rsidTr="00134B26">
        <w:trPr>
          <w:jc w:val="center"/>
        </w:trPr>
        <w:tc>
          <w:tcPr>
            <w:tcW w:w="2021" w:type="pct"/>
            <w:vAlign w:val="center"/>
          </w:tcPr>
          <w:p w14:paraId="7E092068" w14:textId="77777777" w:rsidR="00C1666C" w:rsidRPr="00D84719" w:rsidRDefault="00C1666C" w:rsidP="00C1666C">
            <w:pPr>
              <w:spacing w:line="276" w:lineRule="auto"/>
              <w:jc w:val="both"/>
              <w:rPr>
                <w:color w:val="000000"/>
              </w:rPr>
            </w:pPr>
            <w:r w:rsidRPr="00D84719">
              <w:rPr>
                <w:color w:val="000000"/>
              </w:rPr>
              <w:t>heksaklorobenzen</w:t>
            </w:r>
          </w:p>
        </w:tc>
        <w:tc>
          <w:tcPr>
            <w:tcW w:w="1540" w:type="pct"/>
            <w:vAlign w:val="center"/>
          </w:tcPr>
          <w:p w14:paraId="3F2D444C" w14:textId="77777777" w:rsidR="00C1666C" w:rsidRPr="00D84719" w:rsidRDefault="00C1666C" w:rsidP="00C1666C">
            <w:pPr>
              <w:jc w:val="center"/>
              <w:rPr>
                <w:color w:val="000000"/>
              </w:rPr>
            </w:pPr>
          </w:p>
        </w:tc>
        <w:tc>
          <w:tcPr>
            <w:tcW w:w="530" w:type="pct"/>
            <w:vAlign w:val="center"/>
          </w:tcPr>
          <w:p w14:paraId="46A1DDAB" w14:textId="77777777" w:rsidR="00C1666C" w:rsidRPr="00CA7596" w:rsidRDefault="00C1666C" w:rsidP="00C1666C">
            <w:pPr>
              <w:spacing w:line="276" w:lineRule="auto"/>
              <w:jc w:val="center"/>
              <w:rPr>
                <w:color w:val="000000"/>
                <w:sz w:val="20"/>
                <w:szCs w:val="20"/>
              </w:rPr>
            </w:pPr>
            <w:r w:rsidRPr="00CA7596">
              <w:rPr>
                <w:color w:val="000000"/>
                <w:sz w:val="20"/>
                <w:szCs w:val="20"/>
              </w:rPr>
              <w:t>0,46 kg</w:t>
            </w:r>
          </w:p>
        </w:tc>
        <w:tc>
          <w:tcPr>
            <w:tcW w:w="351" w:type="pct"/>
            <w:vAlign w:val="center"/>
          </w:tcPr>
          <w:p w14:paraId="4AC1BC97" w14:textId="77777777" w:rsidR="00C1666C" w:rsidRPr="00CA7596" w:rsidRDefault="00C1666C" w:rsidP="00C1666C">
            <w:pPr>
              <w:spacing w:line="276" w:lineRule="auto"/>
              <w:jc w:val="center"/>
              <w:rPr>
                <w:color w:val="000000"/>
                <w:sz w:val="20"/>
                <w:szCs w:val="20"/>
              </w:rPr>
            </w:pPr>
            <w:r w:rsidRPr="00CA7596">
              <w:rPr>
                <w:color w:val="000000"/>
                <w:sz w:val="20"/>
                <w:szCs w:val="20"/>
              </w:rPr>
              <w:t>*</w:t>
            </w:r>
          </w:p>
        </w:tc>
        <w:tc>
          <w:tcPr>
            <w:tcW w:w="558" w:type="pct"/>
            <w:gridSpan w:val="2"/>
            <w:vAlign w:val="center"/>
          </w:tcPr>
          <w:p w14:paraId="056CD409" w14:textId="77777777" w:rsidR="00C1666C" w:rsidRPr="00CA7596" w:rsidRDefault="00C1666C" w:rsidP="00C1666C">
            <w:pPr>
              <w:spacing w:line="276" w:lineRule="auto"/>
              <w:jc w:val="center"/>
              <w:rPr>
                <w:color w:val="000000"/>
                <w:sz w:val="20"/>
                <w:szCs w:val="20"/>
              </w:rPr>
            </w:pPr>
            <w:r w:rsidRPr="00CA7596">
              <w:rPr>
                <w:color w:val="000000"/>
                <w:sz w:val="20"/>
                <w:szCs w:val="20"/>
              </w:rPr>
              <w:t>*</w:t>
            </w:r>
          </w:p>
        </w:tc>
      </w:tr>
      <w:tr w:rsidR="00C1666C" w:rsidRPr="00D84719" w14:paraId="6913A451" w14:textId="77777777" w:rsidTr="00134B26">
        <w:trPr>
          <w:jc w:val="center"/>
        </w:trPr>
        <w:tc>
          <w:tcPr>
            <w:tcW w:w="2021" w:type="pct"/>
            <w:vAlign w:val="center"/>
          </w:tcPr>
          <w:p w14:paraId="4CB1992B" w14:textId="77777777" w:rsidR="00C1666C" w:rsidRPr="00D84719" w:rsidRDefault="00C1666C" w:rsidP="00C1666C">
            <w:pPr>
              <w:spacing w:line="276" w:lineRule="auto"/>
              <w:jc w:val="both"/>
              <w:rPr>
                <w:color w:val="000000"/>
              </w:rPr>
            </w:pPr>
            <w:r w:rsidRPr="00D84719">
              <w:rPr>
                <w:color w:val="000000"/>
              </w:rPr>
              <w:t>poliklorirani bifenili</w:t>
            </w:r>
          </w:p>
        </w:tc>
        <w:tc>
          <w:tcPr>
            <w:tcW w:w="1540" w:type="pct"/>
            <w:vAlign w:val="center"/>
          </w:tcPr>
          <w:p w14:paraId="544DF12B" w14:textId="77777777" w:rsidR="00C1666C" w:rsidRPr="00D84719" w:rsidRDefault="00C1666C" w:rsidP="00C1666C">
            <w:pPr>
              <w:jc w:val="center"/>
              <w:rPr>
                <w:color w:val="000000"/>
              </w:rPr>
            </w:pPr>
          </w:p>
        </w:tc>
        <w:tc>
          <w:tcPr>
            <w:tcW w:w="530" w:type="pct"/>
            <w:vAlign w:val="center"/>
          </w:tcPr>
          <w:p w14:paraId="4D29E3B3" w14:textId="77777777" w:rsidR="00C1666C" w:rsidRPr="00CA7596" w:rsidRDefault="00C1666C" w:rsidP="00C1666C">
            <w:pPr>
              <w:spacing w:line="276" w:lineRule="auto"/>
              <w:jc w:val="center"/>
              <w:rPr>
                <w:color w:val="000000"/>
                <w:sz w:val="20"/>
                <w:szCs w:val="20"/>
              </w:rPr>
            </w:pPr>
            <w:r w:rsidRPr="00CA7596">
              <w:rPr>
                <w:color w:val="000000"/>
                <w:sz w:val="20"/>
                <w:szCs w:val="20"/>
              </w:rPr>
              <w:t>415,3 kg</w:t>
            </w:r>
          </w:p>
        </w:tc>
        <w:tc>
          <w:tcPr>
            <w:tcW w:w="351" w:type="pct"/>
            <w:vAlign w:val="center"/>
          </w:tcPr>
          <w:p w14:paraId="5B112524" w14:textId="77777777" w:rsidR="00C1666C" w:rsidRPr="00CA7596" w:rsidRDefault="00C1666C" w:rsidP="00C1666C">
            <w:pPr>
              <w:spacing w:line="276" w:lineRule="auto"/>
              <w:jc w:val="center"/>
              <w:rPr>
                <w:color w:val="000000"/>
                <w:sz w:val="20"/>
                <w:szCs w:val="20"/>
              </w:rPr>
            </w:pPr>
            <w:r w:rsidRPr="00CA7596">
              <w:rPr>
                <w:color w:val="000000"/>
                <w:sz w:val="20"/>
                <w:szCs w:val="20"/>
              </w:rPr>
              <w:t>*</w:t>
            </w:r>
          </w:p>
        </w:tc>
        <w:tc>
          <w:tcPr>
            <w:tcW w:w="558" w:type="pct"/>
            <w:gridSpan w:val="2"/>
            <w:vAlign w:val="center"/>
          </w:tcPr>
          <w:p w14:paraId="3BCAAB1F" w14:textId="77777777" w:rsidR="00C1666C" w:rsidRPr="00CA7596" w:rsidRDefault="00C1666C" w:rsidP="00C1666C">
            <w:pPr>
              <w:spacing w:line="276" w:lineRule="auto"/>
              <w:jc w:val="center"/>
              <w:rPr>
                <w:color w:val="000000"/>
                <w:sz w:val="20"/>
                <w:szCs w:val="20"/>
              </w:rPr>
            </w:pPr>
            <w:r w:rsidRPr="00CA7596">
              <w:rPr>
                <w:color w:val="000000"/>
                <w:sz w:val="20"/>
                <w:szCs w:val="20"/>
              </w:rPr>
              <w:t>*</w:t>
            </w:r>
          </w:p>
        </w:tc>
      </w:tr>
      <w:tr w:rsidR="00C1666C" w:rsidRPr="00D84719" w14:paraId="226EE59B" w14:textId="77777777" w:rsidTr="00134B26">
        <w:trPr>
          <w:jc w:val="center"/>
        </w:trPr>
        <w:tc>
          <w:tcPr>
            <w:tcW w:w="2021" w:type="pct"/>
            <w:vAlign w:val="center"/>
          </w:tcPr>
          <w:p w14:paraId="3193B262" w14:textId="77777777" w:rsidR="00C1666C" w:rsidRPr="00D84719" w:rsidRDefault="00C1666C" w:rsidP="00C1666C">
            <w:pPr>
              <w:spacing w:line="276" w:lineRule="auto"/>
              <w:jc w:val="both"/>
              <w:rPr>
                <w:color w:val="000000"/>
              </w:rPr>
            </w:pPr>
            <w:r w:rsidRPr="00D84719">
              <w:rPr>
                <w:color w:val="000000"/>
              </w:rPr>
              <w:t>pentaklorobenzen</w:t>
            </w:r>
          </w:p>
        </w:tc>
        <w:tc>
          <w:tcPr>
            <w:tcW w:w="1540" w:type="pct"/>
            <w:vAlign w:val="center"/>
          </w:tcPr>
          <w:p w14:paraId="0A2F3637" w14:textId="77777777" w:rsidR="00C1666C" w:rsidRPr="00D84719" w:rsidRDefault="00C1666C" w:rsidP="00C1666C">
            <w:pPr>
              <w:jc w:val="center"/>
              <w:rPr>
                <w:color w:val="000000"/>
              </w:rPr>
            </w:pPr>
          </w:p>
        </w:tc>
        <w:tc>
          <w:tcPr>
            <w:tcW w:w="530" w:type="pct"/>
            <w:vAlign w:val="center"/>
          </w:tcPr>
          <w:p w14:paraId="503FA2F0" w14:textId="77777777" w:rsidR="00C1666C" w:rsidRPr="00CA7596" w:rsidRDefault="00C1666C" w:rsidP="00C1666C">
            <w:pPr>
              <w:spacing w:line="276" w:lineRule="auto"/>
              <w:jc w:val="center"/>
              <w:rPr>
                <w:color w:val="000000"/>
                <w:sz w:val="20"/>
                <w:szCs w:val="20"/>
              </w:rPr>
            </w:pPr>
            <w:r w:rsidRPr="00CA7596">
              <w:rPr>
                <w:color w:val="000000"/>
                <w:sz w:val="20"/>
                <w:szCs w:val="20"/>
              </w:rPr>
              <w:t>0</w:t>
            </w:r>
          </w:p>
        </w:tc>
        <w:tc>
          <w:tcPr>
            <w:tcW w:w="351" w:type="pct"/>
            <w:vAlign w:val="center"/>
          </w:tcPr>
          <w:p w14:paraId="345AAB8D" w14:textId="77777777" w:rsidR="00C1666C" w:rsidRPr="00CA7596" w:rsidRDefault="00C1666C" w:rsidP="00C1666C">
            <w:pPr>
              <w:spacing w:line="276" w:lineRule="auto"/>
              <w:jc w:val="center"/>
              <w:rPr>
                <w:color w:val="000000"/>
                <w:sz w:val="20"/>
                <w:szCs w:val="20"/>
              </w:rPr>
            </w:pPr>
            <w:r w:rsidRPr="00CA7596">
              <w:rPr>
                <w:color w:val="000000"/>
                <w:sz w:val="20"/>
                <w:szCs w:val="20"/>
              </w:rPr>
              <w:t>*</w:t>
            </w:r>
          </w:p>
        </w:tc>
        <w:tc>
          <w:tcPr>
            <w:tcW w:w="558" w:type="pct"/>
            <w:gridSpan w:val="2"/>
            <w:vAlign w:val="center"/>
          </w:tcPr>
          <w:p w14:paraId="15741C50" w14:textId="77777777" w:rsidR="00C1666C" w:rsidRPr="00CA7596" w:rsidRDefault="00C1666C" w:rsidP="00C1666C">
            <w:pPr>
              <w:spacing w:line="276" w:lineRule="auto"/>
              <w:jc w:val="center"/>
              <w:rPr>
                <w:color w:val="000000"/>
                <w:sz w:val="20"/>
                <w:szCs w:val="20"/>
              </w:rPr>
            </w:pPr>
            <w:r w:rsidRPr="00CA7596">
              <w:rPr>
                <w:color w:val="000000"/>
                <w:sz w:val="20"/>
                <w:szCs w:val="20"/>
              </w:rPr>
              <w:t>*</w:t>
            </w:r>
          </w:p>
        </w:tc>
      </w:tr>
      <w:tr w:rsidR="00C1666C" w:rsidRPr="00D84719" w14:paraId="54578469" w14:textId="77777777" w:rsidTr="00134B26">
        <w:trPr>
          <w:jc w:val="center"/>
        </w:trPr>
        <w:tc>
          <w:tcPr>
            <w:tcW w:w="2021" w:type="pct"/>
            <w:vAlign w:val="center"/>
          </w:tcPr>
          <w:p w14:paraId="136B3C29" w14:textId="77777777" w:rsidR="00C1666C" w:rsidRPr="00D84719" w:rsidRDefault="00C1666C" w:rsidP="00C1666C">
            <w:pPr>
              <w:spacing w:line="276" w:lineRule="auto"/>
              <w:jc w:val="both"/>
              <w:rPr>
                <w:color w:val="000000"/>
              </w:rPr>
            </w:pPr>
            <w:r w:rsidRPr="00D84719">
              <w:rPr>
                <w:color w:val="000000"/>
              </w:rPr>
              <w:t>poliklorirani naftaleni</w:t>
            </w:r>
          </w:p>
        </w:tc>
        <w:tc>
          <w:tcPr>
            <w:tcW w:w="1540" w:type="pct"/>
            <w:vAlign w:val="center"/>
          </w:tcPr>
          <w:p w14:paraId="13EFA400" w14:textId="77777777" w:rsidR="00C1666C" w:rsidRPr="00D84719" w:rsidRDefault="00C1666C" w:rsidP="00C1666C">
            <w:pPr>
              <w:jc w:val="center"/>
              <w:rPr>
                <w:color w:val="000000"/>
              </w:rPr>
            </w:pPr>
          </w:p>
        </w:tc>
        <w:tc>
          <w:tcPr>
            <w:tcW w:w="530" w:type="pct"/>
            <w:vAlign w:val="center"/>
          </w:tcPr>
          <w:p w14:paraId="6B7342D4" w14:textId="77777777" w:rsidR="00C1666C" w:rsidRPr="00CA7596" w:rsidRDefault="00C1666C" w:rsidP="00C1666C">
            <w:pPr>
              <w:spacing w:line="276" w:lineRule="auto"/>
              <w:jc w:val="center"/>
              <w:rPr>
                <w:color w:val="000000"/>
                <w:sz w:val="20"/>
                <w:szCs w:val="20"/>
              </w:rPr>
            </w:pPr>
            <w:r w:rsidRPr="00CA7596">
              <w:rPr>
                <w:color w:val="000000"/>
                <w:sz w:val="20"/>
                <w:szCs w:val="20"/>
              </w:rPr>
              <w:t>0</w:t>
            </w:r>
          </w:p>
        </w:tc>
        <w:tc>
          <w:tcPr>
            <w:tcW w:w="351" w:type="pct"/>
            <w:vAlign w:val="center"/>
          </w:tcPr>
          <w:p w14:paraId="3FD7AD03" w14:textId="77777777" w:rsidR="00C1666C" w:rsidRPr="00CA7596" w:rsidRDefault="00C1666C" w:rsidP="00C1666C">
            <w:pPr>
              <w:spacing w:line="276" w:lineRule="auto"/>
              <w:jc w:val="center"/>
              <w:rPr>
                <w:color w:val="000000"/>
                <w:sz w:val="20"/>
                <w:szCs w:val="20"/>
              </w:rPr>
            </w:pPr>
            <w:r w:rsidRPr="00CA7596">
              <w:rPr>
                <w:color w:val="000000"/>
                <w:sz w:val="20"/>
                <w:szCs w:val="20"/>
              </w:rPr>
              <w:t>*</w:t>
            </w:r>
          </w:p>
        </w:tc>
        <w:tc>
          <w:tcPr>
            <w:tcW w:w="558" w:type="pct"/>
            <w:gridSpan w:val="2"/>
            <w:vAlign w:val="center"/>
          </w:tcPr>
          <w:p w14:paraId="50151871" w14:textId="77777777" w:rsidR="00C1666C" w:rsidRPr="00CA7596" w:rsidRDefault="00C1666C" w:rsidP="00C1666C">
            <w:pPr>
              <w:spacing w:line="276" w:lineRule="auto"/>
              <w:jc w:val="center"/>
              <w:rPr>
                <w:color w:val="000000"/>
                <w:sz w:val="20"/>
                <w:szCs w:val="20"/>
              </w:rPr>
            </w:pPr>
            <w:r w:rsidRPr="00CA7596">
              <w:rPr>
                <w:color w:val="000000"/>
                <w:sz w:val="20"/>
                <w:szCs w:val="20"/>
              </w:rPr>
              <w:t>*</w:t>
            </w:r>
          </w:p>
        </w:tc>
      </w:tr>
      <w:tr w:rsidR="00C1666C" w:rsidRPr="00D84719" w14:paraId="405B25C5" w14:textId="77777777" w:rsidTr="00134B26">
        <w:trPr>
          <w:jc w:val="center"/>
        </w:trPr>
        <w:tc>
          <w:tcPr>
            <w:tcW w:w="2021" w:type="pct"/>
            <w:vAlign w:val="center"/>
          </w:tcPr>
          <w:p w14:paraId="3C7F966C" w14:textId="77777777" w:rsidR="00C1666C" w:rsidRPr="00D84719" w:rsidRDefault="00C1666C" w:rsidP="00C1666C">
            <w:pPr>
              <w:spacing w:line="276" w:lineRule="auto"/>
              <w:jc w:val="both"/>
              <w:rPr>
                <w:color w:val="000000"/>
              </w:rPr>
            </w:pPr>
            <w:r w:rsidRPr="00D84719">
              <w:rPr>
                <w:color w:val="000000"/>
              </w:rPr>
              <w:t>heksaklorobutadien</w:t>
            </w:r>
          </w:p>
        </w:tc>
        <w:tc>
          <w:tcPr>
            <w:tcW w:w="1540" w:type="pct"/>
            <w:vAlign w:val="center"/>
          </w:tcPr>
          <w:p w14:paraId="05BA84C1" w14:textId="77777777" w:rsidR="00C1666C" w:rsidRPr="00D84719" w:rsidRDefault="00C1666C" w:rsidP="00C1666C">
            <w:pPr>
              <w:jc w:val="center"/>
              <w:rPr>
                <w:color w:val="000000"/>
              </w:rPr>
            </w:pPr>
          </w:p>
        </w:tc>
        <w:tc>
          <w:tcPr>
            <w:tcW w:w="530" w:type="pct"/>
            <w:vAlign w:val="center"/>
          </w:tcPr>
          <w:p w14:paraId="5F839995" w14:textId="77777777" w:rsidR="00C1666C" w:rsidRPr="00CA7596" w:rsidRDefault="00C1666C" w:rsidP="00C1666C">
            <w:pPr>
              <w:spacing w:line="276" w:lineRule="auto"/>
              <w:jc w:val="center"/>
              <w:rPr>
                <w:color w:val="000000"/>
                <w:sz w:val="20"/>
                <w:szCs w:val="20"/>
              </w:rPr>
            </w:pPr>
            <w:r w:rsidRPr="00CA7596">
              <w:rPr>
                <w:color w:val="000000"/>
                <w:sz w:val="20"/>
                <w:szCs w:val="20"/>
              </w:rPr>
              <w:t>0</w:t>
            </w:r>
          </w:p>
        </w:tc>
        <w:tc>
          <w:tcPr>
            <w:tcW w:w="351" w:type="pct"/>
            <w:vAlign w:val="center"/>
          </w:tcPr>
          <w:p w14:paraId="56A7CF2E" w14:textId="77777777" w:rsidR="00C1666C" w:rsidRPr="00CA7596" w:rsidRDefault="00C1666C" w:rsidP="00C1666C">
            <w:pPr>
              <w:spacing w:line="276" w:lineRule="auto"/>
              <w:jc w:val="center"/>
              <w:rPr>
                <w:color w:val="000000"/>
                <w:sz w:val="20"/>
                <w:szCs w:val="20"/>
              </w:rPr>
            </w:pPr>
            <w:r w:rsidRPr="00CA7596">
              <w:rPr>
                <w:color w:val="000000"/>
                <w:sz w:val="20"/>
                <w:szCs w:val="20"/>
              </w:rPr>
              <w:t>*</w:t>
            </w:r>
          </w:p>
        </w:tc>
        <w:tc>
          <w:tcPr>
            <w:tcW w:w="558" w:type="pct"/>
            <w:gridSpan w:val="2"/>
            <w:vAlign w:val="center"/>
          </w:tcPr>
          <w:p w14:paraId="7EC400AF" w14:textId="77777777" w:rsidR="00C1666C" w:rsidRPr="00CA7596" w:rsidRDefault="00C1666C" w:rsidP="00C1666C">
            <w:pPr>
              <w:spacing w:line="276" w:lineRule="auto"/>
              <w:jc w:val="center"/>
              <w:rPr>
                <w:color w:val="000000"/>
                <w:sz w:val="20"/>
                <w:szCs w:val="20"/>
              </w:rPr>
            </w:pPr>
            <w:r w:rsidRPr="00CA7596">
              <w:rPr>
                <w:color w:val="000000"/>
                <w:sz w:val="20"/>
                <w:szCs w:val="20"/>
              </w:rPr>
              <w:t>*</w:t>
            </w:r>
          </w:p>
        </w:tc>
      </w:tr>
    </w:tbl>
    <w:p w14:paraId="03C4DB80" w14:textId="77777777" w:rsidR="00D84719" w:rsidRPr="006879EF" w:rsidRDefault="00D84719" w:rsidP="00682E97">
      <w:pPr>
        <w:spacing w:before="60" w:after="60" w:line="240" w:lineRule="auto"/>
        <w:jc w:val="both"/>
        <w:rPr>
          <w:rFonts w:ascii="Times New Roman" w:eastAsia="Times New Roman" w:hAnsi="Times New Roman" w:cs="Times New Roman"/>
          <w:sz w:val="20"/>
          <w:szCs w:val="24"/>
        </w:rPr>
      </w:pPr>
      <w:r w:rsidRPr="006879EF">
        <w:rPr>
          <w:rFonts w:ascii="Times New Roman" w:eastAsia="Times New Roman" w:hAnsi="Times New Roman" w:cs="Times New Roman"/>
          <w:sz w:val="20"/>
          <w:szCs w:val="24"/>
        </w:rPr>
        <w:t>* potrebno odrediti</w:t>
      </w:r>
    </w:p>
    <w:p w14:paraId="32256450" w14:textId="77777777" w:rsidR="00D84719" w:rsidRPr="00D84719" w:rsidRDefault="00D84719" w:rsidP="00D84719">
      <w:pPr>
        <w:spacing w:before="80" w:line="276" w:lineRule="auto"/>
        <w:jc w:val="both"/>
        <w:rPr>
          <w:rFonts w:ascii="Times New Roman" w:eastAsia="Times New Roman" w:hAnsi="Times New Roman" w:cs="Times New Roman"/>
          <w:color w:val="808080"/>
          <w:szCs w:val="24"/>
        </w:rPr>
      </w:pPr>
    </w:p>
    <w:p w14:paraId="5F862E59" w14:textId="77777777" w:rsidR="00D84719" w:rsidRPr="00D84719" w:rsidRDefault="00D84719" w:rsidP="00682E97">
      <w:pPr>
        <w:pStyle w:val="Naslov2"/>
      </w:pPr>
      <w:bookmarkStart w:id="127" w:name="_Toc41638269"/>
      <w:bookmarkStart w:id="128" w:name="_Toc64460722"/>
      <w:r w:rsidRPr="00D84719">
        <w:t>Postojeći programi za praćenje ispuštanja POPs-ova i njihov utjecaj na ljudsko zdravlje i okoliš</w:t>
      </w:r>
      <w:bookmarkEnd w:id="127"/>
      <w:bookmarkEnd w:id="128"/>
      <w:r w:rsidRPr="00D84719">
        <w:t xml:space="preserve"> </w:t>
      </w:r>
    </w:p>
    <w:p w14:paraId="39ACEBA4" w14:textId="1398C9EA" w:rsidR="0086647B" w:rsidRPr="00222CA7" w:rsidRDefault="00D84719" w:rsidP="00222CA7">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Podaci o postojećim programima praćenja i ispuštanja POPs-ova preuzeti su iz Četvrtog izvješća o provedbi Stockholmske konvencije o postojanim organskim onečišćujućim tvarima u Republici Hrvatskoj za razdoblje siječanj</w:t>
      </w:r>
      <w:r w:rsidR="001B5C46">
        <w:rPr>
          <w:rFonts w:ascii="Times New Roman" w:eastAsia="Times New Roman" w:hAnsi="Times New Roman" w:cs="Times New Roman"/>
          <w:color w:val="000000"/>
          <w:sz w:val="24"/>
          <w:szCs w:val="24"/>
        </w:rPr>
        <w:t xml:space="preserve"> 20</w:t>
      </w:r>
      <w:r w:rsidRPr="00D84719">
        <w:rPr>
          <w:rFonts w:ascii="Times New Roman" w:eastAsia="Times New Roman" w:hAnsi="Times New Roman" w:cs="Times New Roman"/>
          <w:color w:val="000000"/>
          <w:sz w:val="24"/>
          <w:szCs w:val="24"/>
        </w:rPr>
        <w:t>15. – prosinac</w:t>
      </w:r>
      <w:r w:rsidR="001B5C46">
        <w:rPr>
          <w:rFonts w:ascii="Times New Roman" w:eastAsia="Times New Roman" w:hAnsi="Times New Roman" w:cs="Times New Roman"/>
          <w:color w:val="000000"/>
          <w:sz w:val="24"/>
          <w:szCs w:val="24"/>
        </w:rPr>
        <w:t xml:space="preserve"> 20</w:t>
      </w:r>
      <w:r w:rsidRPr="00D84719">
        <w:rPr>
          <w:rFonts w:ascii="Times New Roman" w:eastAsia="Times New Roman" w:hAnsi="Times New Roman" w:cs="Times New Roman"/>
          <w:color w:val="000000"/>
          <w:sz w:val="24"/>
          <w:szCs w:val="24"/>
        </w:rPr>
        <w:t>17</w:t>
      </w:r>
      <w:r w:rsidR="005C26BD">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 xml:space="preserve"> i Petog izvješća o provedbi Stockholmske konvencije o postojanim organskim onečišćujućim tvarima u Republici Hrvatskoj za razdoblje siječanj</w:t>
      </w:r>
      <w:r w:rsidR="001B5C46">
        <w:rPr>
          <w:rFonts w:ascii="Times New Roman" w:eastAsia="Times New Roman" w:hAnsi="Times New Roman" w:cs="Times New Roman"/>
          <w:color w:val="000000"/>
          <w:sz w:val="24"/>
          <w:szCs w:val="24"/>
        </w:rPr>
        <w:t xml:space="preserve"> 20</w:t>
      </w:r>
      <w:r w:rsidRPr="00D84719">
        <w:rPr>
          <w:rFonts w:ascii="Times New Roman" w:eastAsia="Times New Roman" w:hAnsi="Times New Roman" w:cs="Times New Roman"/>
          <w:color w:val="000000"/>
          <w:sz w:val="24"/>
          <w:szCs w:val="24"/>
        </w:rPr>
        <w:t>18. – prosinac</w:t>
      </w:r>
      <w:r w:rsidR="001B5C46">
        <w:rPr>
          <w:rFonts w:ascii="Times New Roman" w:eastAsia="Times New Roman" w:hAnsi="Times New Roman" w:cs="Times New Roman"/>
          <w:color w:val="000000"/>
          <w:sz w:val="24"/>
          <w:szCs w:val="24"/>
        </w:rPr>
        <w:t xml:space="preserve"> 20</w:t>
      </w:r>
      <w:r w:rsidRPr="00D84719">
        <w:rPr>
          <w:rFonts w:ascii="Times New Roman" w:eastAsia="Times New Roman" w:hAnsi="Times New Roman" w:cs="Times New Roman"/>
          <w:color w:val="000000"/>
          <w:sz w:val="24"/>
          <w:szCs w:val="24"/>
        </w:rPr>
        <w:t>19</w:t>
      </w:r>
      <w:r w:rsidR="005C26BD">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w:t>
      </w:r>
      <w:r w:rsidR="0086647B">
        <w:rPr>
          <w:rFonts w:ascii="Times New Roman" w:eastAsia="Times New Roman" w:hAnsi="Times New Roman" w:cs="Times New Roman"/>
          <w:color w:val="000000"/>
          <w:sz w:val="24"/>
          <w:szCs w:val="24"/>
        </w:rPr>
        <w:t xml:space="preserve"> Svi prikazani podaci u ovom poglavlju ne mogu biti svedeni na isto ref</w:t>
      </w:r>
      <w:r w:rsidR="004B2FBA">
        <w:rPr>
          <w:rFonts w:ascii="Times New Roman" w:eastAsia="Times New Roman" w:hAnsi="Times New Roman" w:cs="Times New Roman"/>
          <w:color w:val="000000"/>
          <w:sz w:val="24"/>
          <w:szCs w:val="24"/>
        </w:rPr>
        <w:t>e</w:t>
      </w:r>
      <w:r w:rsidR="0086647B">
        <w:rPr>
          <w:rFonts w:ascii="Times New Roman" w:eastAsia="Times New Roman" w:hAnsi="Times New Roman" w:cs="Times New Roman"/>
          <w:color w:val="000000"/>
          <w:sz w:val="24"/>
          <w:szCs w:val="24"/>
        </w:rPr>
        <w:t xml:space="preserve">rentno razdoblje jer se radi o različitim sastavnicama okoliša i različitim medijima za koje se podaci prikupljaju. </w:t>
      </w:r>
      <w:r w:rsidR="00222CA7">
        <w:rPr>
          <w:rFonts w:ascii="Times New Roman" w:eastAsia="Times New Roman" w:hAnsi="Times New Roman" w:cs="Times New Roman"/>
          <w:color w:val="000000"/>
          <w:sz w:val="24"/>
          <w:szCs w:val="24"/>
        </w:rPr>
        <w:t xml:space="preserve">Isti se prikupljaju prema različitim metodologijama i za različita vremenska razdoblja koja ovise o obvezama izvješćivanja propisanima </w:t>
      </w:r>
      <w:r w:rsidR="00222CA7" w:rsidRPr="00222CA7">
        <w:rPr>
          <w:rFonts w:ascii="Times New Roman" w:eastAsia="Times New Roman" w:hAnsi="Times New Roman" w:cs="Times New Roman"/>
          <w:color w:val="000000"/>
          <w:sz w:val="24"/>
          <w:szCs w:val="24"/>
        </w:rPr>
        <w:t>odgovarajućim nacionalnim i europskim propisima te međunarodnim ugovorima</w:t>
      </w:r>
      <w:r w:rsidR="00222CA7">
        <w:rPr>
          <w:rFonts w:ascii="Times New Roman" w:eastAsia="Times New Roman" w:hAnsi="Times New Roman" w:cs="Times New Roman"/>
          <w:color w:val="000000"/>
          <w:sz w:val="24"/>
          <w:szCs w:val="24"/>
        </w:rPr>
        <w:t>.</w:t>
      </w:r>
    </w:p>
    <w:p w14:paraId="39D8CE37"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p>
    <w:p w14:paraId="4D6BF370" w14:textId="77777777" w:rsidR="00D84719" w:rsidRPr="00D84719" w:rsidRDefault="00D84719" w:rsidP="00682E97">
      <w:pPr>
        <w:pStyle w:val="Naslov3"/>
      </w:pPr>
      <w:bookmarkStart w:id="129" w:name="_Toc41638270"/>
      <w:bookmarkStart w:id="130" w:name="_Toc64460723"/>
      <w:r w:rsidRPr="00D84719">
        <w:t>M</w:t>
      </w:r>
      <w:r w:rsidR="00682E97" w:rsidRPr="00D84719">
        <w:t>onitoring</w:t>
      </w:r>
      <w:r w:rsidRPr="00D84719">
        <w:t xml:space="preserve"> POPs-ova </w:t>
      </w:r>
      <w:r w:rsidR="00682E97" w:rsidRPr="00D84719">
        <w:t>u vodama</w:t>
      </w:r>
      <w:bookmarkEnd w:id="129"/>
      <w:bookmarkEnd w:id="130"/>
    </w:p>
    <w:p w14:paraId="4166F943" w14:textId="6248E418" w:rsidR="00D84719" w:rsidRPr="00D84719" w:rsidRDefault="00D84719" w:rsidP="00D84719">
      <w:pPr>
        <w:spacing w:before="80" w:after="12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 xml:space="preserve">Stanje prirodnih, znatno promijenjenih i umjetnih vodnih tijela površinskih voda u 2018., koje uključuje rijeke, jezera, prijelazne i priobalne vode određeno je na temelju ekološkog ili </w:t>
      </w:r>
      <w:r w:rsidRPr="00D84719">
        <w:rPr>
          <w:rFonts w:ascii="Times New Roman" w:eastAsia="Times New Roman" w:hAnsi="Times New Roman" w:cs="Times New Roman"/>
          <w:color w:val="000000"/>
          <w:sz w:val="24"/>
          <w:szCs w:val="24"/>
        </w:rPr>
        <w:lastRenderedPageBreak/>
        <w:t>kemijskog stanja toga tijela</w:t>
      </w:r>
      <w:r w:rsidRPr="00D84719">
        <w:rPr>
          <w:rFonts w:ascii="Times New Roman" w:eastAsia="Times New Roman" w:hAnsi="Times New Roman" w:cs="Times New Roman"/>
          <w:color w:val="000000"/>
          <w:sz w:val="24"/>
          <w:szCs w:val="24"/>
          <w:vertAlign w:val="superscript"/>
        </w:rPr>
        <w:footnoteReference w:id="7"/>
      </w:r>
      <w:r w:rsidRPr="00D84719">
        <w:rPr>
          <w:rFonts w:ascii="Times New Roman" w:eastAsia="Times New Roman" w:hAnsi="Times New Roman" w:cs="Times New Roman"/>
          <w:color w:val="000000"/>
          <w:sz w:val="24"/>
          <w:szCs w:val="24"/>
        </w:rPr>
        <w:t>, a odnosi se na podatke monitoringa prikupljene do kraja 2018.. Ocjena stanja površinskih voda u 2018</w:t>
      </w:r>
      <w:r w:rsidR="004C449C">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 xml:space="preserve"> rađena je prema ranijoj Uredbi o standardu kakvoće voda („Narodne novine“, br. 73/13, 151/14, 78/15, 61/16 i 80/18).</w:t>
      </w:r>
    </w:p>
    <w:p w14:paraId="2675568F" w14:textId="77777777" w:rsidR="00D84719" w:rsidRPr="00D84719" w:rsidRDefault="00D84719" w:rsidP="00D84719">
      <w:pPr>
        <w:spacing w:before="80" w:after="12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 xml:space="preserve">Monitoring stanja površinskih voda provodi se kao nadzorni i operativni monitoring, a prema potrebi i kao istraživački monitoring. </w:t>
      </w:r>
    </w:p>
    <w:p w14:paraId="7E866FE8"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 xml:space="preserve">Nadzorni monitoring provodi se radi dopune i vrednovanja postupka ocjene utjecaja ljudskih aktivnosti na stanje voda, planiranja budućeg monitoringa, ocjenjivanja dugoročnih promjena prirodnih uvjeta i dugoročnih promjena uzrokovanih intenzivnim ljudskim aktivnostima, a provodi se za sve biološke, hidromorfološke i osnovne fizikalno-kemijske elemente kakvoće te za sve specifične onečišćujuće tvari i sve pokazatelje kemijskog stanja. </w:t>
      </w:r>
    </w:p>
    <w:p w14:paraId="06800DD2"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Zadaća operativnog monitoringa je utvrđivanje promjena zbog provođenja mjera na područjima za koje je utvrđeno da ne ispunjavaju uvjete za dobro stanje voda.</w:t>
      </w:r>
    </w:p>
    <w:p w14:paraId="799EF28C"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 xml:space="preserve">Istraživački monitoring se provodi kada razlozi prekoračenja graničnih vrijednosti pokazatelja za ocjenu stanja voda nisu poznati, kada nadzorni monitoring ukazuje na malu vjerojatnost da određeno tijelo površinske vode postigne ciljeve zaštite voda, a operativni monitoring još nije uspostavljen kako bi se utvrdili razlozi nepostizanja ciljeva zaštite voda, radi utvrđivanja veličine i utjecaja iznenadnog onečišćenja te radi osiguranja informacija za uspostavljanje programa mjera za postizanje ciljeva zaštite voda i određivanja programa posebnih mjera za otklanjanje posljedica iznenadnih onečišćenja. </w:t>
      </w:r>
    </w:p>
    <w:p w14:paraId="61CBED14"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 xml:space="preserve">Temeljem rezultata monitoringa se za svako vodno tijelo pojedinačno donosi ocjena njegovog stanja i razvrstava se u odgovarajuću kategoriju (klasifikacija stanja tijela) uz analizu utjecaja, procjenjuje se rizik da određeno tijelo površinske ili podzemne vode neće postići ciljeve zaštite vodnog okoliša, odnosno da neće zadržati stanje sukladno ciljevima zaštite voda. Rezultati monitoringa pokazuju stanje elemenata kakvoće te samim time i napredak u postizanju ciljeva zaštite voda. </w:t>
      </w:r>
    </w:p>
    <w:p w14:paraId="6752FACB"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U članku 15. Uredbe o standardu kakvoće voda propisano je da se ekološko stanje ocjenjuje na temelju lošije vrijednosti, uzimajući u obzir vrijednosti rezultata ocjene bioloških elemenata te osnovnih fizikalno-kemijskih i kemijskih elemenata koji prate biološke elemente. Pet je kategorija ekološkog stanja: vrlo dobro, dobro, umjereno, loše i vrlo loše. Vrlo dobro ekološko stanje se dodatno provjerava u odnosu na hidromorfološke elemente te se u slučaju da nisu zadovoljeni hidromorfološki uvjeti vrlo dobrog stanja utvrđuje dobro ekološko stanje.</w:t>
      </w:r>
    </w:p>
    <w:p w14:paraId="756C387A"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Ocjena kemijskog stanja površinskih kopnenih voda je napravljena u odnosu na dozvoljenu prosječnu i maksimalnu godišnju koncentraciju prioritetnih i prioritetno opasnih tvari u vodi propisanih u Prilogu 5., tablici 5.B, Standardi kakvoće okoliša (SKVO), Uredbe o standardu kakvoće voda. Kemijsko stanje se raspodjeljuje u dvije klase: dobro kemijsko stanje i nije postignuto dobro kemijsko stanje.</w:t>
      </w:r>
    </w:p>
    <w:p w14:paraId="53BF8E64" w14:textId="77777777" w:rsidR="00D84719" w:rsidRPr="00D84719" w:rsidRDefault="00D84719" w:rsidP="00D84719">
      <w:pPr>
        <w:spacing w:before="80" w:line="276" w:lineRule="auto"/>
        <w:jc w:val="both"/>
        <w:rPr>
          <w:rFonts w:ascii="Times New Roman" w:eastAsia="CIDFont+F2" w:hAnsi="Times New Roman" w:cs="Times New Roman"/>
          <w:color w:val="000000"/>
          <w:sz w:val="24"/>
          <w:szCs w:val="24"/>
        </w:rPr>
      </w:pPr>
      <w:r w:rsidRPr="00D84719">
        <w:rPr>
          <w:rFonts w:ascii="Times New Roman" w:eastAsia="Times New Roman" w:hAnsi="Times New Roman" w:cs="Times New Roman"/>
          <w:color w:val="000000"/>
          <w:sz w:val="24"/>
          <w:szCs w:val="24"/>
        </w:rPr>
        <w:t xml:space="preserve">Prilikom usporedbe naglasak je dan na tvari čiji su standardi kakvoće vodnog okoliša postroženi prema Direktivi 2013/39/EZ iz 2013.. Ti revidirani standardi kakvoće vodnog okoliša za </w:t>
      </w:r>
      <w:r w:rsidRPr="00D84719">
        <w:rPr>
          <w:rFonts w:ascii="Times New Roman" w:eastAsia="Times New Roman" w:hAnsi="Times New Roman" w:cs="Times New Roman"/>
          <w:color w:val="000000"/>
          <w:sz w:val="24"/>
          <w:szCs w:val="24"/>
        </w:rPr>
        <w:lastRenderedPageBreak/>
        <w:t>postojeće prioritetne tvari, trebaju biti ispunjeni do kraja 2021. u cilju postizanja dobrog kemijskog stanja površinskih voda. Prioritetne tvari su: antracen, bromirani difenileteri, kadmij i njegovi spojevi, kloroalkani (C10-C13), di(2-etilheksil)ftalat (DEHP), endosulfan, fluoranten, heksaklor</w:t>
      </w:r>
      <w:r w:rsidR="009524D1">
        <w:rPr>
          <w:rFonts w:ascii="Times New Roman" w:eastAsia="Times New Roman" w:hAnsi="Times New Roman" w:cs="Times New Roman"/>
          <w:color w:val="000000"/>
          <w:sz w:val="24"/>
          <w:szCs w:val="24"/>
        </w:rPr>
        <w:t>o</w:t>
      </w:r>
      <w:r w:rsidRPr="00D84719">
        <w:rPr>
          <w:rFonts w:ascii="Times New Roman" w:eastAsia="Times New Roman" w:hAnsi="Times New Roman" w:cs="Times New Roman"/>
          <w:color w:val="000000"/>
          <w:sz w:val="24"/>
          <w:szCs w:val="24"/>
        </w:rPr>
        <w:t>benzen, heksaklor</w:t>
      </w:r>
      <w:r w:rsidR="009524D1">
        <w:rPr>
          <w:rFonts w:ascii="Times New Roman" w:eastAsia="Times New Roman" w:hAnsi="Times New Roman" w:cs="Times New Roman"/>
          <w:color w:val="000000"/>
          <w:sz w:val="24"/>
          <w:szCs w:val="24"/>
        </w:rPr>
        <w:t>o</w:t>
      </w:r>
      <w:r w:rsidRPr="00D84719">
        <w:rPr>
          <w:rFonts w:ascii="Times New Roman" w:eastAsia="Times New Roman" w:hAnsi="Times New Roman" w:cs="Times New Roman"/>
          <w:color w:val="000000"/>
          <w:sz w:val="24"/>
          <w:szCs w:val="24"/>
        </w:rPr>
        <w:t>butadien, heksaklor</w:t>
      </w:r>
      <w:r w:rsidR="009524D1">
        <w:rPr>
          <w:rFonts w:ascii="Times New Roman" w:eastAsia="Times New Roman" w:hAnsi="Times New Roman" w:cs="Times New Roman"/>
          <w:color w:val="000000"/>
          <w:sz w:val="24"/>
          <w:szCs w:val="24"/>
        </w:rPr>
        <w:t>o</w:t>
      </w:r>
      <w:r w:rsidRPr="00D84719">
        <w:rPr>
          <w:rFonts w:ascii="Times New Roman" w:eastAsia="Times New Roman" w:hAnsi="Times New Roman" w:cs="Times New Roman"/>
          <w:color w:val="000000"/>
          <w:sz w:val="24"/>
          <w:szCs w:val="24"/>
        </w:rPr>
        <w:t>cikloheksan, živa i njezini spojevi, nonilfenoli, pentaklor</w:t>
      </w:r>
      <w:r w:rsidR="009524D1">
        <w:rPr>
          <w:rFonts w:ascii="Times New Roman" w:eastAsia="Times New Roman" w:hAnsi="Times New Roman" w:cs="Times New Roman"/>
          <w:color w:val="000000"/>
          <w:sz w:val="24"/>
          <w:szCs w:val="24"/>
        </w:rPr>
        <w:t>o</w:t>
      </w:r>
      <w:r w:rsidRPr="00D84719">
        <w:rPr>
          <w:rFonts w:ascii="Times New Roman" w:eastAsia="Times New Roman" w:hAnsi="Times New Roman" w:cs="Times New Roman"/>
          <w:color w:val="000000"/>
          <w:sz w:val="24"/>
          <w:szCs w:val="24"/>
        </w:rPr>
        <w:t>benzen, poliaromatski ugljikovodici (PAH), tributilkositreni spojevi, trifluralin, dikofol, perfluor</w:t>
      </w:r>
      <w:r w:rsidR="009524D1">
        <w:rPr>
          <w:rFonts w:ascii="Times New Roman" w:eastAsia="Times New Roman" w:hAnsi="Times New Roman" w:cs="Times New Roman"/>
          <w:color w:val="000000"/>
          <w:sz w:val="24"/>
          <w:szCs w:val="24"/>
        </w:rPr>
        <w:t>o</w:t>
      </w:r>
      <w:r w:rsidRPr="00D84719">
        <w:rPr>
          <w:rFonts w:ascii="Times New Roman" w:eastAsia="Times New Roman" w:hAnsi="Times New Roman" w:cs="Times New Roman"/>
          <w:color w:val="000000"/>
          <w:sz w:val="24"/>
          <w:szCs w:val="24"/>
        </w:rPr>
        <w:t>oktan</w:t>
      </w:r>
      <w:r w:rsidR="009524D1">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sulfonska kiselina i njezini derivati (PFOS), koniksifen, d</w:t>
      </w:r>
      <w:r w:rsidR="009524D1">
        <w:rPr>
          <w:rFonts w:ascii="Times New Roman" w:eastAsia="Times New Roman" w:hAnsi="Times New Roman" w:cs="Times New Roman"/>
          <w:color w:val="000000"/>
          <w:sz w:val="24"/>
          <w:szCs w:val="24"/>
        </w:rPr>
        <w:t>i</w:t>
      </w:r>
      <w:r w:rsidRPr="00D84719">
        <w:rPr>
          <w:rFonts w:ascii="Times New Roman" w:eastAsia="Times New Roman" w:hAnsi="Times New Roman" w:cs="Times New Roman"/>
          <w:color w:val="000000"/>
          <w:sz w:val="24"/>
          <w:szCs w:val="24"/>
        </w:rPr>
        <w:t>oksini i spojevi poput dioksina, heksabromociklododekan (HBCDD) i heptaklor i heptaklor</w:t>
      </w:r>
      <w:r w:rsidR="009524D1">
        <w:rPr>
          <w:rFonts w:ascii="Times New Roman" w:eastAsia="Times New Roman" w:hAnsi="Times New Roman" w:cs="Times New Roman"/>
          <w:color w:val="000000"/>
          <w:sz w:val="24"/>
          <w:szCs w:val="24"/>
        </w:rPr>
        <w:t>o</w:t>
      </w:r>
      <w:r w:rsidRPr="00D84719">
        <w:rPr>
          <w:rFonts w:ascii="Times New Roman" w:eastAsia="Times New Roman" w:hAnsi="Times New Roman" w:cs="Times New Roman"/>
          <w:color w:val="000000"/>
          <w:sz w:val="24"/>
          <w:szCs w:val="24"/>
        </w:rPr>
        <w:t>epoksid.</w:t>
      </w:r>
      <w:r w:rsidRPr="00D84719">
        <w:rPr>
          <w:rFonts w:ascii="Times New Roman" w:eastAsia="CIDFont+F2"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Dobro kemijsko stanje</w:t>
      </w:r>
      <w:r w:rsidRPr="00D84719">
        <w:rPr>
          <w:rFonts w:ascii="Times New Roman" w:eastAsia="CIDFont+F2"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se utvrđuje na onim mjernim postajama na kojima prosječne godišnje koncentracije</w:t>
      </w:r>
      <w:r w:rsidRPr="00D84719">
        <w:rPr>
          <w:rFonts w:ascii="Times New Roman" w:eastAsia="CIDFont+F2"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izračunate kao aritmetičke sredine izmjerenih koncentracija i maksimalne godišnje koncentracije</w:t>
      </w:r>
      <w:r w:rsidRPr="00D84719">
        <w:rPr>
          <w:rFonts w:ascii="Times New Roman" w:eastAsia="CIDFont+F2"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w:t>
      </w:r>
      <w:bookmarkStart w:id="131" w:name="_Hlk41636490"/>
      <w:r w:rsidRPr="00D84719">
        <w:rPr>
          <w:rFonts w:ascii="Times New Roman" w:eastAsia="Times New Roman" w:hAnsi="Times New Roman" w:cs="Times New Roman"/>
          <w:color w:val="000000"/>
          <w:sz w:val="24"/>
          <w:szCs w:val="24"/>
        </w:rPr>
        <w:t>MGK</w:t>
      </w:r>
      <w:bookmarkEnd w:id="131"/>
      <w:r w:rsidRPr="00D84719">
        <w:rPr>
          <w:rFonts w:ascii="Times New Roman" w:eastAsia="Times New Roman" w:hAnsi="Times New Roman" w:cs="Times New Roman"/>
          <w:color w:val="000000"/>
          <w:sz w:val="24"/>
          <w:szCs w:val="24"/>
        </w:rPr>
        <w:t>) ne prelaze vrijednosti standarda kakvoće voda.</w:t>
      </w:r>
    </w:p>
    <w:p w14:paraId="76C665B8"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Prilikom ocjene ekološkog stanja, kemijskog stanja i stanja u zaštićenim područjima uzeti su u obzir, gdje je to primjenjivo, svi analitički rezultati gdje je granica kvantifikacije (LOQ) nekog pokazatelja bila niža ili jednaka graničnoj vrijednosti dobrog ekološkog stanja fizikalno- kemijskih elemenata kakvoće i specifičnih onečišćujućih tvari, standardu kakvoće vodnog okoliša (SKVO) i/ili graničnoj vrijednosti pokazatelja u zaštićenim područjima.</w:t>
      </w:r>
    </w:p>
    <w:p w14:paraId="34394A6A" w14:textId="77777777" w:rsidR="00D84719" w:rsidRPr="00D84719" w:rsidRDefault="00D84719" w:rsidP="00D84719">
      <w:pPr>
        <w:spacing w:before="80" w:line="276" w:lineRule="auto"/>
        <w:jc w:val="both"/>
        <w:rPr>
          <w:rFonts w:ascii="Times New Roman" w:eastAsia="Times New Roman" w:hAnsi="Times New Roman" w:cs="Times New Roman"/>
          <w:color w:val="000000"/>
          <w:szCs w:val="24"/>
        </w:rPr>
      </w:pPr>
    </w:p>
    <w:p w14:paraId="14E8A70B" w14:textId="4DFDBC65" w:rsidR="00D84719" w:rsidRPr="00D84719" w:rsidRDefault="00D84719" w:rsidP="00D41552">
      <w:pPr>
        <w:pStyle w:val="Naslov4"/>
      </w:pPr>
      <w:bookmarkStart w:id="132" w:name="_Toc64460724"/>
      <w:r w:rsidRPr="00D84719">
        <w:t>Monitoring površinskih voda od 2015. do 2018</w:t>
      </w:r>
      <w:r w:rsidR="005C26BD">
        <w:t>.</w:t>
      </w:r>
      <w:bookmarkEnd w:id="132"/>
    </w:p>
    <w:p w14:paraId="3C5CFF01" w14:textId="77777777" w:rsidR="00D84719" w:rsidRPr="00DF02E3" w:rsidRDefault="00D84719" w:rsidP="00D84719">
      <w:pPr>
        <w:spacing w:before="80" w:line="276" w:lineRule="auto"/>
        <w:jc w:val="both"/>
        <w:rPr>
          <w:rFonts w:ascii="Times New Roman" w:eastAsia="Times New Roman" w:hAnsi="Times New Roman" w:cs="Times New Roman"/>
          <w:b/>
          <w:i/>
          <w:color w:val="000000"/>
          <w:sz w:val="24"/>
          <w:szCs w:val="24"/>
        </w:rPr>
      </w:pPr>
      <w:r w:rsidRPr="00DF02E3">
        <w:rPr>
          <w:rFonts w:ascii="Times New Roman" w:eastAsia="Times New Roman" w:hAnsi="Times New Roman" w:cs="Times New Roman"/>
          <w:b/>
          <w:i/>
          <w:color w:val="000000"/>
          <w:sz w:val="24"/>
          <w:szCs w:val="24"/>
        </w:rPr>
        <w:t>RIJEKE</w:t>
      </w:r>
    </w:p>
    <w:p w14:paraId="56AF9112"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U 2015. je planirana provedba nadzornog i operativnog monitoringa stanja voda na 533 mjerne postaje u površinskim kopnenim vodama. Među njima su identificirane postaje koje se nalaze u tijelima površinskih kopnenih voda na kojima se nalaze zahvati vode namijenjene ljudskoj potrošnji, postaje u tijelima površinskih kopnenih voda koje se nalaze u vodama pogodnima za život slatkovodnih riba, u ranjivim područjima te u područjima za zaštitu staništa i vrsta.</w:t>
      </w:r>
    </w:p>
    <w:p w14:paraId="285D32DC" w14:textId="2DCEDC5F" w:rsidR="00867A23" w:rsidRPr="00867A23" w:rsidRDefault="00D84719" w:rsidP="00867A23">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Plan monitoringa stanja voda u rijekama Hrvatske u 2016.</w:t>
      </w:r>
      <w:r w:rsidR="00867A23">
        <w:rPr>
          <w:rFonts w:ascii="Times New Roman" w:eastAsia="Times New Roman" w:hAnsi="Times New Roman" w:cs="Times New Roman"/>
          <w:color w:val="000000"/>
          <w:sz w:val="24"/>
          <w:szCs w:val="24"/>
        </w:rPr>
        <w:t>,</w:t>
      </w:r>
      <w:r w:rsidR="00AE7689">
        <w:rPr>
          <w:rFonts w:ascii="Times New Roman" w:eastAsia="Times New Roman" w:hAnsi="Times New Roman" w:cs="Times New Roman"/>
          <w:color w:val="000000"/>
          <w:sz w:val="24"/>
          <w:szCs w:val="24"/>
        </w:rPr>
        <w:t xml:space="preserve"> </w:t>
      </w:r>
      <w:r w:rsidR="00867A23">
        <w:rPr>
          <w:rFonts w:ascii="Times New Roman" w:eastAsia="Times New Roman" w:hAnsi="Times New Roman" w:cs="Times New Roman"/>
          <w:color w:val="000000"/>
          <w:sz w:val="24"/>
          <w:szCs w:val="24"/>
        </w:rPr>
        <w:t xml:space="preserve">2017. i 2018. </w:t>
      </w:r>
      <w:r w:rsidRPr="00D84719">
        <w:rPr>
          <w:rFonts w:ascii="Times New Roman" w:eastAsia="Times New Roman" w:hAnsi="Times New Roman" w:cs="Times New Roman"/>
          <w:color w:val="000000"/>
          <w:sz w:val="24"/>
          <w:szCs w:val="24"/>
        </w:rPr>
        <w:t xml:space="preserve">obuhvaćao je 107 postaja nadzornog monitoringa, 408 postaja operativnog monitoringa (od kojih su 53 postaje nadzornog i operativnog monitoringa) te mjernih postaja u područjima od posebne zaštite voda: vodama određenima pogodnima za život slatkovodnih riba, vodama iz kojih se zahvaća voda namijenjena ljudskoj potrošnji te u ranjivim i potencijalno ranjivim područjima. Monitoring pokazatelja ekološkog stanja je </w:t>
      </w:r>
      <w:r w:rsidR="00867A23">
        <w:rPr>
          <w:rFonts w:ascii="Times New Roman" w:eastAsia="Times New Roman" w:hAnsi="Times New Roman" w:cs="Times New Roman"/>
          <w:color w:val="000000"/>
          <w:sz w:val="24"/>
          <w:szCs w:val="24"/>
        </w:rPr>
        <w:t xml:space="preserve">u 2016. </w:t>
      </w:r>
      <w:r w:rsidRPr="00D84719">
        <w:rPr>
          <w:rFonts w:ascii="Times New Roman" w:eastAsia="Times New Roman" w:hAnsi="Times New Roman" w:cs="Times New Roman"/>
          <w:color w:val="000000"/>
          <w:sz w:val="24"/>
          <w:szCs w:val="24"/>
        </w:rPr>
        <w:t>proveden na 492 mjerne postaje, a pokazatelja kemijskog stanja na 190 mjernih postaja.</w:t>
      </w:r>
      <w:r w:rsidR="00867A23">
        <w:rPr>
          <w:rFonts w:ascii="Times New Roman" w:eastAsia="Times New Roman" w:hAnsi="Times New Roman" w:cs="Times New Roman"/>
          <w:color w:val="000000"/>
          <w:sz w:val="24"/>
          <w:szCs w:val="24"/>
        </w:rPr>
        <w:t xml:space="preserve"> U 2017. m</w:t>
      </w:r>
      <w:r w:rsidR="00867A23" w:rsidRPr="00867A23">
        <w:rPr>
          <w:rFonts w:ascii="Times New Roman" w:eastAsia="Times New Roman" w:hAnsi="Times New Roman" w:cs="Times New Roman"/>
          <w:color w:val="000000"/>
          <w:sz w:val="24"/>
          <w:szCs w:val="24"/>
        </w:rPr>
        <w:t>onitoring pokazatelja ekološkog stanja je proveden na 535 mjernih postaja, a pokazatelja kemijskog stanja na 297 mjernih postaja.</w:t>
      </w:r>
      <w:r w:rsidR="00867A23">
        <w:rPr>
          <w:rFonts w:ascii="Times New Roman" w:eastAsia="Times New Roman" w:hAnsi="Times New Roman" w:cs="Times New Roman"/>
          <w:color w:val="000000"/>
          <w:sz w:val="24"/>
          <w:szCs w:val="24"/>
        </w:rPr>
        <w:t xml:space="preserve"> Pokazatelji kemijskog stanja su u 2018</w:t>
      </w:r>
      <w:r w:rsidR="004C449C">
        <w:rPr>
          <w:rFonts w:ascii="Times New Roman" w:eastAsia="Times New Roman" w:hAnsi="Times New Roman" w:cs="Times New Roman"/>
          <w:color w:val="000000"/>
          <w:sz w:val="24"/>
          <w:szCs w:val="24"/>
        </w:rPr>
        <w:t>.</w:t>
      </w:r>
      <w:r w:rsidR="00867A23">
        <w:rPr>
          <w:rFonts w:ascii="Times New Roman" w:eastAsia="Times New Roman" w:hAnsi="Times New Roman" w:cs="Times New Roman"/>
          <w:color w:val="000000"/>
          <w:sz w:val="24"/>
          <w:szCs w:val="24"/>
        </w:rPr>
        <w:t xml:space="preserve"> određivani na 336 mjernih postaja, a pokazatelji ekološkog stanja na 537 postaja.</w:t>
      </w:r>
    </w:p>
    <w:p w14:paraId="1A74FB2A"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p>
    <w:p w14:paraId="14D43A8D" w14:textId="77777777" w:rsidR="00D84719" w:rsidRPr="00DF02E3" w:rsidRDefault="00D84719" w:rsidP="00D84719">
      <w:pPr>
        <w:spacing w:before="80" w:line="276" w:lineRule="auto"/>
        <w:jc w:val="both"/>
        <w:rPr>
          <w:rFonts w:ascii="Times New Roman" w:eastAsia="Times New Roman" w:hAnsi="Times New Roman" w:cs="Times New Roman"/>
          <w:b/>
          <w:i/>
          <w:color w:val="000000"/>
          <w:sz w:val="24"/>
          <w:szCs w:val="24"/>
        </w:rPr>
      </w:pPr>
      <w:r w:rsidRPr="00DF02E3">
        <w:rPr>
          <w:rFonts w:ascii="Times New Roman" w:eastAsia="Times New Roman" w:hAnsi="Times New Roman" w:cs="Times New Roman"/>
          <w:b/>
          <w:i/>
          <w:color w:val="000000"/>
          <w:sz w:val="24"/>
          <w:szCs w:val="24"/>
        </w:rPr>
        <w:t>Ekološko stanje površinskih kopnenih voda – rijeke</w:t>
      </w:r>
    </w:p>
    <w:p w14:paraId="2CD6E0DB" w14:textId="4BB02E6D"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Ekološko stanje u 2016. u rijekama određeno je na 492 mjerne postaje. Najmanje jedan biološki element je analiziran na 220 mjernih postaja, fizikalno-kemijski elementi su ispitivani na 492 mjerne postaje, a najmanje jedna specifična tvar na 185 mjernih postaja. Vrlo dobro i dobro ekološko stanje je utvrđeno na 195 mjernih postaja, što predstavlja 40</w:t>
      </w:r>
      <w:r w:rsidR="00D4589D">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xml:space="preserve"> mjernih postaja. Od preostalih 60 % mjernih postaja umjereno stanje je utvrđeno na 169, odnosno 34</w:t>
      </w:r>
      <w:r w:rsidR="00D4589D">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xml:space="preserve"> i to najviše </w:t>
      </w:r>
      <w:r w:rsidRPr="00D84719">
        <w:rPr>
          <w:rFonts w:ascii="Times New Roman" w:eastAsia="Times New Roman" w:hAnsi="Times New Roman" w:cs="Times New Roman"/>
          <w:color w:val="000000"/>
          <w:sz w:val="24"/>
          <w:szCs w:val="24"/>
        </w:rPr>
        <w:lastRenderedPageBreak/>
        <w:t>u podslivu rijeke Save. Jadransko vodno područje bilježi najveći postotak mjernih postaja u vrlo dobrom i dobrom stanju (76</w:t>
      </w:r>
      <w:r w:rsidR="00D4589D">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Od promatranih elemenata kakvoće, biološki elementi su u najvećem postotku (70</w:t>
      </w:r>
      <w:r w:rsidR="00D4589D">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u nezadovoljavajućem stanju, dok su specifične onečišćujuće tvari na svega osam postaja prelazile granične vrijednosti za dobro ekološko stanje (4</w:t>
      </w:r>
      <w:r w:rsidR="00D4589D">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Fitobentos je u odnosu na ostale biološke elemente kakvoće u vrlo dobrom ili dobrom stanju na najvećem broju mjernih postaja (65</w:t>
      </w:r>
      <w:r w:rsidR="00D4589D">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dok su makrofita i makrozoobentos na najmanjem broju (25</w:t>
      </w:r>
      <w:r w:rsidR="00D4589D">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xml:space="preserve"> i 37</w:t>
      </w:r>
      <w:r w:rsidR="00D4589D">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w:t>
      </w:r>
    </w:p>
    <w:p w14:paraId="4A7CFCC9" w14:textId="6A152F60"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 xml:space="preserve">Vrlo dobro i dobro ekološko stanje je utvrđeno u 2017. na 163 mjerne postaje, </w:t>
      </w:r>
      <w:r w:rsidR="00867A23">
        <w:rPr>
          <w:rFonts w:ascii="Times New Roman" w:eastAsia="Times New Roman" w:hAnsi="Times New Roman" w:cs="Times New Roman"/>
          <w:color w:val="000000"/>
          <w:sz w:val="24"/>
          <w:szCs w:val="24"/>
        </w:rPr>
        <w:t>odnosno na</w:t>
      </w:r>
      <w:r w:rsidR="00D4589D">
        <w:rPr>
          <w:rFonts w:ascii="Times New Roman" w:eastAsia="Times New Roman" w:hAnsi="Times New Roman" w:cs="Times New Roman"/>
          <w:color w:val="000000"/>
          <w:sz w:val="24"/>
          <w:szCs w:val="24"/>
        </w:rPr>
        <w:t xml:space="preserve"> 30,5 %</w:t>
      </w:r>
      <w:r w:rsidRPr="00D84719">
        <w:rPr>
          <w:rFonts w:ascii="Times New Roman" w:eastAsia="Times New Roman" w:hAnsi="Times New Roman" w:cs="Times New Roman"/>
          <w:color w:val="000000"/>
          <w:sz w:val="24"/>
          <w:szCs w:val="24"/>
        </w:rPr>
        <w:t xml:space="preserve"> mjernih postaja. Na preostalih 69,5 % mjernih postaja vrlo loše stanje je utvrđeno na </w:t>
      </w:r>
      <w:r w:rsidR="00867A23">
        <w:rPr>
          <w:rFonts w:ascii="Times New Roman" w:eastAsia="Times New Roman" w:hAnsi="Times New Roman" w:cs="Times New Roman"/>
          <w:color w:val="000000"/>
          <w:sz w:val="24"/>
          <w:szCs w:val="24"/>
        </w:rPr>
        <w:t xml:space="preserve">njih </w:t>
      </w:r>
      <w:r w:rsidRPr="00D84719">
        <w:rPr>
          <w:rFonts w:ascii="Times New Roman" w:eastAsia="Times New Roman" w:hAnsi="Times New Roman" w:cs="Times New Roman"/>
          <w:color w:val="000000"/>
          <w:sz w:val="24"/>
          <w:szCs w:val="24"/>
        </w:rPr>
        <w:t>78, odnosno 14,6</w:t>
      </w:r>
      <w:r w:rsidR="00D4589D">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a najviše na podslivu rijeke Save i Drave. Najveći postotak mjernih postaja u vrlo dobrom i dobrom stanju (38,7 %) nalazi se na jadranskom vodnom području. Kada promatramo biološke elemente kakvoće, oni su u najvećem postotku (73</w:t>
      </w:r>
      <w:r w:rsidR="00D4589D">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u nezadovoljavajućem stanju, dok su specifične onečišćujuće tvari na svega 4</w:t>
      </w:r>
      <w:r w:rsidR="00D4589D">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xml:space="preserve"> postaja prelazile granične vrijednosti za dobro ekološko stanje. Na najvećem broju mjernih postaja (530) ispitivani su fizikalno - kemijski elementi kakvoće i od toga je na njih 48</w:t>
      </w:r>
      <w:r w:rsidR="00D4589D">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xml:space="preserve"> ustanovljeno vrlo dobro i dobro stanje. Makrozoobentos je ispitivan na najvećem broju mjernih postaja (193), a od toga se u vrlo dobrom i dobrom stanju nalazi 44</w:t>
      </w:r>
      <w:r w:rsidR="00D4589D">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xml:space="preserve"> mjernih postaja. Ribe su ispitivane na najmanjem broju mjernih postaja (29) i od toga se u vrlo dobrom i dobrom stanju nalazi 76</w:t>
      </w:r>
      <w:r w:rsidR="00D4589D">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xml:space="preserve"> mjernih postaja. Od ukupnog broja postaja </w:t>
      </w:r>
      <w:r w:rsidR="00160275" w:rsidRPr="00D84719">
        <w:rPr>
          <w:rFonts w:ascii="Times New Roman" w:eastAsia="Times New Roman" w:hAnsi="Times New Roman" w:cs="Times New Roman"/>
          <w:color w:val="000000"/>
          <w:sz w:val="24"/>
          <w:szCs w:val="24"/>
        </w:rPr>
        <w:t>ispitivani</w:t>
      </w:r>
      <w:r w:rsidR="00160275">
        <w:rPr>
          <w:rFonts w:ascii="Times New Roman" w:eastAsia="Times New Roman" w:hAnsi="Times New Roman" w:cs="Times New Roman"/>
          <w:color w:val="000000"/>
          <w:sz w:val="24"/>
          <w:szCs w:val="24"/>
        </w:rPr>
        <w:t>h</w:t>
      </w:r>
      <w:r w:rsidR="00160275" w:rsidRPr="00D84719">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prema najmanje jednom biološkom elementu (232), njih 27</w:t>
      </w:r>
      <w:r w:rsidR="00D4589D">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xml:space="preserve"> nalazi se u vrlo dobrom i dobrom stanju.</w:t>
      </w:r>
    </w:p>
    <w:p w14:paraId="37FA92F2" w14:textId="6845E6A8"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Ekološko stanje određeno je u 2018. na 537 mjernih postaja u rijekama. Temeljem dobivenih ocjena stanja najmanje jedan biološki element je analiziran na 201 mjernoj postaji, fizikalno- kemijski elementi su ispitivani na 534 mjerne postaje, a najmanje jedna specifična tvar na 194 mjerne postaje. Hidromorfološki elementi kakvoće su ocjenjivani na 210 mjernih postaja. Vrlo dobro i dobro ekološko stanje je utvrđeno na 222 mjerne postaje, što predstavlja 41</w:t>
      </w:r>
      <w:r w:rsidR="00D4589D">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xml:space="preserve"> mjernih postaja. Od preostalih 59</w:t>
      </w:r>
      <w:r w:rsidR="00D4589D">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xml:space="preserve"> mjernih postaja umjereno stanje je utvrđeno na 181, odnosno 34</w:t>
      </w:r>
      <w:r w:rsidR="00D4589D">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xml:space="preserve"> i to najviše na podslivu rijeke Save. Na jadranskom vodnom području je zabilježen najveći postotak mjernih postaja u vrlo dobrom i dobrom stanju (68</w:t>
      </w:r>
      <w:r w:rsidR="00D4589D">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Sukladno propisanom u Uredbi o standardu kakvoće voda specifične onečišćujuće tvari obuhvaćaju nesintetske (arsen, bakar, cink te krom i njihove spojeve), sintetske (fluoride) te ostale koji obuhvaćaju organski vezane halogene koji se mogu adsorbirati i PCB. U 2018. su specifične onečišćujuće tvari propisane Uredbom o standardu kakvoće voda</w:t>
      </w:r>
      <w:r w:rsidR="00612979">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xml:space="preserve">kao granične vrijednosti kategorija ekološkog stanja kemijskih elemenata kakvoće za površinske vode- specifične onečišćujuće tvari na 9 mjernih postaja prelazile granične vrijednosti za dobro ekološko stanje i to na mjernim postajama kako slijedi: </w:t>
      </w:r>
      <w:proofErr w:type="spellStart"/>
      <w:r w:rsidRPr="00D84719">
        <w:rPr>
          <w:rFonts w:ascii="Times New Roman" w:eastAsia="Times New Roman" w:hAnsi="Times New Roman" w:cs="Times New Roman"/>
          <w:color w:val="000000"/>
          <w:sz w:val="24"/>
          <w:szCs w:val="24"/>
        </w:rPr>
        <w:t>Tomašica-Tomašica</w:t>
      </w:r>
      <w:proofErr w:type="spellEnd"/>
      <w:r w:rsidRPr="00D84719">
        <w:rPr>
          <w:rFonts w:ascii="Times New Roman" w:eastAsia="Times New Roman" w:hAnsi="Times New Roman" w:cs="Times New Roman"/>
          <w:color w:val="000000"/>
          <w:sz w:val="24"/>
          <w:szCs w:val="24"/>
        </w:rPr>
        <w:t>,</w:t>
      </w:r>
      <w:r w:rsidR="00612979">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xml:space="preserve">Petak- izvorište, Lička Jesenica - Veliko Vrelo, Zagorska Mrežnica- izvorište Ogulin, Mrežnica-Mlinci uzvodno, </w:t>
      </w:r>
      <w:proofErr w:type="spellStart"/>
      <w:r w:rsidRPr="00D84719">
        <w:rPr>
          <w:rFonts w:ascii="Times New Roman" w:eastAsia="Times New Roman" w:hAnsi="Times New Roman" w:cs="Times New Roman"/>
          <w:color w:val="000000"/>
          <w:sz w:val="24"/>
          <w:szCs w:val="24"/>
        </w:rPr>
        <w:t>Dretulja</w:t>
      </w:r>
      <w:proofErr w:type="spellEnd"/>
      <w:r w:rsidRPr="00D84719">
        <w:rPr>
          <w:rFonts w:ascii="Times New Roman" w:eastAsia="Times New Roman" w:hAnsi="Times New Roman" w:cs="Times New Roman"/>
          <w:color w:val="000000"/>
          <w:sz w:val="24"/>
          <w:szCs w:val="24"/>
        </w:rPr>
        <w:t xml:space="preserve"> izvorište-Plaški, Bistrac, izvorište, </w:t>
      </w:r>
      <w:proofErr w:type="spellStart"/>
      <w:r w:rsidRPr="00D84719">
        <w:rPr>
          <w:rFonts w:ascii="Times New Roman" w:eastAsia="Times New Roman" w:hAnsi="Times New Roman" w:cs="Times New Roman"/>
          <w:color w:val="000000"/>
          <w:sz w:val="24"/>
          <w:szCs w:val="24"/>
        </w:rPr>
        <w:t>Bužin</w:t>
      </w:r>
      <w:proofErr w:type="spellEnd"/>
      <w:r w:rsidRPr="00D84719">
        <w:rPr>
          <w:rFonts w:ascii="Times New Roman" w:eastAsia="Times New Roman" w:hAnsi="Times New Roman" w:cs="Times New Roman"/>
          <w:color w:val="000000"/>
          <w:sz w:val="24"/>
          <w:szCs w:val="24"/>
        </w:rPr>
        <w:t xml:space="preserve"> bušotina uz izvorište i </w:t>
      </w:r>
      <w:proofErr w:type="spellStart"/>
      <w:r w:rsidRPr="00D84719">
        <w:rPr>
          <w:rFonts w:ascii="Times New Roman" w:eastAsia="Times New Roman" w:hAnsi="Times New Roman" w:cs="Times New Roman"/>
          <w:color w:val="000000"/>
          <w:sz w:val="24"/>
          <w:szCs w:val="24"/>
        </w:rPr>
        <w:t>Orašnica</w:t>
      </w:r>
      <w:proofErr w:type="spellEnd"/>
      <w:r w:rsidRPr="00D84719">
        <w:rPr>
          <w:rFonts w:ascii="Times New Roman" w:eastAsia="Times New Roman" w:hAnsi="Times New Roman" w:cs="Times New Roman"/>
          <w:color w:val="000000"/>
          <w:sz w:val="24"/>
          <w:szCs w:val="24"/>
        </w:rPr>
        <w:t xml:space="preserve"> prije utoka u Krku. Razlozi nepostizanja dobrog stanja voda u 2018</w:t>
      </w:r>
      <w:r w:rsidR="004C449C">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 xml:space="preserve"> prema specifičnim onečišćujućim tvarima su u najvećem broju slučajeva bakar (6 mjernih postaja), cink (dvije mjerne postaje) te organski vezani halogeni spojevi koji se mogu adsorbirati (na jednoj mjernoj postaji). Rezultati monitoringa specifičnih onečišćujućih tvari u Republici Hrvatskoj u razdoblju od 2016. do uključivo 2018. sustavno pokazuju porast broja mjernih postaja na kojima se prate specifične onečišćujuće tvari, kao i </w:t>
      </w:r>
      <w:r w:rsidRPr="00D84719">
        <w:rPr>
          <w:rFonts w:ascii="Times New Roman" w:eastAsia="Times New Roman" w:hAnsi="Times New Roman" w:cs="Times New Roman"/>
          <w:color w:val="000000"/>
          <w:sz w:val="24"/>
          <w:szCs w:val="24"/>
        </w:rPr>
        <w:lastRenderedPageBreak/>
        <w:t xml:space="preserve">porast broja postaja s rezultatima ispitivanja koji ukazuju na dobro stanje voda prema specifičnim onečišćujućim tvarima. </w:t>
      </w:r>
    </w:p>
    <w:p w14:paraId="22E42548"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p>
    <w:p w14:paraId="25770D0E" w14:textId="77777777" w:rsidR="00D84719" w:rsidRPr="00DF02E3" w:rsidRDefault="00D84719" w:rsidP="00D84719">
      <w:pPr>
        <w:spacing w:before="80" w:line="276" w:lineRule="auto"/>
        <w:jc w:val="both"/>
        <w:rPr>
          <w:rFonts w:ascii="Times New Roman" w:eastAsia="Times New Roman" w:hAnsi="Times New Roman" w:cs="Times New Roman"/>
          <w:b/>
          <w:i/>
          <w:color w:val="000000"/>
          <w:sz w:val="24"/>
          <w:szCs w:val="24"/>
        </w:rPr>
      </w:pPr>
      <w:r w:rsidRPr="00DF02E3">
        <w:rPr>
          <w:rFonts w:ascii="Times New Roman" w:eastAsia="Times New Roman" w:hAnsi="Times New Roman" w:cs="Times New Roman"/>
          <w:b/>
          <w:i/>
          <w:color w:val="000000"/>
          <w:sz w:val="24"/>
          <w:szCs w:val="24"/>
        </w:rPr>
        <w:t>Kemijsko stanje površinskih kopnenih voda-rijeke</w:t>
      </w:r>
    </w:p>
    <w:p w14:paraId="633C9A04"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Praćenje pokazatelja kemijskog stanja na nadzornim postajama na području podsliva rijeke Save u 2015. provedeno je na 15 postaja. Na svim mjernim postajama analizirani su svi pokazatelji kemijskog stanja, ali različitom učestalošću. Za sve je pokazatelje utvrđeno dobro kemijsko stanje obzirom na prosječne i/ili maksimalne godišnje koncentracije.</w:t>
      </w:r>
      <w:r w:rsidRPr="00D84719">
        <w:rPr>
          <w:rFonts w:ascii="Times New Roman" w:eastAsia="Times New Roman" w:hAnsi="Times New Roman" w:cs="Times New Roman"/>
          <w:iCs/>
          <w:color w:val="000000"/>
          <w:sz w:val="24"/>
          <w:szCs w:val="24"/>
        </w:rPr>
        <w:t xml:space="preserve"> </w:t>
      </w:r>
      <w:r w:rsidRPr="00D84719">
        <w:rPr>
          <w:rFonts w:ascii="Times New Roman" w:eastAsia="Times New Roman" w:hAnsi="Times New Roman" w:cs="Times New Roman"/>
          <w:color w:val="000000"/>
          <w:sz w:val="24"/>
          <w:szCs w:val="24"/>
        </w:rPr>
        <w:t>Praćenje pokazatelja kemijskog stanja na postajama operativnog monitoringa na području podsliva rijeke Save provedeno je na 40 postaja. Dobro kemijsko stanje utvrđeno je na 36 postaja. Na četiri mjerne postaje (</w:t>
      </w:r>
      <w:proofErr w:type="spellStart"/>
      <w:r w:rsidRPr="00D84719">
        <w:rPr>
          <w:rFonts w:ascii="Times New Roman" w:eastAsia="Times New Roman" w:hAnsi="Times New Roman" w:cs="Times New Roman"/>
          <w:color w:val="000000"/>
          <w:sz w:val="24"/>
          <w:szCs w:val="24"/>
        </w:rPr>
        <w:t>Šumetlica</w:t>
      </w:r>
      <w:proofErr w:type="spellEnd"/>
      <w:r w:rsidRPr="00D84719">
        <w:rPr>
          <w:rFonts w:ascii="Times New Roman" w:eastAsia="Times New Roman" w:hAnsi="Times New Roman" w:cs="Times New Roman"/>
          <w:color w:val="000000"/>
          <w:sz w:val="24"/>
          <w:szCs w:val="24"/>
        </w:rPr>
        <w:t xml:space="preserve">, Spačva, </w:t>
      </w:r>
      <w:proofErr w:type="spellStart"/>
      <w:r w:rsidRPr="00D84719">
        <w:rPr>
          <w:rFonts w:ascii="Times New Roman" w:eastAsia="Times New Roman" w:hAnsi="Times New Roman" w:cs="Times New Roman"/>
          <w:color w:val="000000"/>
          <w:sz w:val="24"/>
          <w:szCs w:val="24"/>
        </w:rPr>
        <w:t>Kutinica</w:t>
      </w:r>
      <w:proofErr w:type="spellEnd"/>
      <w:r w:rsidRPr="00D84719">
        <w:rPr>
          <w:rFonts w:ascii="Times New Roman" w:eastAsia="Times New Roman" w:hAnsi="Times New Roman" w:cs="Times New Roman"/>
          <w:color w:val="000000"/>
          <w:sz w:val="24"/>
          <w:szCs w:val="24"/>
        </w:rPr>
        <w:t xml:space="preserve">, potok </w:t>
      </w:r>
      <w:proofErr w:type="spellStart"/>
      <w:r w:rsidRPr="00D84719">
        <w:rPr>
          <w:rFonts w:ascii="Times New Roman" w:eastAsia="Times New Roman" w:hAnsi="Times New Roman" w:cs="Times New Roman"/>
          <w:color w:val="000000"/>
          <w:sz w:val="24"/>
          <w:szCs w:val="24"/>
        </w:rPr>
        <w:t>Črnec</w:t>
      </w:r>
      <w:proofErr w:type="spellEnd"/>
      <w:r w:rsidRPr="00D84719">
        <w:rPr>
          <w:rFonts w:ascii="Times New Roman" w:eastAsia="Times New Roman" w:hAnsi="Times New Roman" w:cs="Times New Roman"/>
          <w:color w:val="000000"/>
          <w:sz w:val="24"/>
          <w:szCs w:val="24"/>
        </w:rPr>
        <w:t xml:space="preserve"> V) nije utvrđeno dobro kemijsko stanje zbog premašenih maksimalnih godišnjih koncentracija žive i kadmija te srednje godišnje koncentracije sume ciklodienskih pesticida.</w:t>
      </w:r>
    </w:p>
    <w:p w14:paraId="26ED73AE"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Praćenje pokazatelja kemijskog stanja na nadzornim postajama na području podsliva rijeka Drave i Dunava u 2015. provedeno je na 17 postaja. Na svim mjernim postajama analizirani su svi pokazatelji kemijskog stanja, ali različitom učestalošću. Za sve pokazatelje je utvrđeno dobro kemijsko stanje obzirom na prosječne i/ili maksimalne godišnje koncentracije.</w:t>
      </w:r>
    </w:p>
    <w:p w14:paraId="7E7BA715"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Praćenje pokazatelja kemijskog stanja na postajama operativnog monitoringa na području podsliva rijeke Drave i Dunava provedeno je na 21 postaji. Dobro kemijsko stanje utvrđeno je na 15 postaja. Na tri mjerene postaje (</w:t>
      </w:r>
      <w:proofErr w:type="spellStart"/>
      <w:r w:rsidRPr="00D84719">
        <w:rPr>
          <w:rFonts w:ascii="Times New Roman" w:eastAsia="Times New Roman" w:hAnsi="Times New Roman" w:cs="Times New Roman"/>
          <w:color w:val="000000"/>
          <w:sz w:val="24"/>
          <w:szCs w:val="24"/>
        </w:rPr>
        <w:t>Jalšovec</w:t>
      </w:r>
      <w:proofErr w:type="spellEnd"/>
      <w:r w:rsidRPr="00D84719">
        <w:rPr>
          <w:rFonts w:ascii="Times New Roman" w:eastAsia="Times New Roman" w:hAnsi="Times New Roman" w:cs="Times New Roman"/>
          <w:color w:val="000000"/>
          <w:sz w:val="24"/>
          <w:szCs w:val="24"/>
        </w:rPr>
        <w:t xml:space="preserve">, </w:t>
      </w:r>
      <w:proofErr w:type="spellStart"/>
      <w:r w:rsidRPr="00D84719">
        <w:rPr>
          <w:rFonts w:ascii="Times New Roman" w:eastAsia="Times New Roman" w:hAnsi="Times New Roman" w:cs="Times New Roman"/>
          <w:color w:val="000000"/>
          <w:sz w:val="24"/>
          <w:szCs w:val="24"/>
        </w:rPr>
        <w:t>Gliboki</w:t>
      </w:r>
      <w:proofErr w:type="spellEnd"/>
      <w:r w:rsidRPr="00D84719">
        <w:rPr>
          <w:rFonts w:ascii="Times New Roman" w:eastAsia="Times New Roman" w:hAnsi="Times New Roman" w:cs="Times New Roman"/>
          <w:color w:val="000000"/>
          <w:sz w:val="24"/>
          <w:szCs w:val="24"/>
        </w:rPr>
        <w:t xml:space="preserve"> II, Crni </w:t>
      </w:r>
      <w:proofErr w:type="spellStart"/>
      <w:r w:rsidRPr="00D84719">
        <w:rPr>
          <w:rFonts w:ascii="Times New Roman" w:eastAsia="Times New Roman" w:hAnsi="Times New Roman" w:cs="Times New Roman"/>
          <w:color w:val="000000"/>
          <w:sz w:val="24"/>
          <w:szCs w:val="24"/>
        </w:rPr>
        <w:t>fok</w:t>
      </w:r>
      <w:proofErr w:type="spellEnd"/>
      <w:r w:rsidRPr="00D84719">
        <w:rPr>
          <w:rFonts w:ascii="Times New Roman" w:eastAsia="Times New Roman" w:hAnsi="Times New Roman" w:cs="Times New Roman"/>
          <w:color w:val="000000"/>
          <w:sz w:val="24"/>
          <w:szCs w:val="24"/>
        </w:rPr>
        <w:t xml:space="preserve">) nije utvrđeno dobro kemijsko stanje zbog premašenih maksimalnih godišnjih koncentracija žive. Također, zbog prekoračenja srednjih godišnjih koncentracija sume ciklodienskih pesticida nije postignuto dobro kemijsko stanje na tri mjerne postaje (Baranjska </w:t>
      </w:r>
      <w:proofErr w:type="spellStart"/>
      <w:r w:rsidRPr="00D84719">
        <w:rPr>
          <w:rFonts w:ascii="Times New Roman" w:eastAsia="Times New Roman" w:hAnsi="Times New Roman" w:cs="Times New Roman"/>
          <w:color w:val="000000"/>
          <w:sz w:val="24"/>
          <w:szCs w:val="24"/>
        </w:rPr>
        <w:t>Karašica</w:t>
      </w:r>
      <w:proofErr w:type="spellEnd"/>
      <w:r w:rsidRPr="00D84719">
        <w:rPr>
          <w:rFonts w:ascii="Times New Roman" w:eastAsia="Times New Roman" w:hAnsi="Times New Roman" w:cs="Times New Roman"/>
          <w:color w:val="000000"/>
          <w:sz w:val="24"/>
          <w:szCs w:val="24"/>
        </w:rPr>
        <w:t xml:space="preserve">, Županijski kanal i </w:t>
      </w:r>
      <w:proofErr w:type="spellStart"/>
      <w:r w:rsidRPr="00D84719">
        <w:rPr>
          <w:rFonts w:ascii="Times New Roman" w:eastAsia="Times New Roman" w:hAnsi="Times New Roman" w:cs="Times New Roman"/>
          <w:color w:val="000000"/>
          <w:sz w:val="24"/>
          <w:szCs w:val="24"/>
        </w:rPr>
        <w:t>Javorica</w:t>
      </w:r>
      <w:proofErr w:type="spellEnd"/>
      <w:r w:rsidRPr="00D84719">
        <w:rPr>
          <w:rFonts w:ascii="Times New Roman" w:eastAsia="Times New Roman" w:hAnsi="Times New Roman" w:cs="Times New Roman"/>
          <w:color w:val="000000"/>
          <w:sz w:val="24"/>
          <w:szCs w:val="24"/>
        </w:rPr>
        <w:t>).</w:t>
      </w:r>
    </w:p>
    <w:p w14:paraId="68C5DEC4"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 xml:space="preserve">Praćenje pokazatelja kemijskog stanja na nadzornim postajama Jadranskog vodnog područja u 2015. provedeno je na jednoj postaji (Cetina – </w:t>
      </w:r>
      <w:proofErr w:type="spellStart"/>
      <w:r w:rsidRPr="00D84719">
        <w:rPr>
          <w:rFonts w:ascii="Times New Roman" w:eastAsia="Times New Roman" w:hAnsi="Times New Roman" w:cs="Times New Roman"/>
          <w:color w:val="000000"/>
          <w:sz w:val="24"/>
          <w:szCs w:val="24"/>
        </w:rPr>
        <w:t>Radmanove</w:t>
      </w:r>
      <w:proofErr w:type="spellEnd"/>
      <w:r w:rsidRPr="00D84719">
        <w:rPr>
          <w:rFonts w:ascii="Times New Roman" w:eastAsia="Times New Roman" w:hAnsi="Times New Roman" w:cs="Times New Roman"/>
          <w:color w:val="000000"/>
          <w:sz w:val="24"/>
          <w:szCs w:val="24"/>
        </w:rPr>
        <w:t xml:space="preserve"> mlinice). Uz iznimku C 10-13 </w:t>
      </w:r>
      <w:r w:rsidRPr="00D84719">
        <w:rPr>
          <w:rFonts w:ascii="Times New Roman" w:eastAsia="Times New Roman" w:hAnsi="Times New Roman" w:cs="Times New Roman"/>
          <w:iCs/>
          <w:color w:val="000000"/>
          <w:sz w:val="24"/>
          <w:szCs w:val="24"/>
        </w:rPr>
        <w:t>klor</w:t>
      </w:r>
      <w:r w:rsidR="009524D1">
        <w:rPr>
          <w:rFonts w:ascii="Times New Roman" w:eastAsia="Times New Roman" w:hAnsi="Times New Roman" w:cs="Times New Roman"/>
          <w:iCs/>
          <w:color w:val="000000"/>
          <w:sz w:val="24"/>
          <w:szCs w:val="24"/>
        </w:rPr>
        <w:t>o</w:t>
      </w:r>
      <w:r w:rsidRPr="00D84719">
        <w:rPr>
          <w:rFonts w:ascii="Times New Roman" w:eastAsia="Times New Roman" w:hAnsi="Times New Roman" w:cs="Times New Roman"/>
          <w:iCs/>
          <w:color w:val="000000"/>
          <w:sz w:val="24"/>
          <w:szCs w:val="24"/>
        </w:rPr>
        <w:t>alkana</w:t>
      </w:r>
      <w:r w:rsidRPr="00D84719">
        <w:rPr>
          <w:rFonts w:ascii="Times New Roman" w:eastAsia="Times New Roman" w:hAnsi="Times New Roman" w:cs="Times New Roman"/>
          <w:color w:val="000000"/>
          <w:sz w:val="24"/>
          <w:szCs w:val="24"/>
        </w:rPr>
        <w:t xml:space="preserve"> i tributilkositrovih spojeva, koji nisu analizirani u uzorcima uzorkovanim u siječnju i travnju, svi pokazatelji kemijskog stanja mjereni su učestalošću od 12 puta godišnje. Za sve je pokazatelje utvrđeno dobro kemijsko stanje, s obzirom na prosječne i/ili maksimalne godišnje koncentracije.</w:t>
      </w:r>
    </w:p>
    <w:p w14:paraId="09FFF513" w14:textId="77777777" w:rsidR="00D84719" w:rsidRPr="00D84719" w:rsidRDefault="00D84719" w:rsidP="00B10002">
      <w:pPr>
        <w:spacing w:before="80" w:after="12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Praćenje pokazatelja kemijskog stanja na postajama operativnog monitoringa Jadranskog vodnog područja provedeno je na devet postaja. Na svim postajama utvrđeno je dobro kemijsko stanje prema prosječnim i/ili maksimalnim godišnjim koncentracijama. Ispitivanja svih pokazatelja predviđenih planom monitoringa nisu realizirana u cijelosti.</w:t>
      </w:r>
    </w:p>
    <w:p w14:paraId="3B6994A6" w14:textId="62950A72" w:rsidR="00D84719" w:rsidRPr="00D84719" w:rsidRDefault="00D84719" w:rsidP="00D84719">
      <w:pPr>
        <w:spacing w:before="80" w:line="276" w:lineRule="auto"/>
        <w:jc w:val="both"/>
        <w:rPr>
          <w:rFonts w:ascii="Times New Roman" w:eastAsia="Times New Roman" w:hAnsi="Times New Roman" w:cs="Times New Roman"/>
          <w:iCs/>
          <w:color w:val="000000"/>
          <w:sz w:val="24"/>
          <w:szCs w:val="24"/>
        </w:rPr>
      </w:pPr>
      <w:r w:rsidRPr="00D84719">
        <w:rPr>
          <w:rFonts w:ascii="Times New Roman" w:eastAsia="Times New Roman" w:hAnsi="Times New Roman" w:cs="Times New Roman"/>
          <w:iCs/>
          <w:color w:val="000000"/>
          <w:sz w:val="24"/>
          <w:szCs w:val="24"/>
        </w:rPr>
        <w:t>Praćenje pokazatelja kemijskog stanja u površinskim vodama u 2016. provedeno je na 205 mjernih postaja. Izvori su obrađeni prema standardima kakvoće vodnog okoliša (SKVO) za površinske vode, a ušća rijeka prema SKVO za prijelazne vode. Ispitivani su svi pokazatelji kemijskog stanja osim heksabrom</w:t>
      </w:r>
      <w:r w:rsidR="009524D1">
        <w:rPr>
          <w:rFonts w:ascii="Times New Roman" w:eastAsia="Times New Roman" w:hAnsi="Times New Roman" w:cs="Times New Roman"/>
          <w:iCs/>
          <w:color w:val="000000"/>
          <w:sz w:val="24"/>
          <w:szCs w:val="24"/>
        </w:rPr>
        <w:t>o</w:t>
      </w:r>
      <w:r w:rsidRPr="00D84719">
        <w:rPr>
          <w:rFonts w:ascii="Times New Roman" w:eastAsia="Times New Roman" w:hAnsi="Times New Roman" w:cs="Times New Roman"/>
          <w:iCs/>
          <w:color w:val="000000"/>
          <w:sz w:val="24"/>
          <w:szCs w:val="24"/>
        </w:rPr>
        <w:t>ciklododekana. Granice kvantifikacije analitičkih metoda (LOQ) za pokazatelje PFOS, cipermetrin, diklorvos, heptaklor i heptaklor</w:t>
      </w:r>
      <w:r w:rsidR="009524D1">
        <w:rPr>
          <w:rFonts w:ascii="Times New Roman" w:eastAsia="Times New Roman" w:hAnsi="Times New Roman" w:cs="Times New Roman"/>
          <w:iCs/>
          <w:color w:val="000000"/>
          <w:sz w:val="24"/>
          <w:szCs w:val="24"/>
        </w:rPr>
        <w:t>o</w:t>
      </w:r>
      <w:r w:rsidRPr="00D84719">
        <w:rPr>
          <w:rFonts w:ascii="Times New Roman" w:eastAsia="Times New Roman" w:hAnsi="Times New Roman" w:cs="Times New Roman"/>
          <w:iCs/>
          <w:color w:val="000000"/>
          <w:sz w:val="24"/>
          <w:szCs w:val="24"/>
        </w:rPr>
        <w:t xml:space="preserve">epoksid bile su više od prosječnih godišnjih vrijednosti relevantnih standarda kakvoće okoliša (SKVO), stoga te tvari nisu ocijenjene. Također, na nekim mjernim postajama, ocjena za kadmij, tributilkositar, </w:t>
      </w:r>
      <w:r w:rsidRPr="00D84719">
        <w:rPr>
          <w:rFonts w:ascii="Times New Roman" w:eastAsia="Times New Roman" w:hAnsi="Times New Roman" w:cs="Times New Roman"/>
          <w:iCs/>
          <w:color w:val="000000"/>
          <w:sz w:val="24"/>
          <w:szCs w:val="24"/>
        </w:rPr>
        <w:lastRenderedPageBreak/>
        <w:t>endosulfan i skupinu poliaromatskih ugljikovodika (PAH) nije napravljena iz istog razloga.</w:t>
      </w:r>
      <w:r w:rsidRPr="00D84719">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iCs/>
          <w:color w:val="000000"/>
          <w:sz w:val="24"/>
          <w:szCs w:val="24"/>
        </w:rPr>
        <w:t>Dobro kemijsko stanje je utvrđeno na 170 mjernih postaja, što predstavlja 89</w:t>
      </w:r>
      <w:r w:rsidR="00D4589D">
        <w:rPr>
          <w:rFonts w:ascii="Times New Roman" w:eastAsia="Times New Roman" w:hAnsi="Times New Roman" w:cs="Times New Roman"/>
          <w:iCs/>
          <w:color w:val="000000"/>
          <w:sz w:val="24"/>
          <w:szCs w:val="24"/>
        </w:rPr>
        <w:t xml:space="preserve"> %</w:t>
      </w:r>
      <w:r w:rsidRPr="00D84719">
        <w:rPr>
          <w:rFonts w:ascii="Times New Roman" w:eastAsia="Times New Roman" w:hAnsi="Times New Roman" w:cs="Times New Roman"/>
          <w:iCs/>
          <w:color w:val="000000"/>
          <w:sz w:val="24"/>
          <w:szCs w:val="24"/>
        </w:rPr>
        <w:t xml:space="preserve"> mjernih postaja nadzornog i/ili operativnog monitoringa, na kojima je obavljeno ispitivanje pokazatelja kemijskog stanja. Prema rezultatima monitoringa, na postajama vodnog područja rijeke Dunav nekoliko prioritetnih tvari prelaze definirane standarde kakvoće vodnog okoliša. Na najviše postaja kritična tvar je živa (deset mjernih postaja), a nakon nje olovo i nikal (pet mjernih postaja). Na jadranskom vodnom području je obrnuto stanje odnosno na istoj mjernoj postaji dolazi do prekoračenja standarda kakvoće vodnog okoliša za više tvari (skupina poliaromatski ugljikovodici i fluoranten).</w:t>
      </w:r>
    </w:p>
    <w:p w14:paraId="5C78675D" w14:textId="6FC7CACE" w:rsidR="00D84719" w:rsidRPr="00D84719" w:rsidRDefault="00D84719" w:rsidP="00D84719">
      <w:pPr>
        <w:spacing w:before="80" w:line="276" w:lineRule="auto"/>
        <w:jc w:val="both"/>
        <w:rPr>
          <w:rFonts w:ascii="Times New Roman" w:eastAsia="Times New Roman" w:hAnsi="Times New Roman" w:cs="Times New Roman"/>
          <w:iCs/>
          <w:color w:val="000000"/>
          <w:sz w:val="24"/>
          <w:szCs w:val="24"/>
        </w:rPr>
      </w:pPr>
      <w:r w:rsidRPr="00D84719">
        <w:rPr>
          <w:rFonts w:ascii="Times New Roman" w:eastAsia="Times New Roman" w:hAnsi="Times New Roman" w:cs="Times New Roman"/>
          <w:iCs/>
          <w:color w:val="000000"/>
          <w:sz w:val="24"/>
          <w:szCs w:val="24"/>
        </w:rPr>
        <w:t>U 2017. praćenje kemijskog stanja provedeno je na 306 mjernih postaja površinskih voda. Izvori su obrađeni prema standardima kakvoće vodnog okoliša (SKVO) za površinske vode, a ušća rijeka prema SKVO za prijelazne vode. Ispitivani su svi pokazatelji kemijskog stanja. Granice kvantifikacije analitičkih metoda (LOQ) za pokazatelje benzo(a)piren, tributilkositar, cipermetrin, heptaklor i heptaklor</w:t>
      </w:r>
      <w:r w:rsidR="009524D1">
        <w:rPr>
          <w:rFonts w:ascii="Times New Roman" w:eastAsia="Times New Roman" w:hAnsi="Times New Roman" w:cs="Times New Roman"/>
          <w:iCs/>
          <w:color w:val="000000"/>
          <w:sz w:val="24"/>
          <w:szCs w:val="24"/>
        </w:rPr>
        <w:t>o</w:t>
      </w:r>
      <w:r w:rsidRPr="00D84719">
        <w:rPr>
          <w:rFonts w:ascii="Times New Roman" w:eastAsia="Times New Roman" w:hAnsi="Times New Roman" w:cs="Times New Roman"/>
          <w:iCs/>
          <w:color w:val="000000"/>
          <w:sz w:val="24"/>
          <w:szCs w:val="24"/>
        </w:rPr>
        <w:t>epoksid bile su više od prosječnih godišnjih vrijednosti relevantnih standarda kakvoće okoliša (PGK - SKVO), stoga te tvari nisu ocjenjene prema PGK - SKVO u slučaju ako su sve izmjerene vrijednosti bile manje od granice kvantifikacije.</w:t>
      </w:r>
      <w:r w:rsidRPr="00D84719">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iCs/>
          <w:color w:val="000000"/>
          <w:sz w:val="24"/>
          <w:szCs w:val="24"/>
        </w:rPr>
        <w:t>Dobro kemijsko stanje je utvrđeno na 267 mjernih postaja, što predstavlja oko 90</w:t>
      </w:r>
      <w:r w:rsidR="00D4589D">
        <w:rPr>
          <w:rFonts w:ascii="Times New Roman" w:eastAsia="Times New Roman" w:hAnsi="Times New Roman" w:cs="Times New Roman"/>
          <w:iCs/>
          <w:color w:val="000000"/>
          <w:sz w:val="24"/>
          <w:szCs w:val="24"/>
        </w:rPr>
        <w:t xml:space="preserve"> %</w:t>
      </w:r>
      <w:r w:rsidRPr="00D84719">
        <w:rPr>
          <w:rFonts w:ascii="Times New Roman" w:eastAsia="Times New Roman" w:hAnsi="Times New Roman" w:cs="Times New Roman"/>
          <w:iCs/>
          <w:color w:val="000000"/>
          <w:sz w:val="24"/>
          <w:szCs w:val="24"/>
        </w:rPr>
        <w:t xml:space="preserve"> mjernih postaja nadzornog i/ili operativnog monitoringa, na kojima je obavljeno ispitivanje pokazatelja kemijskog stanja.</w:t>
      </w:r>
      <w:r w:rsidRPr="00D84719">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iCs/>
          <w:color w:val="000000"/>
          <w:sz w:val="24"/>
          <w:szCs w:val="24"/>
        </w:rPr>
        <w:t>Prema rezultatima monitoringa, na postajama vodnog područja rijeke Dunav nekoliko prioritetnih tvari prelaze definirane standarde kakvoće vodnog okoliša. Na najviše postaja kritične tvar su nikal i olovo (pet mjernih postaja), zbog prekoračenja prosječnih godišnjih vrijednosti SKVO. Na jadranskom vodnom području kritična tvar je triklor</w:t>
      </w:r>
      <w:r w:rsidR="009524D1">
        <w:rPr>
          <w:rFonts w:ascii="Times New Roman" w:eastAsia="Times New Roman" w:hAnsi="Times New Roman" w:cs="Times New Roman"/>
          <w:iCs/>
          <w:color w:val="000000"/>
          <w:sz w:val="24"/>
          <w:szCs w:val="24"/>
        </w:rPr>
        <w:t>o</w:t>
      </w:r>
      <w:r w:rsidRPr="00D84719">
        <w:rPr>
          <w:rFonts w:ascii="Times New Roman" w:eastAsia="Times New Roman" w:hAnsi="Times New Roman" w:cs="Times New Roman"/>
          <w:iCs/>
          <w:color w:val="000000"/>
          <w:sz w:val="24"/>
          <w:szCs w:val="24"/>
        </w:rPr>
        <w:t>metan na sedam mjernih postaja.</w:t>
      </w:r>
    </w:p>
    <w:p w14:paraId="12224A6E"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Kemijsko stanje, s pojedinačnim pokazateljima kemijskog stanja je određeno na 336 mjernih postaja površinskih voda u 2018.</w:t>
      </w:r>
      <w:r w:rsidR="005233FB">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 xml:space="preserve"> Izvori su obrađeni prema standardima kakvoće vodnog okoliša (SKVO) za površinske vode, a ušća rijeka prema SKVO za prijelazne vode. Ispitivani su svi pokazatelji kemijskog stanja definiranih prilogu 5. Uredbe o standardu kakvoće voda. Granice kvantifikacije analitičkih metoda za pokazatelje benzo(a)piren, tributilkositar, cipermetrin, heptaklor i heptaklor</w:t>
      </w:r>
      <w:r w:rsidR="009524D1">
        <w:rPr>
          <w:rFonts w:ascii="Times New Roman" w:eastAsia="Times New Roman" w:hAnsi="Times New Roman" w:cs="Times New Roman"/>
          <w:color w:val="000000"/>
          <w:sz w:val="24"/>
          <w:szCs w:val="24"/>
        </w:rPr>
        <w:t>o</w:t>
      </w:r>
      <w:r w:rsidRPr="00D84719">
        <w:rPr>
          <w:rFonts w:ascii="Times New Roman" w:eastAsia="Times New Roman" w:hAnsi="Times New Roman" w:cs="Times New Roman"/>
          <w:color w:val="000000"/>
          <w:sz w:val="24"/>
          <w:szCs w:val="24"/>
        </w:rPr>
        <w:t>epoksid bile su više od prosječnih godišnjih vrijednosti relevantnih standarda kakvoće okoliša (PGK-SKVO), stoga te tvari nisu ocjenjene prema PGK-SKVO.</w:t>
      </w:r>
    </w:p>
    <w:p w14:paraId="488E2A2A" w14:textId="65F37005"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Dobro kemijsko stanje je utvrđeno na 291 mjernoj postaji rijeka, što predstavlja 90</w:t>
      </w:r>
      <w:r w:rsidR="00D4589D">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xml:space="preserve"> mjernih postaja nadzornog i/ili operativnog monitoringa na rijekama na kojima je obavljeno ispitivanje pokazatelja kemijskog stanja. Prema rezultatima monitoringa na postajama vodnog područja rijeke Dunav i jadranskog vodnog područja nekoliko prioritetnih tvari prelaze definirane standarde kakvoće vodnog okoliša i to kako slijedi heksabromociklododekan (PGK), PFOS i njegovi derivati (PGK), triklorometan (kloroform) (PGK), benzo(a)piren (PGK), nikal otopljeni (PGK), živa otopljena (MGK), olovo otopljeno (MGK i PGK) , fluoranten (PGK), ciklodienski pesticidi (PGK) , klorpirifos-etil (MGK) i kadmij otopljeni (PGK). Na najviše postaja kritični su živa (na sedam mjernih postaja) i olovo (na šest mjernih postaja). Na jadranskom vodnom području kritična tvar je triklorometan na pet mjernih postaja. Na vodnom području rijeke Dunav heksabromocikododekan (PGK prekoračen na </w:t>
      </w:r>
      <w:r w:rsidR="005233FB">
        <w:rPr>
          <w:rFonts w:ascii="Times New Roman" w:eastAsia="Times New Roman" w:hAnsi="Times New Roman" w:cs="Times New Roman"/>
          <w:color w:val="000000"/>
          <w:sz w:val="24"/>
          <w:szCs w:val="24"/>
        </w:rPr>
        <w:t>dvije</w:t>
      </w:r>
      <w:r w:rsidR="005233FB" w:rsidRPr="00D84719">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xml:space="preserve">mjerne postaje), PFOS i njegovi </w:t>
      </w:r>
      <w:r w:rsidRPr="00D84719">
        <w:rPr>
          <w:rFonts w:ascii="Times New Roman" w:eastAsia="Times New Roman" w:hAnsi="Times New Roman" w:cs="Times New Roman"/>
          <w:color w:val="000000"/>
          <w:sz w:val="24"/>
          <w:szCs w:val="24"/>
        </w:rPr>
        <w:lastRenderedPageBreak/>
        <w:t>derivati, triklorometan, benzo(a)piren, ciklodienski pesticidi te klorpirifos-etil (PGK prekoračen po na jednoj mjernoj postaji).</w:t>
      </w:r>
    </w:p>
    <w:p w14:paraId="10F45CAF"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 xml:space="preserve">Na svim ostalim postajama utvrđeno je dobro kemijsko stanje prema prosječnim i/ili maksimalnim godišnjim koncentracijama. Ispitivanja svih pokazatelja predviđenih planom monitoringa nisu realizirana u cijelosti. </w:t>
      </w:r>
    </w:p>
    <w:p w14:paraId="09946DBC"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p>
    <w:p w14:paraId="1E4275B4" w14:textId="77777777" w:rsidR="00D84719" w:rsidRPr="00DF02E3" w:rsidRDefault="00D84719" w:rsidP="00D84719">
      <w:pPr>
        <w:spacing w:before="80" w:line="276" w:lineRule="auto"/>
        <w:jc w:val="both"/>
        <w:rPr>
          <w:rFonts w:ascii="Times New Roman" w:eastAsia="Times New Roman" w:hAnsi="Times New Roman" w:cs="Times New Roman"/>
          <w:b/>
          <w:color w:val="000000"/>
          <w:sz w:val="24"/>
          <w:szCs w:val="24"/>
        </w:rPr>
      </w:pPr>
      <w:r w:rsidRPr="00DF02E3">
        <w:rPr>
          <w:rFonts w:ascii="Times New Roman" w:eastAsia="Times New Roman" w:hAnsi="Times New Roman" w:cs="Times New Roman"/>
          <w:b/>
          <w:color w:val="000000"/>
          <w:sz w:val="24"/>
          <w:szCs w:val="24"/>
        </w:rPr>
        <w:t>JEZERA</w:t>
      </w:r>
    </w:p>
    <w:p w14:paraId="76AA3AE7" w14:textId="77777777" w:rsidR="00D84719" w:rsidRPr="00DF02E3" w:rsidRDefault="00D84719" w:rsidP="00D84719">
      <w:pPr>
        <w:spacing w:before="80" w:line="276" w:lineRule="auto"/>
        <w:jc w:val="both"/>
        <w:rPr>
          <w:rFonts w:ascii="Times New Roman" w:eastAsia="Times New Roman" w:hAnsi="Times New Roman" w:cs="Times New Roman"/>
          <w:b/>
          <w:i/>
          <w:color w:val="000000"/>
          <w:sz w:val="24"/>
          <w:szCs w:val="24"/>
        </w:rPr>
      </w:pPr>
      <w:r w:rsidRPr="00DF02E3">
        <w:rPr>
          <w:rFonts w:ascii="Times New Roman" w:eastAsia="Times New Roman" w:hAnsi="Times New Roman" w:cs="Times New Roman"/>
          <w:b/>
          <w:i/>
          <w:color w:val="000000"/>
          <w:sz w:val="24"/>
          <w:szCs w:val="24"/>
        </w:rPr>
        <w:t xml:space="preserve">Ocjena ekološkog i kemijskog stanja površinskih kopnenih voda – jezera </w:t>
      </w:r>
    </w:p>
    <w:p w14:paraId="7BA298D0" w14:textId="77777777" w:rsidR="00D84719" w:rsidRPr="00D84719" w:rsidRDefault="00863B93" w:rsidP="00D84719">
      <w:pPr>
        <w:spacing w:before="80" w:line="276" w:lineRule="auto"/>
        <w:jc w:val="both"/>
        <w:rPr>
          <w:rFonts w:ascii="Times New Roman" w:eastAsia="Times New Roman" w:hAnsi="Times New Roman" w:cs="Times New Roman"/>
          <w:color w:val="000000"/>
          <w:sz w:val="24"/>
          <w:szCs w:val="24"/>
        </w:rPr>
      </w:pPr>
      <w:r w:rsidRPr="00863B93">
        <w:rPr>
          <w:rFonts w:ascii="Times New Roman" w:eastAsia="Times New Roman" w:hAnsi="Times New Roman" w:cs="Times New Roman"/>
          <w:color w:val="000000"/>
          <w:sz w:val="24"/>
          <w:szCs w:val="24"/>
        </w:rPr>
        <w:t xml:space="preserve">Ekološko stanje prirodnih jezera u </w:t>
      </w:r>
      <w:r>
        <w:rPr>
          <w:rFonts w:ascii="Times New Roman" w:eastAsia="Times New Roman" w:hAnsi="Times New Roman" w:cs="Times New Roman"/>
          <w:color w:val="000000"/>
          <w:sz w:val="24"/>
          <w:szCs w:val="24"/>
        </w:rPr>
        <w:t xml:space="preserve">2016., </w:t>
      </w:r>
      <w:r w:rsidRPr="00863B93">
        <w:rPr>
          <w:rFonts w:ascii="Times New Roman" w:eastAsia="Times New Roman" w:hAnsi="Times New Roman" w:cs="Times New Roman"/>
          <w:color w:val="000000"/>
          <w:sz w:val="24"/>
          <w:szCs w:val="24"/>
        </w:rPr>
        <w:t xml:space="preserve">2017. </w:t>
      </w:r>
      <w:r>
        <w:rPr>
          <w:rFonts w:ascii="Times New Roman" w:eastAsia="Times New Roman" w:hAnsi="Times New Roman" w:cs="Times New Roman"/>
          <w:color w:val="000000"/>
          <w:sz w:val="24"/>
          <w:szCs w:val="24"/>
        </w:rPr>
        <w:t xml:space="preserve">i 2018. </w:t>
      </w:r>
      <w:r w:rsidRPr="00863B93">
        <w:rPr>
          <w:rFonts w:ascii="Times New Roman" w:eastAsia="Times New Roman" w:hAnsi="Times New Roman" w:cs="Times New Roman"/>
          <w:color w:val="000000"/>
          <w:sz w:val="24"/>
          <w:szCs w:val="24"/>
        </w:rPr>
        <w:t>određeno je na sedam jezera (dva na podslivu rijeke Save i pet na jadranskom vodnom području).</w:t>
      </w:r>
      <w:r w:rsidR="00D84719" w:rsidRPr="00D8471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U</w:t>
      </w:r>
      <w:r w:rsidR="00521A56">
        <w:rPr>
          <w:rFonts w:ascii="Times New Roman" w:eastAsia="Times New Roman" w:hAnsi="Times New Roman" w:cs="Times New Roman"/>
          <w:color w:val="000000"/>
          <w:sz w:val="24"/>
          <w:szCs w:val="24"/>
        </w:rPr>
        <w:t xml:space="preserve"> 2016. n</w:t>
      </w:r>
      <w:r w:rsidR="00521A56" w:rsidRPr="00D84719">
        <w:rPr>
          <w:rFonts w:ascii="Times New Roman" w:eastAsia="Times New Roman" w:hAnsi="Times New Roman" w:cs="Times New Roman"/>
          <w:color w:val="000000"/>
          <w:sz w:val="24"/>
          <w:szCs w:val="24"/>
        </w:rPr>
        <w:t xml:space="preserve">a </w:t>
      </w:r>
      <w:r w:rsidR="00D84719" w:rsidRPr="00D84719">
        <w:rPr>
          <w:rFonts w:ascii="Times New Roman" w:eastAsia="Times New Roman" w:hAnsi="Times New Roman" w:cs="Times New Roman"/>
          <w:color w:val="000000"/>
          <w:sz w:val="24"/>
          <w:szCs w:val="24"/>
        </w:rPr>
        <w:t xml:space="preserve">svima je utvrđeno zadovoljavajuće ekološko stanje, na šest jezera dobro, a na jezeru </w:t>
      </w:r>
      <w:proofErr w:type="spellStart"/>
      <w:r w:rsidR="00D84719" w:rsidRPr="00D84719">
        <w:rPr>
          <w:rFonts w:ascii="Times New Roman" w:eastAsia="Times New Roman" w:hAnsi="Times New Roman" w:cs="Times New Roman"/>
          <w:color w:val="000000"/>
          <w:sz w:val="24"/>
          <w:szCs w:val="24"/>
        </w:rPr>
        <w:t>Visovac</w:t>
      </w:r>
      <w:proofErr w:type="spellEnd"/>
      <w:r w:rsidR="00D84719" w:rsidRPr="00D84719">
        <w:rPr>
          <w:rFonts w:ascii="Times New Roman" w:eastAsia="Times New Roman" w:hAnsi="Times New Roman" w:cs="Times New Roman"/>
          <w:color w:val="000000"/>
          <w:sz w:val="24"/>
          <w:szCs w:val="24"/>
        </w:rPr>
        <w:t xml:space="preserve"> vrlo dobro stanje. U 2016.</w:t>
      </w:r>
      <w:r w:rsidR="00C11DD1">
        <w:rPr>
          <w:rFonts w:ascii="Times New Roman" w:eastAsia="Times New Roman" w:hAnsi="Times New Roman" w:cs="Times New Roman"/>
          <w:color w:val="000000"/>
          <w:sz w:val="24"/>
          <w:szCs w:val="24"/>
        </w:rPr>
        <w:t xml:space="preserve"> </w:t>
      </w:r>
      <w:r w:rsidR="00D84719" w:rsidRPr="00D84719">
        <w:rPr>
          <w:rFonts w:ascii="Times New Roman" w:eastAsia="Times New Roman" w:hAnsi="Times New Roman" w:cs="Times New Roman"/>
          <w:color w:val="000000"/>
          <w:sz w:val="24"/>
          <w:szCs w:val="24"/>
        </w:rPr>
        <w:t xml:space="preserve">je ispitivan biološki element fitoplankton na šest jezera, s vrlo dobrom ocjenom. Fizikalno - kemijski elementi su ispitivani na svim jezerima i imali su vrlo dobru ili dobru ocjenu, a specifične onečišćujuće tvari na pet jezera, također s dobrom ocjenom. Monitoringom kemijskog stanja koji je obavljen </w:t>
      </w:r>
      <w:r w:rsidR="000D60F7">
        <w:rPr>
          <w:rFonts w:ascii="Times New Roman" w:eastAsia="Times New Roman" w:hAnsi="Times New Roman" w:cs="Times New Roman"/>
          <w:color w:val="000000"/>
          <w:sz w:val="24"/>
          <w:szCs w:val="24"/>
        </w:rPr>
        <w:t>iste</w:t>
      </w:r>
      <w:r w:rsidR="00D84719" w:rsidRPr="00D84719">
        <w:rPr>
          <w:rFonts w:ascii="Times New Roman" w:eastAsia="Times New Roman" w:hAnsi="Times New Roman" w:cs="Times New Roman"/>
          <w:color w:val="000000"/>
          <w:sz w:val="24"/>
          <w:szCs w:val="24"/>
        </w:rPr>
        <w:t xml:space="preserve"> </w:t>
      </w:r>
      <w:r w:rsidR="00C11DD1">
        <w:rPr>
          <w:rFonts w:ascii="Times New Roman" w:eastAsia="Times New Roman" w:hAnsi="Times New Roman" w:cs="Times New Roman"/>
          <w:color w:val="000000"/>
          <w:sz w:val="24"/>
          <w:szCs w:val="24"/>
        </w:rPr>
        <w:t xml:space="preserve">godine </w:t>
      </w:r>
      <w:r w:rsidR="00D84719" w:rsidRPr="00D84719">
        <w:rPr>
          <w:rFonts w:ascii="Times New Roman" w:eastAsia="Times New Roman" w:hAnsi="Times New Roman" w:cs="Times New Roman"/>
          <w:color w:val="000000"/>
          <w:sz w:val="24"/>
          <w:szCs w:val="24"/>
        </w:rPr>
        <w:t>obuhvaćena su sva prirodna jezera na vodnom području rijeke Dunav i utvrđeno je dobro kemijsko stanje. Na jadranskom vodnom području monitoring kemijskog stanja obavljen je samo na dva prirodna jezera. Na svim jezerima utvrđeno je dobro kemijsko stanje.</w:t>
      </w:r>
    </w:p>
    <w:p w14:paraId="27CD6F28" w14:textId="77777777" w:rsidR="00D84719" w:rsidRPr="00D84719" w:rsidRDefault="00863B93" w:rsidP="00D84719">
      <w:pPr>
        <w:spacing w:before="8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 2017. n</w:t>
      </w:r>
      <w:r w:rsidR="00D84719" w:rsidRPr="00D84719">
        <w:rPr>
          <w:rFonts w:ascii="Times New Roman" w:eastAsia="Times New Roman" w:hAnsi="Times New Roman" w:cs="Times New Roman"/>
          <w:color w:val="000000"/>
          <w:sz w:val="24"/>
          <w:szCs w:val="24"/>
        </w:rPr>
        <w:t xml:space="preserve">a dva jezera (Vransko jezero, kod Zadra i </w:t>
      </w:r>
      <w:proofErr w:type="spellStart"/>
      <w:r w:rsidR="00D84719" w:rsidRPr="00D84719">
        <w:rPr>
          <w:rFonts w:ascii="Times New Roman" w:eastAsia="Times New Roman" w:hAnsi="Times New Roman" w:cs="Times New Roman"/>
          <w:color w:val="000000"/>
          <w:sz w:val="24"/>
          <w:szCs w:val="24"/>
        </w:rPr>
        <w:t>Visovačko</w:t>
      </w:r>
      <w:proofErr w:type="spellEnd"/>
      <w:r w:rsidR="00D84719" w:rsidRPr="00D84719">
        <w:rPr>
          <w:rFonts w:ascii="Times New Roman" w:eastAsia="Times New Roman" w:hAnsi="Times New Roman" w:cs="Times New Roman"/>
          <w:color w:val="000000"/>
          <w:sz w:val="24"/>
          <w:szCs w:val="24"/>
        </w:rPr>
        <w:t xml:space="preserve"> jezero) nije postignuto dobro ekološko stanje. Na Vranskom jezeru, kod Zadra dobro ekološko stanje nije postignuto prema biološkom elementu fitoplanktonu i fizikalno - kemijskom elementu KPK te prema adsorbilnim organskim halogenima (AOX) u slučaju specifičnih onečišćujućih tvari. Na </w:t>
      </w:r>
      <w:proofErr w:type="spellStart"/>
      <w:r w:rsidR="00D84719" w:rsidRPr="00D84719">
        <w:rPr>
          <w:rFonts w:ascii="Times New Roman" w:eastAsia="Times New Roman" w:hAnsi="Times New Roman" w:cs="Times New Roman"/>
          <w:color w:val="000000"/>
          <w:sz w:val="24"/>
          <w:szCs w:val="24"/>
        </w:rPr>
        <w:t>Visovačkom</w:t>
      </w:r>
      <w:proofErr w:type="spellEnd"/>
      <w:r w:rsidR="00D84719" w:rsidRPr="00D84719">
        <w:rPr>
          <w:rFonts w:ascii="Times New Roman" w:eastAsia="Times New Roman" w:hAnsi="Times New Roman" w:cs="Times New Roman"/>
          <w:color w:val="000000"/>
          <w:sz w:val="24"/>
          <w:szCs w:val="24"/>
        </w:rPr>
        <w:t xml:space="preserve"> jezeru dobro ekološko stanje nije postignuto prema biološkom elementu fitoplanktonu. Monitoringom kemijskog stanja koji je obavljen 2017. nije obuhvaćeno niti jedno prirodno jezero na vodnom području rijeke Dunav. Na jadranskom vodnom području monitoring kemijskog stanja obavljen je na dva prirodna jezera. Na svim jezerima utvrđeno je dobro kemijsko stanje.</w:t>
      </w:r>
    </w:p>
    <w:p w14:paraId="0F2E144C" w14:textId="15D793DE" w:rsidR="00D84719" w:rsidRPr="00D84719" w:rsidRDefault="000D60F7" w:rsidP="00D84719">
      <w:pPr>
        <w:spacing w:before="8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Od</w:t>
      </w:r>
      <w:r w:rsidR="00521A56">
        <w:rPr>
          <w:rFonts w:ascii="Times New Roman" w:eastAsia="Times New Roman" w:hAnsi="Times New Roman" w:cs="Times New Roman"/>
          <w:color w:val="000000"/>
          <w:sz w:val="24"/>
          <w:szCs w:val="24"/>
        </w:rPr>
        <w:t xml:space="preserve"> sedam tipiziranih prirodnih jezera u 2018</w:t>
      </w:r>
      <w:r w:rsidR="004C449C">
        <w:rPr>
          <w:rFonts w:ascii="Times New Roman" w:eastAsia="Times New Roman" w:hAnsi="Times New Roman" w:cs="Times New Roman"/>
          <w:color w:val="000000"/>
          <w:sz w:val="24"/>
          <w:szCs w:val="24"/>
        </w:rPr>
        <w:t>.</w:t>
      </w:r>
      <w:r w:rsidR="00521A56" w:rsidRPr="00D8471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ni</w:t>
      </w:r>
      <w:r w:rsidR="00D84719" w:rsidRPr="00D84719">
        <w:rPr>
          <w:rFonts w:ascii="Times New Roman" w:eastAsia="Times New Roman" w:hAnsi="Times New Roman" w:cs="Times New Roman"/>
          <w:color w:val="000000"/>
          <w:sz w:val="24"/>
          <w:szCs w:val="24"/>
        </w:rPr>
        <w:t>je utvrđeno dobro ekološko stanje</w:t>
      </w:r>
      <w:r>
        <w:rPr>
          <w:rFonts w:ascii="Times New Roman" w:eastAsia="Times New Roman" w:hAnsi="Times New Roman" w:cs="Times New Roman"/>
          <w:color w:val="000000"/>
          <w:sz w:val="24"/>
          <w:szCs w:val="24"/>
        </w:rPr>
        <w:t xml:space="preserve">na </w:t>
      </w:r>
      <w:r w:rsidRPr="00D84719">
        <w:rPr>
          <w:rFonts w:ascii="Times New Roman" w:eastAsia="Times New Roman" w:hAnsi="Times New Roman" w:cs="Times New Roman"/>
          <w:color w:val="000000"/>
          <w:sz w:val="24"/>
          <w:szCs w:val="24"/>
        </w:rPr>
        <w:t>Vransko</w:t>
      </w:r>
      <w:r>
        <w:rPr>
          <w:rFonts w:ascii="Times New Roman" w:eastAsia="Times New Roman" w:hAnsi="Times New Roman" w:cs="Times New Roman"/>
          <w:color w:val="000000"/>
          <w:sz w:val="24"/>
          <w:szCs w:val="24"/>
        </w:rPr>
        <w:t>m</w:t>
      </w:r>
      <w:r w:rsidRPr="00D84719">
        <w:rPr>
          <w:rFonts w:ascii="Times New Roman" w:eastAsia="Times New Roman" w:hAnsi="Times New Roman" w:cs="Times New Roman"/>
          <w:color w:val="000000"/>
          <w:sz w:val="24"/>
          <w:szCs w:val="24"/>
        </w:rPr>
        <w:t xml:space="preserve"> jezer</w:t>
      </w:r>
      <w:r>
        <w:rPr>
          <w:rFonts w:ascii="Times New Roman" w:eastAsia="Times New Roman" w:hAnsi="Times New Roman" w:cs="Times New Roman"/>
          <w:color w:val="000000"/>
          <w:sz w:val="24"/>
          <w:szCs w:val="24"/>
        </w:rPr>
        <w:t>u</w:t>
      </w:r>
      <w:r w:rsidRPr="00D84719">
        <w:rPr>
          <w:rFonts w:ascii="Times New Roman" w:eastAsia="Times New Roman" w:hAnsi="Times New Roman" w:cs="Times New Roman"/>
          <w:color w:val="000000"/>
          <w:sz w:val="24"/>
          <w:szCs w:val="24"/>
        </w:rPr>
        <w:t xml:space="preserve"> </w:t>
      </w:r>
      <w:r w:rsidR="00D84719" w:rsidRPr="00D84719">
        <w:rPr>
          <w:rFonts w:ascii="Times New Roman" w:eastAsia="Times New Roman" w:hAnsi="Times New Roman" w:cs="Times New Roman"/>
          <w:color w:val="000000"/>
          <w:sz w:val="24"/>
          <w:szCs w:val="24"/>
        </w:rPr>
        <w:t xml:space="preserve">kod Biograda i </w:t>
      </w:r>
      <w:proofErr w:type="spellStart"/>
      <w:r w:rsidRPr="00D84719">
        <w:rPr>
          <w:rFonts w:ascii="Times New Roman" w:eastAsia="Times New Roman" w:hAnsi="Times New Roman" w:cs="Times New Roman"/>
          <w:color w:val="000000"/>
          <w:sz w:val="24"/>
          <w:szCs w:val="24"/>
        </w:rPr>
        <w:t>Baćinsko</w:t>
      </w:r>
      <w:r>
        <w:rPr>
          <w:rFonts w:ascii="Times New Roman" w:eastAsia="Times New Roman" w:hAnsi="Times New Roman" w:cs="Times New Roman"/>
          <w:color w:val="000000"/>
          <w:sz w:val="24"/>
          <w:szCs w:val="24"/>
        </w:rPr>
        <w:t>m</w:t>
      </w:r>
      <w:proofErr w:type="spellEnd"/>
      <w:r w:rsidRPr="00D84719">
        <w:rPr>
          <w:rFonts w:ascii="Times New Roman" w:eastAsia="Times New Roman" w:hAnsi="Times New Roman" w:cs="Times New Roman"/>
          <w:color w:val="000000"/>
          <w:sz w:val="24"/>
          <w:szCs w:val="24"/>
        </w:rPr>
        <w:t xml:space="preserve"> jezer</w:t>
      </w:r>
      <w:r>
        <w:rPr>
          <w:rFonts w:ascii="Times New Roman" w:eastAsia="Times New Roman" w:hAnsi="Times New Roman" w:cs="Times New Roman"/>
          <w:color w:val="000000"/>
          <w:sz w:val="24"/>
          <w:szCs w:val="24"/>
        </w:rPr>
        <w:t>u</w:t>
      </w:r>
      <w:r w:rsidRPr="00D84719">
        <w:rPr>
          <w:rFonts w:ascii="Times New Roman" w:eastAsia="Times New Roman" w:hAnsi="Times New Roman" w:cs="Times New Roman"/>
          <w:color w:val="000000"/>
          <w:sz w:val="24"/>
          <w:szCs w:val="24"/>
        </w:rPr>
        <w:t xml:space="preserve"> </w:t>
      </w:r>
      <w:proofErr w:type="spellStart"/>
      <w:r w:rsidR="00D84719" w:rsidRPr="00D84719">
        <w:rPr>
          <w:rFonts w:ascii="Times New Roman" w:eastAsia="Times New Roman" w:hAnsi="Times New Roman" w:cs="Times New Roman"/>
          <w:color w:val="000000"/>
          <w:sz w:val="24"/>
          <w:szCs w:val="24"/>
        </w:rPr>
        <w:t>Crniševo</w:t>
      </w:r>
      <w:proofErr w:type="spellEnd"/>
      <w:r w:rsidR="00D84719" w:rsidRPr="00D84719">
        <w:rPr>
          <w:rFonts w:ascii="Times New Roman" w:eastAsia="Times New Roman" w:hAnsi="Times New Roman" w:cs="Times New Roman"/>
          <w:color w:val="000000"/>
          <w:sz w:val="24"/>
          <w:szCs w:val="24"/>
        </w:rPr>
        <w:t xml:space="preserve">, gdje je srednja godišnja koncentracija adsorbilnih organski vezanih halogena </w:t>
      </w:r>
      <w:r w:rsidRPr="00D84719">
        <w:rPr>
          <w:rFonts w:ascii="Times New Roman" w:eastAsia="Times New Roman" w:hAnsi="Times New Roman" w:cs="Times New Roman"/>
          <w:color w:val="000000"/>
          <w:sz w:val="24"/>
          <w:szCs w:val="24"/>
        </w:rPr>
        <w:t>pre</w:t>
      </w:r>
      <w:r>
        <w:rPr>
          <w:rFonts w:ascii="Times New Roman" w:eastAsia="Times New Roman" w:hAnsi="Times New Roman" w:cs="Times New Roman"/>
          <w:color w:val="000000"/>
          <w:sz w:val="24"/>
          <w:szCs w:val="24"/>
        </w:rPr>
        <w:t>lazila</w:t>
      </w:r>
      <w:r w:rsidRPr="00D84719">
        <w:rPr>
          <w:rFonts w:ascii="Times New Roman" w:eastAsia="Times New Roman" w:hAnsi="Times New Roman" w:cs="Times New Roman"/>
          <w:color w:val="000000"/>
          <w:sz w:val="24"/>
          <w:szCs w:val="24"/>
        </w:rPr>
        <w:t xml:space="preserve"> </w:t>
      </w:r>
      <w:r w:rsidR="00D84719" w:rsidRPr="00D84719">
        <w:rPr>
          <w:rFonts w:ascii="Times New Roman" w:eastAsia="Times New Roman" w:hAnsi="Times New Roman" w:cs="Times New Roman"/>
          <w:color w:val="000000"/>
          <w:sz w:val="24"/>
          <w:szCs w:val="24"/>
        </w:rPr>
        <w:t>graničnu vrijednost dobrog stanja (50 µg/l). Monitoringom kemijskog stanja koji je obavljen 2018. obuhvaćena su dva prirodna jezera na vodnom području rijeke Dunav. Na jadranskom vodnom području monitoring kemijskog stanja obavljen je na četiri prirodna jezera. Na svim jezerima utvrđeno je dobro kemijsko stanje.</w:t>
      </w:r>
    </w:p>
    <w:p w14:paraId="75CD5503"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p>
    <w:p w14:paraId="61435723" w14:textId="77777777" w:rsidR="00D84719" w:rsidRPr="00DF02E3" w:rsidRDefault="00D84719" w:rsidP="00D84719">
      <w:pPr>
        <w:spacing w:before="80" w:line="276" w:lineRule="auto"/>
        <w:jc w:val="both"/>
        <w:rPr>
          <w:rFonts w:ascii="Times New Roman" w:eastAsia="Times New Roman" w:hAnsi="Times New Roman" w:cs="Times New Roman"/>
          <w:b/>
          <w:i/>
          <w:color w:val="000000"/>
          <w:sz w:val="24"/>
          <w:szCs w:val="24"/>
        </w:rPr>
      </w:pPr>
      <w:r w:rsidRPr="00DF02E3">
        <w:rPr>
          <w:rFonts w:ascii="Times New Roman" w:eastAsia="Times New Roman" w:hAnsi="Times New Roman" w:cs="Times New Roman"/>
          <w:b/>
          <w:i/>
          <w:color w:val="000000"/>
          <w:sz w:val="24"/>
          <w:szCs w:val="24"/>
        </w:rPr>
        <w:t>AKUMULACIJE</w:t>
      </w:r>
    </w:p>
    <w:p w14:paraId="6F72CE13" w14:textId="77777777" w:rsidR="00D84719" w:rsidRPr="00DF02E3" w:rsidRDefault="00D84719" w:rsidP="00D84719">
      <w:pPr>
        <w:spacing w:before="80" w:line="276" w:lineRule="auto"/>
        <w:jc w:val="both"/>
        <w:rPr>
          <w:rFonts w:ascii="Times New Roman" w:eastAsia="Times New Roman" w:hAnsi="Times New Roman" w:cs="Times New Roman"/>
          <w:b/>
          <w:i/>
          <w:color w:val="000000"/>
          <w:sz w:val="24"/>
          <w:szCs w:val="24"/>
        </w:rPr>
      </w:pPr>
      <w:r w:rsidRPr="00DF02E3">
        <w:rPr>
          <w:rFonts w:ascii="Times New Roman" w:eastAsia="Times New Roman" w:hAnsi="Times New Roman" w:cs="Times New Roman"/>
          <w:b/>
          <w:i/>
          <w:color w:val="000000"/>
          <w:sz w:val="24"/>
          <w:szCs w:val="24"/>
        </w:rPr>
        <w:t>Ekološko i kemijsko stanje površinskih kopnenih voda-akumulacije</w:t>
      </w:r>
    </w:p>
    <w:p w14:paraId="2258B27B"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Planom monitoringa stanja voda u 2016.</w:t>
      </w:r>
      <w:r w:rsidR="00863B93">
        <w:rPr>
          <w:rFonts w:ascii="Times New Roman" w:eastAsia="Times New Roman" w:hAnsi="Times New Roman" w:cs="Times New Roman"/>
          <w:color w:val="000000"/>
          <w:sz w:val="24"/>
          <w:szCs w:val="24"/>
        </w:rPr>
        <w:t>,</w:t>
      </w:r>
      <w:r w:rsidR="001F145E">
        <w:rPr>
          <w:rFonts w:ascii="Times New Roman" w:eastAsia="Times New Roman" w:hAnsi="Times New Roman" w:cs="Times New Roman"/>
          <w:color w:val="000000"/>
          <w:sz w:val="24"/>
          <w:szCs w:val="24"/>
        </w:rPr>
        <w:t xml:space="preserve"> </w:t>
      </w:r>
      <w:r w:rsidR="00863B93">
        <w:rPr>
          <w:rFonts w:ascii="Times New Roman" w:eastAsia="Times New Roman" w:hAnsi="Times New Roman" w:cs="Times New Roman"/>
          <w:color w:val="000000"/>
          <w:sz w:val="24"/>
          <w:szCs w:val="24"/>
        </w:rPr>
        <w:t>2017. i 2018</w:t>
      </w:r>
      <w:r w:rsidR="005233FB">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 xml:space="preserve"> bilo je obuhvaćeno 37 akumulacija i ostalih stajaćica koje nisu prirodnog porijekla, prije svega šljunčara. Biološki elementi makrofita, makrozoobentos i ribe za ocjenu ekološkog stanja temeljem klasifikacijskog sustava </w:t>
      </w:r>
      <w:r w:rsidRPr="00D84719">
        <w:rPr>
          <w:rFonts w:ascii="Times New Roman" w:eastAsia="Times New Roman" w:hAnsi="Times New Roman" w:cs="Times New Roman"/>
          <w:color w:val="000000"/>
          <w:sz w:val="24"/>
          <w:szCs w:val="24"/>
        </w:rPr>
        <w:lastRenderedPageBreak/>
        <w:t xml:space="preserve">za tekućice ocijenjeni su u </w:t>
      </w:r>
      <w:r w:rsidR="00863B93">
        <w:rPr>
          <w:rFonts w:ascii="Times New Roman" w:eastAsia="Times New Roman" w:hAnsi="Times New Roman" w:cs="Times New Roman"/>
          <w:color w:val="000000"/>
          <w:sz w:val="24"/>
          <w:szCs w:val="24"/>
        </w:rPr>
        <w:t xml:space="preserve">2016. </w:t>
      </w:r>
      <w:r w:rsidR="00F33F67">
        <w:rPr>
          <w:rFonts w:ascii="Times New Roman" w:eastAsia="Times New Roman" w:hAnsi="Times New Roman" w:cs="Times New Roman"/>
          <w:color w:val="000000"/>
          <w:sz w:val="24"/>
          <w:szCs w:val="24"/>
        </w:rPr>
        <w:t>u</w:t>
      </w:r>
      <w:r w:rsidR="00863B93">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36 akumulacija, fizikalno-kemijski elementi u 32 akumulacije, a najmanje jedna specifična onečišćujuća tvar u 22 akumulacije. Temeljem ovih bioloških elemenata je utvrđeno umjereno do vrlo loše ekološko stanje, čime je potvrđen status ovih vodnih tijela kao znatno promijenjenih vodnih tijela tekućica. To opravdava pokretanje istraživačkih projekata za razvoj klasifikacijskog sustava ekološkog potencijala akumulacija.</w:t>
      </w:r>
    </w:p>
    <w:p w14:paraId="3FC3CAA9"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 xml:space="preserve">Umjereno i lošije stanje prema fizikalno-kemijskim pokazateljima je utvrđeno u devet akumulacija, a prema specifičnim onečišćujućim tvarima u pet akumulacija. U 2016. </w:t>
      </w:r>
      <w:r w:rsidR="00F33F67" w:rsidRPr="00D84719">
        <w:rPr>
          <w:rFonts w:ascii="Times New Roman" w:eastAsia="Times New Roman" w:hAnsi="Times New Roman" w:cs="Times New Roman"/>
          <w:color w:val="000000"/>
          <w:sz w:val="24"/>
          <w:szCs w:val="24"/>
        </w:rPr>
        <w:t xml:space="preserve">je </w:t>
      </w:r>
      <w:r w:rsidRPr="00D84719">
        <w:rPr>
          <w:rFonts w:ascii="Times New Roman" w:eastAsia="Times New Roman" w:hAnsi="Times New Roman" w:cs="Times New Roman"/>
          <w:color w:val="000000"/>
          <w:sz w:val="24"/>
          <w:szCs w:val="24"/>
        </w:rPr>
        <w:t>mali broj akumulacija bio obuhvaćen monitoringom kemijskog stanja. Pokazatelji kemijskog stanja nisu analizirani na niti jednoj akumulaciji u vodnom području rijeke Dunav. Od 45 pokazatelja kemijskog stanja na akumulacijama jadranskog vodnog područja ispitivani su samo metali (olovo, nikal, kadmij i živa) te fluoranten, triklor</w:t>
      </w:r>
      <w:r w:rsidR="009524D1">
        <w:rPr>
          <w:rFonts w:ascii="Times New Roman" w:eastAsia="Times New Roman" w:hAnsi="Times New Roman" w:cs="Times New Roman"/>
          <w:color w:val="000000"/>
          <w:sz w:val="24"/>
          <w:szCs w:val="24"/>
        </w:rPr>
        <w:t>o</w:t>
      </w:r>
      <w:r w:rsidRPr="00D84719">
        <w:rPr>
          <w:rFonts w:ascii="Times New Roman" w:eastAsia="Times New Roman" w:hAnsi="Times New Roman" w:cs="Times New Roman"/>
          <w:color w:val="000000"/>
          <w:sz w:val="24"/>
          <w:szCs w:val="24"/>
        </w:rPr>
        <w:t>metan, izoproturon, klorpirifos i pentaklor</w:t>
      </w:r>
      <w:r w:rsidR="009524D1">
        <w:rPr>
          <w:rFonts w:ascii="Times New Roman" w:eastAsia="Times New Roman" w:hAnsi="Times New Roman" w:cs="Times New Roman"/>
          <w:color w:val="000000"/>
          <w:sz w:val="24"/>
          <w:szCs w:val="24"/>
        </w:rPr>
        <w:t>o</w:t>
      </w:r>
      <w:r w:rsidRPr="00D84719">
        <w:rPr>
          <w:rFonts w:ascii="Times New Roman" w:eastAsia="Times New Roman" w:hAnsi="Times New Roman" w:cs="Times New Roman"/>
          <w:color w:val="000000"/>
          <w:sz w:val="24"/>
          <w:szCs w:val="24"/>
        </w:rPr>
        <w:t>fenol. Na svim analiziranim akumulacijama utvrđeno je dobro kemijsko stanje.</w:t>
      </w:r>
    </w:p>
    <w:p w14:paraId="55429527"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U 2017. nije analizirano ekološko stanje po biološkim elementima kakvoće. Fizikalno-kemijski elementi kakvoće analizirani su u svim ispitivanim akumulacijama, a specifične onečišćujuće tvari u 29 akumulacija. Umjereno stanje prema fizikalno-kemijskim pokazateljima je utvrđeno u 12 akumulacija. Prema specifičnim onečišćujućim tvarima u četiri akumulacije nije postignuto dobro stanje. U 2017. mali broj akumulacija je bio obuhvaćen monitoringom kemijskog stanja. Četiri akumulacije na vodnom području rijeke Dunav i tri akumulacije na jadranskom vodnom području. Na mjernoj postaji Rakitje ispitivani su svi pokazatelji kemijskog stanja. Na akumulacijama jadranskog vodnog područja ispitivani su metali (olovo, nikal, kadmij i živa) te triklor</w:t>
      </w:r>
      <w:r w:rsidR="009524D1">
        <w:rPr>
          <w:rFonts w:ascii="Times New Roman" w:eastAsia="Times New Roman" w:hAnsi="Times New Roman" w:cs="Times New Roman"/>
          <w:color w:val="000000"/>
          <w:sz w:val="24"/>
          <w:szCs w:val="24"/>
        </w:rPr>
        <w:t>o</w:t>
      </w:r>
      <w:r w:rsidRPr="00D84719">
        <w:rPr>
          <w:rFonts w:ascii="Times New Roman" w:eastAsia="Times New Roman" w:hAnsi="Times New Roman" w:cs="Times New Roman"/>
          <w:color w:val="000000"/>
          <w:sz w:val="24"/>
          <w:szCs w:val="24"/>
        </w:rPr>
        <w:t>metan i pentaklor</w:t>
      </w:r>
      <w:r w:rsidR="009524D1">
        <w:rPr>
          <w:rFonts w:ascii="Times New Roman" w:eastAsia="Times New Roman" w:hAnsi="Times New Roman" w:cs="Times New Roman"/>
          <w:color w:val="000000"/>
          <w:sz w:val="24"/>
          <w:szCs w:val="24"/>
        </w:rPr>
        <w:t>o</w:t>
      </w:r>
      <w:r w:rsidRPr="00D84719">
        <w:rPr>
          <w:rFonts w:ascii="Times New Roman" w:eastAsia="Times New Roman" w:hAnsi="Times New Roman" w:cs="Times New Roman"/>
          <w:color w:val="000000"/>
          <w:sz w:val="24"/>
          <w:szCs w:val="24"/>
        </w:rPr>
        <w:t>fenol. Na svim analiziranim akumulacijama utvrđeno je dobro kemijsko stanje.</w:t>
      </w:r>
    </w:p>
    <w:p w14:paraId="7660D840" w14:textId="7AD59B46"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 xml:space="preserve">Tijekom 2018. ispitivani su fizikalno-kemijski elementi kakvoće u 37 akumulacija, a specifične onečišćujuće tvari u 31 akumulaciji. Umjereno i lošije stanje prema fizikalno-kemijskim pokazateljima je utvrđeno u 12 akumulacija, </w:t>
      </w:r>
      <w:r w:rsidR="00C11DD1">
        <w:rPr>
          <w:rFonts w:ascii="Times New Roman" w:eastAsia="Times New Roman" w:hAnsi="Times New Roman" w:cs="Times New Roman"/>
          <w:color w:val="000000"/>
          <w:sz w:val="24"/>
          <w:szCs w:val="24"/>
        </w:rPr>
        <w:t>a</w:t>
      </w:r>
      <w:r w:rsidRPr="00D84719">
        <w:rPr>
          <w:rFonts w:ascii="Times New Roman" w:eastAsia="Times New Roman" w:hAnsi="Times New Roman" w:cs="Times New Roman"/>
          <w:color w:val="000000"/>
          <w:sz w:val="24"/>
          <w:szCs w:val="24"/>
        </w:rPr>
        <w:t xml:space="preserve"> prema specifičnim onečišćujućim tvarima u četiri akumulacije i to Akumulacija </w:t>
      </w:r>
      <w:proofErr w:type="spellStart"/>
      <w:r w:rsidRPr="00D84719">
        <w:rPr>
          <w:rFonts w:ascii="Times New Roman" w:eastAsia="Times New Roman" w:hAnsi="Times New Roman" w:cs="Times New Roman"/>
          <w:color w:val="000000"/>
          <w:sz w:val="24"/>
          <w:szCs w:val="24"/>
        </w:rPr>
        <w:t>Lešće</w:t>
      </w:r>
      <w:proofErr w:type="spellEnd"/>
      <w:r w:rsidRPr="00D84719">
        <w:rPr>
          <w:rFonts w:ascii="Times New Roman" w:eastAsia="Times New Roman" w:hAnsi="Times New Roman" w:cs="Times New Roman"/>
          <w:color w:val="000000"/>
          <w:sz w:val="24"/>
          <w:szCs w:val="24"/>
        </w:rPr>
        <w:t>-kod brane, Jezero Sabljaci-Ogulin, Akumulacija HE Čakovec i Akumulacija HE Dubrava gdje su srednje godišnje koncentracije bakra ili cinka premašivale granične vrijednosti za dobro stanje. U 2018</w:t>
      </w:r>
      <w:r w:rsidR="004C449C">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 xml:space="preserve"> monitoring kemijskog stanja obuhvatio je šest akumulacija na vodnom području rijeke Dunav i četiri akumulacije na jadranskom vodnom području. Na akumulaciji </w:t>
      </w:r>
      <w:proofErr w:type="spellStart"/>
      <w:r w:rsidRPr="00D84719">
        <w:rPr>
          <w:rFonts w:ascii="Times New Roman" w:eastAsia="Times New Roman" w:hAnsi="Times New Roman" w:cs="Times New Roman"/>
          <w:color w:val="000000"/>
          <w:sz w:val="24"/>
          <w:szCs w:val="24"/>
        </w:rPr>
        <w:t>Pakra</w:t>
      </w:r>
      <w:proofErr w:type="spellEnd"/>
      <w:r w:rsidRPr="00D84719">
        <w:rPr>
          <w:rFonts w:ascii="Times New Roman" w:eastAsia="Times New Roman" w:hAnsi="Times New Roman" w:cs="Times New Roman"/>
          <w:color w:val="000000"/>
          <w:sz w:val="24"/>
          <w:szCs w:val="24"/>
        </w:rPr>
        <w:t xml:space="preserve">, Borovik i </w:t>
      </w:r>
      <w:proofErr w:type="spellStart"/>
      <w:r w:rsidRPr="00D84719">
        <w:rPr>
          <w:rFonts w:ascii="Times New Roman" w:eastAsia="Times New Roman" w:hAnsi="Times New Roman" w:cs="Times New Roman"/>
          <w:color w:val="000000"/>
          <w:sz w:val="24"/>
          <w:szCs w:val="24"/>
        </w:rPr>
        <w:t>Lapovac</w:t>
      </w:r>
      <w:proofErr w:type="spellEnd"/>
      <w:r w:rsidRPr="00D84719">
        <w:rPr>
          <w:rFonts w:ascii="Times New Roman" w:eastAsia="Times New Roman" w:hAnsi="Times New Roman" w:cs="Times New Roman"/>
          <w:color w:val="000000"/>
          <w:sz w:val="24"/>
          <w:szCs w:val="24"/>
        </w:rPr>
        <w:t xml:space="preserve"> II, na vodnom području rijeke Dunav, ispitivani su svi pokazatelji kemijskog stanja osim kadmija i tributilkositra. Na tim mjernim postajama utvrđeno je dobro kemijsko stanje. Dobro kemijsko stanje nije utvrđeno na akumulaciji HE Dubrava. Razlog je prekoračenje maksimalne godišnje vrijednosti za benzo(</w:t>
      </w:r>
      <w:proofErr w:type="spellStart"/>
      <w:r w:rsidRPr="00D84719">
        <w:rPr>
          <w:rFonts w:ascii="Times New Roman" w:eastAsia="Times New Roman" w:hAnsi="Times New Roman" w:cs="Times New Roman"/>
          <w:color w:val="000000"/>
          <w:sz w:val="24"/>
          <w:szCs w:val="24"/>
        </w:rPr>
        <w:t>g,h,i</w:t>
      </w:r>
      <w:proofErr w:type="spellEnd"/>
      <w:r w:rsidRPr="00D84719">
        <w:rPr>
          <w:rFonts w:ascii="Times New Roman" w:eastAsia="Times New Roman" w:hAnsi="Times New Roman" w:cs="Times New Roman"/>
          <w:color w:val="000000"/>
          <w:sz w:val="24"/>
          <w:szCs w:val="24"/>
        </w:rPr>
        <w:t>)perilen. Na akumulacijama jadranskog vodnog područja ispitivani su metali (olovo, nikal, kadmij i živa) te triklorometan i pentaklorofenol. Dobro kemijsko stanje nije utvrđeno na dvije mjerne postaje zbog prekoračenja vrijednosti žive.</w:t>
      </w:r>
    </w:p>
    <w:p w14:paraId="7C54FC58"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p>
    <w:p w14:paraId="6361A7CA" w14:textId="77777777" w:rsidR="00D84719" w:rsidRPr="00DF02E3" w:rsidRDefault="00D84719" w:rsidP="00D84719">
      <w:pPr>
        <w:spacing w:before="80" w:line="276" w:lineRule="auto"/>
        <w:jc w:val="both"/>
        <w:rPr>
          <w:rFonts w:ascii="Times New Roman" w:eastAsia="Times New Roman" w:hAnsi="Times New Roman" w:cs="Times New Roman"/>
          <w:b/>
          <w:i/>
          <w:color w:val="000000"/>
          <w:sz w:val="24"/>
          <w:szCs w:val="24"/>
        </w:rPr>
      </w:pPr>
      <w:r w:rsidRPr="00DF02E3">
        <w:rPr>
          <w:rFonts w:ascii="Times New Roman" w:eastAsia="Times New Roman" w:hAnsi="Times New Roman" w:cs="Times New Roman"/>
          <w:b/>
          <w:i/>
          <w:color w:val="000000"/>
          <w:sz w:val="24"/>
          <w:szCs w:val="24"/>
        </w:rPr>
        <w:t>Ekološki potencijal akumulacija</w:t>
      </w:r>
    </w:p>
    <w:p w14:paraId="346ED8E9"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 xml:space="preserve">U skladu s člankom 18. ranije Uredbe o standardu kakvoće voda koja je bila na snazi u izvještajnom razdoblju, ocjena ekološkog potencijala umjetnih i znatno promijenjenih tijela </w:t>
      </w:r>
      <w:r w:rsidRPr="00D84719">
        <w:rPr>
          <w:rFonts w:ascii="Times New Roman" w:eastAsia="Times New Roman" w:hAnsi="Times New Roman" w:cs="Times New Roman"/>
          <w:color w:val="000000"/>
          <w:sz w:val="24"/>
          <w:szCs w:val="24"/>
        </w:rPr>
        <w:lastRenderedPageBreak/>
        <w:t>površinskih voda određuje se na temelju lošije vrijednosti, uzimajući u obzir vrijednosti rezultata ocjene prema biološkim i osnovnim fizikalno-kemijskim i kemijskim elementima.</w:t>
      </w:r>
    </w:p>
    <w:p w14:paraId="1B842509" w14:textId="3F9491E0"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U 2016. su pokrenuti istraživački projekti s ciljem razvoja klasifikacijskog sustava ekološkog potencijala akumulacija i ostalih stajaćica koje nisu prirodnog porijekla te su u sklopu projekata provedena istraživanja bioloških elemenata fitoplanktona, fitobentosa, makrofita i makrozoobentosa. Napravljen je i prijedlog sustava ocjene ekološkog potencijala za ova četiri biološka elementa te osnovne fizikalno-kemijske elemente ukupni dušik i ukupni fosfor. U 2017. nisu obavljena mjerenja bioloških elemenata fitobentosa, makrofita i makrozoobentosa pa je ocjena ekološkog potencijala napravljena temeljem biološkog elementa fitoplaktona te fizikalno-kemijskih pokazatelja i specifičnih onečišćujućih tvari. Dobar i bolji ekološki potencijal je utvrđen na 27</w:t>
      </w:r>
      <w:r w:rsidR="00D4589D">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xml:space="preserve"> akumulacija. Biološki element fitoplankton je na 18 mjernih postaja u akumulacijama ocijenjen u dobrom i boljem ekološkom potencijalu, što predstavlja 90</w:t>
      </w:r>
      <w:r w:rsidR="00D4589D">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xml:space="preserve"> mjernih postaja u dobrom i boljem ekološkom potencijalu, od ukupnog broja postaja na kojima je analiziran fitoplankton. Fizikalno-kemijski elementi koji se koriste u ocjeni za ekološki potencijal akumulacija su ukupni dušik i ukupni fosfor te prema njima na 73</w:t>
      </w:r>
      <w:r w:rsidR="00D4589D">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xml:space="preserve"> mjernih postaja nije postignut dobar i bolji ekološki potencijal. Dobar i bolji ukupni ekološki potencijal postignut je u akumulacijama jadranskog vodnog područja (10), dok se na vodnom području rijeke Dunav akumulacije nalaze u umjerenom ekološkom potencijalu.</w:t>
      </w:r>
    </w:p>
    <w:p w14:paraId="378D7B33" w14:textId="5CCC0E98"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U 2018. dobar i bolji ekološki potencijal je utvrđen na svega 24</w:t>
      </w:r>
      <w:r w:rsidR="00D4589D">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xml:space="preserve"> akumulacija. Biološki element fitoplankton je na čak 22 mjerne postaje u akumulacijama ocijenjen u dobrom i boljem ekološkom potencijalu, no u </w:t>
      </w:r>
      <w:r w:rsidR="00A076DD">
        <w:rPr>
          <w:rFonts w:ascii="Times New Roman" w:eastAsia="Times New Roman" w:hAnsi="Times New Roman" w:cs="Times New Roman"/>
          <w:color w:val="000000"/>
          <w:sz w:val="24"/>
          <w:szCs w:val="24"/>
        </w:rPr>
        <w:t>istoj je godini</w:t>
      </w:r>
      <w:r w:rsidRPr="00D84719">
        <w:rPr>
          <w:rFonts w:ascii="Times New Roman" w:eastAsia="Times New Roman" w:hAnsi="Times New Roman" w:cs="Times New Roman"/>
          <w:color w:val="000000"/>
          <w:sz w:val="24"/>
          <w:szCs w:val="24"/>
        </w:rPr>
        <w:t xml:space="preserve"> zabilježena značajno lošija ocjena prema fizikalno- kemijskim elementima koji se ocjenjuju, ukupnom dušiku i ukupnom fosforu. Ukupni dušik je lošije ocijenjen u većem broju akumulacija (19) nego ukupni fosfor (16). Na jadranskom vodnom području je najveći postotak vodnih tijela akumulacija u zadovoljavajućem stanju (42 %), a na poslivu rijeke Save niti jedno vodno tijelo nije u zadovoljavajućem stanju.</w:t>
      </w:r>
    </w:p>
    <w:p w14:paraId="49BC1E75"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p>
    <w:p w14:paraId="50E93A8E" w14:textId="1A8908D0" w:rsidR="00D84719" w:rsidRPr="00D84719" w:rsidRDefault="00D84719" w:rsidP="00DF02E3">
      <w:pPr>
        <w:pStyle w:val="Naslov4"/>
      </w:pPr>
      <w:bookmarkStart w:id="133" w:name="_Toc64460725"/>
      <w:r w:rsidRPr="00D84719">
        <w:t>Kakvoća riječnog sedimenta od 2015. do 2017</w:t>
      </w:r>
      <w:r w:rsidR="005C26BD">
        <w:t>.</w:t>
      </w:r>
      <w:bookmarkEnd w:id="133"/>
    </w:p>
    <w:p w14:paraId="1E784170"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U riječnim sedimentima vodnog područja rijeke Dunav na devet mjernih postaja sadržaji ispitivanih organskih pokazatelja bili su niži od granica kvantifikacije primijenjenih analitičkih metoda.</w:t>
      </w:r>
    </w:p>
    <w:p w14:paraId="06733617"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 xml:space="preserve">Riječni sedimenti vodnog područja Dunav analizirani su na 51 mjernoj postaji operativnog monitoringa. Sadržaj ispitivanih organskih pokazatelja u sedimentima rijeka operativnog monitoringa na svim mjernim postajama bili su niži od granica kvantifikacije primijenjenih analitičkih metoda, osim za pokazatelj fluoranten koji je izmjeren na </w:t>
      </w:r>
      <w:r w:rsidR="00791903">
        <w:rPr>
          <w:rFonts w:ascii="Times New Roman" w:eastAsia="Times New Roman" w:hAnsi="Times New Roman" w:cs="Times New Roman"/>
          <w:color w:val="000000"/>
          <w:sz w:val="24"/>
          <w:szCs w:val="24"/>
        </w:rPr>
        <w:t>četiri</w:t>
      </w:r>
      <w:r w:rsidR="00791903" w:rsidRPr="00D84719">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xml:space="preserve">mjerne postaje: Bosut nizvodno od Vinkovaca, kanal Dren kod </w:t>
      </w:r>
      <w:proofErr w:type="spellStart"/>
      <w:r w:rsidRPr="00D84719">
        <w:rPr>
          <w:rFonts w:ascii="Times New Roman" w:eastAsia="Times New Roman" w:hAnsi="Times New Roman" w:cs="Times New Roman"/>
          <w:color w:val="000000"/>
          <w:sz w:val="24"/>
          <w:szCs w:val="24"/>
        </w:rPr>
        <w:t>Ivankova</w:t>
      </w:r>
      <w:proofErr w:type="spellEnd"/>
      <w:r w:rsidRPr="00D84719">
        <w:rPr>
          <w:rFonts w:ascii="Times New Roman" w:eastAsia="Times New Roman" w:hAnsi="Times New Roman" w:cs="Times New Roman"/>
          <w:color w:val="000000"/>
          <w:sz w:val="24"/>
          <w:szCs w:val="24"/>
        </w:rPr>
        <w:t xml:space="preserve">, spojni kanal i Slatinska Čađavica, Slatina u rasponu </w:t>
      </w:r>
      <w:r w:rsidRPr="00D17C76">
        <w:rPr>
          <w:rFonts w:ascii="Times New Roman" w:eastAsia="Times New Roman" w:hAnsi="Times New Roman" w:cs="Times New Roman"/>
          <w:color w:val="000000"/>
          <w:sz w:val="24"/>
          <w:szCs w:val="24"/>
        </w:rPr>
        <w:t>0</w:t>
      </w:r>
      <w:r w:rsidR="00CF46CA" w:rsidRPr="00D17C76">
        <w:rPr>
          <w:rFonts w:ascii="Times New Roman" w:eastAsia="Times New Roman" w:hAnsi="Times New Roman" w:cs="Times New Roman"/>
          <w:color w:val="000000"/>
          <w:sz w:val="24"/>
          <w:szCs w:val="24"/>
        </w:rPr>
        <w:t>,</w:t>
      </w:r>
      <w:r w:rsidRPr="00D17C76">
        <w:rPr>
          <w:rFonts w:ascii="Times New Roman" w:eastAsia="Times New Roman" w:hAnsi="Times New Roman" w:cs="Times New Roman"/>
          <w:color w:val="000000"/>
          <w:sz w:val="24"/>
          <w:szCs w:val="24"/>
        </w:rPr>
        <w:t>03 – 1</w:t>
      </w:r>
      <w:r w:rsidR="00CF46CA" w:rsidRPr="00D17C76">
        <w:rPr>
          <w:rFonts w:ascii="Times New Roman" w:eastAsia="Times New Roman" w:hAnsi="Times New Roman" w:cs="Times New Roman"/>
          <w:color w:val="000000"/>
          <w:sz w:val="24"/>
          <w:szCs w:val="24"/>
        </w:rPr>
        <w:t>,</w:t>
      </w:r>
      <w:r w:rsidRPr="00D17C76">
        <w:rPr>
          <w:rFonts w:ascii="Times New Roman" w:eastAsia="Times New Roman" w:hAnsi="Times New Roman" w:cs="Times New Roman"/>
          <w:color w:val="000000"/>
          <w:sz w:val="24"/>
          <w:szCs w:val="24"/>
        </w:rPr>
        <w:t>467 µg/kg.</w:t>
      </w:r>
      <w:r w:rsidRPr="00D84719">
        <w:rPr>
          <w:rFonts w:ascii="Times New Roman" w:eastAsia="Times New Roman" w:hAnsi="Times New Roman" w:cs="Times New Roman"/>
          <w:color w:val="000000"/>
          <w:sz w:val="24"/>
          <w:szCs w:val="24"/>
        </w:rPr>
        <w:t xml:space="preserve"> Najviša koncentracija zabilježena je na mjernoj postaji Bosut, nizvodno od Vinkovaca.</w:t>
      </w:r>
    </w:p>
    <w:p w14:paraId="0CEEC003"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Na osam mjernih postaja nadzornog monitoringa u riječnim sedimentima jadranskog vodnog područja sadržaji ispitivanih organskih pokazatelja su na svim postajama bili niži od granica kvantifikacije primijenjenih analitičkih metoda.</w:t>
      </w:r>
    </w:p>
    <w:p w14:paraId="3E48FAA6"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lastRenderedPageBreak/>
        <w:t xml:space="preserve">U riječnim sedimentima jadranskog vodnog područja </w:t>
      </w:r>
      <w:r w:rsidR="00521A56">
        <w:rPr>
          <w:rFonts w:ascii="Times New Roman" w:eastAsia="Times New Roman" w:hAnsi="Times New Roman" w:cs="Times New Roman"/>
          <w:color w:val="000000"/>
          <w:sz w:val="24"/>
          <w:szCs w:val="24"/>
        </w:rPr>
        <w:t>od</w:t>
      </w:r>
      <w:r w:rsidR="00521A56" w:rsidRPr="00D84719">
        <w:rPr>
          <w:rFonts w:ascii="Times New Roman" w:eastAsia="Times New Roman" w:hAnsi="Times New Roman" w:cs="Times New Roman"/>
          <w:color w:val="000000"/>
          <w:sz w:val="24"/>
          <w:szCs w:val="24"/>
        </w:rPr>
        <w:t xml:space="preserve"> </w:t>
      </w:r>
      <w:r w:rsidR="00521A56">
        <w:rPr>
          <w:rFonts w:ascii="Times New Roman" w:eastAsia="Times New Roman" w:hAnsi="Times New Roman" w:cs="Times New Roman"/>
          <w:color w:val="000000"/>
          <w:sz w:val="24"/>
          <w:szCs w:val="24"/>
        </w:rPr>
        <w:t xml:space="preserve">ukupno </w:t>
      </w:r>
      <w:r w:rsidRPr="00D84719">
        <w:rPr>
          <w:rFonts w:ascii="Times New Roman" w:eastAsia="Times New Roman" w:hAnsi="Times New Roman" w:cs="Times New Roman"/>
          <w:color w:val="000000"/>
          <w:sz w:val="24"/>
          <w:szCs w:val="24"/>
        </w:rPr>
        <w:t xml:space="preserve">šest mjernih postaja operativnog monitoringa, </w:t>
      </w:r>
      <w:r w:rsidR="00521A56">
        <w:rPr>
          <w:rFonts w:ascii="Times New Roman" w:eastAsia="Times New Roman" w:hAnsi="Times New Roman" w:cs="Times New Roman"/>
          <w:color w:val="000000"/>
          <w:sz w:val="24"/>
          <w:szCs w:val="24"/>
        </w:rPr>
        <w:t xml:space="preserve">najviša koncentracija </w:t>
      </w:r>
      <w:r w:rsidR="00521A56" w:rsidRPr="00D84719">
        <w:rPr>
          <w:rFonts w:ascii="Times New Roman" w:eastAsia="Times New Roman" w:hAnsi="Times New Roman" w:cs="Times New Roman"/>
          <w:color w:val="000000"/>
          <w:sz w:val="24"/>
          <w:szCs w:val="24"/>
        </w:rPr>
        <w:t xml:space="preserve">fluorantena </w:t>
      </w:r>
      <w:r w:rsidR="00521A56">
        <w:rPr>
          <w:rFonts w:ascii="Times New Roman" w:eastAsia="Times New Roman" w:hAnsi="Times New Roman" w:cs="Times New Roman"/>
          <w:color w:val="000000"/>
          <w:sz w:val="24"/>
          <w:szCs w:val="24"/>
        </w:rPr>
        <w:t>od 0,96</w:t>
      </w:r>
      <w:r w:rsidR="00521A56" w:rsidRPr="00521A56">
        <w:rPr>
          <w:rFonts w:ascii="Times New Roman" w:eastAsia="Times New Roman" w:hAnsi="Times New Roman" w:cs="Times New Roman"/>
          <w:color w:val="000000"/>
          <w:sz w:val="24"/>
          <w:szCs w:val="24"/>
        </w:rPr>
        <w:t xml:space="preserve"> µg/kg</w:t>
      </w:r>
      <w:r w:rsidR="00521A56">
        <w:rPr>
          <w:rFonts w:ascii="Times New Roman" w:eastAsia="Times New Roman" w:hAnsi="Times New Roman" w:cs="Times New Roman"/>
          <w:color w:val="000000"/>
          <w:sz w:val="24"/>
          <w:szCs w:val="24"/>
        </w:rPr>
        <w:t xml:space="preserve"> izmjerena je </w:t>
      </w:r>
      <w:r w:rsidRPr="00D84719">
        <w:rPr>
          <w:rFonts w:ascii="Times New Roman" w:eastAsia="Times New Roman" w:hAnsi="Times New Roman" w:cs="Times New Roman"/>
          <w:color w:val="000000"/>
          <w:sz w:val="24"/>
          <w:szCs w:val="24"/>
        </w:rPr>
        <w:t>na postaji Matica Rastok-izvor Banja.</w:t>
      </w:r>
    </w:p>
    <w:p w14:paraId="10C477B1"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p>
    <w:p w14:paraId="5C307C6B" w14:textId="3240DA7E" w:rsidR="00D84719" w:rsidRPr="00D84719" w:rsidRDefault="00D84719" w:rsidP="00DF02E3">
      <w:pPr>
        <w:pStyle w:val="Naslov4"/>
      </w:pPr>
      <w:bookmarkStart w:id="134" w:name="_Toc64460726"/>
      <w:r w:rsidRPr="00D84719">
        <w:t>Kemijsko stanje podzemnih voda u Republici Hrvatskoj od 2015. do 2018</w:t>
      </w:r>
      <w:r w:rsidR="005C26BD">
        <w:t>.</w:t>
      </w:r>
      <w:bookmarkEnd w:id="134"/>
    </w:p>
    <w:p w14:paraId="4B21FAC6"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 xml:space="preserve">Za ocjenu kemijskog stanja tijela podzemne vode koriste se pokazatelji iz Priloga 6. Uredbe o standardu kakvoće voda koji se prate u okviru nadzornog monitoringa i to: nitrati i aktivne tvari u pesticidima, pojedinačne i ukupne te specifične onečišćujuće tvari. Kemijsko stanje tijela podzemnih voda svrstava se u dvije kategorije: dobro i loše. Program praćenja i ocjene stanja podzemnih voda obavlja se radi jasnog i cjelovitog pregleda i ocjene stanja, uključujući i praćenje količinskog i kemijskog stanja podzemnih voda. Monitoring kemijskog stanja podzemnih voda osigurava cjeloviti pregled kemijskog stanja podzemnih voda u vodnom području i omogućava utvrđivanje prisutnosti znatno i trajno rastućeg trenda onečišćenja. </w:t>
      </w:r>
    </w:p>
    <w:p w14:paraId="719E58F7"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U Hrvatskim vodama je izrađen Plan praćenja stanja voda u Republici Hrvatskoj u 2015., kojim je bilo predviđeno ispitivanje kakvoće voda u kaptiranim izvorima, piezometrima i zdencima priljevnih područja vodocrpilišta vodnog područja rijeke Dunav u ukupno 18 grupiranih tijela podzemne vode (GTPV) – 13 u podslivu Save i 5 u podslivu Drave i Dunava te kaptiranih izvora i zdenaca u Jadranskom vodnom području u 10 GTPV. Monitoring nije proveden u po dva vodna tijela podzemne vode u Dunavskom i Jadranskom vodnom području.</w:t>
      </w:r>
    </w:p>
    <w:p w14:paraId="62C7F02B"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Za ocjenu kemijskog stanja grupiranog tijela podzemne vode prate se pokazatelji u okviru nadzornog i operativnog monitoringa, a koristi se i prosječna godišnja koncentracija nitrata i aktivnih tvari pesticida (pojedinačnih i ukupno ispitanih) na svim monitoring postajama unutar grupiranog tijela podzemne vode i uspoređuje sa standardom kakvoće podzemnih voda propisanih Uredbom o standardu kakvoće voda, Prilog 6. Uz standarde kakvoće podzemnih voda, za ocjenu kemijskog stanja uzima se prosječna godišnja koncentracija specifičnih onečišćujućih tvari i to: arsena, kadmija, olova, žive, amonija, klorida, sulfata, ortofosfata, nitrita, ukupnog fosfora, sume trikloroetilena i tetrakloroetilena te električne vodljivosti na svim monitoring postajama unutar grupiranog tijela podzemne vode i uspoređuje se s graničnim vrijednostima.</w:t>
      </w:r>
    </w:p>
    <w:p w14:paraId="2B5585F4"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Nadzorni monitoring provodi se radi ocjene stanja na podzemnim vodnim tijelima,</w:t>
      </w:r>
      <w:r w:rsidR="00612979">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xml:space="preserve">vrednovanja i dopunjavanja postupka ocjenjivanja utjecaja onečišćenja te pribavljanja informacija za ocjenu znatno i trajno rastućih trendova koji su rezultat promjena prirodnih uvjeta i utjecaja ljudske djelatnosti. </w:t>
      </w:r>
    </w:p>
    <w:p w14:paraId="0B009D70"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Nacionalni monitoring kemijskog stanja podzemnih voda na monitoring postajama u Republici Hrvatskoj obuhvaća nadzorni i operativni monitoring.</w:t>
      </w:r>
    </w:p>
    <w:p w14:paraId="31A48337" w14:textId="38510F8B"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U 2015</w:t>
      </w:r>
      <w:r w:rsidR="004C449C">
        <w:rPr>
          <w:rFonts w:ascii="Times New Roman" w:eastAsia="Times New Roman" w:hAnsi="Times New Roman" w:cs="Times New Roman"/>
          <w:color w:val="000000"/>
          <w:sz w:val="24"/>
          <w:szCs w:val="24"/>
        </w:rPr>
        <w:t>.</w:t>
      </w:r>
      <w:r w:rsidR="00A076DD">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utvrđeno je dobro kemijsko stanje s obzirom na aktivne tvari u pesticidima na svim mjernim postajama GTPV Jadranskog i Dunavskog vodnog područja, osim na području podsliva rijeke Save, GTPV Zagreb, gdje je na mjernoj postaji vodocrpilišta Mala Mlaka (Mm</w:t>
      </w:r>
      <w:r w:rsidR="00DC226E">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 xml:space="preserve"> 320) utvrđeno loše stanje s obzirom na atrazin.</w:t>
      </w:r>
    </w:p>
    <w:p w14:paraId="0F4AB14C"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lastRenderedPageBreak/>
        <w:t xml:space="preserve">U području podsliva rijeke Save u 2015. na tri mjerne postaje GTPV Zagreb, u priljevnom području vodocrpilišta </w:t>
      </w:r>
      <w:proofErr w:type="spellStart"/>
      <w:r w:rsidRPr="00D84719">
        <w:rPr>
          <w:rFonts w:ascii="Times New Roman" w:eastAsia="Times New Roman" w:hAnsi="Times New Roman" w:cs="Times New Roman"/>
          <w:color w:val="000000"/>
          <w:sz w:val="24"/>
          <w:szCs w:val="24"/>
        </w:rPr>
        <w:t>Sašnjak</w:t>
      </w:r>
      <w:proofErr w:type="spellEnd"/>
      <w:r w:rsidR="0092413D">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Žitnjak utvrđeno je loše stanje s obzirom na sumu trikloroetena i tetrakloroetena; na mjernoj postaji V</w:t>
      </w:r>
      <w:r w:rsidR="00D17C76">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25/2 zabilježena je srednja godišnja koncentracija od 50</w:t>
      </w:r>
      <w:r w:rsidR="00CB22FF">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54 μg/l, a na postaji Ž</w:t>
      </w:r>
      <w:r w:rsidR="00D17C76">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8 od 10</w:t>
      </w:r>
      <w:r w:rsidR="00CB22FF">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 xml:space="preserve">36 μg/l te na mjernoj postaji </w:t>
      </w:r>
      <w:proofErr w:type="spellStart"/>
      <w:r w:rsidRPr="00D84719">
        <w:rPr>
          <w:rFonts w:ascii="Times New Roman" w:eastAsia="Times New Roman" w:hAnsi="Times New Roman" w:cs="Times New Roman"/>
          <w:color w:val="000000"/>
          <w:sz w:val="24"/>
          <w:szCs w:val="24"/>
        </w:rPr>
        <w:t>Črnkovec</w:t>
      </w:r>
      <w:proofErr w:type="spellEnd"/>
      <w:r w:rsidRPr="00D84719">
        <w:rPr>
          <w:rFonts w:ascii="Times New Roman" w:eastAsia="Times New Roman" w:hAnsi="Times New Roman" w:cs="Times New Roman"/>
          <w:color w:val="000000"/>
          <w:sz w:val="24"/>
          <w:szCs w:val="24"/>
        </w:rPr>
        <w:t xml:space="preserve"> D</w:t>
      </w:r>
      <w:r w:rsidR="00D17C76">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1 21</w:t>
      </w:r>
      <w:r w:rsidR="00CB22FF">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04 μg/l. Na svim ostalim mjernim postajama područja podsliva rijeke Save te svim mjernim postajama područja podsliva rijeka Drave i Dunava i Jadranskog vodnog područja za sumu trikloroetena i tetrakloroetena standard kakvoće je zadovoljen te je utvrđeno dobro kemijsko stanje.</w:t>
      </w:r>
    </w:p>
    <w:p w14:paraId="3F805BB2" w14:textId="3D570F8D"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U području podsliva rijeke Save, u GTPV Zagreb na vodocrpilištu Mala Mlaka i Velika Gorica, na mjernoj postaji P</w:t>
      </w:r>
      <w:r w:rsidR="00D17C76">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7 je utvrđen linearni trend snižavanja srednjih godišnjih koncentracija herbicida atrazina, a najizraženiji je bio na području Male Mlake. Također prisutan je trend sniženja i na vodocrpilištu Velika Gorica. Iako je zabrana prodaje atrazina na snazi od 30.06.2009</w:t>
      </w:r>
      <w:r w:rsidR="005C26BD">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 u podzemnoj vodi vodocrpilišta Velika Gorica na mjernoj postaji Čp</w:t>
      </w:r>
      <w:r w:rsidR="00D17C76">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23 pojavio se trend porasta srednje godišnje koncentracije atrazina.</w:t>
      </w:r>
    </w:p>
    <w:p w14:paraId="3A4A8026" w14:textId="1CCC81F0"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 xml:space="preserve">U GTPV Zagreb u razdoblju od 2007. do 2015. utvrđen je trend porasta koncentracije halogeniranih ugljikovodika trikloroetena i tetrakloroetena na mjernoj postaji vodocrpilišta </w:t>
      </w:r>
      <w:proofErr w:type="spellStart"/>
      <w:r w:rsidRPr="00D84719">
        <w:rPr>
          <w:rFonts w:ascii="Times New Roman" w:eastAsia="Times New Roman" w:hAnsi="Times New Roman" w:cs="Times New Roman"/>
          <w:color w:val="000000"/>
          <w:sz w:val="24"/>
          <w:szCs w:val="24"/>
        </w:rPr>
        <w:t>Sašnjak</w:t>
      </w:r>
      <w:proofErr w:type="spellEnd"/>
      <w:r w:rsidR="0092413D">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Žitnjak Ž</w:t>
      </w:r>
      <w:r w:rsidR="00D17C76">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 xml:space="preserve">8. Trend pada koncentracije halogeniranih ugljikovodika trikloroetena i tetrakloroetena na mjernoj postaji vodocrpilišta </w:t>
      </w:r>
      <w:proofErr w:type="spellStart"/>
      <w:r w:rsidR="0092413D" w:rsidRPr="00D84719">
        <w:rPr>
          <w:rFonts w:ascii="Times New Roman" w:eastAsia="Times New Roman" w:hAnsi="Times New Roman" w:cs="Times New Roman"/>
          <w:color w:val="000000"/>
          <w:sz w:val="24"/>
          <w:szCs w:val="24"/>
        </w:rPr>
        <w:t>Sašnjak</w:t>
      </w:r>
      <w:proofErr w:type="spellEnd"/>
      <w:r w:rsidR="0092413D">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Žitnjak SK</w:t>
      </w:r>
      <w:r w:rsidR="0092413D">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16/2 i nešto blaži na SK</w:t>
      </w:r>
      <w:r w:rsidR="0063257C">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 xml:space="preserve"> 15 te na postajama Z</w:t>
      </w:r>
      <w:r w:rsidR="0063257C">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4 i Z</w:t>
      </w:r>
      <w:r w:rsidR="0063257C">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 xml:space="preserve">2. U podzemnoj vodi priljevnog područja vodocrpilišta Stara Loza tijekom godina nisu se javljale povišene </w:t>
      </w:r>
      <w:r w:rsidR="008746B1" w:rsidRPr="00D84719">
        <w:rPr>
          <w:rFonts w:ascii="Times New Roman" w:eastAsia="Times New Roman" w:hAnsi="Times New Roman" w:cs="Times New Roman"/>
          <w:color w:val="000000"/>
          <w:sz w:val="24"/>
          <w:szCs w:val="24"/>
        </w:rPr>
        <w:t>koncentracije</w:t>
      </w:r>
      <w:r w:rsidRPr="00D84719">
        <w:rPr>
          <w:rFonts w:ascii="Times New Roman" w:eastAsia="Times New Roman" w:hAnsi="Times New Roman" w:cs="Times New Roman"/>
          <w:color w:val="000000"/>
          <w:sz w:val="24"/>
          <w:szCs w:val="24"/>
        </w:rPr>
        <w:t xml:space="preserve"> trikloroetena i tetrakloroetena, dok je u 2013. i 2015</w:t>
      </w:r>
      <w:r w:rsidR="004C449C">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 xml:space="preserve"> na postaji Pr‐7/2 zabilježena koncentracija prelazila 75</w:t>
      </w:r>
      <w:r w:rsidR="00D4589D">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xml:space="preserve"> standarda kakvoće podzemnih voda te je zabilježen rastući trend. U Jadranskom vodnom području na mjernoj postaji </w:t>
      </w:r>
      <w:proofErr w:type="spellStart"/>
      <w:r w:rsidRPr="00D84719">
        <w:rPr>
          <w:rFonts w:ascii="Times New Roman" w:eastAsia="Times New Roman" w:hAnsi="Times New Roman" w:cs="Times New Roman"/>
          <w:color w:val="000000"/>
          <w:sz w:val="24"/>
          <w:szCs w:val="24"/>
        </w:rPr>
        <w:t>Tivoli</w:t>
      </w:r>
      <w:proofErr w:type="spellEnd"/>
      <w:r w:rsidRPr="00D84719">
        <w:rPr>
          <w:rFonts w:ascii="Times New Roman" w:eastAsia="Times New Roman" w:hAnsi="Times New Roman" w:cs="Times New Roman"/>
          <w:color w:val="000000"/>
          <w:sz w:val="24"/>
          <w:szCs w:val="24"/>
        </w:rPr>
        <w:t xml:space="preserve"> GTPV Južna Istra, suma trikloroetena i tetrakloroetena u 2015. nije prelazila 75</w:t>
      </w:r>
      <w:r w:rsidR="00D4589D">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xml:space="preserve"> standarda kakvoće podzemnih voda, a uočava se da je trend u blagom padu.</w:t>
      </w:r>
    </w:p>
    <w:p w14:paraId="57230C64"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U 2016. operativni monitoring se provodio na 86 monitoring postaja. U svrhu operativnog monitoringa uspostavljen je i monitoring zaslanjenja voda i poljoprivrednih tala na području doline rijeke Neretve. Prema Planu monitoringa stanja voda u Republici Hrvatskoj u 2016. predviđeno je provođenje monitoringa na 385 postaja u okviru nadzornog monitoringa i stotinjak postaja u okviru operativnog monitoringa. Odstupanje od Plana monitoringa je za jednu postaju nadzornog monitoringa, dok se operativni monitoring u 2016. provodio na 86 monitoring postaja. U 2016. zabilježene su promjene na sljedećim grupiranim tijelima podzemne vode:</w:t>
      </w:r>
      <w:r w:rsidR="00612979">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GTPV Varaždinsko područje: na dvije monitoring postaje prekoračena je vrijednost standarda kakvoće za parametar nitrati, a na tri postaje za parametar atrazin;</w:t>
      </w:r>
      <w:r w:rsidR="00612979">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xml:space="preserve">GTPV </w:t>
      </w:r>
      <w:proofErr w:type="spellStart"/>
      <w:r w:rsidRPr="00D84719">
        <w:rPr>
          <w:rFonts w:ascii="Times New Roman" w:eastAsia="Times New Roman" w:hAnsi="Times New Roman" w:cs="Times New Roman"/>
          <w:color w:val="000000"/>
          <w:sz w:val="24"/>
          <w:szCs w:val="24"/>
        </w:rPr>
        <w:t>Legrad</w:t>
      </w:r>
      <w:proofErr w:type="spellEnd"/>
      <w:r w:rsidRPr="00D84719">
        <w:rPr>
          <w:rFonts w:ascii="Times New Roman" w:eastAsia="Times New Roman" w:hAnsi="Times New Roman" w:cs="Times New Roman"/>
          <w:color w:val="000000"/>
          <w:sz w:val="24"/>
          <w:szCs w:val="24"/>
        </w:rPr>
        <w:t xml:space="preserve"> - Slatina jedna monitoring postaja ukazuje na loše stanje za </w:t>
      </w:r>
      <w:r w:rsidR="009F3452" w:rsidRPr="00D84719">
        <w:rPr>
          <w:rFonts w:ascii="Times New Roman" w:eastAsia="Times New Roman" w:hAnsi="Times New Roman" w:cs="Times New Roman"/>
          <w:color w:val="000000"/>
          <w:sz w:val="24"/>
          <w:szCs w:val="24"/>
        </w:rPr>
        <w:t>parametar</w:t>
      </w:r>
      <w:r w:rsidRPr="00D84719">
        <w:rPr>
          <w:rFonts w:ascii="Times New Roman" w:eastAsia="Times New Roman" w:hAnsi="Times New Roman" w:cs="Times New Roman"/>
          <w:color w:val="000000"/>
          <w:sz w:val="24"/>
          <w:szCs w:val="24"/>
        </w:rPr>
        <w:t xml:space="preserve"> nitrati, dok je na dvije monitoring postaje zabilježeno loše stanje za parametar </w:t>
      </w:r>
      <w:proofErr w:type="spellStart"/>
      <w:r w:rsidRPr="00CC4CB2">
        <w:rPr>
          <w:rFonts w:ascii="Times New Roman" w:eastAsia="Times New Roman" w:hAnsi="Times New Roman" w:cs="Times New Roman"/>
          <w:color w:val="000000"/>
          <w:sz w:val="24"/>
          <w:szCs w:val="24"/>
        </w:rPr>
        <w:t>amonij</w:t>
      </w:r>
      <w:proofErr w:type="spellEnd"/>
      <w:r w:rsidRPr="00CC4CB2">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 xml:space="preserve"> GTPV Istočna Slavonija - sliv Drave i Dunava prekoračen je standard kakvoće parametra ortofosfati na četiri monitoring postaje, parametra ukupni fosfor na osam monitoring postaja te parametra nitrati na jednoj monitoring postaji; GTPV Sliv Sutle i Krapine jedna monitoring postaja prelazi standard kakvoće za parametar arsen, a druga za parametar ortofosfati; GTPV Sliv Lonja - Ilova – </w:t>
      </w:r>
      <w:proofErr w:type="spellStart"/>
      <w:r w:rsidRPr="00D84719">
        <w:rPr>
          <w:rFonts w:ascii="Times New Roman" w:eastAsia="Times New Roman" w:hAnsi="Times New Roman" w:cs="Times New Roman"/>
          <w:color w:val="000000"/>
          <w:sz w:val="24"/>
          <w:szCs w:val="24"/>
        </w:rPr>
        <w:t>Pakra</w:t>
      </w:r>
      <w:proofErr w:type="spellEnd"/>
      <w:r w:rsidRPr="00D84719">
        <w:rPr>
          <w:rFonts w:ascii="Times New Roman" w:eastAsia="Times New Roman" w:hAnsi="Times New Roman" w:cs="Times New Roman"/>
          <w:color w:val="000000"/>
          <w:sz w:val="24"/>
          <w:szCs w:val="24"/>
        </w:rPr>
        <w:t xml:space="preserve"> zabilježeno je prekoračenje standarda kakvoće za parametar arsen na dvije monitoring postaje; GTPV Zagreb izmjerene prosječne godišnje koncentracije na monitoring postajama pokazuju loše stanje za sljedeće parametre: </w:t>
      </w:r>
      <w:proofErr w:type="spellStart"/>
      <w:r w:rsidRPr="00D84719">
        <w:rPr>
          <w:rFonts w:ascii="Times New Roman" w:eastAsia="Times New Roman" w:hAnsi="Times New Roman" w:cs="Times New Roman"/>
          <w:color w:val="000000"/>
          <w:sz w:val="24"/>
          <w:szCs w:val="24"/>
        </w:rPr>
        <w:t>amonij</w:t>
      </w:r>
      <w:proofErr w:type="spellEnd"/>
      <w:r w:rsidRPr="00D84719">
        <w:rPr>
          <w:rFonts w:ascii="Times New Roman" w:eastAsia="Times New Roman" w:hAnsi="Times New Roman" w:cs="Times New Roman"/>
          <w:color w:val="000000"/>
          <w:sz w:val="24"/>
          <w:szCs w:val="24"/>
        </w:rPr>
        <w:t xml:space="preserve"> na sedam monitoring postaja, ortofosfati na četiri monitoring postaje, ukupni fosfor na dvije monitoring postaje, atrazin na jednoj monitoring </w:t>
      </w:r>
      <w:r w:rsidRPr="00D84719">
        <w:rPr>
          <w:rFonts w:ascii="Times New Roman" w:eastAsia="Times New Roman" w:hAnsi="Times New Roman" w:cs="Times New Roman"/>
          <w:color w:val="000000"/>
          <w:sz w:val="24"/>
          <w:szCs w:val="24"/>
        </w:rPr>
        <w:lastRenderedPageBreak/>
        <w:t xml:space="preserve">postaji, suma trikloretilena i tetrakloretilena na osam monitoring postaja te olovo na jednoj monitoring postaji; GTPV Istočna Slavonija - sliv Save na tri monitoring postaje premašen je standard kakvoće za ortofosfate, dok je na jednoj monitoring </w:t>
      </w:r>
      <w:r w:rsidR="003F6B1F" w:rsidRPr="00D84719">
        <w:rPr>
          <w:rFonts w:ascii="Times New Roman" w:eastAsia="Times New Roman" w:hAnsi="Times New Roman" w:cs="Times New Roman"/>
          <w:color w:val="000000"/>
          <w:sz w:val="24"/>
          <w:szCs w:val="24"/>
        </w:rPr>
        <w:t>postaj</w:t>
      </w:r>
      <w:r w:rsidR="003F6B1F">
        <w:rPr>
          <w:rFonts w:ascii="Times New Roman" w:eastAsia="Times New Roman" w:hAnsi="Times New Roman" w:cs="Times New Roman"/>
          <w:color w:val="000000"/>
          <w:sz w:val="24"/>
          <w:szCs w:val="24"/>
        </w:rPr>
        <w:t>i</w:t>
      </w:r>
      <w:r w:rsidR="003F6B1F" w:rsidRPr="00D84719">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standard kakvoće premašen za ukupni fosfor.</w:t>
      </w:r>
    </w:p>
    <w:p w14:paraId="769F4951" w14:textId="4D77D1FA"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Jadransko slivno područje u 2016. obuhvaća 13 grupiranih tijela podzemne vode od čega na njih 10 u 2016</w:t>
      </w:r>
      <w:r w:rsidR="004C449C">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 xml:space="preserve"> nije zabilježeno niti jedno prekoračenje graničnih vrijednosti praćenih parametara. Promjene u ocjeni stanja podzemnih voda na jadranskom slivnom području zabilježene su na: GTPV </w:t>
      </w:r>
      <w:proofErr w:type="spellStart"/>
      <w:r w:rsidRPr="00D84719">
        <w:rPr>
          <w:rFonts w:ascii="Times New Roman" w:eastAsia="Times New Roman" w:hAnsi="Times New Roman" w:cs="Times New Roman"/>
          <w:color w:val="000000"/>
          <w:sz w:val="24"/>
          <w:szCs w:val="24"/>
        </w:rPr>
        <w:t>Bokanjac</w:t>
      </w:r>
      <w:proofErr w:type="spellEnd"/>
      <w:r w:rsidRPr="00D84719">
        <w:rPr>
          <w:rFonts w:ascii="Times New Roman" w:eastAsia="Times New Roman" w:hAnsi="Times New Roman" w:cs="Times New Roman"/>
          <w:color w:val="000000"/>
          <w:sz w:val="24"/>
          <w:szCs w:val="24"/>
        </w:rPr>
        <w:t xml:space="preserve"> - </w:t>
      </w:r>
      <w:proofErr w:type="spellStart"/>
      <w:r w:rsidRPr="00D84719">
        <w:rPr>
          <w:rFonts w:ascii="Times New Roman" w:eastAsia="Times New Roman" w:hAnsi="Times New Roman" w:cs="Times New Roman"/>
          <w:color w:val="000000"/>
          <w:sz w:val="24"/>
          <w:szCs w:val="24"/>
        </w:rPr>
        <w:t>Poličnik</w:t>
      </w:r>
      <w:proofErr w:type="spellEnd"/>
      <w:r w:rsidRPr="00D84719">
        <w:rPr>
          <w:rFonts w:ascii="Times New Roman" w:eastAsia="Times New Roman" w:hAnsi="Times New Roman" w:cs="Times New Roman"/>
          <w:color w:val="000000"/>
          <w:sz w:val="24"/>
          <w:szCs w:val="24"/>
        </w:rPr>
        <w:t>: jedna monitoring postaja ukazuje na podzemnu vodu u lošem kemijskom stanju zbog prekoračenja graničnih vrijednosti za parametre kloridi i nitriti; GTPV Neretva: na jednoj monitoring postaji zabilježeno je loše stanje zbog povišene koncentracije klorida; GTPV Jadranski otoci obuhvaća razmjerno veliko područje najvećih otoka. Budući je riječ o specifičnim uvjetima, u kojima je ograničeni vodonosnik pod utjecajem mora, odnosno u kontaktu s morskom vodom, zaslanjenje je prirodnog karaktera. Stoga je čak 13 puta zabilježeno prekoračenje parametra kloridi, jednom električna vodljivost i jednom sulfati. Međutim, kako se radi o prirodno povišenim koncentracijama parametara kloridi i sulfati, a posredno i o povišenju vrijednosti električne vodljivosti, ove vrijednosti ne uzrokuju loše stanje podzemnih voda na monitoring postajama. Stoga je zabilježeno loše stanje na jednoj monitoring postaji za parametar nitriti.</w:t>
      </w:r>
    </w:p>
    <w:p w14:paraId="57CCA555" w14:textId="543C9FA1"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U 2017. nadzorni monitoring se provodio na 381 monitoring postaji, a operativni monitoring na 99 monitoring postaja. Na vodnom području rijeke Dunav u 2017. rezultati monitoringa provedenog u okviru Nacionalnog programa na grupiranim tijelima podzemne vode ukazuju na to da su podzemne vode u dobrom kemijskom stanju. Promjene u ocjeni stanja podzemnih voda u 2017</w:t>
      </w:r>
      <w:r w:rsidR="004C449C">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 xml:space="preserve"> bilježe se na: GTPV Varaždinsko područje na dvije monitoring postaje prekoračena je vrijednost standarda kakvoće za nitrate; GTPV </w:t>
      </w:r>
      <w:proofErr w:type="spellStart"/>
      <w:r w:rsidRPr="00D84719">
        <w:rPr>
          <w:rFonts w:ascii="Times New Roman" w:eastAsia="Times New Roman" w:hAnsi="Times New Roman" w:cs="Times New Roman"/>
          <w:color w:val="000000"/>
          <w:sz w:val="24"/>
          <w:szCs w:val="24"/>
        </w:rPr>
        <w:t>Legrad</w:t>
      </w:r>
      <w:proofErr w:type="spellEnd"/>
      <w:r w:rsidRPr="00D84719">
        <w:rPr>
          <w:rFonts w:ascii="Times New Roman" w:eastAsia="Times New Roman" w:hAnsi="Times New Roman" w:cs="Times New Roman"/>
          <w:color w:val="000000"/>
          <w:sz w:val="24"/>
          <w:szCs w:val="24"/>
        </w:rPr>
        <w:t xml:space="preserve"> – Slatina jedna monitoring postaja ukazuje na loše stanje za parametar nitrati te dvije za parametar </w:t>
      </w:r>
      <w:proofErr w:type="spellStart"/>
      <w:r w:rsidRPr="00D84719">
        <w:rPr>
          <w:rFonts w:ascii="Times New Roman" w:eastAsia="Times New Roman" w:hAnsi="Times New Roman" w:cs="Times New Roman"/>
          <w:color w:val="000000"/>
          <w:sz w:val="24"/>
          <w:szCs w:val="24"/>
        </w:rPr>
        <w:t>amonij</w:t>
      </w:r>
      <w:proofErr w:type="spellEnd"/>
      <w:r w:rsidRPr="00D84719">
        <w:rPr>
          <w:rFonts w:ascii="Times New Roman" w:eastAsia="Times New Roman" w:hAnsi="Times New Roman" w:cs="Times New Roman"/>
          <w:color w:val="000000"/>
          <w:sz w:val="24"/>
          <w:szCs w:val="24"/>
        </w:rPr>
        <w:t>; GTPV Istočna Slavonija - sliv Drave i Dunava: standard kakvoće parametra ortofosfati prekoračen je na 5 monitoring postaja, parametra ukupni fosfor na 8 monitoring postaja te parametra nitrati na jednoj monitoring postaji</w:t>
      </w:r>
      <w:r w:rsidR="003F6B1F">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 xml:space="preserve"> GTPV Sliv Sutle i Krapine: jedna monitoring postaja pokazuje loše stanje s obzirom na arsen; GTPV Sliv Lonja - Ilova - </w:t>
      </w:r>
      <w:proofErr w:type="spellStart"/>
      <w:r w:rsidRPr="00D84719">
        <w:rPr>
          <w:rFonts w:ascii="Times New Roman" w:eastAsia="Times New Roman" w:hAnsi="Times New Roman" w:cs="Times New Roman"/>
          <w:color w:val="000000"/>
          <w:sz w:val="24"/>
          <w:szCs w:val="24"/>
        </w:rPr>
        <w:t>Pakra</w:t>
      </w:r>
      <w:proofErr w:type="spellEnd"/>
      <w:r w:rsidRPr="00D84719">
        <w:rPr>
          <w:rFonts w:ascii="Times New Roman" w:eastAsia="Times New Roman" w:hAnsi="Times New Roman" w:cs="Times New Roman"/>
          <w:color w:val="000000"/>
          <w:sz w:val="24"/>
          <w:szCs w:val="24"/>
        </w:rPr>
        <w:t xml:space="preserve">: na dvije monitoring postaje zabilježeno je prekoračenje parametra arsen; GTPV Zagreb rezultati ispitivanja na jednoj monitoring postaji pokazuju loše stanje zbog atrazina, jedna monitoring postaja pokazuje loše stanje zbog nitrita, dvije monitoring postaje zbog amonija, tri monitoring postaje pokazuju loše stanje zbog ortofosfata, pet monitoring postaja pokazuje loše stanje u odnosu na živu, a najvjerojatnije se glede parametra živa radi o iznenadnom onečišćenju; GTPV Lekenik – </w:t>
      </w:r>
      <w:proofErr w:type="spellStart"/>
      <w:r w:rsidRPr="00D84719">
        <w:rPr>
          <w:rFonts w:ascii="Times New Roman" w:eastAsia="Times New Roman" w:hAnsi="Times New Roman" w:cs="Times New Roman"/>
          <w:color w:val="000000"/>
          <w:sz w:val="24"/>
          <w:szCs w:val="24"/>
        </w:rPr>
        <w:t>Lužani</w:t>
      </w:r>
      <w:proofErr w:type="spellEnd"/>
      <w:r w:rsidRPr="00D84719">
        <w:rPr>
          <w:rFonts w:ascii="Times New Roman" w:eastAsia="Times New Roman" w:hAnsi="Times New Roman" w:cs="Times New Roman"/>
          <w:color w:val="000000"/>
          <w:sz w:val="24"/>
          <w:szCs w:val="24"/>
        </w:rPr>
        <w:t xml:space="preserve"> jedna monitoring postaja pokazuje prekoračenje za parametar ukupni fosfor</w:t>
      </w:r>
      <w:r w:rsidR="003F6B1F">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 xml:space="preserve"> GTPV Istočna Slavonija - sliv Save: na dvije monitoring postaje premašen je standard kakvoće za ortofosfate, a na tri monitoring postaje standard premašen za ukupni fosfor.</w:t>
      </w:r>
      <w:r w:rsidR="00612979">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Jadransko vodno područje obuhvaća 13 grupiranih tijela podzemne vode, od čega na njih devet u 2017</w:t>
      </w:r>
      <w:r w:rsidR="004C449C">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 xml:space="preserve"> nije zabilježeno niti jedno prekoračenje graničnih vrijednosti praćenih parametara. Promjene u ocjeni stanja podzemnih voda zabilježene su na:</w:t>
      </w:r>
      <w:r w:rsidR="00612979">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xml:space="preserve">GTPV Središnja Istra standard kakvoće je prekoračen na dvije postaje, jednom za ortofosfate i jednom za kloride; GTPV </w:t>
      </w:r>
      <w:proofErr w:type="spellStart"/>
      <w:r w:rsidRPr="00D84719">
        <w:rPr>
          <w:rFonts w:ascii="Times New Roman" w:eastAsia="Times New Roman" w:hAnsi="Times New Roman" w:cs="Times New Roman"/>
          <w:color w:val="000000"/>
          <w:sz w:val="24"/>
          <w:szCs w:val="24"/>
        </w:rPr>
        <w:t>Bokanjac</w:t>
      </w:r>
      <w:proofErr w:type="spellEnd"/>
      <w:r w:rsidRPr="00D84719">
        <w:rPr>
          <w:rFonts w:ascii="Times New Roman" w:eastAsia="Times New Roman" w:hAnsi="Times New Roman" w:cs="Times New Roman"/>
          <w:color w:val="000000"/>
          <w:sz w:val="24"/>
          <w:szCs w:val="24"/>
        </w:rPr>
        <w:t xml:space="preserve"> – </w:t>
      </w:r>
      <w:proofErr w:type="spellStart"/>
      <w:r w:rsidRPr="00D84719">
        <w:rPr>
          <w:rFonts w:ascii="Times New Roman" w:eastAsia="Times New Roman" w:hAnsi="Times New Roman" w:cs="Times New Roman"/>
          <w:color w:val="000000"/>
          <w:sz w:val="24"/>
          <w:szCs w:val="24"/>
        </w:rPr>
        <w:t>Poličnik</w:t>
      </w:r>
      <w:proofErr w:type="spellEnd"/>
      <w:r w:rsidRPr="00D84719">
        <w:rPr>
          <w:rFonts w:ascii="Times New Roman" w:eastAsia="Times New Roman" w:hAnsi="Times New Roman" w:cs="Times New Roman"/>
          <w:color w:val="000000"/>
          <w:sz w:val="24"/>
          <w:szCs w:val="24"/>
        </w:rPr>
        <w:t xml:space="preserve"> jedna monitoring postaja ukazuje na podzemnu vodu u lošem kemijskom stanju zbog prekoračenja parametra za kloride</w:t>
      </w:r>
      <w:r w:rsidR="003F6B1F">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 xml:space="preserve"> GTPV Neretva</w:t>
      </w:r>
      <w:r w:rsidR="00612979">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xml:space="preserve">na jednoj monitoring postaji zabilježeno je loše stanje </w:t>
      </w:r>
      <w:r w:rsidRPr="00D84719">
        <w:rPr>
          <w:rFonts w:ascii="Times New Roman" w:eastAsia="Times New Roman" w:hAnsi="Times New Roman" w:cs="Times New Roman"/>
          <w:color w:val="000000"/>
          <w:sz w:val="24"/>
          <w:szCs w:val="24"/>
        </w:rPr>
        <w:lastRenderedPageBreak/>
        <w:t xml:space="preserve">zbog povišene koncentracije klorida; GTPV Jadranski otoci obuhvaća razmjerno veliko područje najvećih otoka. Budući da je riječ o specifičnim uvjetima, u kojima je ograničeni vodonosnik pod utjecajem mora, odnosno u kontaktu s morskom vodom, zaslanjenje je prirodnog karaktera. Stoga je na četiri monitoring postaje zabilježeno prekoračenje parametra kloridi, pri čemu je na jednoj dodatno zabilježeno i prekoračenje parametra </w:t>
      </w:r>
      <w:proofErr w:type="spellStart"/>
      <w:r w:rsidRPr="00D84719">
        <w:rPr>
          <w:rFonts w:ascii="Times New Roman" w:eastAsia="Times New Roman" w:hAnsi="Times New Roman" w:cs="Times New Roman"/>
          <w:color w:val="000000"/>
          <w:sz w:val="24"/>
          <w:szCs w:val="24"/>
        </w:rPr>
        <w:t>amonij</w:t>
      </w:r>
      <w:proofErr w:type="spellEnd"/>
      <w:r w:rsidRPr="00D84719">
        <w:rPr>
          <w:rFonts w:ascii="Times New Roman" w:eastAsia="Times New Roman" w:hAnsi="Times New Roman" w:cs="Times New Roman"/>
          <w:color w:val="000000"/>
          <w:sz w:val="24"/>
          <w:szCs w:val="24"/>
        </w:rPr>
        <w:t>. Međutim, kako se radi o prirodno povišenim koncentracijama parametra kloridi, a posredno i o povišenju vrijednosti električne vodljivosti, ove vrijednosti ne uzrokuju loše stanje podzemnih voda na monitoring postajama.</w:t>
      </w:r>
    </w:p>
    <w:p w14:paraId="60EF7FEC" w14:textId="18977B50" w:rsidR="00D84719" w:rsidRPr="00D84719" w:rsidRDefault="00D84719" w:rsidP="00D84719">
      <w:pPr>
        <w:spacing w:before="80" w:line="276" w:lineRule="auto"/>
        <w:jc w:val="both"/>
        <w:rPr>
          <w:rFonts w:ascii="Times New Roman" w:eastAsia="Times New Roman" w:hAnsi="Times New Roman" w:cs="Times New Roman"/>
          <w:bCs/>
          <w:color w:val="000000"/>
          <w:sz w:val="24"/>
          <w:szCs w:val="24"/>
        </w:rPr>
      </w:pPr>
      <w:r w:rsidRPr="00D84719">
        <w:rPr>
          <w:rFonts w:ascii="Times New Roman" w:eastAsia="Times New Roman" w:hAnsi="Times New Roman" w:cs="Times New Roman"/>
          <w:color w:val="000000"/>
          <w:sz w:val="24"/>
          <w:szCs w:val="24"/>
        </w:rPr>
        <w:t>Ocjena stanja podzemnih voda u 2018. rađena je prema ranijoj Uredbi o standardu kakvoće voda koja je bila na snazi u izvještajnom razdoblju. U 2018. nadzorni monitoring je proveden na 379 monitoring postaja u Republici Hrvatskoj. Prema Planu monitoringa stanja voda u Republici Hrvatskoj u 2018. predviđeno je provođenje monitoringa na 383 postaje u okviru nadzornog monitoringa. Zbog nemogućnosti pristupa monitoring postajama postoji odstupanje za četiri postaje nadzornog monitoringa. Operativni monitoring provodi se u razdobljima programa nadzornog monitoringa radi</w:t>
      </w:r>
      <w:r w:rsidR="00612979">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utvrđivanja kemijskog stanja svih podzemnih voda, a u 2018. je u Republici Hrvatskoj operativni monitoring obuhvatio 99 monitoring postaja što je u skladu s Planom monitoringa za 2018.. U 2018. neodgovarajuće stanje je utvrđeno na vodnom području rijeke Dunav zbog prekoračenja propisanih vrijednosti parametara poput metala, hranjivih soli ili atrazina na 23 mjerne postaje. Na</w:t>
      </w:r>
      <w:r w:rsidR="00612979">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283 monitoring postaja podzemnih voda vodnog područja rijeke Dunav u 2018</w:t>
      </w:r>
      <w:r w:rsidR="004C449C">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 xml:space="preserve"> utvrđeno je zadovoljavajuće stanje. Na Jadranskom slivnom području od 13 grupiranih tijela podzemne vode na njih 12 nije zabilježeno niti jedno prekoračenje graničnih vrijednosti praćenih parametara. Promjene u ocjeni stanja podzemnih voda zabilježene su na grupiranom tijelu podzemne vode Neretva za parametar kloridi zbog kojeg je jedna monitoring postaja u lošem stanju.</w:t>
      </w:r>
    </w:p>
    <w:p w14:paraId="5F0B7CF7"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p>
    <w:p w14:paraId="56C5EFB6" w14:textId="49F619AC" w:rsidR="00D84719" w:rsidRPr="00D84719" w:rsidRDefault="00D84719" w:rsidP="00DF02E3">
      <w:pPr>
        <w:pStyle w:val="Naslov4"/>
      </w:pPr>
      <w:bookmarkStart w:id="135" w:name="_Toc64460727"/>
      <w:r w:rsidRPr="00D84719">
        <w:t>Stanje prijelaznih i priobalnih voda U Republici Hrvatskoj do 2015. do 2018</w:t>
      </w:r>
      <w:r w:rsidR="005C26BD">
        <w:t>.</w:t>
      </w:r>
      <w:bookmarkEnd w:id="135"/>
    </w:p>
    <w:p w14:paraId="028A0D1C"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 xml:space="preserve">Stanje u vodnim tijelima prijelaznih i priobalnih voda (ekološko i kemijsko) temeljeno je na rezultatima nadzornog i operativnog monitoringa bioloških elemenata kakvoće, uključujući klorofil a, </w:t>
      </w:r>
      <w:r w:rsidR="001F145E" w:rsidRPr="00D84719">
        <w:rPr>
          <w:rFonts w:ascii="Times New Roman" w:eastAsia="Times New Roman" w:hAnsi="Times New Roman" w:cs="Times New Roman"/>
          <w:color w:val="000000"/>
          <w:sz w:val="24"/>
          <w:szCs w:val="24"/>
        </w:rPr>
        <w:t>prateć</w:t>
      </w:r>
      <w:r w:rsidR="001F145E">
        <w:rPr>
          <w:rFonts w:ascii="Times New Roman" w:eastAsia="Times New Roman" w:hAnsi="Times New Roman" w:cs="Times New Roman"/>
          <w:color w:val="000000"/>
          <w:sz w:val="24"/>
          <w:szCs w:val="24"/>
        </w:rPr>
        <w:t>e</w:t>
      </w:r>
      <w:r w:rsidR="001F145E" w:rsidRPr="00D84719">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fizikalno-</w:t>
      </w:r>
      <w:r w:rsidR="001F145E" w:rsidRPr="00D84719">
        <w:rPr>
          <w:rFonts w:ascii="Times New Roman" w:eastAsia="Times New Roman" w:hAnsi="Times New Roman" w:cs="Times New Roman"/>
          <w:color w:val="000000"/>
          <w:sz w:val="24"/>
          <w:szCs w:val="24"/>
        </w:rPr>
        <w:t>kemijsk</w:t>
      </w:r>
      <w:r w:rsidR="001F145E">
        <w:rPr>
          <w:rFonts w:ascii="Times New Roman" w:eastAsia="Times New Roman" w:hAnsi="Times New Roman" w:cs="Times New Roman"/>
          <w:color w:val="000000"/>
          <w:sz w:val="24"/>
          <w:szCs w:val="24"/>
        </w:rPr>
        <w:t>e</w:t>
      </w:r>
      <w:r w:rsidR="001F145E" w:rsidRPr="00D84719">
        <w:rPr>
          <w:rFonts w:ascii="Times New Roman" w:eastAsia="Times New Roman" w:hAnsi="Times New Roman" w:cs="Times New Roman"/>
          <w:color w:val="000000"/>
          <w:sz w:val="24"/>
          <w:szCs w:val="24"/>
        </w:rPr>
        <w:t xml:space="preserve"> pokazatelj</w:t>
      </w:r>
      <w:r w:rsidR="001F145E">
        <w:rPr>
          <w:rFonts w:ascii="Times New Roman" w:eastAsia="Times New Roman" w:hAnsi="Times New Roman" w:cs="Times New Roman"/>
          <w:color w:val="000000"/>
          <w:sz w:val="24"/>
          <w:szCs w:val="24"/>
        </w:rPr>
        <w:t>e</w:t>
      </w:r>
      <w:r w:rsidRPr="00D84719">
        <w:rPr>
          <w:rFonts w:ascii="Times New Roman" w:eastAsia="Times New Roman" w:hAnsi="Times New Roman" w:cs="Times New Roman"/>
          <w:color w:val="000000"/>
          <w:sz w:val="24"/>
          <w:szCs w:val="24"/>
        </w:rPr>
        <w:t xml:space="preserve">, </w:t>
      </w:r>
      <w:r w:rsidR="001F145E" w:rsidRPr="00D84719">
        <w:rPr>
          <w:rFonts w:ascii="Times New Roman" w:eastAsia="Times New Roman" w:hAnsi="Times New Roman" w:cs="Times New Roman"/>
          <w:color w:val="000000"/>
          <w:sz w:val="24"/>
          <w:szCs w:val="24"/>
        </w:rPr>
        <w:t>specifičn</w:t>
      </w:r>
      <w:r w:rsidR="001F145E">
        <w:rPr>
          <w:rFonts w:ascii="Times New Roman" w:eastAsia="Times New Roman" w:hAnsi="Times New Roman" w:cs="Times New Roman"/>
          <w:color w:val="000000"/>
          <w:sz w:val="24"/>
          <w:szCs w:val="24"/>
        </w:rPr>
        <w:t>e</w:t>
      </w:r>
      <w:r w:rsidR="001F145E" w:rsidRPr="00D84719">
        <w:rPr>
          <w:rFonts w:ascii="Times New Roman" w:eastAsia="Times New Roman" w:hAnsi="Times New Roman" w:cs="Times New Roman"/>
          <w:color w:val="000000"/>
          <w:sz w:val="24"/>
          <w:szCs w:val="24"/>
        </w:rPr>
        <w:t xml:space="preserve"> onečišćujuć</w:t>
      </w:r>
      <w:r w:rsidR="001F145E">
        <w:rPr>
          <w:rFonts w:ascii="Times New Roman" w:eastAsia="Times New Roman" w:hAnsi="Times New Roman" w:cs="Times New Roman"/>
          <w:color w:val="000000"/>
          <w:sz w:val="24"/>
          <w:szCs w:val="24"/>
        </w:rPr>
        <w:t>e</w:t>
      </w:r>
      <w:r w:rsidR="001F145E" w:rsidRPr="00D84719">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xml:space="preserve">tvari te </w:t>
      </w:r>
      <w:r w:rsidR="001F145E" w:rsidRPr="00D84719">
        <w:rPr>
          <w:rFonts w:ascii="Times New Roman" w:eastAsia="Times New Roman" w:hAnsi="Times New Roman" w:cs="Times New Roman"/>
          <w:color w:val="000000"/>
          <w:sz w:val="24"/>
          <w:szCs w:val="24"/>
        </w:rPr>
        <w:t>hidromorfološk</w:t>
      </w:r>
      <w:r w:rsidR="001F145E">
        <w:rPr>
          <w:rFonts w:ascii="Times New Roman" w:eastAsia="Times New Roman" w:hAnsi="Times New Roman" w:cs="Times New Roman"/>
          <w:color w:val="000000"/>
          <w:sz w:val="24"/>
          <w:szCs w:val="24"/>
        </w:rPr>
        <w:t>e</w:t>
      </w:r>
      <w:r w:rsidR="001F145E" w:rsidRPr="00D84719">
        <w:rPr>
          <w:rFonts w:ascii="Times New Roman" w:eastAsia="Times New Roman" w:hAnsi="Times New Roman" w:cs="Times New Roman"/>
          <w:color w:val="000000"/>
          <w:sz w:val="24"/>
          <w:szCs w:val="24"/>
        </w:rPr>
        <w:t xml:space="preserve"> uvjet</w:t>
      </w:r>
      <w:r w:rsidR="001F145E">
        <w:rPr>
          <w:rFonts w:ascii="Times New Roman" w:eastAsia="Times New Roman" w:hAnsi="Times New Roman" w:cs="Times New Roman"/>
          <w:color w:val="000000"/>
          <w:sz w:val="24"/>
          <w:szCs w:val="24"/>
        </w:rPr>
        <w:t>e</w:t>
      </w:r>
      <w:r w:rsidRPr="00D84719">
        <w:rPr>
          <w:rFonts w:ascii="Times New Roman" w:eastAsia="Times New Roman" w:hAnsi="Times New Roman" w:cs="Times New Roman"/>
          <w:color w:val="000000"/>
          <w:sz w:val="24"/>
          <w:szCs w:val="24"/>
        </w:rPr>
        <w:t>. U prijelaznim i priobalnim vodama je tijekom 2014. i 2015. planirana provedba nadzornog monitoringa na 141 mjernoj postaji, operativnog monitoringa na 72 mjerne postaje te preliminarnog monitoringa potrebnog za određivanje novih područja pogodnih za život i rast školjkaša, prema kriterijima određenim u članku 54. Uredbe o standardu kakvoće voda. Nadzorni monitoring nije planiran u dva grupirana vodna tijela u prijelaznim vodama rijeke Dragonje. Također su određene i postaje u tijelima prijelaznih ii priobalnih voda koja se nalaze u područjima za zaštitu staništa i vrsta.</w:t>
      </w:r>
    </w:p>
    <w:p w14:paraId="0525A58C"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 xml:space="preserve">Stanje prema prioritetnim tvarima ispitano je u 2015. u svim vodnim tijelima najmanje četiri puta tijekom razdoblja monitoringa, a u vodnim tijelima koja su bila u operativnom monitoringu (osam vodnih tijela prijelaznih voda i devet vodnih tijela priobalnih voda) pojedini pokazatelji su ispitani i češće. Prema rezultatima monitoringa stanje specifičnih onečišćujućih tvari se u svim vodnim tijelima prijelaznih i priobalnih voda može ocijeniti kao vrlo dobro. Prema </w:t>
      </w:r>
      <w:r w:rsidRPr="00D84719">
        <w:rPr>
          <w:rFonts w:ascii="Times New Roman" w:eastAsia="Times New Roman" w:hAnsi="Times New Roman" w:cs="Times New Roman"/>
          <w:color w:val="000000"/>
          <w:sz w:val="24"/>
          <w:szCs w:val="24"/>
        </w:rPr>
        <w:lastRenderedPageBreak/>
        <w:t>rezultatima provedenih analiza, koncentracije prioritetnih tvari u uzorcima tijekom nadzornog monitoringa od 2014. do 2015. bile su uglavnom niže od granica kvantifikacije primijenjenih analitičkih metoda i niže u odnosu na propisane standarde kakvoće (PGK, MDK) za ocjenu kemijskog stanja.</w:t>
      </w:r>
    </w:p>
    <w:p w14:paraId="104C8C16"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p>
    <w:p w14:paraId="63A6D024" w14:textId="77777777" w:rsidR="00D84719" w:rsidRPr="00DF02E3" w:rsidRDefault="00D84719" w:rsidP="00D84719">
      <w:pPr>
        <w:spacing w:before="80" w:line="276" w:lineRule="auto"/>
        <w:jc w:val="both"/>
        <w:rPr>
          <w:rFonts w:ascii="Times New Roman" w:eastAsia="Times New Roman" w:hAnsi="Times New Roman" w:cs="Times New Roman"/>
          <w:b/>
          <w:i/>
          <w:color w:val="000000"/>
          <w:sz w:val="24"/>
          <w:szCs w:val="24"/>
        </w:rPr>
      </w:pPr>
      <w:r w:rsidRPr="00DF02E3">
        <w:rPr>
          <w:rFonts w:ascii="Times New Roman" w:eastAsia="Times New Roman" w:hAnsi="Times New Roman" w:cs="Times New Roman"/>
          <w:b/>
          <w:i/>
          <w:color w:val="000000"/>
          <w:sz w:val="24"/>
          <w:szCs w:val="24"/>
        </w:rPr>
        <w:t xml:space="preserve">Prijelazne vode </w:t>
      </w:r>
      <w:r w:rsidR="00B171EB">
        <w:rPr>
          <w:rFonts w:ascii="Times New Roman" w:eastAsia="Times New Roman" w:hAnsi="Times New Roman" w:cs="Times New Roman"/>
          <w:b/>
          <w:i/>
          <w:color w:val="000000"/>
          <w:sz w:val="24"/>
          <w:szCs w:val="24"/>
        </w:rPr>
        <w:t>2015. – 2018.</w:t>
      </w:r>
    </w:p>
    <w:p w14:paraId="118BF3D3" w14:textId="440D84E3"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Kao kritične tvari (tvari kod kojih su jednokratno ili višekratno zabilježena prekoračenja PGK i/ili MDK vrijednosti) u vodnim tijelima prijelaznih voda najčešće se javljaju spojevi iz skupine organoklorovih pesticida (beta-heksaklorocikloheksan, para-para DDT, gama-heksaklorocikloheksan i alfa-endosulfan). U po jednom vodnom tijelu su zabilježeni i spojevi klorofenvinfos iz skupine organofosfornih pesticida te fluoranten iz skupine poliaromatskih ugljikovodika. Iako su za svih šest navedenih spojeva povremeno uočene povećane koncentracije, razlog nepostizanja dobrog kemijskog stanja predstavljaju jedino organoklorovi pesticidi. Ovakav rezultat ispitivanja prioritetnih tvari u prijelaznim vodama ukazuje na poljoprivrednu aktivnost (nedavnu i/ili prijašnju) kao najznačajniji antropogeni pritisak na stanje prijelaznih voda. S obzirom da su povišene koncentracije organoklorovih pesticida zabilježene u približno jednakom broju slučajeva u površinskom i pridnenom sloju vodenog stupca, pretpostavka je da sediment u pojedinim vodnim tijelima ima ulogu izvora akumuliranih pesticida. Dobro kemijsko stanje u prijelaznim vodama postignuto je u 18 od 25 ispitanih vodnih tijela, tj. u 72</w:t>
      </w:r>
      <w:r w:rsidR="00D4589D">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dok dobro kemijsko stanje nije postignuto u sedam od 25 vodnih tijela, tj. u 28</w:t>
      </w:r>
      <w:r w:rsidR="00D4589D">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Ako uzmemo u obzir površine pojedinih vodnih tijela možemo reći da je dobro kemijsko stanje postignuto na 89</w:t>
      </w:r>
      <w:r w:rsidR="00D4589D">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xml:space="preserve"> ukupne površine prijelaznih voda, dok na 11</w:t>
      </w:r>
      <w:r w:rsidR="00D4589D">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xml:space="preserve"> površine nije postignuto. Analiza kemijskog stanja prema prostornoj raspodjeli pokazuje da je dobro kemijsko stanje postignuto u prijelaznim vodama četiriju rijeka (Neretva, Cetina, Zrmanja i Dragonja), djelomično u prijelaznim vodama pet rijeka (</w:t>
      </w:r>
      <w:proofErr w:type="spellStart"/>
      <w:r w:rsidRPr="00D84719">
        <w:rPr>
          <w:rFonts w:ascii="Times New Roman" w:eastAsia="Times New Roman" w:hAnsi="Times New Roman" w:cs="Times New Roman"/>
          <w:color w:val="000000"/>
          <w:sz w:val="24"/>
          <w:szCs w:val="24"/>
        </w:rPr>
        <w:t>Ombla</w:t>
      </w:r>
      <w:proofErr w:type="spellEnd"/>
      <w:r w:rsidRPr="00D84719">
        <w:rPr>
          <w:rFonts w:ascii="Times New Roman" w:eastAsia="Times New Roman" w:hAnsi="Times New Roman" w:cs="Times New Roman"/>
          <w:color w:val="000000"/>
          <w:sz w:val="24"/>
          <w:szCs w:val="24"/>
        </w:rPr>
        <w:t xml:space="preserve">, </w:t>
      </w:r>
      <w:proofErr w:type="spellStart"/>
      <w:r w:rsidRPr="00D84719">
        <w:rPr>
          <w:rFonts w:ascii="Times New Roman" w:eastAsia="Times New Roman" w:hAnsi="Times New Roman" w:cs="Times New Roman"/>
          <w:color w:val="000000"/>
          <w:sz w:val="24"/>
          <w:szCs w:val="24"/>
        </w:rPr>
        <w:t>Jadro</w:t>
      </w:r>
      <w:proofErr w:type="spellEnd"/>
      <w:r w:rsidRPr="00D84719">
        <w:rPr>
          <w:rFonts w:ascii="Times New Roman" w:eastAsia="Times New Roman" w:hAnsi="Times New Roman" w:cs="Times New Roman"/>
          <w:color w:val="000000"/>
          <w:sz w:val="24"/>
          <w:szCs w:val="24"/>
        </w:rPr>
        <w:t>, Krka, Rječina i Mirna), a najlošije stanje u prijelaznim vodama ustanovljeno je u ušću rijeke Raše.</w:t>
      </w:r>
    </w:p>
    <w:p w14:paraId="41158F50" w14:textId="271C1DB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Na prijelaznim vodama je tijekom 2016. nadzorni monitoring osnovnih fizikalno-kemijskih elemenata kakvoće i fitoplanktona proveden na 28 mjernih postaja (na svih 25 vodnih tijela), monitoring riba na 37 postaja (92</w:t>
      </w:r>
      <w:r w:rsidR="00D4589D">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xml:space="preserve"> vodnih tijela), dok se za biološke elemente kakvoće bentičke beskralježnjake i makrofita (morske cvjetnice) proveo na devet odnosno deset mjernih postaja (oko 40 % vodnih tijela). </w:t>
      </w:r>
      <w:r w:rsidR="00863B93">
        <w:rPr>
          <w:rFonts w:ascii="Times New Roman" w:eastAsia="Times New Roman" w:hAnsi="Times New Roman" w:cs="Times New Roman"/>
          <w:color w:val="000000"/>
          <w:sz w:val="24"/>
          <w:szCs w:val="24"/>
        </w:rPr>
        <w:t>M</w:t>
      </w:r>
      <w:r w:rsidRPr="00D84719">
        <w:rPr>
          <w:rFonts w:ascii="Times New Roman" w:eastAsia="Times New Roman" w:hAnsi="Times New Roman" w:cs="Times New Roman"/>
          <w:color w:val="000000"/>
          <w:sz w:val="24"/>
          <w:szCs w:val="24"/>
        </w:rPr>
        <w:t>onitoring prioritetnih tvari u vodi i bioti (ribe, školjke), u okviru nadzornog monitoringa, proveden je na 26 mjernih postaja, u svim vodnim tijelima prijelaznih voda. Monitoring specifičnih onečišćujućih tvari (bakar i cink) u prijelaznim vodama je proveden u istom vremenskom razdoblju, a niti na jednoj mjernoj postaji nisu zabilježene koncentracije ovih dvaju elemenata koje bi upućivale na umjereno stanje. Koncentracije prioritetnih tvari u vodi upućuju na dobro stanje na 13 mjernih postaja (50</w:t>
      </w:r>
      <w:r w:rsidR="00D4589D">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dok je prema bioti dobro stanje utvrđeno samo na četiri postaje (15</w:t>
      </w:r>
      <w:r w:rsidR="00D4589D">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Sumarno gledano, dobro kemijsko stanje je utvrđeno samo na dvije mjerne postaje u prijelaznim vodnim tijelima rijeke Dragonje. Proširivanjem ispitivanja prioritetnih tvari na medij biotu (ribe i školjke) u većini vodnih tijela utvrđene koncentracije žive (Hg) i polibromiranih difeniletera (PBDE) u ribama bile su više od propisanih standarda kakvoće vodnog okoliša koji za živu iznose 20 μg/kg mokre težine, a za PBDE 0</w:t>
      </w:r>
      <w:r w:rsidR="00CB22FF">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 xml:space="preserve">0085 μg/kg mokre težine. U vodi su zabilježene povišene koncentracije </w:t>
      </w:r>
      <w:r w:rsidRPr="00D84719">
        <w:rPr>
          <w:rFonts w:ascii="Times New Roman" w:eastAsia="Times New Roman" w:hAnsi="Times New Roman" w:cs="Times New Roman"/>
          <w:color w:val="000000"/>
          <w:sz w:val="24"/>
          <w:szCs w:val="24"/>
        </w:rPr>
        <w:lastRenderedPageBreak/>
        <w:t>tributilkositra (TBT). Nije zabilježena niti jedna mjerna postaja u lošem i vrlo lošem ekološkom stanju. Na samo dvije mjerne postaje (8</w:t>
      </w:r>
      <w:r w:rsidR="00D4589D">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xml:space="preserve">) utvrđeno je dobro kemijsko stanje. </w:t>
      </w:r>
    </w:p>
    <w:p w14:paraId="7327C999" w14:textId="194B9A0E"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 xml:space="preserve">Na prijelaznim vodnim tijelima je tijekom 2017. proveden </w:t>
      </w:r>
      <w:r w:rsidRPr="00D84719">
        <w:rPr>
          <w:rFonts w:ascii="Times New Roman" w:eastAsia="Times New Roman" w:hAnsi="Times New Roman" w:cs="Times New Roman"/>
          <w:i/>
          <w:iCs/>
          <w:color w:val="000000"/>
          <w:sz w:val="24"/>
          <w:szCs w:val="24"/>
        </w:rPr>
        <w:t xml:space="preserve">operativni monitoring ekološkog stanja </w:t>
      </w:r>
      <w:r w:rsidRPr="00D84719">
        <w:rPr>
          <w:rFonts w:ascii="Times New Roman" w:eastAsia="Times New Roman" w:hAnsi="Times New Roman" w:cs="Times New Roman"/>
          <w:color w:val="000000"/>
          <w:sz w:val="24"/>
          <w:szCs w:val="24"/>
        </w:rPr>
        <w:t>na 13 mjernih postaja (44</w:t>
      </w:r>
      <w:r w:rsidR="00D4589D">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xml:space="preserve"> vodnih tijela) za prateće fizikalno-kemijske pokazatelje i fitoplankton te na jednoj mjernoj postaji za bentičke beskralježnjake. Osim operativnog monitoringa, </w:t>
      </w:r>
      <w:r w:rsidR="00863B93">
        <w:rPr>
          <w:rFonts w:ascii="Times New Roman" w:eastAsia="Times New Roman" w:hAnsi="Times New Roman" w:cs="Times New Roman"/>
          <w:color w:val="000000"/>
          <w:sz w:val="24"/>
          <w:szCs w:val="24"/>
        </w:rPr>
        <w:t xml:space="preserve">u istoj je godini </w:t>
      </w:r>
      <w:r w:rsidRPr="00D84719">
        <w:rPr>
          <w:rFonts w:ascii="Times New Roman" w:eastAsia="Times New Roman" w:hAnsi="Times New Roman" w:cs="Times New Roman"/>
          <w:color w:val="000000"/>
          <w:sz w:val="24"/>
          <w:szCs w:val="24"/>
        </w:rPr>
        <w:t xml:space="preserve">proveden i </w:t>
      </w:r>
      <w:r w:rsidRPr="00D84719">
        <w:rPr>
          <w:rFonts w:ascii="Times New Roman" w:eastAsia="Times New Roman" w:hAnsi="Times New Roman" w:cs="Times New Roman"/>
          <w:i/>
          <w:iCs/>
          <w:color w:val="000000"/>
          <w:sz w:val="24"/>
          <w:szCs w:val="24"/>
        </w:rPr>
        <w:t xml:space="preserve">nadzorni monitoring </w:t>
      </w:r>
      <w:r w:rsidRPr="00D84719">
        <w:rPr>
          <w:rFonts w:ascii="Times New Roman" w:eastAsia="Times New Roman" w:hAnsi="Times New Roman" w:cs="Times New Roman"/>
          <w:color w:val="000000"/>
          <w:sz w:val="24"/>
          <w:szCs w:val="24"/>
        </w:rPr>
        <w:t>biološkog elementa kakvoće makrofita - morske cvjetnice na šest mjernih postaja (20</w:t>
      </w:r>
      <w:r w:rsidR="00D4589D">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xml:space="preserve"> vodnih tijela). </w:t>
      </w:r>
      <w:r w:rsidRPr="00D84719">
        <w:rPr>
          <w:rFonts w:ascii="Times New Roman" w:eastAsia="Times New Roman" w:hAnsi="Times New Roman" w:cs="Times New Roman"/>
          <w:i/>
          <w:iCs/>
          <w:color w:val="000000"/>
          <w:sz w:val="24"/>
          <w:szCs w:val="24"/>
        </w:rPr>
        <w:t xml:space="preserve">Hidromorfološki monitoring </w:t>
      </w:r>
      <w:r w:rsidRPr="00D84719">
        <w:rPr>
          <w:rFonts w:ascii="Times New Roman" w:eastAsia="Times New Roman" w:hAnsi="Times New Roman" w:cs="Times New Roman"/>
          <w:color w:val="000000"/>
          <w:sz w:val="24"/>
          <w:szCs w:val="24"/>
        </w:rPr>
        <w:t>je proveden na 19 vodnih tijela (76</w:t>
      </w:r>
      <w:r w:rsidR="00D4589D">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xml:space="preserve"> od ukupnog broja vodnih tijela). </w:t>
      </w:r>
      <w:r w:rsidRPr="00D84719">
        <w:rPr>
          <w:rFonts w:ascii="Times New Roman" w:eastAsia="Times New Roman" w:hAnsi="Times New Roman" w:cs="Times New Roman"/>
          <w:i/>
          <w:iCs/>
          <w:color w:val="000000"/>
          <w:sz w:val="24"/>
          <w:szCs w:val="24"/>
        </w:rPr>
        <w:t xml:space="preserve">Operativni monitoring kemijskog stanja </w:t>
      </w:r>
      <w:r w:rsidRPr="00D84719">
        <w:rPr>
          <w:rFonts w:ascii="Times New Roman" w:eastAsia="Times New Roman" w:hAnsi="Times New Roman" w:cs="Times New Roman"/>
          <w:color w:val="000000"/>
          <w:sz w:val="24"/>
          <w:szCs w:val="24"/>
        </w:rPr>
        <w:t>u vodi je proveden na 7 vodnih tijela (28</w:t>
      </w:r>
      <w:r w:rsidR="00D4589D">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xml:space="preserve"> od ukupnog</w:t>
      </w:r>
      <w:r w:rsidR="00612979">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xml:space="preserve">broja vodnih tijela) za spojeve endosulfan, heksaklorocikloheksan i </w:t>
      </w:r>
      <w:proofErr w:type="spellStart"/>
      <w:r w:rsidRPr="00D84719">
        <w:rPr>
          <w:rFonts w:ascii="Times New Roman" w:eastAsia="Times New Roman" w:hAnsi="Times New Roman" w:cs="Times New Roman"/>
          <w:color w:val="000000"/>
          <w:sz w:val="24"/>
          <w:szCs w:val="24"/>
        </w:rPr>
        <w:t>p</w:t>
      </w:r>
      <w:r w:rsidR="009524D1">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p</w:t>
      </w:r>
      <w:proofErr w:type="spellEnd"/>
      <w:r w:rsidR="009524D1">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DDT. Većina vodnih tijela je prema većini pokazatelja u vrlo dobrom i dobrom stanju. U prijelaznim vodama je utvrđeno 11</w:t>
      </w:r>
      <w:r w:rsidR="00D4589D">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xml:space="preserve"> vodnih tijela u vrlo dobrom stanju, po 16</w:t>
      </w:r>
      <w:r w:rsidR="00D4589D">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xml:space="preserve"> u dobrom i umjerenom stanju, dok je loše i vrlo loše stanje utvrđeno na 32</w:t>
      </w:r>
      <w:r w:rsidR="00D4589D">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xml:space="preserve"> odnosno 26</w:t>
      </w:r>
      <w:r w:rsidR="00D4589D">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xml:space="preserve"> vodnih tijela. Sve mjerne postaje su bile u dobrom stanju prema ispitivanim prioritetnim tvarima.</w:t>
      </w:r>
    </w:p>
    <w:p w14:paraId="586DF51B" w14:textId="1F368E1C" w:rsidR="00D84719" w:rsidRPr="00D84719" w:rsidRDefault="00863B93" w:rsidP="00D84719">
      <w:pPr>
        <w:spacing w:before="8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r w:rsidR="00D84719" w:rsidRPr="00D84719">
        <w:rPr>
          <w:rFonts w:ascii="Times New Roman" w:eastAsia="Times New Roman" w:hAnsi="Times New Roman" w:cs="Times New Roman"/>
          <w:color w:val="000000"/>
          <w:sz w:val="24"/>
          <w:szCs w:val="24"/>
        </w:rPr>
        <w:t>ijekom 2018.</w:t>
      </w:r>
      <w:r w:rsidR="00612979">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xml:space="preserve">je </w:t>
      </w:r>
      <w:r>
        <w:rPr>
          <w:rFonts w:ascii="Times New Roman" w:eastAsia="Times New Roman" w:hAnsi="Times New Roman" w:cs="Times New Roman"/>
          <w:color w:val="000000"/>
          <w:sz w:val="24"/>
          <w:szCs w:val="24"/>
        </w:rPr>
        <w:t>n</w:t>
      </w:r>
      <w:r w:rsidRPr="00D84719">
        <w:rPr>
          <w:rFonts w:ascii="Times New Roman" w:eastAsia="Times New Roman" w:hAnsi="Times New Roman" w:cs="Times New Roman"/>
          <w:color w:val="000000"/>
          <w:sz w:val="24"/>
          <w:szCs w:val="24"/>
        </w:rPr>
        <w:t xml:space="preserve">a prijelaznim vodama </w:t>
      </w:r>
      <w:r w:rsidR="00D84719" w:rsidRPr="00D84719">
        <w:rPr>
          <w:rFonts w:ascii="Times New Roman" w:eastAsia="Times New Roman" w:hAnsi="Times New Roman" w:cs="Times New Roman"/>
          <w:i/>
          <w:iCs/>
          <w:color w:val="000000"/>
          <w:sz w:val="24"/>
          <w:szCs w:val="24"/>
        </w:rPr>
        <w:t xml:space="preserve">nadzorni monitoring </w:t>
      </w:r>
      <w:r w:rsidR="00D84719" w:rsidRPr="00D84719">
        <w:rPr>
          <w:rFonts w:ascii="Times New Roman" w:eastAsia="Times New Roman" w:hAnsi="Times New Roman" w:cs="Times New Roman"/>
          <w:color w:val="000000"/>
          <w:sz w:val="24"/>
          <w:szCs w:val="24"/>
        </w:rPr>
        <w:t>osnovnih fizikalno-kemijskih elemenata kakvoće i fitoplanktona proveden na 28 mjernih postaja (na svih 25 vodnih tijela), monitoring riba na 37 mjernih postaja (92</w:t>
      </w:r>
      <w:r w:rsidR="00D4589D">
        <w:rPr>
          <w:rFonts w:ascii="Times New Roman" w:eastAsia="Times New Roman" w:hAnsi="Times New Roman" w:cs="Times New Roman"/>
          <w:color w:val="000000"/>
          <w:sz w:val="24"/>
          <w:szCs w:val="24"/>
        </w:rPr>
        <w:t xml:space="preserve"> %</w:t>
      </w:r>
      <w:r w:rsidR="00D84719" w:rsidRPr="00D84719">
        <w:rPr>
          <w:rFonts w:ascii="Times New Roman" w:eastAsia="Times New Roman" w:hAnsi="Times New Roman" w:cs="Times New Roman"/>
          <w:color w:val="000000"/>
          <w:sz w:val="24"/>
          <w:szCs w:val="24"/>
        </w:rPr>
        <w:t xml:space="preserve"> vodnih tijela), dok se za biološke elemente kakvoće makrofita (morske cvjetnice) i bentičke beskralježnjake monitoring proveo na po tri mjerne postaje. </w:t>
      </w:r>
      <w:r>
        <w:rPr>
          <w:rFonts w:ascii="Times New Roman" w:eastAsia="Times New Roman" w:hAnsi="Times New Roman" w:cs="Times New Roman"/>
          <w:color w:val="000000"/>
          <w:sz w:val="24"/>
          <w:szCs w:val="24"/>
        </w:rPr>
        <w:t>M</w:t>
      </w:r>
      <w:r w:rsidR="00D84719" w:rsidRPr="00D84719">
        <w:rPr>
          <w:rFonts w:ascii="Times New Roman" w:eastAsia="Times New Roman" w:hAnsi="Times New Roman" w:cs="Times New Roman"/>
          <w:color w:val="000000"/>
          <w:sz w:val="24"/>
          <w:szCs w:val="24"/>
        </w:rPr>
        <w:t>onitoring prioritetnih tvari u vodi je proveden na 26 mjernih postaja (na svim prijelaznim vodnim tijelima), dok su prioritetne tvari u bioti praćene na 22 mjerne postaje (88</w:t>
      </w:r>
      <w:r w:rsidR="00D4589D">
        <w:rPr>
          <w:rFonts w:ascii="Times New Roman" w:eastAsia="Times New Roman" w:hAnsi="Times New Roman" w:cs="Times New Roman"/>
          <w:color w:val="000000"/>
          <w:sz w:val="24"/>
          <w:szCs w:val="24"/>
        </w:rPr>
        <w:t xml:space="preserve"> %</w:t>
      </w:r>
      <w:r w:rsidR="00D84719" w:rsidRPr="00D84719">
        <w:rPr>
          <w:rFonts w:ascii="Times New Roman" w:eastAsia="Times New Roman" w:hAnsi="Times New Roman" w:cs="Times New Roman"/>
          <w:color w:val="000000"/>
          <w:sz w:val="24"/>
          <w:szCs w:val="24"/>
        </w:rPr>
        <w:t xml:space="preserve"> vodnih tijela). U vodi je praćeno 15, a u bioti 11 prioritetnih tvari. Monitoring </w:t>
      </w:r>
      <w:r w:rsidR="00D84719" w:rsidRPr="00D84719">
        <w:rPr>
          <w:rFonts w:ascii="Times New Roman" w:eastAsia="Times New Roman" w:hAnsi="Times New Roman" w:cs="Times New Roman"/>
          <w:bCs/>
          <w:color w:val="000000"/>
          <w:sz w:val="24"/>
          <w:szCs w:val="24"/>
        </w:rPr>
        <w:t>specifičnih onečišćujućih tvar</w:t>
      </w:r>
      <w:r w:rsidR="00D84719" w:rsidRPr="00923662">
        <w:rPr>
          <w:rFonts w:ascii="Times New Roman" w:eastAsia="Times New Roman" w:hAnsi="Times New Roman" w:cs="Times New Roman"/>
          <w:bCs/>
          <w:color w:val="000000"/>
          <w:sz w:val="24"/>
          <w:szCs w:val="24"/>
        </w:rPr>
        <w:t xml:space="preserve">i </w:t>
      </w:r>
      <w:r w:rsidR="00D84719" w:rsidRPr="00D84719">
        <w:rPr>
          <w:rFonts w:ascii="Times New Roman" w:eastAsia="Times New Roman" w:hAnsi="Times New Roman" w:cs="Times New Roman"/>
          <w:color w:val="000000"/>
          <w:sz w:val="24"/>
          <w:szCs w:val="24"/>
        </w:rPr>
        <w:t>(bakar i cink) u prijelaznim vodama je proveden u istom vremenskom razdoblju, a niti na jednoj mjernoj postaji nisu zabilježene koncentracije ovih dvaju elemenata koje bi upućivale na umjereno stanje. Koncentracije prioritetnih tvari u vodi upućuju na dobro stanje na 17 mjernih postaja (65</w:t>
      </w:r>
      <w:r w:rsidR="00D4589D">
        <w:rPr>
          <w:rFonts w:ascii="Times New Roman" w:eastAsia="Times New Roman" w:hAnsi="Times New Roman" w:cs="Times New Roman"/>
          <w:color w:val="000000"/>
          <w:sz w:val="24"/>
          <w:szCs w:val="24"/>
        </w:rPr>
        <w:t xml:space="preserve"> %</w:t>
      </w:r>
      <w:r w:rsidR="00D84719" w:rsidRPr="00D84719">
        <w:rPr>
          <w:rFonts w:ascii="Times New Roman" w:eastAsia="Times New Roman" w:hAnsi="Times New Roman" w:cs="Times New Roman"/>
          <w:color w:val="000000"/>
          <w:sz w:val="24"/>
          <w:szCs w:val="24"/>
        </w:rPr>
        <w:t>) dok je prema bioti dobro stanje utvrđeno na dvije mjerne postaje (9</w:t>
      </w:r>
      <w:r w:rsidR="00D4589D">
        <w:rPr>
          <w:rFonts w:ascii="Times New Roman" w:eastAsia="Times New Roman" w:hAnsi="Times New Roman" w:cs="Times New Roman"/>
          <w:color w:val="000000"/>
          <w:sz w:val="24"/>
          <w:szCs w:val="24"/>
        </w:rPr>
        <w:t xml:space="preserve"> %</w:t>
      </w:r>
      <w:r w:rsidR="00D84719" w:rsidRPr="00D84719">
        <w:rPr>
          <w:rFonts w:ascii="Times New Roman" w:eastAsia="Times New Roman" w:hAnsi="Times New Roman" w:cs="Times New Roman"/>
          <w:color w:val="000000"/>
          <w:sz w:val="24"/>
          <w:szCs w:val="24"/>
        </w:rPr>
        <w:t xml:space="preserve">). Sumarno gledano, dobro kemijsko stanje je utvrđeno samo na tri mjerne postaje (uzvodno vodno tijelo Rječine i </w:t>
      </w:r>
      <w:r w:rsidR="00B171EB" w:rsidRPr="00D84719">
        <w:rPr>
          <w:rFonts w:ascii="Times New Roman" w:eastAsia="Times New Roman" w:hAnsi="Times New Roman" w:cs="Times New Roman"/>
          <w:color w:val="000000"/>
          <w:sz w:val="24"/>
          <w:szCs w:val="24"/>
        </w:rPr>
        <w:t>nizvodn</w:t>
      </w:r>
      <w:r w:rsidR="00B171EB">
        <w:rPr>
          <w:rFonts w:ascii="Times New Roman" w:eastAsia="Times New Roman" w:hAnsi="Times New Roman" w:cs="Times New Roman"/>
          <w:color w:val="000000"/>
          <w:sz w:val="24"/>
          <w:szCs w:val="24"/>
        </w:rPr>
        <w:t>o</w:t>
      </w:r>
      <w:r w:rsidR="00B171EB" w:rsidRPr="00D84719">
        <w:rPr>
          <w:rFonts w:ascii="Times New Roman" w:eastAsia="Times New Roman" w:hAnsi="Times New Roman" w:cs="Times New Roman"/>
          <w:color w:val="000000"/>
          <w:sz w:val="24"/>
          <w:szCs w:val="24"/>
        </w:rPr>
        <w:t xml:space="preserve"> vodn</w:t>
      </w:r>
      <w:r w:rsidR="00B171EB">
        <w:rPr>
          <w:rFonts w:ascii="Times New Roman" w:eastAsia="Times New Roman" w:hAnsi="Times New Roman" w:cs="Times New Roman"/>
          <w:color w:val="000000"/>
          <w:sz w:val="24"/>
          <w:szCs w:val="24"/>
        </w:rPr>
        <w:t>o</w:t>
      </w:r>
      <w:r w:rsidR="00B171EB" w:rsidRPr="00D84719">
        <w:rPr>
          <w:rFonts w:ascii="Times New Roman" w:eastAsia="Times New Roman" w:hAnsi="Times New Roman" w:cs="Times New Roman"/>
          <w:color w:val="000000"/>
          <w:sz w:val="24"/>
          <w:szCs w:val="24"/>
        </w:rPr>
        <w:t xml:space="preserve"> </w:t>
      </w:r>
      <w:r w:rsidR="00D84719" w:rsidRPr="00D84719">
        <w:rPr>
          <w:rFonts w:ascii="Times New Roman" w:eastAsia="Times New Roman" w:hAnsi="Times New Roman" w:cs="Times New Roman"/>
          <w:color w:val="000000"/>
          <w:sz w:val="24"/>
          <w:szCs w:val="24"/>
        </w:rPr>
        <w:t>tijelo rijeke Dragonje i Neretve).</w:t>
      </w:r>
      <w:r w:rsidR="00612979">
        <w:rPr>
          <w:rFonts w:ascii="Times New Roman" w:eastAsia="Times New Roman" w:hAnsi="Times New Roman" w:cs="Times New Roman"/>
          <w:color w:val="000000"/>
          <w:sz w:val="24"/>
          <w:szCs w:val="24"/>
        </w:rPr>
        <w:t xml:space="preserve"> </w:t>
      </w:r>
      <w:r w:rsidR="00D84719" w:rsidRPr="00D84719">
        <w:rPr>
          <w:rFonts w:ascii="Times New Roman" w:eastAsia="Times New Roman" w:hAnsi="Times New Roman" w:cs="Times New Roman"/>
          <w:color w:val="000000"/>
          <w:sz w:val="24"/>
          <w:szCs w:val="24"/>
        </w:rPr>
        <w:t>Na većini mjernih postaja utvrđene koncentracije žive (Hg) i polibromiranih difeniletera (PBDE) u ribama bile su više od propisanih standarda kakvoće vodnog okoliša koji za živu iznose 20 μg/kg mokre težine, a za PBDE 0</w:t>
      </w:r>
      <w:r w:rsidR="004E6AED">
        <w:rPr>
          <w:rFonts w:ascii="Times New Roman" w:eastAsia="Times New Roman" w:hAnsi="Times New Roman" w:cs="Times New Roman"/>
          <w:color w:val="000000"/>
          <w:sz w:val="24"/>
          <w:szCs w:val="24"/>
        </w:rPr>
        <w:t>,</w:t>
      </w:r>
      <w:r w:rsidR="00D84719" w:rsidRPr="00D84719">
        <w:rPr>
          <w:rFonts w:ascii="Times New Roman" w:eastAsia="Times New Roman" w:hAnsi="Times New Roman" w:cs="Times New Roman"/>
          <w:color w:val="000000"/>
          <w:sz w:val="24"/>
          <w:szCs w:val="24"/>
        </w:rPr>
        <w:t>0085 μg/kg mokre težine. Na mjernoj postaji u vodnom tijelu Raše u dagnjama su zabilježene povišene koncentracije fluorantena i benzo(a)pirena. U vodi su zabilježene povišene koncentracije perfluor</w:t>
      </w:r>
      <w:r w:rsidR="009524D1">
        <w:rPr>
          <w:rFonts w:ascii="Times New Roman" w:eastAsia="Times New Roman" w:hAnsi="Times New Roman" w:cs="Times New Roman"/>
          <w:color w:val="000000"/>
          <w:sz w:val="24"/>
          <w:szCs w:val="24"/>
        </w:rPr>
        <w:t>o</w:t>
      </w:r>
      <w:r w:rsidR="00D84719" w:rsidRPr="00D84719">
        <w:rPr>
          <w:rFonts w:ascii="Times New Roman" w:eastAsia="Times New Roman" w:hAnsi="Times New Roman" w:cs="Times New Roman"/>
          <w:color w:val="000000"/>
          <w:sz w:val="24"/>
          <w:szCs w:val="24"/>
        </w:rPr>
        <w:t>oktan sulfonske kiseline (PFOS), tributilkositra (TBT) i heksabromociklododekana (HBCDD). Za samo tri mjerne postaje (12</w:t>
      </w:r>
      <w:r w:rsidR="00D4589D">
        <w:rPr>
          <w:rFonts w:ascii="Times New Roman" w:eastAsia="Times New Roman" w:hAnsi="Times New Roman" w:cs="Times New Roman"/>
          <w:color w:val="000000"/>
          <w:sz w:val="24"/>
          <w:szCs w:val="24"/>
        </w:rPr>
        <w:t xml:space="preserve"> %</w:t>
      </w:r>
      <w:r w:rsidR="00D84719" w:rsidRPr="00D84719">
        <w:rPr>
          <w:rFonts w:ascii="Times New Roman" w:eastAsia="Times New Roman" w:hAnsi="Times New Roman" w:cs="Times New Roman"/>
          <w:color w:val="000000"/>
          <w:sz w:val="24"/>
          <w:szCs w:val="24"/>
        </w:rPr>
        <w:t>) utvrđeno je dobro kemijsko stanje.</w:t>
      </w:r>
    </w:p>
    <w:p w14:paraId="0D60F6D6" w14:textId="77777777" w:rsidR="00D84719" w:rsidRPr="00D84719" w:rsidRDefault="00D84719" w:rsidP="00D84719">
      <w:pPr>
        <w:spacing w:before="80" w:line="276" w:lineRule="auto"/>
        <w:jc w:val="both"/>
        <w:rPr>
          <w:rFonts w:ascii="Times New Roman" w:eastAsia="Times New Roman" w:hAnsi="Times New Roman" w:cs="Times New Roman"/>
          <w:i/>
          <w:color w:val="000000"/>
          <w:sz w:val="24"/>
          <w:szCs w:val="24"/>
        </w:rPr>
      </w:pPr>
    </w:p>
    <w:p w14:paraId="5BEA240A" w14:textId="77777777" w:rsidR="00D84719" w:rsidRPr="00DF02E3" w:rsidRDefault="00D84719" w:rsidP="00D84719">
      <w:pPr>
        <w:spacing w:before="80" w:line="276" w:lineRule="auto"/>
        <w:jc w:val="both"/>
        <w:rPr>
          <w:rFonts w:ascii="Times New Roman" w:eastAsia="Times New Roman" w:hAnsi="Times New Roman" w:cs="Times New Roman"/>
          <w:b/>
          <w:i/>
          <w:color w:val="000000"/>
          <w:sz w:val="24"/>
          <w:szCs w:val="24"/>
        </w:rPr>
      </w:pPr>
      <w:r w:rsidRPr="00DF02E3">
        <w:rPr>
          <w:rFonts w:ascii="Times New Roman" w:eastAsia="Times New Roman" w:hAnsi="Times New Roman" w:cs="Times New Roman"/>
          <w:b/>
          <w:i/>
          <w:color w:val="000000"/>
          <w:sz w:val="24"/>
          <w:szCs w:val="24"/>
        </w:rPr>
        <w:t xml:space="preserve">Priobalne vode </w:t>
      </w:r>
    </w:p>
    <w:p w14:paraId="40758B98" w14:textId="2A92FE14"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U 2015</w:t>
      </w:r>
      <w:r w:rsidR="004C449C">
        <w:rPr>
          <w:rFonts w:ascii="Times New Roman" w:eastAsia="Times New Roman" w:hAnsi="Times New Roman" w:cs="Times New Roman"/>
          <w:color w:val="000000"/>
          <w:sz w:val="24"/>
          <w:szCs w:val="24"/>
        </w:rPr>
        <w:t>.</w:t>
      </w:r>
      <w:r w:rsidR="00B171EB">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xml:space="preserve">zabilježeni </w:t>
      </w:r>
      <w:r w:rsidR="00863B93">
        <w:rPr>
          <w:rFonts w:ascii="Times New Roman" w:eastAsia="Times New Roman" w:hAnsi="Times New Roman" w:cs="Times New Roman"/>
          <w:color w:val="000000"/>
          <w:sz w:val="24"/>
          <w:szCs w:val="24"/>
        </w:rPr>
        <w:t xml:space="preserve">su </w:t>
      </w:r>
      <w:r w:rsidRPr="00D84719">
        <w:rPr>
          <w:rFonts w:ascii="Times New Roman" w:eastAsia="Times New Roman" w:hAnsi="Times New Roman" w:cs="Times New Roman"/>
          <w:color w:val="000000"/>
          <w:sz w:val="24"/>
          <w:szCs w:val="24"/>
        </w:rPr>
        <w:t xml:space="preserve">spojevi iz grupe organoklorovih pesticida (beta-, delta- i gama-heksaklorocikloheksana), no oni ni u jednom slučaju nisu bili razlog nepostizanja dobrog kemijskog stanja. Ipak njihova pojava u priobalnim vodama svjedoči o njihovom prijenosu kroz različite tipove površinskih voda. Međutim, kao najproblematičnija prioritetna tvar u priobalju se pokazao tributilkositar koji je u četiri vodna tijela (O313-NEK, O313-BAZ, O413-STLP i </w:t>
      </w:r>
      <w:r w:rsidRPr="00D84719">
        <w:rPr>
          <w:rFonts w:ascii="Times New Roman" w:eastAsia="Times New Roman" w:hAnsi="Times New Roman" w:cs="Times New Roman"/>
          <w:color w:val="000000"/>
          <w:sz w:val="24"/>
          <w:szCs w:val="24"/>
        </w:rPr>
        <w:lastRenderedPageBreak/>
        <w:t>O423-KVS) bio razlog nepostizanja dobrog kemijskog stanja. Iako je prema raznim međunarodnim konvencijama kao i domaćem zakonodavstvu zabranjena proizvodnja, trgovina i primjena protuobraštajnih boja za brodove na bazi tributilkositra, nepostizanje dobrog kemijskog stanja u ova četiri vodna tijela, preko kojih se odvija intenzivan pomorski promet, ukazuje na potrebu jačanja inspekcijskih službi. Ovdje je također potrebno naglasiti da je nepostizanje dobrog kemijskog stanja u splitskoj luci uslijed tributilkositra zabilježeno i tijekom 2011..</w:t>
      </w:r>
    </w:p>
    <w:p w14:paraId="787918A3" w14:textId="5C92C1F0"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 xml:space="preserve">Na priobalnim vodnim tijelima je tijekom 2016. proveden </w:t>
      </w:r>
      <w:r w:rsidRPr="00D84719">
        <w:rPr>
          <w:rFonts w:ascii="Times New Roman" w:eastAsia="Times New Roman" w:hAnsi="Times New Roman" w:cs="Times New Roman"/>
          <w:i/>
          <w:iCs/>
          <w:color w:val="000000"/>
          <w:sz w:val="24"/>
          <w:szCs w:val="24"/>
        </w:rPr>
        <w:t xml:space="preserve">operativni monitoring ekološkog stanja </w:t>
      </w:r>
      <w:r w:rsidRPr="00D84719">
        <w:rPr>
          <w:rFonts w:ascii="Times New Roman" w:eastAsia="Times New Roman" w:hAnsi="Times New Roman" w:cs="Times New Roman"/>
          <w:color w:val="000000"/>
          <w:sz w:val="24"/>
          <w:szCs w:val="24"/>
        </w:rPr>
        <w:t>na 18 postaja (32</w:t>
      </w:r>
      <w:r w:rsidR="00D4589D">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xml:space="preserve"> od ukupnog broja postaja) za prateće fizikalno-kemijske pokazatelje i fitoplankton, na 3 postaje (istog vodnog tijela) za morske cvjetnice, na tri postaje za makroalge te na jednoj postaji za bentičke beskralježnjake. Osim operativnog monitoringa tijekom </w:t>
      </w:r>
      <w:r w:rsidR="009A4BA1">
        <w:rPr>
          <w:rFonts w:ascii="Times New Roman" w:eastAsia="Times New Roman" w:hAnsi="Times New Roman" w:cs="Times New Roman"/>
          <w:color w:val="000000"/>
          <w:sz w:val="24"/>
          <w:szCs w:val="24"/>
        </w:rPr>
        <w:t xml:space="preserve">iste godine </w:t>
      </w:r>
      <w:r w:rsidRPr="00D84719">
        <w:rPr>
          <w:rFonts w:ascii="Times New Roman" w:eastAsia="Times New Roman" w:hAnsi="Times New Roman" w:cs="Times New Roman"/>
          <w:color w:val="000000"/>
          <w:sz w:val="24"/>
          <w:szCs w:val="24"/>
        </w:rPr>
        <w:t xml:space="preserve">proveden je i </w:t>
      </w:r>
      <w:r w:rsidRPr="00D84719">
        <w:rPr>
          <w:rFonts w:ascii="Times New Roman" w:eastAsia="Times New Roman" w:hAnsi="Times New Roman" w:cs="Times New Roman"/>
          <w:i/>
          <w:iCs/>
          <w:color w:val="000000"/>
          <w:sz w:val="24"/>
          <w:szCs w:val="24"/>
        </w:rPr>
        <w:t xml:space="preserve">nadzorni monitoring </w:t>
      </w:r>
      <w:r w:rsidRPr="00D84719">
        <w:rPr>
          <w:rFonts w:ascii="Times New Roman" w:eastAsia="Times New Roman" w:hAnsi="Times New Roman" w:cs="Times New Roman"/>
          <w:color w:val="000000"/>
          <w:sz w:val="24"/>
          <w:szCs w:val="24"/>
        </w:rPr>
        <w:t xml:space="preserve">pojedinih bioloških elemenata kakvoće na deset mjernih postaja (tri vodna tijela) za morske cvjetnice i na šest mjernih postaja za makroalge. Većina pokazatelja ekološkog stanja je na gotovo svim postajama u vrlo dobrom i dobrom stanju. Umjereno stanje je zabilježeno na dvije mjerne postaje prema fitoplanktonu (vodno tijelo </w:t>
      </w:r>
      <w:proofErr w:type="spellStart"/>
      <w:r w:rsidRPr="00D84719">
        <w:rPr>
          <w:rFonts w:ascii="Times New Roman" w:eastAsia="Times New Roman" w:hAnsi="Times New Roman" w:cs="Times New Roman"/>
          <w:color w:val="000000"/>
          <w:sz w:val="24"/>
          <w:szCs w:val="24"/>
        </w:rPr>
        <w:t>Limskog</w:t>
      </w:r>
      <w:proofErr w:type="spellEnd"/>
      <w:r w:rsidRPr="00D84719">
        <w:rPr>
          <w:rFonts w:ascii="Times New Roman" w:eastAsia="Times New Roman" w:hAnsi="Times New Roman" w:cs="Times New Roman"/>
          <w:color w:val="000000"/>
          <w:sz w:val="24"/>
          <w:szCs w:val="24"/>
        </w:rPr>
        <w:t xml:space="preserve"> kanala i Luke Pula) te na jednoj mjernoj postaji prema makroalgama (vodno tijelo luke Split), dok je loše stanje zabilježeno na jednoj postaji prema fitoplanktonu (vodno tijelo luke Pula).</w:t>
      </w:r>
      <w:r w:rsidR="009A4BA1">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i/>
          <w:iCs/>
          <w:color w:val="000000"/>
          <w:sz w:val="24"/>
          <w:szCs w:val="24"/>
        </w:rPr>
        <w:t xml:space="preserve">Operativni monitoring kemijskog stanja </w:t>
      </w:r>
      <w:r w:rsidRPr="00D84719">
        <w:rPr>
          <w:rFonts w:ascii="Times New Roman" w:eastAsia="Times New Roman" w:hAnsi="Times New Roman" w:cs="Times New Roman"/>
          <w:color w:val="000000"/>
          <w:sz w:val="24"/>
          <w:szCs w:val="24"/>
        </w:rPr>
        <w:t>je proveden na pet mjernih postaja (9</w:t>
      </w:r>
      <w:r w:rsidR="00D4589D">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za spojeve tributilkositra u vodi. Spojevi tributilkositra u vodi su utvrđeni na mjernim postajama u vodnim tijelima Bakarskog zaljeva, luke Split i uvale naselja Pag.</w:t>
      </w:r>
    </w:p>
    <w:p w14:paraId="58B31DEC" w14:textId="0E232AEB"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U priobalnim vodama je tijekom 2017. monitoring osnovnih fizikalno-kemijskih elemenata kakvoće i fitoplanktona proveden na 45 mjernih postaja (na svih 26 vodnih tijela). Monitoring bioloških elemenata kakvoće makrofita - makroalge je proveden na 16 mjernih postaja (61</w:t>
      </w:r>
      <w:r w:rsidR="00D4589D">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xml:space="preserve"> vodnih tijela), dok su makrofita - morske cvjetnice i bentički beskralježnjaci praćeni na 17 odnosno deset mjernih postaja (oko 40</w:t>
      </w:r>
      <w:r w:rsidR="00D4589D">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xml:space="preserve"> vodnih tijela). Ocjena stanja prema </w:t>
      </w:r>
      <w:r w:rsidRPr="00D84719">
        <w:rPr>
          <w:rFonts w:ascii="Times New Roman" w:eastAsia="Times New Roman" w:hAnsi="Times New Roman" w:cs="Times New Roman"/>
          <w:i/>
          <w:iCs/>
          <w:color w:val="000000"/>
          <w:sz w:val="24"/>
          <w:szCs w:val="24"/>
        </w:rPr>
        <w:t xml:space="preserve">hidromorfološkim pokazateljima </w:t>
      </w:r>
      <w:r w:rsidRPr="00D84719">
        <w:rPr>
          <w:rFonts w:ascii="Times New Roman" w:eastAsia="Times New Roman" w:hAnsi="Times New Roman" w:cs="Times New Roman"/>
          <w:color w:val="000000"/>
          <w:sz w:val="24"/>
          <w:szCs w:val="24"/>
        </w:rPr>
        <w:t>je provedena na razini vodnog tijela na ukupno 18 vodnih tijela (69</w:t>
      </w:r>
      <w:r w:rsidR="00D4589D">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xml:space="preserve"> od ukupnog broja). </w:t>
      </w:r>
      <w:r w:rsidRPr="00D84719">
        <w:rPr>
          <w:rFonts w:ascii="Times New Roman" w:eastAsia="Times New Roman" w:hAnsi="Times New Roman" w:cs="Times New Roman"/>
          <w:i/>
          <w:iCs/>
          <w:color w:val="000000"/>
          <w:sz w:val="24"/>
          <w:szCs w:val="24"/>
        </w:rPr>
        <w:t xml:space="preserve">Monitoring prioritetnih tvari </w:t>
      </w:r>
      <w:r w:rsidRPr="00D84719">
        <w:rPr>
          <w:rFonts w:ascii="Times New Roman" w:eastAsia="Times New Roman" w:hAnsi="Times New Roman" w:cs="Times New Roman"/>
          <w:color w:val="000000"/>
          <w:sz w:val="24"/>
          <w:szCs w:val="24"/>
        </w:rPr>
        <w:t xml:space="preserve">u vodi i bioti (ribe, školjke) tijekom </w:t>
      </w:r>
      <w:r w:rsidR="009A4BA1">
        <w:rPr>
          <w:rFonts w:ascii="Times New Roman" w:eastAsia="Times New Roman" w:hAnsi="Times New Roman" w:cs="Times New Roman"/>
          <w:color w:val="000000"/>
          <w:sz w:val="24"/>
          <w:szCs w:val="24"/>
        </w:rPr>
        <w:t xml:space="preserve">iste godine </w:t>
      </w:r>
      <w:r w:rsidRPr="00D84719">
        <w:rPr>
          <w:rFonts w:ascii="Times New Roman" w:eastAsia="Times New Roman" w:hAnsi="Times New Roman" w:cs="Times New Roman"/>
          <w:color w:val="000000"/>
          <w:sz w:val="24"/>
          <w:szCs w:val="24"/>
        </w:rPr>
        <w:t xml:space="preserve">je proveden na 42 mjerne postaje svih vodnih tijela priobalnih voda. U istom razdoblju u priobalnim vodama proveden je i monitoring </w:t>
      </w:r>
      <w:r w:rsidRPr="00D84719">
        <w:rPr>
          <w:rFonts w:ascii="Times New Roman" w:eastAsia="Times New Roman" w:hAnsi="Times New Roman" w:cs="Times New Roman"/>
          <w:bCs/>
          <w:color w:val="000000"/>
          <w:sz w:val="24"/>
          <w:szCs w:val="24"/>
        </w:rPr>
        <w:t>specifičnih onečišćujućih tvari</w:t>
      </w:r>
      <w:r w:rsidRPr="00D84719">
        <w:rPr>
          <w:rFonts w:ascii="Times New Roman" w:eastAsia="Times New Roman" w:hAnsi="Times New Roman" w:cs="Times New Roman"/>
          <w:b/>
          <w:bCs/>
          <w:color w:val="000000"/>
          <w:sz w:val="24"/>
          <w:szCs w:val="24"/>
        </w:rPr>
        <w:t xml:space="preserve"> </w:t>
      </w:r>
      <w:r w:rsidRPr="00D84719">
        <w:rPr>
          <w:rFonts w:ascii="Times New Roman" w:eastAsia="Times New Roman" w:hAnsi="Times New Roman" w:cs="Times New Roman"/>
          <w:color w:val="000000"/>
          <w:sz w:val="24"/>
          <w:szCs w:val="24"/>
        </w:rPr>
        <w:t>(bakar i cink), a rezultati pokazuju dobro stanje na svim mjernim postajama. Najgore stanje prema prioritetnim tvarima u priobalnim vodama je zabilježeno u bioti, dobro stanje je utvrđeno samo na pet mjernih postaja (14</w:t>
      </w:r>
      <w:r w:rsidR="00D4589D">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dok u vodi koncentracije prioritetnih tvari upućuju na dobro stanje u 85</w:t>
      </w:r>
      <w:r w:rsidR="00D4589D">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xml:space="preserve"> mjernih postaja. Sumarno promatrano, dobro kemijsko stanje utvrđeno je samo na devet mjernih postaja (21</w:t>
      </w:r>
      <w:r w:rsidR="00D4589D">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w:t>
      </w:r>
      <w:r w:rsidR="00612979">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xml:space="preserve">Proširivanjem ispitivanja prioritetnih tvari na medij </w:t>
      </w:r>
      <w:r w:rsidR="009A4BA1" w:rsidRPr="00D84719">
        <w:rPr>
          <w:rFonts w:ascii="Times New Roman" w:eastAsia="Times New Roman" w:hAnsi="Times New Roman" w:cs="Times New Roman"/>
          <w:color w:val="000000"/>
          <w:sz w:val="24"/>
          <w:szCs w:val="24"/>
        </w:rPr>
        <w:t>biot</w:t>
      </w:r>
      <w:r w:rsidR="009A4BA1">
        <w:rPr>
          <w:rFonts w:ascii="Times New Roman" w:eastAsia="Times New Roman" w:hAnsi="Times New Roman" w:cs="Times New Roman"/>
          <w:color w:val="000000"/>
          <w:sz w:val="24"/>
          <w:szCs w:val="24"/>
        </w:rPr>
        <w:t xml:space="preserve">a </w:t>
      </w:r>
      <w:r w:rsidRPr="00D84719">
        <w:rPr>
          <w:rFonts w:ascii="Times New Roman" w:eastAsia="Times New Roman" w:hAnsi="Times New Roman" w:cs="Times New Roman"/>
          <w:color w:val="000000"/>
          <w:sz w:val="24"/>
          <w:szCs w:val="24"/>
        </w:rPr>
        <w:t>(ribe i školjke) u većini vodnih tijela utvrđene koncentracije žive (Hg) i polibromiranih difeniletera (PBDE) u ribama bile su više od propisanih standarda kakvoće vodnog okoliša koji za živu iznose 20 μg/kg mokre težine, a za PBDE 0</w:t>
      </w:r>
      <w:r w:rsidR="004E6AED">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 xml:space="preserve">0085 μg/kg mokre težine. U vodi su zabilježene povišene koncentracije tributilkositra (TBT) i cibutrina. </w:t>
      </w:r>
    </w:p>
    <w:p w14:paraId="6A8FD88C" w14:textId="2009C337" w:rsidR="00D84719" w:rsidRPr="00D84719" w:rsidRDefault="00863B93" w:rsidP="00D84719">
      <w:pPr>
        <w:spacing w:before="8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w:t>
      </w:r>
      <w:r w:rsidRPr="00D84719">
        <w:rPr>
          <w:rFonts w:ascii="Times New Roman" w:eastAsia="Times New Roman" w:hAnsi="Times New Roman" w:cs="Times New Roman"/>
          <w:color w:val="000000"/>
          <w:sz w:val="24"/>
          <w:szCs w:val="24"/>
        </w:rPr>
        <w:t xml:space="preserve"> </w:t>
      </w:r>
      <w:r w:rsidR="00D84719" w:rsidRPr="00D84719">
        <w:rPr>
          <w:rFonts w:ascii="Times New Roman" w:eastAsia="Times New Roman" w:hAnsi="Times New Roman" w:cs="Times New Roman"/>
          <w:color w:val="000000"/>
          <w:sz w:val="24"/>
          <w:szCs w:val="24"/>
        </w:rPr>
        <w:t>2018.</w:t>
      </w:r>
      <w:r w:rsidR="0061297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je na priobalnim vodnim tijelima </w:t>
      </w:r>
      <w:r w:rsidR="00D84719" w:rsidRPr="00D84719">
        <w:rPr>
          <w:rFonts w:ascii="Times New Roman" w:eastAsia="Times New Roman" w:hAnsi="Times New Roman" w:cs="Times New Roman"/>
          <w:color w:val="000000"/>
          <w:sz w:val="24"/>
          <w:szCs w:val="24"/>
        </w:rPr>
        <w:t xml:space="preserve">proveden </w:t>
      </w:r>
      <w:r w:rsidR="00D84719" w:rsidRPr="00D84719">
        <w:rPr>
          <w:rFonts w:ascii="Times New Roman" w:eastAsia="Times New Roman" w:hAnsi="Times New Roman" w:cs="Times New Roman"/>
          <w:i/>
          <w:iCs/>
          <w:color w:val="000000"/>
          <w:sz w:val="24"/>
          <w:szCs w:val="24"/>
        </w:rPr>
        <w:t xml:space="preserve">operativni monitoring ekološkog stanja </w:t>
      </w:r>
      <w:r w:rsidR="00D84719" w:rsidRPr="00D84719">
        <w:rPr>
          <w:rFonts w:ascii="Times New Roman" w:eastAsia="Times New Roman" w:hAnsi="Times New Roman" w:cs="Times New Roman"/>
          <w:color w:val="000000"/>
          <w:sz w:val="24"/>
          <w:szCs w:val="24"/>
        </w:rPr>
        <w:t xml:space="preserve">na 19 mjernih postaja (42 %) za prateće fizikalno - kemijske pokazatelje, fitoplankton i klorofil </w:t>
      </w:r>
      <w:r w:rsidR="00D84719" w:rsidRPr="00D84719">
        <w:rPr>
          <w:rFonts w:ascii="Times New Roman" w:eastAsia="Times New Roman" w:hAnsi="Times New Roman" w:cs="Times New Roman"/>
          <w:i/>
          <w:iCs/>
          <w:color w:val="000000"/>
          <w:sz w:val="24"/>
          <w:szCs w:val="24"/>
        </w:rPr>
        <w:t>a</w:t>
      </w:r>
      <w:r w:rsidR="00D84719" w:rsidRPr="00D84719">
        <w:rPr>
          <w:rFonts w:ascii="Times New Roman" w:eastAsia="Times New Roman" w:hAnsi="Times New Roman" w:cs="Times New Roman"/>
          <w:color w:val="000000"/>
          <w:sz w:val="24"/>
          <w:szCs w:val="24"/>
        </w:rPr>
        <w:t xml:space="preserve"> te na po 4 mjerne postaje za bentičke beskralježnjake i makroalge. Osim operativnog monitoringa tijekom </w:t>
      </w:r>
      <w:r w:rsidR="009A4BA1">
        <w:rPr>
          <w:rFonts w:ascii="Times New Roman" w:eastAsia="Times New Roman" w:hAnsi="Times New Roman" w:cs="Times New Roman"/>
          <w:color w:val="000000"/>
          <w:sz w:val="24"/>
          <w:szCs w:val="24"/>
        </w:rPr>
        <w:t>iste godine</w:t>
      </w:r>
      <w:r w:rsidR="00D84719" w:rsidRPr="00D84719">
        <w:rPr>
          <w:rFonts w:ascii="Times New Roman" w:eastAsia="Times New Roman" w:hAnsi="Times New Roman" w:cs="Times New Roman"/>
          <w:color w:val="000000"/>
          <w:sz w:val="24"/>
          <w:szCs w:val="24"/>
        </w:rPr>
        <w:t xml:space="preserve"> proveden je i </w:t>
      </w:r>
      <w:r w:rsidR="00D84719" w:rsidRPr="00D84719">
        <w:rPr>
          <w:rFonts w:ascii="Times New Roman" w:eastAsia="Times New Roman" w:hAnsi="Times New Roman" w:cs="Times New Roman"/>
          <w:i/>
          <w:iCs/>
          <w:color w:val="000000"/>
          <w:sz w:val="24"/>
          <w:szCs w:val="24"/>
        </w:rPr>
        <w:t xml:space="preserve">nadzorni monitoring </w:t>
      </w:r>
      <w:r w:rsidR="00D84719" w:rsidRPr="00D84719">
        <w:rPr>
          <w:rFonts w:ascii="Times New Roman" w:eastAsia="Times New Roman" w:hAnsi="Times New Roman" w:cs="Times New Roman"/>
          <w:color w:val="000000"/>
          <w:sz w:val="24"/>
          <w:szCs w:val="24"/>
        </w:rPr>
        <w:t xml:space="preserve">biološkog elementa kakvoće </w:t>
      </w:r>
      <w:r w:rsidR="00D84719" w:rsidRPr="00D84719">
        <w:rPr>
          <w:rFonts w:ascii="Times New Roman" w:eastAsia="Times New Roman" w:hAnsi="Times New Roman" w:cs="Times New Roman"/>
          <w:color w:val="000000"/>
          <w:sz w:val="24"/>
          <w:szCs w:val="24"/>
        </w:rPr>
        <w:lastRenderedPageBreak/>
        <w:t>makrofita-morske cvjetnice na 8 mjernih postaja (</w:t>
      </w:r>
      <w:r w:rsidR="00923662">
        <w:rPr>
          <w:rFonts w:ascii="Times New Roman" w:eastAsia="Times New Roman" w:hAnsi="Times New Roman" w:cs="Times New Roman"/>
          <w:color w:val="000000"/>
          <w:sz w:val="24"/>
          <w:szCs w:val="24"/>
        </w:rPr>
        <w:t>dva</w:t>
      </w:r>
      <w:r w:rsidR="00923662" w:rsidRPr="00D84719">
        <w:rPr>
          <w:rFonts w:ascii="Times New Roman" w:eastAsia="Times New Roman" w:hAnsi="Times New Roman" w:cs="Times New Roman"/>
          <w:color w:val="000000"/>
          <w:sz w:val="24"/>
          <w:szCs w:val="24"/>
        </w:rPr>
        <w:t xml:space="preserve"> </w:t>
      </w:r>
      <w:r w:rsidR="00D84719" w:rsidRPr="00D84719">
        <w:rPr>
          <w:rFonts w:ascii="Times New Roman" w:eastAsia="Times New Roman" w:hAnsi="Times New Roman" w:cs="Times New Roman"/>
          <w:color w:val="000000"/>
          <w:sz w:val="24"/>
          <w:szCs w:val="24"/>
        </w:rPr>
        <w:t xml:space="preserve">vodna tijela) i makrofita-makroalge na tri mjerne postaje. </w:t>
      </w:r>
      <w:r w:rsidR="00D84719" w:rsidRPr="00D84719">
        <w:rPr>
          <w:rFonts w:ascii="Times New Roman" w:eastAsia="Times New Roman" w:hAnsi="Times New Roman" w:cs="Times New Roman"/>
          <w:i/>
          <w:iCs/>
          <w:color w:val="000000"/>
          <w:sz w:val="24"/>
          <w:szCs w:val="24"/>
        </w:rPr>
        <w:t xml:space="preserve">Operativni monitoring kemijskog stanja </w:t>
      </w:r>
      <w:r w:rsidR="00D84719" w:rsidRPr="00D84719">
        <w:rPr>
          <w:rFonts w:ascii="Times New Roman" w:eastAsia="Times New Roman" w:hAnsi="Times New Roman" w:cs="Times New Roman"/>
          <w:color w:val="000000"/>
          <w:sz w:val="24"/>
          <w:szCs w:val="24"/>
        </w:rPr>
        <w:t>je proveden na šest mjernih postaja (14</w:t>
      </w:r>
      <w:r w:rsidR="00D4589D">
        <w:rPr>
          <w:rFonts w:ascii="Times New Roman" w:eastAsia="Times New Roman" w:hAnsi="Times New Roman" w:cs="Times New Roman"/>
          <w:color w:val="000000"/>
          <w:sz w:val="24"/>
          <w:szCs w:val="24"/>
        </w:rPr>
        <w:t xml:space="preserve"> %</w:t>
      </w:r>
      <w:r w:rsidR="00D84719" w:rsidRPr="00D84719">
        <w:rPr>
          <w:rFonts w:ascii="Times New Roman" w:eastAsia="Times New Roman" w:hAnsi="Times New Roman" w:cs="Times New Roman"/>
          <w:color w:val="000000"/>
          <w:sz w:val="24"/>
          <w:szCs w:val="24"/>
        </w:rPr>
        <w:t>) za spojeve tributilkositra u vodi.</w:t>
      </w:r>
      <w:r w:rsidR="00612979">
        <w:rPr>
          <w:rFonts w:ascii="Times New Roman" w:eastAsia="Times New Roman" w:hAnsi="Times New Roman" w:cs="Times New Roman"/>
          <w:color w:val="000000"/>
          <w:sz w:val="24"/>
          <w:szCs w:val="24"/>
        </w:rPr>
        <w:t xml:space="preserve"> </w:t>
      </w:r>
      <w:r w:rsidR="00D84719" w:rsidRPr="00D84719">
        <w:rPr>
          <w:rFonts w:ascii="Times New Roman" w:eastAsia="Times New Roman" w:hAnsi="Times New Roman" w:cs="Times New Roman"/>
          <w:color w:val="000000"/>
          <w:sz w:val="24"/>
          <w:szCs w:val="24"/>
        </w:rPr>
        <w:t>Operativni monitoring kemijskog stanja je proveden na pet vodnih tijela (15</w:t>
      </w:r>
      <w:r w:rsidR="00D4589D">
        <w:rPr>
          <w:rFonts w:ascii="Times New Roman" w:eastAsia="Times New Roman" w:hAnsi="Times New Roman" w:cs="Times New Roman"/>
          <w:color w:val="000000"/>
          <w:sz w:val="24"/>
          <w:szCs w:val="24"/>
        </w:rPr>
        <w:t xml:space="preserve"> %</w:t>
      </w:r>
      <w:r w:rsidR="00D84719" w:rsidRPr="00D84719">
        <w:rPr>
          <w:rFonts w:ascii="Times New Roman" w:eastAsia="Times New Roman" w:hAnsi="Times New Roman" w:cs="Times New Roman"/>
          <w:color w:val="000000"/>
          <w:sz w:val="24"/>
          <w:szCs w:val="24"/>
        </w:rPr>
        <w:t xml:space="preserve"> od ukupnog broja vodnih tijela) za spojeve tributilkositra u vodi i sedimentu. Spojevi tributilkositra u vodi i sedimentu utvrđeni su na svim ispitivanim vodnim tijelima priobalnih voda (vodno tijelo Kaštelanskog zaljeva, Bakarskog zaljeva te vodna tijela luka Rijeka, Pula i Split).</w:t>
      </w:r>
    </w:p>
    <w:p w14:paraId="2B736FB1"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p>
    <w:p w14:paraId="0690A44F" w14:textId="77777777" w:rsidR="00D84719" w:rsidRPr="00D84719" w:rsidRDefault="00D84719" w:rsidP="00DF02E3">
      <w:pPr>
        <w:pStyle w:val="Naslov3"/>
      </w:pPr>
      <w:bookmarkStart w:id="136" w:name="_Toc41638273"/>
      <w:bookmarkStart w:id="137" w:name="_Toc64460728"/>
      <w:r w:rsidRPr="00D84719">
        <w:t>M</w:t>
      </w:r>
      <w:bookmarkEnd w:id="136"/>
      <w:r w:rsidR="008B4B43">
        <w:t>ore</w:t>
      </w:r>
      <w:bookmarkEnd w:id="137"/>
    </w:p>
    <w:p w14:paraId="75FC175B" w14:textId="1CBAB91E" w:rsidR="00D84719" w:rsidRPr="006712F5" w:rsidRDefault="006712F5" w:rsidP="00D84719">
      <w:pPr>
        <w:spacing w:before="80" w:line="276" w:lineRule="auto"/>
        <w:jc w:val="both"/>
        <w:rPr>
          <w:rFonts w:ascii="Times New Roman" w:eastAsia="Times New Roman" w:hAnsi="Times New Roman" w:cs="Times New Roman"/>
          <w:color w:val="000000"/>
          <w:sz w:val="24"/>
          <w:szCs w:val="24"/>
        </w:rPr>
      </w:pPr>
      <w:r w:rsidRPr="006712F5">
        <w:rPr>
          <w:rFonts w:ascii="Times New Roman" w:eastAsia="Times New Roman" w:hAnsi="Times New Roman" w:cs="Times New Roman"/>
          <w:color w:val="000000"/>
          <w:sz w:val="24"/>
          <w:szCs w:val="24"/>
        </w:rPr>
        <w:t>U 2015</w:t>
      </w:r>
      <w:r w:rsidR="004C449C">
        <w:rPr>
          <w:rFonts w:ascii="Times New Roman" w:eastAsia="Times New Roman" w:hAnsi="Times New Roman" w:cs="Times New Roman"/>
          <w:color w:val="000000"/>
          <w:sz w:val="24"/>
          <w:szCs w:val="24"/>
        </w:rPr>
        <w:t>.</w:t>
      </w:r>
      <w:r w:rsidRPr="006712F5">
        <w:rPr>
          <w:rFonts w:ascii="Times New Roman" w:eastAsia="Times New Roman" w:hAnsi="Times New Roman" w:cs="Times New Roman"/>
          <w:color w:val="000000"/>
          <w:sz w:val="24"/>
          <w:szCs w:val="24"/>
        </w:rPr>
        <w:t xml:space="preserve"> u okviru „Ugovora o sustavnom ispitivanju kakvoće prijelaznih i priobalnih voda u 2014. – 2015. godini“ financiranog od strane Hrvatskih voda, rađene su analize niza organskih </w:t>
      </w:r>
      <w:r w:rsidR="00A166B2" w:rsidRPr="006712F5">
        <w:rPr>
          <w:rFonts w:ascii="Times New Roman" w:eastAsia="Times New Roman" w:hAnsi="Times New Roman" w:cs="Times New Roman"/>
          <w:color w:val="000000"/>
          <w:sz w:val="24"/>
          <w:szCs w:val="24"/>
        </w:rPr>
        <w:t>onečišćujućih</w:t>
      </w:r>
      <w:r w:rsidRPr="006712F5">
        <w:rPr>
          <w:rFonts w:ascii="Times New Roman" w:eastAsia="Times New Roman" w:hAnsi="Times New Roman" w:cs="Times New Roman"/>
          <w:color w:val="000000"/>
          <w:sz w:val="24"/>
          <w:szCs w:val="24"/>
        </w:rPr>
        <w:t xml:space="preserve"> tvari koje ulaze u skupinu POPs-ova (Tablica </w:t>
      </w:r>
      <w:r w:rsidR="00CD71D4">
        <w:rPr>
          <w:rFonts w:ascii="Times New Roman" w:eastAsia="Times New Roman" w:hAnsi="Times New Roman" w:cs="Times New Roman"/>
          <w:color w:val="000000"/>
          <w:sz w:val="24"/>
          <w:szCs w:val="24"/>
        </w:rPr>
        <w:t>3</w:t>
      </w:r>
      <w:r w:rsidRPr="006712F5">
        <w:rPr>
          <w:rFonts w:ascii="Times New Roman" w:eastAsia="Times New Roman" w:hAnsi="Times New Roman" w:cs="Times New Roman"/>
          <w:color w:val="000000"/>
          <w:sz w:val="24"/>
          <w:szCs w:val="24"/>
        </w:rPr>
        <w:t>.</w:t>
      </w:r>
      <w:r w:rsidR="00CD71D4">
        <w:rPr>
          <w:rFonts w:ascii="Times New Roman" w:eastAsia="Times New Roman" w:hAnsi="Times New Roman" w:cs="Times New Roman"/>
          <w:color w:val="000000"/>
          <w:sz w:val="24"/>
          <w:szCs w:val="24"/>
        </w:rPr>
        <w:t>7</w:t>
      </w:r>
      <w:r w:rsidRPr="006712F5">
        <w:rPr>
          <w:rFonts w:ascii="Times New Roman" w:eastAsia="Times New Roman" w:hAnsi="Times New Roman" w:cs="Times New Roman"/>
          <w:color w:val="000000"/>
          <w:sz w:val="24"/>
          <w:szCs w:val="24"/>
        </w:rPr>
        <w:t xml:space="preserve">-1). Izvođači projekta bili su konzorcij Instituta za oceanografiju i ribarstvo iz Splita (IOR), Instituta Ruđer Bošković iz Zagreba (IRB) i </w:t>
      </w:r>
      <w:proofErr w:type="spellStart"/>
      <w:r w:rsidRPr="006712F5">
        <w:rPr>
          <w:rFonts w:ascii="Times New Roman" w:eastAsia="Times New Roman" w:hAnsi="Times New Roman" w:cs="Times New Roman"/>
          <w:color w:val="000000"/>
          <w:sz w:val="24"/>
          <w:szCs w:val="24"/>
        </w:rPr>
        <w:t>Rheinisch-Westfalisches</w:t>
      </w:r>
      <w:proofErr w:type="spellEnd"/>
      <w:r w:rsidRPr="006712F5">
        <w:rPr>
          <w:rFonts w:ascii="Times New Roman" w:eastAsia="Times New Roman" w:hAnsi="Times New Roman" w:cs="Times New Roman"/>
          <w:color w:val="000000"/>
          <w:sz w:val="24"/>
          <w:szCs w:val="24"/>
        </w:rPr>
        <w:t xml:space="preserve"> Institut </w:t>
      </w:r>
      <w:proofErr w:type="spellStart"/>
      <w:r w:rsidRPr="006712F5">
        <w:rPr>
          <w:rFonts w:ascii="Times New Roman" w:eastAsia="Times New Roman" w:hAnsi="Times New Roman" w:cs="Times New Roman"/>
          <w:color w:val="000000"/>
          <w:sz w:val="24"/>
          <w:szCs w:val="24"/>
        </w:rPr>
        <w:t>fur</w:t>
      </w:r>
      <w:proofErr w:type="spellEnd"/>
      <w:r w:rsidRPr="006712F5">
        <w:rPr>
          <w:rFonts w:ascii="Times New Roman" w:eastAsia="Times New Roman" w:hAnsi="Times New Roman" w:cs="Times New Roman"/>
          <w:color w:val="000000"/>
          <w:sz w:val="24"/>
          <w:szCs w:val="24"/>
        </w:rPr>
        <w:t xml:space="preserve"> </w:t>
      </w:r>
      <w:proofErr w:type="spellStart"/>
      <w:r w:rsidRPr="006712F5">
        <w:rPr>
          <w:rFonts w:ascii="Times New Roman" w:eastAsia="Times New Roman" w:hAnsi="Times New Roman" w:cs="Times New Roman"/>
          <w:color w:val="000000"/>
          <w:sz w:val="24"/>
          <w:szCs w:val="24"/>
        </w:rPr>
        <w:t>Wasser</w:t>
      </w:r>
      <w:proofErr w:type="spellEnd"/>
      <w:r w:rsidRPr="006712F5">
        <w:rPr>
          <w:rFonts w:ascii="Times New Roman" w:eastAsia="Times New Roman" w:hAnsi="Times New Roman" w:cs="Times New Roman"/>
          <w:color w:val="000000"/>
          <w:sz w:val="24"/>
          <w:szCs w:val="24"/>
        </w:rPr>
        <w:t xml:space="preserve"> </w:t>
      </w:r>
      <w:proofErr w:type="spellStart"/>
      <w:r w:rsidRPr="006712F5">
        <w:rPr>
          <w:rFonts w:ascii="Times New Roman" w:eastAsia="Times New Roman" w:hAnsi="Times New Roman" w:cs="Times New Roman"/>
          <w:color w:val="000000"/>
          <w:sz w:val="24"/>
          <w:szCs w:val="24"/>
        </w:rPr>
        <w:t>Beratungs</w:t>
      </w:r>
      <w:proofErr w:type="spellEnd"/>
      <w:r w:rsidRPr="006712F5">
        <w:rPr>
          <w:rFonts w:ascii="Times New Roman" w:eastAsia="Times New Roman" w:hAnsi="Times New Roman" w:cs="Times New Roman"/>
          <w:color w:val="000000"/>
          <w:sz w:val="24"/>
          <w:szCs w:val="24"/>
        </w:rPr>
        <w:t xml:space="preserve"> </w:t>
      </w:r>
      <w:proofErr w:type="spellStart"/>
      <w:r w:rsidRPr="006712F5">
        <w:rPr>
          <w:rFonts w:ascii="Times New Roman" w:eastAsia="Times New Roman" w:hAnsi="Times New Roman" w:cs="Times New Roman"/>
          <w:color w:val="000000"/>
          <w:sz w:val="24"/>
          <w:szCs w:val="24"/>
        </w:rPr>
        <w:t>und</w:t>
      </w:r>
      <w:proofErr w:type="spellEnd"/>
      <w:r w:rsidRPr="006712F5">
        <w:rPr>
          <w:rFonts w:ascii="Times New Roman" w:eastAsia="Times New Roman" w:hAnsi="Times New Roman" w:cs="Times New Roman"/>
          <w:color w:val="000000"/>
          <w:sz w:val="24"/>
          <w:szCs w:val="24"/>
        </w:rPr>
        <w:t xml:space="preserve"> </w:t>
      </w:r>
      <w:proofErr w:type="spellStart"/>
      <w:r w:rsidRPr="006712F5">
        <w:rPr>
          <w:rFonts w:ascii="Times New Roman" w:eastAsia="Times New Roman" w:hAnsi="Times New Roman" w:cs="Times New Roman"/>
          <w:color w:val="000000"/>
          <w:sz w:val="24"/>
          <w:szCs w:val="24"/>
        </w:rPr>
        <w:t>Entwicklungsgesellschaft</w:t>
      </w:r>
      <w:proofErr w:type="spellEnd"/>
      <w:r w:rsidRPr="006712F5">
        <w:rPr>
          <w:rFonts w:ascii="Times New Roman" w:eastAsia="Times New Roman" w:hAnsi="Times New Roman" w:cs="Times New Roman"/>
          <w:color w:val="000000"/>
          <w:sz w:val="24"/>
          <w:szCs w:val="24"/>
        </w:rPr>
        <w:t xml:space="preserve"> </w:t>
      </w:r>
      <w:proofErr w:type="spellStart"/>
      <w:r w:rsidRPr="006712F5">
        <w:rPr>
          <w:rFonts w:ascii="Times New Roman" w:eastAsia="Times New Roman" w:hAnsi="Times New Roman" w:cs="Times New Roman"/>
          <w:color w:val="000000"/>
          <w:sz w:val="24"/>
          <w:szCs w:val="24"/>
        </w:rPr>
        <w:t>mbH</w:t>
      </w:r>
      <w:proofErr w:type="spellEnd"/>
      <w:r w:rsidRPr="006712F5">
        <w:rPr>
          <w:rFonts w:ascii="Times New Roman" w:eastAsia="Times New Roman" w:hAnsi="Times New Roman" w:cs="Times New Roman"/>
          <w:color w:val="000000"/>
          <w:sz w:val="24"/>
          <w:szCs w:val="24"/>
        </w:rPr>
        <w:t xml:space="preserve">, </w:t>
      </w:r>
      <w:proofErr w:type="spellStart"/>
      <w:r w:rsidRPr="006712F5">
        <w:rPr>
          <w:rFonts w:ascii="Times New Roman" w:eastAsia="Times New Roman" w:hAnsi="Times New Roman" w:cs="Times New Roman"/>
          <w:color w:val="000000"/>
          <w:sz w:val="24"/>
          <w:szCs w:val="24"/>
        </w:rPr>
        <w:t>Mulheim</w:t>
      </w:r>
      <w:proofErr w:type="spellEnd"/>
      <w:r w:rsidRPr="006712F5">
        <w:rPr>
          <w:rFonts w:ascii="Times New Roman" w:eastAsia="Times New Roman" w:hAnsi="Times New Roman" w:cs="Times New Roman"/>
          <w:color w:val="000000"/>
          <w:sz w:val="24"/>
          <w:szCs w:val="24"/>
        </w:rPr>
        <w:t xml:space="preserve"> </w:t>
      </w:r>
      <w:proofErr w:type="spellStart"/>
      <w:r w:rsidRPr="006712F5">
        <w:rPr>
          <w:rFonts w:ascii="Times New Roman" w:eastAsia="Times New Roman" w:hAnsi="Times New Roman" w:cs="Times New Roman"/>
          <w:color w:val="000000"/>
          <w:sz w:val="24"/>
          <w:szCs w:val="24"/>
        </w:rPr>
        <w:t>and</w:t>
      </w:r>
      <w:proofErr w:type="spellEnd"/>
      <w:r w:rsidRPr="006712F5">
        <w:rPr>
          <w:rFonts w:ascii="Times New Roman" w:eastAsia="Times New Roman" w:hAnsi="Times New Roman" w:cs="Times New Roman"/>
          <w:color w:val="000000"/>
          <w:sz w:val="24"/>
          <w:szCs w:val="24"/>
        </w:rPr>
        <w:t xml:space="preserve"> </w:t>
      </w:r>
      <w:proofErr w:type="spellStart"/>
      <w:r w:rsidRPr="006712F5">
        <w:rPr>
          <w:rFonts w:ascii="Times New Roman" w:eastAsia="Times New Roman" w:hAnsi="Times New Roman" w:cs="Times New Roman"/>
          <w:color w:val="000000"/>
          <w:sz w:val="24"/>
          <w:szCs w:val="24"/>
        </w:rPr>
        <w:t>der</w:t>
      </w:r>
      <w:proofErr w:type="spellEnd"/>
      <w:r w:rsidRPr="006712F5">
        <w:rPr>
          <w:rFonts w:ascii="Times New Roman" w:eastAsia="Times New Roman" w:hAnsi="Times New Roman" w:cs="Times New Roman"/>
          <w:color w:val="000000"/>
          <w:sz w:val="24"/>
          <w:szCs w:val="24"/>
        </w:rPr>
        <w:t xml:space="preserve"> </w:t>
      </w:r>
      <w:proofErr w:type="spellStart"/>
      <w:r w:rsidRPr="006712F5">
        <w:rPr>
          <w:rFonts w:ascii="Times New Roman" w:eastAsia="Times New Roman" w:hAnsi="Times New Roman" w:cs="Times New Roman"/>
          <w:color w:val="000000"/>
          <w:sz w:val="24"/>
          <w:szCs w:val="24"/>
        </w:rPr>
        <w:t>Ruhr</w:t>
      </w:r>
      <w:proofErr w:type="spellEnd"/>
      <w:r w:rsidRPr="006712F5">
        <w:rPr>
          <w:rFonts w:ascii="Times New Roman" w:eastAsia="Times New Roman" w:hAnsi="Times New Roman" w:cs="Times New Roman"/>
          <w:color w:val="000000"/>
          <w:sz w:val="24"/>
          <w:szCs w:val="24"/>
        </w:rPr>
        <w:t>, Njemačka (IWW). Analize POPs-ova u vodi rađene su u laboratorijima IWW i Hrvatskih voda.</w:t>
      </w:r>
    </w:p>
    <w:p w14:paraId="6318E1C9" w14:textId="77777777" w:rsidR="00D84719" w:rsidRDefault="00D84719" w:rsidP="00D84719">
      <w:pPr>
        <w:keepNext/>
        <w:spacing w:before="80" w:after="0" w:line="276" w:lineRule="auto"/>
        <w:jc w:val="both"/>
        <w:rPr>
          <w:rFonts w:ascii="Times New Roman" w:eastAsia="Times New Roman" w:hAnsi="Times New Roman" w:cs="Times New Roman"/>
          <w:b/>
          <w:bCs/>
          <w:i/>
          <w:sz w:val="20"/>
          <w:szCs w:val="20"/>
        </w:rPr>
      </w:pPr>
      <w:r w:rsidRPr="00D84719">
        <w:rPr>
          <w:rFonts w:ascii="Times New Roman" w:eastAsia="Times New Roman" w:hAnsi="Times New Roman" w:cs="Times New Roman"/>
          <w:b/>
          <w:bCs/>
          <w:i/>
          <w:sz w:val="20"/>
          <w:szCs w:val="20"/>
        </w:rPr>
        <w:t xml:space="preserve">Tablica </w:t>
      </w:r>
      <w:r w:rsidRPr="00D84719">
        <w:rPr>
          <w:rFonts w:ascii="Times New Roman" w:eastAsia="Times New Roman" w:hAnsi="Times New Roman" w:cs="Times New Roman"/>
          <w:b/>
          <w:bCs/>
          <w:i/>
          <w:sz w:val="20"/>
          <w:szCs w:val="20"/>
        </w:rPr>
        <w:fldChar w:fldCharType="begin"/>
      </w:r>
      <w:r w:rsidRPr="00D84719">
        <w:rPr>
          <w:rFonts w:ascii="Times New Roman" w:eastAsia="Times New Roman" w:hAnsi="Times New Roman" w:cs="Times New Roman"/>
          <w:b/>
          <w:bCs/>
          <w:i/>
          <w:sz w:val="20"/>
          <w:szCs w:val="20"/>
        </w:rPr>
        <w:instrText xml:space="preserve"> STYLEREF 2 \s </w:instrText>
      </w:r>
      <w:r w:rsidRPr="00D84719">
        <w:rPr>
          <w:rFonts w:ascii="Times New Roman" w:eastAsia="Times New Roman" w:hAnsi="Times New Roman" w:cs="Times New Roman"/>
          <w:b/>
          <w:bCs/>
          <w:i/>
          <w:sz w:val="20"/>
          <w:szCs w:val="20"/>
        </w:rPr>
        <w:fldChar w:fldCharType="separate"/>
      </w:r>
      <w:r w:rsidRPr="00D84719">
        <w:rPr>
          <w:rFonts w:ascii="Times New Roman" w:eastAsia="Times New Roman" w:hAnsi="Times New Roman" w:cs="Times New Roman"/>
          <w:b/>
          <w:bCs/>
          <w:i/>
          <w:sz w:val="20"/>
          <w:szCs w:val="20"/>
        </w:rPr>
        <w:t>3.7</w:t>
      </w:r>
      <w:r w:rsidRPr="00D84719">
        <w:rPr>
          <w:rFonts w:ascii="Times New Roman" w:eastAsia="Times New Roman" w:hAnsi="Times New Roman" w:cs="Times New Roman"/>
          <w:b/>
          <w:bCs/>
          <w:i/>
          <w:sz w:val="20"/>
          <w:szCs w:val="20"/>
        </w:rPr>
        <w:fldChar w:fldCharType="end"/>
      </w:r>
      <w:r w:rsidRPr="00D84719">
        <w:rPr>
          <w:rFonts w:ascii="Times New Roman" w:eastAsia="Times New Roman" w:hAnsi="Times New Roman" w:cs="Times New Roman"/>
          <w:b/>
          <w:bCs/>
          <w:i/>
          <w:sz w:val="20"/>
          <w:szCs w:val="20"/>
        </w:rPr>
        <w:noBreakHyphen/>
      </w:r>
      <w:r w:rsidRPr="00D84719">
        <w:rPr>
          <w:rFonts w:ascii="Times New Roman" w:eastAsia="Times New Roman" w:hAnsi="Times New Roman" w:cs="Times New Roman"/>
          <w:b/>
          <w:bCs/>
          <w:i/>
          <w:sz w:val="20"/>
          <w:szCs w:val="20"/>
        </w:rPr>
        <w:fldChar w:fldCharType="begin"/>
      </w:r>
      <w:r w:rsidRPr="00D84719">
        <w:rPr>
          <w:rFonts w:ascii="Times New Roman" w:eastAsia="Times New Roman" w:hAnsi="Times New Roman" w:cs="Times New Roman"/>
          <w:b/>
          <w:bCs/>
          <w:i/>
          <w:sz w:val="20"/>
          <w:szCs w:val="20"/>
        </w:rPr>
        <w:instrText xml:space="preserve"> SEQ Tablica \* ARABIC \s 2 </w:instrText>
      </w:r>
      <w:r w:rsidRPr="00D84719">
        <w:rPr>
          <w:rFonts w:ascii="Times New Roman" w:eastAsia="Times New Roman" w:hAnsi="Times New Roman" w:cs="Times New Roman"/>
          <w:b/>
          <w:bCs/>
          <w:i/>
          <w:sz w:val="20"/>
          <w:szCs w:val="20"/>
        </w:rPr>
        <w:fldChar w:fldCharType="separate"/>
      </w:r>
      <w:r w:rsidRPr="00D84719">
        <w:rPr>
          <w:rFonts w:ascii="Times New Roman" w:eastAsia="Times New Roman" w:hAnsi="Times New Roman" w:cs="Times New Roman"/>
          <w:b/>
          <w:bCs/>
          <w:i/>
          <w:sz w:val="20"/>
          <w:szCs w:val="20"/>
        </w:rPr>
        <w:t>1</w:t>
      </w:r>
      <w:r w:rsidRPr="00D84719">
        <w:rPr>
          <w:rFonts w:ascii="Times New Roman" w:eastAsia="Times New Roman" w:hAnsi="Times New Roman" w:cs="Times New Roman"/>
          <w:b/>
          <w:bCs/>
          <w:i/>
          <w:sz w:val="20"/>
          <w:szCs w:val="20"/>
        </w:rPr>
        <w:fldChar w:fldCharType="end"/>
      </w:r>
      <w:r w:rsidRPr="00D84719">
        <w:rPr>
          <w:rFonts w:ascii="Times New Roman" w:eastAsia="Times New Roman" w:hAnsi="Times New Roman" w:cs="Times New Roman"/>
          <w:b/>
          <w:bCs/>
          <w:i/>
          <w:sz w:val="20"/>
          <w:szCs w:val="20"/>
        </w:rPr>
        <w:t xml:space="preserve"> Popis POPs-ova određivanih u vodi, sedimentu i bioti u okviru monitoringa prijelaznih i priobalnih voda istočne jadranske obale u razdoblju 2015. – 201</w:t>
      </w:r>
      <w:r w:rsidR="00DD202F">
        <w:rPr>
          <w:rFonts w:ascii="Times New Roman" w:eastAsia="Times New Roman" w:hAnsi="Times New Roman" w:cs="Times New Roman"/>
          <w:b/>
          <w:bCs/>
          <w:i/>
          <w:sz w:val="20"/>
          <w:szCs w:val="20"/>
        </w:rPr>
        <w:t>7</w:t>
      </w:r>
      <w:r w:rsidRPr="00D84719">
        <w:rPr>
          <w:rFonts w:ascii="Times New Roman" w:eastAsia="Times New Roman" w:hAnsi="Times New Roman" w:cs="Times New Roman"/>
          <w:b/>
          <w:bCs/>
          <w:i/>
          <w:sz w:val="20"/>
          <w:szCs w:val="20"/>
        </w:rPr>
        <w:t>..</w:t>
      </w:r>
    </w:p>
    <w:tbl>
      <w:tblPr>
        <w:tblW w:w="47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4"/>
        <w:gridCol w:w="6238"/>
      </w:tblGrid>
      <w:tr w:rsidR="00CD71D4" w:rsidRPr="00D84719" w14:paraId="0A86E7C0" w14:textId="77777777" w:rsidTr="00961741">
        <w:tc>
          <w:tcPr>
            <w:tcW w:w="1391" w:type="pct"/>
            <w:vAlign w:val="center"/>
          </w:tcPr>
          <w:p w14:paraId="4C9AD33B" w14:textId="77777777" w:rsidR="00CD71D4" w:rsidRPr="00961741" w:rsidRDefault="00CD71D4" w:rsidP="00CD71D4">
            <w:pPr>
              <w:spacing w:before="80" w:line="276" w:lineRule="auto"/>
              <w:jc w:val="center"/>
              <w:rPr>
                <w:rFonts w:ascii="Times New Roman" w:eastAsia="Times New Roman" w:hAnsi="Times New Roman" w:cs="Times New Roman"/>
                <w:b/>
                <w:bCs/>
                <w:color w:val="000000"/>
                <w:sz w:val="24"/>
                <w:szCs w:val="24"/>
              </w:rPr>
            </w:pPr>
            <w:r w:rsidRPr="00961741">
              <w:rPr>
                <w:rFonts w:ascii="Times New Roman" w:eastAsia="Times New Roman" w:hAnsi="Times New Roman" w:cs="Times New Roman"/>
                <w:b/>
                <w:bCs/>
                <w:color w:val="000000"/>
                <w:sz w:val="24"/>
                <w:szCs w:val="24"/>
              </w:rPr>
              <w:t>Dio vodenog okoliša</w:t>
            </w:r>
          </w:p>
        </w:tc>
        <w:tc>
          <w:tcPr>
            <w:tcW w:w="3609" w:type="pct"/>
            <w:vAlign w:val="center"/>
          </w:tcPr>
          <w:p w14:paraId="6AA657E5" w14:textId="77777777" w:rsidR="00CD71D4" w:rsidRPr="00961741" w:rsidRDefault="00CD71D4" w:rsidP="00CD71D4">
            <w:pPr>
              <w:spacing w:after="0" w:line="276" w:lineRule="auto"/>
              <w:jc w:val="both"/>
              <w:rPr>
                <w:rFonts w:ascii="Times New Roman" w:eastAsia="Times New Roman" w:hAnsi="Times New Roman" w:cs="Times New Roman"/>
                <w:color w:val="000000"/>
                <w:sz w:val="24"/>
                <w:szCs w:val="24"/>
              </w:rPr>
            </w:pPr>
            <w:r w:rsidRPr="00961741">
              <w:rPr>
                <w:rFonts w:ascii="Times New Roman" w:eastAsia="Times New Roman" w:hAnsi="Times New Roman" w:cs="Times New Roman"/>
                <w:b/>
                <w:bCs/>
                <w:color w:val="000000"/>
                <w:sz w:val="24"/>
                <w:szCs w:val="24"/>
              </w:rPr>
              <w:t>POPs</w:t>
            </w:r>
          </w:p>
        </w:tc>
      </w:tr>
      <w:tr w:rsidR="00CD71D4" w:rsidRPr="00D84719" w14:paraId="45164A5B" w14:textId="77777777" w:rsidTr="00961741">
        <w:tc>
          <w:tcPr>
            <w:tcW w:w="1391" w:type="pct"/>
            <w:vAlign w:val="center"/>
          </w:tcPr>
          <w:p w14:paraId="74757861" w14:textId="77777777" w:rsidR="00CD71D4" w:rsidRPr="00961741" w:rsidRDefault="00CD71D4" w:rsidP="00CD71D4">
            <w:pPr>
              <w:spacing w:before="80" w:line="276" w:lineRule="auto"/>
              <w:jc w:val="center"/>
              <w:rPr>
                <w:rFonts w:ascii="Times New Roman" w:eastAsia="Times New Roman" w:hAnsi="Times New Roman" w:cs="Times New Roman"/>
                <w:b/>
                <w:bCs/>
                <w:color w:val="000000"/>
                <w:sz w:val="24"/>
                <w:szCs w:val="24"/>
              </w:rPr>
            </w:pPr>
            <w:r w:rsidRPr="00961741">
              <w:rPr>
                <w:rFonts w:ascii="Times New Roman" w:eastAsia="Times New Roman" w:hAnsi="Times New Roman" w:cs="Times New Roman"/>
                <w:b/>
                <w:bCs/>
                <w:color w:val="000000"/>
                <w:sz w:val="24"/>
                <w:szCs w:val="24"/>
              </w:rPr>
              <w:t>Voda</w:t>
            </w:r>
          </w:p>
        </w:tc>
        <w:tc>
          <w:tcPr>
            <w:tcW w:w="3609" w:type="pct"/>
            <w:vAlign w:val="center"/>
          </w:tcPr>
          <w:p w14:paraId="599813F4" w14:textId="77777777" w:rsidR="00CD71D4" w:rsidRPr="00961741" w:rsidRDefault="00CD71D4" w:rsidP="00CD71D4">
            <w:pPr>
              <w:spacing w:after="0" w:line="276" w:lineRule="auto"/>
              <w:jc w:val="both"/>
              <w:rPr>
                <w:rFonts w:ascii="Times New Roman" w:eastAsia="Times New Roman" w:hAnsi="Times New Roman" w:cs="Times New Roman"/>
                <w:color w:val="000000"/>
                <w:sz w:val="24"/>
                <w:szCs w:val="24"/>
              </w:rPr>
            </w:pPr>
            <w:r w:rsidRPr="00961741">
              <w:rPr>
                <w:rFonts w:ascii="Times New Roman" w:eastAsia="Times New Roman" w:hAnsi="Times New Roman" w:cs="Times New Roman"/>
                <w:color w:val="000000"/>
                <w:sz w:val="24"/>
                <w:szCs w:val="24"/>
              </w:rPr>
              <w:t xml:space="preserve">heksaklorobutadien </w:t>
            </w:r>
          </w:p>
          <w:p w14:paraId="3A425514" w14:textId="77777777" w:rsidR="00CD71D4" w:rsidRPr="00961741" w:rsidRDefault="00CD71D4" w:rsidP="00CD71D4">
            <w:pPr>
              <w:spacing w:after="0" w:line="276" w:lineRule="auto"/>
              <w:jc w:val="both"/>
              <w:rPr>
                <w:rFonts w:ascii="Times New Roman" w:eastAsia="Times New Roman" w:hAnsi="Times New Roman" w:cs="Times New Roman"/>
                <w:color w:val="000000"/>
                <w:sz w:val="24"/>
                <w:szCs w:val="24"/>
              </w:rPr>
            </w:pPr>
            <w:r w:rsidRPr="00961741">
              <w:rPr>
                <w:rFonts w:ascii="Times New Roman" w:eastAsia="Times New Roman" w:hAnsi="Times New Roman" w:cs="Times New Roman"/>
                <w:color w:val="000000"/>
                <w:sz w:val="24"/>
                <w:szCs w:val="24"/>
              </w:rPr>
              <w:t xml:space="preserve">heksaklorobenzen </w:t>
            </w:r>
          </w:p>
          <w:p w14:paraId="1DC6A726" w14:textId="77777777" w:rsidR="00CD71D4" w:rsidRPr="00961741" w:rsidRDefault="00CD71D4" w:rsidP="00CD71D4">
            <w:pPr>
              <w:spacing w:after="0" w:line="276" w:lineRule="auto"/>
              <w:jc w:val="both"/>
              <w:rPr>
                <w:rFonts w:ascii="Times New Roman" w:eastAsia="Times New Roman" w:hAnsi="Times New Roman" w:cs="Times New Roman"/>
                <w:color w:val="000000"/>
                <w:sz w:val="24"/>
                <w:szCs w:val="24"/>
              </w:rPr>
            </w:pPr>
            <w:r w:rsidRPr="00961741">
              <w:rPr>
                <w:rFonts w:ascii="Times New Roman" w:eastAsia="Times New Roman" w:hAnsi="Times New Roman" w:cs="Times New Roman"/>
                <w:color w:val="000000"/>
                <w:sz w:val="24"/>
                <w:szCs w:val="24"/>
              </w:rPr>
              <w:t xml:space="preserve">DDT </w:t>
            </w:r>
          </w:p>
          <w:p w14:paraId="69073033" w14:textId="77777777" w:rsidR="00CD71D4" w:rsidRPr="00961741" w:rsidRDefault="00CD71D4" w:rsidP="00CD71D4">
            <w:pPr>
              <w:spacing w:after="0" w:line="276" w:lineRule="auto"/>
              <w:jc w:val="both"/>
              <w:rPr>
                <w:rFonts w:ascii="Times New Roman" w:eastAsia="Times New Roman" w:hAnsi="Times New Roman" w:cs="Times New Roman"/>
                <w:color w:val="000000"/>
                <w:sz w:val="24"/>
                <w:szCs w:val="24"/>
              </w:rPr>
            </w:pPr>
            <w:r w:rsidRPr="00961741">
              <w:rPr>
                <w:rFonts w:ascii="Times New Roman" w:eastAsia="Times New Roman" w:hAnsi="Times New Roman" w:cs="Times New Roman"/>
                <w:color w:val="000000"/>
                <w:sz w:val="24"/>
                <w:szCs w:val="24"/>
              </w:rPr>
              <w:t xml:space="preserve">endrin </w:t>
            </w:r>
          </w:p>
          <w:p w14:paraId="53D0F4BC" w14:textId="77777777" w:rsidR="00CD71D4" w:rsidRPr="00961741" w:rsidRDefault="00CD71D4" w:rsidP="00CD71D4">
            <w:pPr>
              <w:spacing w:after="0" w:line="276" w:lineRule="auto"/>
              <w:jc w:val="both"/>
              <w:rPr>
                <w:rFonts w:ascii="Times New Roman" w:eastAsia="Times New Roman" w:hAnsi="Times New Roman" w:cs="Times New Roman"/>
                <w:color w:val="000000"/>
                <w:sz w:val="24"/>
                <w:szCs w:val="24"/>
              </w:rPr>
            </w:pPr>
            <w:r w:rsidRPr="00961741">
              <w:rPr>
                <w:rFonts w:ascii="Times New Roman" w:eastAsia="Times New Roman" w:hAnsi="Times New Roman" w:cs="Times New Roman"/>
                <w:color w:val="000000"/>
                <w:sz w:val="24"/>
                <w:szCs w:val="24"/>
              </w:rPr>
              <w:t xml:space="preserve">aldrin </w:t>
            </w:r>
          </w:p>
          <w:p w14:paraId="1249B2D5" w14:textId="77777777" w:rsidR="00CD71D4" w:rsidRPr="00961741" w:rsidRDefault="00CD71D4" w:rsidP="00CD71D4">
            <w:pPr>
              <w:spacing w:after="0" w:line="276" w:lineRule="auto"/>
              <w:jc w:val="both"/>
              <w:rPr>
                <w:rFonts w:ascii="Times New Roman" w:eastAsia="Times New Roman" w:hAnsi="Times New Roman" w:cs="Times New Roman"/>
                <w:color w:val="000000"/>
                <w:sz w:val="24"/>
                <w:szCs w:val="24"/>
              </w:rPr>
            </w:pPr>
            <w:r w:rsidRPr="00961741">
              <w:rPr>
                <w:rFonts w:ascii="Times New Roman" w:eastAsia="Times New Roman" w:hAnsi="Times New Roman" w:cs="Times New Roman"/>
                <w:color w:val="000000"/>
                <w:sz w:val="24"/>
                <w:szCs w:val="24"/>
              </w:rPr>
              <w:t xml:space="preserve">dieldrin </w:t>
            </w:r>
          </w:p>
          <w:p w14:paraId="305E4363" w14:textId="77777777" w:rsidR="00CD71D4" w:rsidRPr="00961741" w:rsidRDefault="00CD71D4" w:rsidP="00CD71D4">
            <w:pPr>
              <w:spacing w:after="0" w:line="276" w:lineRule="auto"/>
              <w:jc w:val="both"/>
              <w:rPr>
                <w:rFonts w:ascii="Times New Roman" w:eastAsia="Times New Roman" w:hAnsi="Times New Roman" w:cs="Times New Roman"/>
                <w:color w:val="000000"/>
                <w:sz w:val="24"/>
                <w:szCs w:val="24"/>
              </w:rPr>
            </w:pPr>
            <w:r w:rsidRPr="00961741">
              <w:rPr>
                <w:rFonts w:ascii="Times New Roman" w:eastAsia="Times New Roman" w:hAnsi="Times New Roman" w:cs="Times New Roman"/>
                <w:color w:val="000000"/>
                <w:sz w:val="24"/>
                <w:szCs w:val="24"/>
              </w:rPr>
              <w:t xml:space="preserve">alfa-, beta-, gama- heksaklorocikloheksan </w:t>
            </w:r>
          </w:p>
          <w:p w14:paraId="2B4BF4AC" w14:textId="77777777" w:rsidR="00CD71D4" w:rsidRPr="00961741" w:rsidRDefault="00CD71D4" w:rsidP="00CD71D4">
            <w:pPr>
              <w:spacing w:after="0" w:line="276" w:lineRule="auto"/>
              <w:jc w:val="both"/>
              <w:rPr>
                <w:rFonts w:ascii="Times New Roman" w:eastAsia="Times New Roman" w:hAnsi="Times New Roman" w:cs="Times New Roman"/>
                <w:color w:val="000000"/>
                <w:sz w:val="24"/>
                <w:szCs w:val="24"/>
              </w:rPr>
            </w:pPr>
            <w:r w:rsidRPr="00961741">
              <w:rPr>
                <w:rFonts w:ascii="Times New Roman" w:eastAsia="Times New Roman" w:hAnsi="Times New Roman" w:cs="Times New Roman"/>
                <w:color w:val="000000"/>
                <w:sz w:val="24"/>
                <w:szCs w:val="24"/>
              </w:rPr>
              <w:t xml:space="preserve">endosulfan </w:t>
            </w:r>
          </w:p>
          <w:p w14:paraId="1BF63DCF" w14:textId="77777777" w:rsidR="00CD71D4" w:rsidRPr="00961741" w:rsidRDefault="00CD71D4" w:rsidP="00CD71D4">
            <w:pPr>
              <w:spacing w:after="0" w:line="276" w:lineRule="auto"/>
              <w:jc w:val="both"/>
              <w:rPr>
                <w:rFonts w:ascii="Times New Roman" w:eastAsia="Times New Roman" w:hAnsi="Times New Roman" w:cs="Times New Roman"/>
                <w:color w:val="000000"/>
                <w:sz w:val="24"/>
                <w:szCs w:val="24"/>
              </w:rPr>
            </w:pPr>
            <w:r w:rsidRPr="00961741">
              <w:rPr>
                <w:rFonts w:ascii="Times New Roman" w:eastAsia="Times New Roman" w:hAnsi="Times New Roman" w:cs="Times New Roman"/>
                <w:color w:val="000000"/>
                <w:sz w:val="24"/>
                <w:szCs w:val="24"/>
              </w:rPr>
              <w:t xml:space="preserve">pentaklorobenzen </w:t>
            </w:r>
          </w:p>
          <w:p w14:paraId="50ADE113" w14:textId="77777777" w:rsidR="00CD71D4" w:rsidRPr="00961741" w:rsidRDefault="00CD71D4" w:rsidP="00CD71D4">
            <w:pPr>
              <w:spacing w:after="0" w:line="276" w:lineRule="auto"/>
              <w:jc w:val="both"/>
              <w:rPr>
                <w:rFonts w:ascii="Times New Roman" w:eastAsia="Times New Roman" w:hAnsi="Times New Roman" w:cs="Times New Roman"/>
                <w:color w:val="000000"/>
                <w:sz w:val="24"/>
                <w:szCs w:val="24"/>
              </w:rPr>
            </w:pPr>
            <w:r w:rsidRPr="00961741">
              <w:rPr>
                <w:rFonts w:ascii="Times New Roman" w:eastAsia="Times New Roman" w:hAnsi="Times New Roman" w:cs="Times New Roman"/>
                <w:color w:val="000000"/>
                <w:sz w:val="24"/>
                <w:szCs w:val="24"/>
              </w:rPr>
              <w:t xml:space="preserve">polibromirani difenileteri </w:t>
            </w:r>
          </w:p>
          <w:p w14:paraId="39A07C8E" w14:textId="77777777" w:rsidR="00CD71D4" w:rsidRPr="00961741" w:rsidRDefault="00CD71D4" w:rsidP="00CD71D4">
            <w:pPr>
              <w:spacing w:after="0" w:line="276" w:lineRule="auto"/>
              <w:jc w:val="both"/>
              <w:rPr>
                <w:rFonts w:ascii="Times New Roman" w:eastAsia="Times New Roman" w:hAnsi="Times New Roman" w:cs="Times New Roman"/>
                <w:color w:val="000000"/>
                <w:sz w:val="24"/>
                <w:szCs w:val="24"/>
              </w:rPr>
            </w:pPr>
            <w:r w:rsidRPr="00961741">
              <w:rPr>
                <w:rFonts w:ascii="Times New Roman" w:eastAsia="Times New Roman" w:hAnsi="Times New Roman" w:cs="Times New Roman"/>
                <w:color w:val="000000"/>
                <w:sz w:val="24"/>
                <w:szCs w:val="24"/>
              </w:rPr>
              <w:t xml:space="preserve">pentaklorofenol </w:t>
            </w:r>
          </w:p>
          <w:p w14:paraId="5CD72794" w14:textId="77777777" w:rsidR="00CD71D4" w:rsidRPr="00961741" w:rsidRDefault="00CD71D4" w:rsidP="00CD71D4">
            <w:pPr>
              <w:spacing w:after="0" w:line="276" w:lineRule="auto"/>
              <w:jc w:val="both"/>
              <w:rPr>
                <w:rFonts w:ascii="Times New Roman" w:eastAsia="Times New Roman" w:hAnsi="Times New Roman" w:cs="Times New Roman"/>
                <w:color w:val="000000"/>
                <w:sz w:val="24"/>
                <w:szCs w:val="24"/>
              </w:rPr>
            </w:pPr>
            <w:r w:rsidRPr="00961741">
              <w:rPr>
                <w:rFonts w:ascii="Times New Roman" w:eastAsia="Times New Roman" w:hAnsi="Times New Roman" w:cs="Times New Roman"/>
                <w:color w:val="000000"/>
                <w:sz w:val="24"/>
                <w:szCs w:val="24"/>
              </w:rPr>
              <w:t>kloroalkani C10-C13</w:t>
            </w:r>
          </w:p>
        </w:tc>
      </w:tr>
      <w:tr w:rsidR="00CD71D4" w:rsidRPr="00D84719" w14:paraId="4D74D6EA" w14:textId="77777777" w:rsidTr="00961741">
        <w:tc>
          <w:tcPr>
            <w:tcW w:w="5000" w:type="pct"/>
            <w:gridSpan w:val="2"/>
            <w:vAlign w:val="center"/>
          </w:tcPr>
          <w:p w14:paraId="032F6CFD" w14:textId="77777777" w:rsidR="00CD71D4" w:rsidRPr="00961741" w:rsidRDefault="00CD71D4" w:rsidP="00CD71D4">
            <w:pPr>
              <w:spacing w:before="80" w:line="276" w:lineRule="auto"/>
              <w:jc w:val="both"/>
              <w:rPr>
                <w:rFonts w:ascii="Times New Roman" w:eastAsia="Times New Roman" w:hAnsi="Times New Roman" w:cs="Times New Roman"/>
                <w:b/>
                <w:bCs/>
                <w:color w:val="000000"/>
                <w:sz w:val="24"/>
                <w:szCs w:val="24"/>
              </w:rPr>
            </w:pPr>
            <w:r w:rsidRPr="00961741">
              <w:rPr>
                <w:rFonts w:ascii="Times New Roman" w:eastAsia="Times New Roman" w:hAnsi="Times New Roman" w:cs="Times New Roman"/>
                <w:b/>
                <w:bCs/>
                <w:color w:val="000000"/>
                <w:sz w:val="24"/>
                <w:szCs w:val="24"/>
              </w:rPr>
              <w:t>POPs-ovi mjereni u 2016. (prijelaze vode) i 2017. (priobalne vode)</w:t>
            </w:r>
          </w:p>
        </w:tc>
      </w:tr>
      <w:tr w:rsidR="00CD71D4" w:rsidRPr="00D84719" w14:paraId="1681341A" w14:textId="77777777" w:rsidTr="00961741">
        <w:tc>
          <w:tcPr>
            <w:tcW w:w="1391" w:type="pct"/>
            <w:vAlign w:val="center"/>
          </w:tcPr>
          <w:p w14:paraId="1665A0E9" w14:textId="77777777" w:rsidR="00CD71D4" w:rsidRPr="00961741" w:rsidRDefault="00CD71D4" w:rsidP="00CD71D4">
            <w:pPr>
              <w:spacing w:before="80" w:line="276" w:lineRule="auto"/>
              <w:jc w:val="center"/>
              <w:rPr>
                <w:rFonts w:ascii="Times New Roman" w:eastAsia="Times New Roman" w:hAnsi="Times New Roman" w:cs="Times New Roman"/>
                <w:b/>
                <w:bCs/>
                <w:color w:val="000000"/>
                <w:sz w:val="24"/>
                <w:szCs w:val="24"/>
              </w:rPr>
            </w:pPr>
            <w:r w:rsidRPr="00961741">
              <w:rPr>
                <w:rFonts w:ascii="Times New Roman" w:eastAsia="Times New Roman" w:hAnsi="Times New Roman" w:cs="Times New Roman"/>
                <w:b/>
                <w:bCs/>
                <w:color w:val="000000"/>
                <w:sz w:val="24"/>
                <w:szCs w:val="24"/>
              </w:rPr>
              <w:t>Voda</w:t>
            </w:r>
          </w:p>
        </w:tc>
        <w:tc>
          <w:tcPr>
            <w:tcW w:w="3609" w:type="pct"/>
            <w:vAlign w:val="center"/>
          </w:tcPr>
          <w:p w14:paraId="53DAC337" w14:textId="77777777" w:rsidR="00CD71D4" w:rsidRPr="00961741" w:rsidRDefault="00CD71D4" w:rsidP="00CD71D4">
            <w:pPr>
              <w:spacing w:after="0" w:line="276" w:lineRule="auto"/>
              <w:jc w:val="both"/>
              <w:rPr>
                <w:rFonts w:ascii="Times New Roman" w:eastAsia="Times New Roman" w:hAnsi="Times New Roman" w:cs="Times New Roman"/>
                <w:color w:val="000000"/>
                <w:sz w:val="24"/>
                <w:szCs w:val="24"/>
              </w:rPr>
            </w:pPr>
            <w:r w:rsidRPr="00961741">
              <w:rPr>
                <w:rFonts w:ascii="Times New Roman" w:eastAsia="Times New Roman" w:hAnsi="Times New Roman" w:cs="Times New Roman"/>
                <w:color w:val="000000"/>
                <w:sz w:val="24"/>
                <w:szCs w:val="24"/>
              </w:rPr>
              <w:t xml:space="preserve">polibromirani difenileteri </w:t>
            </w:r>
          </w:p>
          <w:p w14:paraId="0A7FF425" w14:textId="77777777" w:rsidR="00CD71D4" w:rsidRPr="00961741" w:rsidRDefault="00CD71D4" w:rsidP="00CD71D4">
            <w:pPr>
              <w:spacing w:after="0" w:line="276" w:lineRule="auto"/>
              <w:jc w:val="both"/>
              <w:rPr>
                <w:rFonts w:ascii="Times New Roman" w:eastAsia="Times New Roman" w:hAnsi="Times New Roman" w:cs="Times New Roman"/>
                <w:color w:val="000000"/>
                <w:sz w:val="24"/>
                <w:szCs w:val="24"/>
              </w:rPr>
            </w:pPr>
            <w:r w:rsidRPr="00961741">
              <w:rPr>
                <w:rFonts w:ascii="Times New Roman" w:eastAsia="Times New Roman" w:hAnsi="Times New Roman" w:cs="Times New Roman"/>
                <w:color w:val="000000"/>
                <w:sz w:val="24"/>
                <w:szCs w:val="24"/>
              </w:rPr>
              <w:t xml:space="preserve">DDT </w:t>
            </w:r>
          </w:p>
          <w:p w14:paraId="69C5D6C7" w14:textId="77777777" w:rsidR="00CD71D4" w:rsidRPr="00961741" w:rsidRDefault="00CD71D4" w:rsidP="00CD71D4">
            <w:pPr>
              <w:spacing w:after="0" w:line="276" w:lineRule="auto"/>
              <w:jc w:val="both"/>
              <w:rPr>
                <w:rFonts w:ascii="Times New Roman" w:eastAsia="Times New Roman" w:hAnsi="Times New Roman" w:cs="Times New Roman"/>
                <w:color w:val="000000"/>
                <w:sz w:val="24"/>
                <w:szCs w:val="24"/>
              </w:rPr>
            </w:pPr>
            <w:r w:rsidRPr="00961741">
              <w:rPr>
                <w:rFonts w:ascii="Times New Roman" w:eastAsia="Times New Roman" w:hAnsi="Times New Roman" w:cs="Times New Roman"/>
                <w:color w:val="000000"/>
                <w:sz w:val="24"/>
                <w:szCs w:val="24"/>
              </w:rPr>
              <w:t xml:space="preserve">endosulfan </w:t>
            </w:r>
          </w:p>
          <w:p w14:paraId="65CD77FE" w14:textId="77777777" w:rsidR="00CD71D4" w:rsidRPr="00961741" w:rsidRDefault="00CD71D4" w:rsidP="00CD71D4">
            <w:pPr>
              <w:spacing w:after="0" w:line="276" w:lineRule="auto"/>
              <w:jc w:val="both"/>
              <w:rPr>
                <w:rFonts w:ascii="Times New Roman" w:eastAsia="Times New Roman" w:hAnsi="Times New Roman" w:cs="Times New Roman"/>
                <w:color w:val="000000"/>
                <w:sz w:val="24"/>
                <w:szCs w:val="24"/>
              </w:rPr>
            </w:pPr>
            <w:r w:rsidRPr="00961741">
              <w:rPr>
                <w:rFonts w:ascii="Times New Roman" w:eastAsia="Times New Roman" w:hAnsi="Times New Roman" w:cs="Times New Roman"/>
                <w:color w:val="000000"/>
                <w:sz w:val="24"/>
                <w:szCs w:val="24"/>
              </w:rPr>
              <w:t>pentaklorobenzen</w:t>
            </w:r>
          </w:p>
        </w:tc>
      </w:tr>
      <w:tr w:rsidR="00CD71D4" w:rsidRPr="00D84719" w14:paraId="5D3B40E2" w14:textId="77777777" w:rsidTr="00961741">
        <w:tc>
          <w:tcPr>
            <w:tcW w:w="1391" w:type="pct"/>
            <w:vAlign w:val="center"/>
          </w:tcPr>
          <w:p w14:paraId="75B88157" w14:textId="77777777" w:rsidR="00CD71D4" w:rsidRPr="00961741" w:rsidRDefault="00CD71D4" w:rsidP="00CD71D4">
            <w:pPr>
              <w:spacing w:before="80" w:line="276" w:lineRule="auto"/>
              <w:jc w:val="center"/>
              <w:rPr>
                <w:rFonts w:ascii="Times New Roman" w:eastAsia="Times New Roman" w:hAnsi="Times New Roman" w:cs="Times New Roman"/>
                <w:b/>
                <w:bCs/>
                <w:color w:val="000000"/>
                <w:sz w:val="24"/>
                <w:szCs w:val="24"/>
              </w:rPr>
            </w:pPr>
            <w:r w:rsidRPr="00961741">
              <w:rPr>
                <w:rFonts w:ascii="Times New Roman" w:eastAsia="Times New Roman" w:hAnsi="Times New Roman" w:cs="Times New Roman"/>
                <w:b/>
                <w:bCs/>
                <w:color w:val="000000"/>
                <w:sz w:val="24"/>
                <w:szCs w:val="24"/>
              </w:rPr>
              <w:t>Biota</w:t>
            </w:r>
          </w:p>
        </w:tc>
        <w:tc>
          <w:tcPr>
            <w:tcW w:w="3609" w:type="pct"/>
            <w:vAlign w:val="center"/>
          </w:tcPr>
          <w:p w14:paraId="4246D3C7" w14:textId="77777777" w:rsidR="00CD71D4" w:rsidRPr="00961741" w:rsidRDefault="00CD71D4" w:rsidP="00CD71D4">
            <w:pPr>
              <w:spacing w:after="0" w:line="276" w:lineRule="auto"/>
              <w:jc w:val="both"/>
              <w:rPr>
                <w:rFonts w:ascii="Times New Roman" w:eastAsia="Times New Roman" w:hAnsi="Times New Roman" w:cs="Times New Roman"/>
                <w:color w:val="000000"/>
                <w:sz w:val="24"/>
                <w:szCs w:val="24"/>
              </w:rPr>
            </w:pPr>
            <w:r w:rsidRPr="00961741">
              <w:rPr>
                <w:rFonts w:ascii="Times New Roman" w:eastAsia="Times New Roman" w:hAnsi="Times New Roman" w:cs="Times New Roman"/>
                <w:color w:val="000000"/>
                <w:sz w:val="24"/>
                <w:szCs w:val="24"/>
              </w:rPr>
              <w:t xml:space="preserve">polibromirani difenileteri </w:t>
            </w:r>
          </w:p>
          <w:p w14:paraId="323745CC" w14:textId="77777777" w:rsidR="00CD71D4" w:rsidRPr="00961741" w:rsidRDefault="00CD71D4" w:rsidP="00CD71D4">
            <w:pPr>
              <w:spacing w:after="0" w:line="276" w:lineRule="auto"/>
              <w:jc w:val="both"/>
              <w:rPr>
                <w:rFonts w:ascii="Times New Roman" w:eastAsia="Times New Roman" w:hAnsi="Times New Roman" w:cs="Times New Roman"/>
                <w:color w:val="000000"/>
                <w:sz w:val="24"/>
                <w:szCs w:val="24"/>
              </w:rPr>
            </w:pPr>
            <w:r w:rsidRPr="00961741">
              <w:rPr>
                <w:rFonts w:ascii="Times New Roman" w:eastAsia="Times New Roman" w:hAnsi="Times New Roman" w:cs="Times New Roman"/>
                <w:color w:val="000000"/>
                <w:sz w:val="24"/>
                <w:szCs w:val="24"/>
              </w:rPr>
              <w:t xml:space="preserve">heksaklorobenzen </w:t>
            </w:r>
          </w:p>
          <w:p w14:paraId="0D7D680C" w14:textId="77777777" w:rsidR="00CD71D4" w:rsidRPr="00961741" w:rsidRDefault="00CD71D4" w:rsidP="00CD71D4">
            <w:pPr>
              <w:spacing w:after="0" w:line="276" w:lineRule="auto"/>
              <w:jc w:val="both"/>
              <w:rPr>
                <w:rFonts w:ascii="Times New Roman" w:eastAsia="Times New Roman" w:hAnsi="Times New Roman" w:cs="Times New Roman"/>
                <w:color w:val="000000"/>
                <w:sz w:val="24"/>
                <w:szCs w:val="24"/>
              </w:rPr>
            </w:pPr>
            <w:r w:rsidRPr="00961741">
              <w:rPr>
                <w:rFonts w:ascii="Times New Roman" w:eastAsia="Times New Roman" w:hAnsi="Times New Roman" w:cs="Times New Roman"/>
                <w:color w:val="000000"/>
                <w:sz w:val="24"/>
                <w:szCs w:val="24"/>
              </w:rPr>
              <w:t xml:space="preserve">heksaklorobutadien </w:t>
            </w:r>
          </w:p>
          <w:p w14:paraId="1F0D4C09" w14:textId="77777777" w:rsidR="00CD71D4" w:rsidRPr="00961741" w:rsidRDefault="00CD71D4" w:rsidP="00CD71D4">
            <w:pPr>
              <w:spacing w:after="0" w:line="276" w:lineRule="auto"/>
              <w:jc w:val="both"/>
              <w:rPr>
                <w:rFonts w:ascii="Times New Roman" w:eastAsia="Times New Roman" w:hAnsi="Times New Roman" w:cs="Times New Roman"/>
                <w:color w:val="000000"/>
                <w:sz w:val="24"/>
                <w:szCs w:val="24"/>
              </w:rPr>
            </w:pPr>
            <w:r w:rsidRPr="00961741">
              <w:rPr>
                <w:rFonts w:ascii="Times New Roman" w:eastAsia="Times New Roman" w:hAnsi="Times New Roman" w:cs="Times New Roman"/>
                <w:color w:val="000000"/>
                <w:sz w:val="24"/>
                <w:szCs w:val="24"/>
              </w:rPr>
              <w:t xml:space="preserve">alfa-, beta-, gama- heksaklorocikloheksan </w:t>
            </w:r>
          </w:p>
          <w:p w14:paraId="5C2AA72C" w14:textId="77777777" w:rsidR="00CD71D4" w:rsidRPr="00961741" w:rsidRDefault="00CD71D4" w:rsidP="00CD71D4">
            <w:pPr>
              <w:spacing w:after="0" w:line="276" w:lineRule="auto"/>
              <w:jc w:val="both"/>
              <w:rPr>
                <w:rFonts w:ascii="Times New Roman" w:eastAsia="Times New Roman" w:hAnsi="Times New Roman" w:cs="Times New Roman"/>
                <w:color w:val="000000"/>
                <w:sz w:val="24"/>
                <w:szCs w:val="24"/>
              </w:rPr>
            </w:pPr>
            <w:r w:rsidRPr="00961741">
              <w:rPr>
                <w:rFonts w:ascii="Times New Roman" w:eastAsia="Times New Roman" w:hAnsi="Times New Roman" w:cs="Times New Roman"/>
                <w:color w:val="000000"/>
                <w:sz w:val="24"/>
                <w:szCs w:val="24"/>
              </w:rPr>
              <w:lastRenderedPageBreak/>
              <w:t>perfluorooktan sulfonska kiselina</w:t>
            </w:r>
          </w:p>
          <w:p w14:paraId="6B5C1BC6" w14:textId="77777777" w:rsidR="00CD71D4" w:rsidRPr="00961741" w:rsidRDefault="00CD71D4" w:rsidP="00CD71D4">
            <w:pPr>
              <w:spacing w:after="0" w:line="276" w:lineRule="auto"/>
              <w:jc w:val="both"/>
              <w:rPr>
                <w:rFonts w:ascii="Times New Roman" w:eastAsia="Times New Roman" w:hAnsi="Times New Roman" w:cs="Times New Roman"/>
                <w:color w:val="000000"/>
                <w:sz w:val="24"/>
                <w:szCs w:val="24"/>
              </w:rPr>
            </w:pPr>
            <w:r w:rsidRPr="00961741">
              <w:rPr>
                <w:rFonts w:ascii="Times New Roman" w:eastAsia="Times New Roman" w:hAnsi="Times New Roman" w:cs="Times New Roman"/>
                <w:color w:val="000000"/>
                <w:sz w:val="24"/>
                <w:szCs w:val="24"/>
              </w:rPr>
              <w:t xml:space="preserve">dioksini i spojevi poput dioksina </w:t>
            </w:r>
          </w:p>
          <w:p w14:paraId="47A25E22" w14:textId="77777777" w:rsidR="00CD71D4" w:rsidRPr="00961741" w:rsidRDefault="00CD71D4" w:rsidP="00CD71D4">
            <w:pPr>
              <w:spacing w:after="0" w:line="276" w:lineRule="auto"/>
              <w:jc w:val="both"/>
              <w:rPr>
                <w:rFonts w:ascii="Times New Roman" w:eastAsia="Times New Roman" w:hAnsi="Times New Roman" w:cs="Times New Roman"/>
                <w:color w:val="000000"/>
                <w:sz w:val="24"/>
                <w:szCs w:val="24"/>
              </w:rPr>
            </w:pPr>
            <w:r w:rsidRPr="00961741">
              <w:rPr>
                <w:rFonts w:ascii="Times New Roman" w:eastAsia="Times New Roman" w:hAnsi="Times New Roman" w:cs="Times New Roman"/>
                <w:color w:val="000000"/>
                <w:sz w:val="24"/>
                <w:szCs w:val="24"/>
              </w:rPr>
              <w:t xml:space="preserve">heksabromociklododekan </w:t>
            </w:r>
          </w:p>
          <w:p w14:paraId="3B022B13" w14:textId="77777777" w:rsidR="00CD71D4" w:rsidRPr="00961741" w:rsidRDefault="00CD71D4" w:rsidP="00CD71D4">
            <w:pPr>
              <w:spacing w:after="0" w:line="276" w:lineRule="auto"/>
              <w:jc w:val="both"/>
              <w:rPr>
                <w:rFonts w:ascii="Times New Roman" w:eastAsia="Times New Roman" w:hAnsi="Times New Roman" w:cs="Times New Roman"/>
                <w:color w:val="000000"/>
                <w:sz w:val="24"/>
                <w:szCs w:val="24"/>
              </w:rPr>
            </w:pPr>
            <w:r w:rsidRPr="00961741">
              <w:rPr>
                <w:rFonts w:ascii="Times New Roman" w:eastAsia="Times New Roman" w:hAnsi="Times New Roman" w:cs="Times New Roman"/>
                <w:color w:val="000000"/>
                <w:sz w:val="24"/>
                <w:szCs w:val="24"/>
              </w:rPr>
              <w:t>heptaklor i heptaklorepoksid</w:t>
            </w:r>
          </w:p>
        </w:tc>
      </w:tr>
      <w:tr w:rsidR="00CD71D4" w:rsidRPr="00D84719" w14:paraId="4F3DF162" w14:textId="77777777" w:rsidTr="00961741">
        <w:tc>
          <w:tcPr>
            <w:tcW w:w="1391" w:type="pct"/>
            <w:vAlign w:val="center"/>
          </w:tcPr>
          <w:p w14:paraId="4534F4CB" w14:textId="77777777" w:rsidR="00CD71D4" w:rsidRPr="00961741" w:rsidRDefault="00CD71D4" w:rsidP="00CD71D4">
            <w:pPr>
              <w:spacing w:before="80" w:line="276" w:lineRule="auto"/>
              <w:jc w:val="center"/>
              <w:rPr>
                <w:rFonts w:ascii="Times New Roman" w:eastAsia="Times New Roman" w:hAnsi="Times New Roman" w:cs="Times New Roman"/>
                <w:b/>
                <w:bCs/>
                <w:color w:val="000000"/>
                <w:sz w:val="24"/>
                <w:szCs w:val="24"/>
              </w:rPr>
            </w:pPr>
            <w:r w:rsidRPr="00961741">
              <w:rPr>
                <w:rFonts w:ascii="Times New Roman" w:eastAsia="Times New Roman" w:hAnsi="Times New Roman" w:cs="Times New Roman"/>
                <w:b/>
                <w:bCs/>
                <w:color w:val="000000"/>
                <w:sz w:val="24"/>
                <w:szCs w:val="24"/>
              </w:rPr>
              <w:lastRenderedPageBreak/>
              <w:t>Sediment</w:t>
            </w:r>
          </w:p>
        </w:tc>
        <w:tc>
          <w:tcPr>
            <w:tcW w:w="3609" w:type="pct"/>
            <w:vAlign w:val="center"/>
          </w:tcPr>
          <w:p w14:paraId="1B9FEFA8" w14:textId="77777777" w:rsidR="00CD71D4" w:rsidRPr="00961741" w:rsidRDefault="00CD71D4" w:rsidP="00961741">
            <w:pPr>
              <w:spacing w:after="0" w:line="276" w:lineRule="auto"/>
              <w:rPr>
                <w:rFonts w:ascii="Times New Roman" w:eastAsia="Times New Roman" w:hAnsi="Times New Roman" w:cs="Times New Roman"/>
                <w:color w:val="000000"/>
                <w:sz w:val="24"/>
                <w:szCs w:val="24"/>
              </w:rPr>
            </w:pPr>
            <w:r w:rsidRPr="00961741">
              <w:rPr>
                <w:rFonts w:ascii="Times New Roman" w:eastAsia="Times New Roman" w:hAnsi="Times New Roman" w:cs="Times New Roman"/>
                <w:color w:val="000000"/>
                <w:sz w:val="24"/>
                <w:szCs w:val="24"/>
              </w:rPr>
              <w:t xml:space="preserve">polibromirani difenileteri </w:t>
            </w:r>
          </w:p>
          <w:p w14:paraId="61B9C6B0" w14:textId="77777777" w:rsidR="00CD71D4" w:rsidRPr="00961741" w:rsidRDefault="00CD71D4" w:rsidP="00961741">
            <w:pPr>
              <w:spacing w:after="0" w:line="276" w:lineRule="auto"/>
              <w:rPr>
                <w:rFonts w:ascii="Times New Roman" w:eastAsia="Times New Roman" w:hAnsi="Times New Roman" w:cs="Times New Roman"/>
                <w:color w:val="000000"/>
                <w:sz w:val="24"/>
                <w:szCs w:val="24"/>
              </w:rPr>
            </w:pPr>
            <w:r w:rsidRPr="00961741">
              <w:rPr>
                <w:rFonts w:ascii="Times New Roman" w:eastAsia="Times New Roman" w:hAnsi="Times New Roman" w:cs="Times New Roman"/>
                <w:color w:val="000000"/>
                <w:sz w:val="24"/>
                <w:szCs w:val="24"/>
              </w:rPr>
              <w:t xml:space="preserve">kloroalkani C10-C13 </w:t>
            </w:r>
          </w:p>
          <w:p w14:paraId="2F0832CB" w14:textId="77777777" w:rsidR="00CD71D4" w:rsidRPr="00961741" w:rsidRDefault="00CD71D4" w:rsidP="00961741">
            <w:pPr>
              <w:spacing w:after="0" w:line="276" w:lineRule="auto"/>
              <w:rPr>
                <w:rFonts w:ascii="Times New Roman" w:eastAsia="Times New Roman" w:hAnsi="Times New Roman" w:cs="Times New Roman"/>
                <w:color w:val="000000"/>
                <w:sz w:val="24"/>
                <w:szCs w:val="24"/>
              </w:rPr>
            </w:pPr>
            <w:r w:rsidRPr="00961741">
              <w:rPr>
                <w:rFonts w:ascii="Times New Roman" w:eastAsia="Times New Roman" w:hAnsi="Times New Roman" w:cs="Times New Roman"/>
                <w:color w:val="000000"/>
                <w:sz w:val="24"/>
                <w:szCs w:val="24"/>
              </w:rPr>
              <w:t>organoklorovi pesticidi (heksaklorobenzen i heksaklorocikloheksan)</w:t>
            </w:r>
          </w:p>
          <w:p w14:paraId="68915BF4" w14:textId="77777777" w:rsidR="00CD71D4" w:rsidRPr="00961741" w:rsidRDefault="00CD71D4" w:rsidP="00961741">
            <w:pPr>
              <w:spacing w:after="0" w:line="276" w:lineRule="auto"/>
              <w:rPr>
                <w:rFonts w:ascii="Times New Roman" w:eastAsia="Times New Roman" w:hAnsi="Times New Roman" w:cs="Times New Roman"/>
                <w:color w:val="000000"/>
                <w:sz w:val="24"/>
                <w:szCs w:val="24"/>
              </w:rPr>
            </w:pPr>
            <w:r w:rsidRPr="00961741">
              <w:rPr>
                <w:rFonts w:ascii="Times New Roman" w:eastAsia="Times New Roman" w:hAnsi="Times New Roman" w:cs="Times New Roman"/>
                <w:color w:val="000000"/>
                <w:sz w:val="24"/>
                <w:szCs w:val="24"/>
              </w:rPr>
              <w:t xml:space="preserve">pentaklorobenzen </w:t>
            </w:r>
          </w:p>
          <w:p w14:paraId="2B81810D" w14:textId="77777777" w:rsidR="00CD71D4" w:rsidRPr="00961741" w:rsidRDefault="00CD71D4" w:rsidP="00961741">
            <w:pPr>
              <w:spacing w:after="0" w:line="276" w:lineRule="auto"/>
              <w:rPr>
                <w:rFonts w:ascii="Times New Roman" w:eastAsia="Times New Roman" w:hAnsi="Times New Roman" w:cs="Times New Roman"/>
                <w:color w:val="000000"/>
                <w:sz w:val="24"/>
                <w:szCs w:val="24"/>
              </w:rPr>
            </w:pPr>
            <w:r w:rsidRPr="00961741">
              <w:rPr>
                <w:rFonts w:ascii="Times New Roman" w:eastAsia="Times New Roman" w:hAnsi="Times New Roman" w:cs="Times New Roman"/>
                <w:color w:val="000000"/>
                <w:sz w:val="24"/>
                <w:szCs w:val="24"/>
              </w:rPr>
              <w:t xml:space="preserve">perfluorooktan sulfonska kiselina </w:t>
            </w:r>
          </w:p>
          <w:p w14:paraId="2240884C" w14:textId="77777777" w:rsidR="00CD71D4" w:rsidRPr="00961741" w:rsidRDefault="00CD71D4" w:rsidP="00961741">
            <w:pPr>
              <w:spacing w:after="0" w:line="276" w:lineRule="auto"/>
              <w:rPr>
                <w:rFonts w:ascii="Times New Roman" w:eastAsia="Times New Roman" w:hAnsi="Times New Roman" w:cs="Times New Roman"/>
                <w:color w:val="000000"/>
                <w:sz w:val="24"/>
                <w:szCs w:val="24"/>
              </w:rPr>
            </w:pPr>
            <w:r w:rsidRPr="00961741">
              <w:rPr>
                <w:rFonts w:ascii="Times New Roman" w:eastAsia="Times New Roman" w:hAnsi="Times New Roman" w:cs="Times New Roman"/>
                <w:color w:val="000000"/>
                <w:sz w:val="24"/>
                <w:szCs w:val="24"/>
              </w:rPr>
              <w:t xml:space="preserve">dioksini i spojevi poput dioksina </w:t>
            </w:r>
          </w:p>
          <w:p w14:paraId="20B98468" w14:textId="77777777" w:rsidR="00CD71D4" w:rsidRPr="00961741" w:rsidRDefault="00CD71D4" w:rsidP="00961741">
            <w:pPr>
              <w:spacing w:after="0" w:line="276" w:lineRule="auto"/>
              <w:rPr>
                <w:rFonts w:ascii="Times New Roman" w:eastAsia="Times New Roman" w:hAnsi="Times New Roman" w:cs="Times New Roman"/>
                <w:color w:val="000000"/>
                <w:sz w:val="24"/>
                <w:szCs w:val="24"/>
              </w:rPr>
            </w:pPr>
            <w:r w:rsidRPr="00961741">
              <w:rPr>
                <w:rFonts w:ascii="Times New Roman" w:eastAsia="Times New Roman" w:hAnsi="Times New Roman" w:cs="Times New Roman"/>
                <w:color w:val="000000"/>
                <w:sz w:val="24"/>
                <w:szCs w:val="24"/>
              </w:rPr>
              <w:t xml:space="preserve">heksabromociklododekan </w:t>
            </w:r>
          </w:p>
          <w:p w14:paraId="0819577C" w14:textId="77777777" w:rsidR="00CD71D4" w:rsidRPr="00961741" w:rsidRDefault="00CD71D4" w:rsidP="00961741">
            <w:pPr>
              <w:spacing w:after="0" w:line="276" w:lineRule="auto"/>
              <w:rPr>
                <w:rFonts w:ascii="Times New Roman" w:eastAsia="Times New Roman" w:hAnsi="Times New Roman" w:cs="Times New Roman"/>
                <w:color w:val="000000"/>
                <w:sz w:val="24"/>
                <w:szCs w:val="24"/>
              </w:rPr>
            </w:pPr>
            <w:r w:rsidRPr="00961741">
              <w:rPr>
                <w:rFonts w:ascii="Times New Roman" w:eastAsia="Times New Roman" w:hAnsi="Times New Roman" w:cs="Times New Roman"/>
                <w:color w:val="000000"/>
                <w:sz w:val="24"/>
                <w:szCs w:val="24"/>
              </w:rPr>
              <w:t>heptaklor i heptakloroepoksid</w:t>
            </w:r>
          </w:p>
        </w:tc>
      </w:tr>
    </w:tbl>
    <w:p w14:paraId="1662256E" w14:textId="77777777" w:rsidR="000A68D4" w:rsidRDefault="000A68D4" w:rsidP="00D84719">
      <w:pPr>
        <w:spacing w:before="80" w:line="276" w:lineRule="auto"/>
        <w:jc w:val="both"/>
        <w:rPr>
          <w:rFonts w:ascii="Times New Roman" w:eastAsia="Times New Roman" w:hAnsi="Times New Roman" w:cs="Times New Roman"/>
          <w:color w:val="000000"/>
          <w:sz w:val="24"/>
          <w:szCs w:val="24"/>
        </w:rPr>
      </w:pPr>
    </w:p>
    <w:p w14:paraId="4E42A4DB"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U razdoblju od 2016. do</w:t>
      </w:r>
      <w:r w:rsidR="00612979">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xml:space="preserve">2017. u okviru „Ugovora o sustavnom ispitivanju kakvoće prijelaznih i priobalnih voda u 2016. – 2017. godini“ financiranog od strane Hrvatskih voda, rađene su analize niza organskih </w:t>
      </w:r>
      <w:r w:rsidR="00EB4DE8" w:rsidRPr="00D84719">
        <w:rPr>
          <w:rFonts w:ascii="Times New Roman" w:eastAsia="Times New Roman" w:hAnsi="Times New Roman" w:cs="Times New Roman"/>
          <w:color w:val="000000"/>
          <w:sz w:val="24"/>
          <w:szCs w:val="24"/>
        </w:rPr>
        <w:t>onečišćujućih</w:t>
      </w:r>
      <w:r w:rsidRPr="00D84719">
        <w:rPr>
          <w:rFonts w:ascii="Times New Roman" w:eastAsia="Times New Roman" w:hAnsi="Times New Roman" w:cs="Times New Roman"/>
          <w:color w:val="000000"/>
          <w:sz w:val="24"/>
          <w:szCs w:val="24"/>
        </w:rPr>
        <w:t xml:space="preserve"> tvari koje ulaze u skupinu POPs-ova (Tablica 2.3-1). Izvođači projekta bili su konzorcij Instituta za oceanografiju i ribarstvo iz Splita (IOR), Instituta Ruđer Bošković iz Zagreba (IRB) i Nacionalnog laboratorija za </w:t>
      </w:r>
      <w:proofErr w:type="spellStart"/>
      <w:r w:rsidRPr="00D84719">
        <w:rPr>
          <w:rFonts w:ascii="Times New Roman" w:eastAsia="Times New Roman" w:hAnsi="Times New Roman" w:cs="Times New Roman"/>
          <w:color w:val="000000"/>
          <w:sz w:val="24"/>
          <w:szCs w:val="24"/>
        </w:rPr>
        <w:t>zdravje</w:t>
      </w:r>
      <w:proofErr w:type="spellEnd"/>
      <w:r w:rsidRPr="00D84719">
        <w:rPr>
          <w:rFonts w:ascii="Times New Roman" w:eastAsia="Times New Roman" w:hAnsi="Times New Roman" w:cs="Times New Roman"/>
          <w:color w:val="000000"/>
          <w:sz w:val="24"/>
          <w:szCs w:val="24"/>
        </w:rPr>
        <w:t xml:space="preserve">, </w:t>
      </w:r>
      <w:proofErr w:type="spellStart"/>
      <w:r w:rsidRPr="00D84719">
        <w:rPr>
          <w:rFonts w:ascii="Times New Roman" w:eastAsia="Times New Roman" w:hAnsi="Times New Roman" w:cs="Times New Roman"/>
          <w:color w:val="000000"/>
          <w:sz w:val="24"/>
          <w:szCs w:val="24"/>
        </w:rPr>
        <w:t>okolje</w:t>
      </w:r>
      <w:proofErr w:type="spellEnd"/>
      <w:r w:rsidRPr="00D84719">
        <w:rPr>
          <w:rFonts w:ascii="Times New Roman" w:eastAsia="Times New Roman" w:hAnsi="Times New Roman" w:cs="Times New Roman"/>
          <w:color w:val="000000"/>
          <w:sz w:val="24"/>
          <w:szCs w:val="24"/>
        </w:rPr>
        <w:t xml:space="preserve"> i hrano iz Maribora, Slovenija (NZLO). Analize POPs-ova rađene su u laboratorijima IRB-a i NZLO-a.</w:t>
      </w:r>
      <w:r w:rsidR="00612979">
        <w:rPr>
          <w:rFonts w:ascii="Times New Roman" w:eastAsia="Times New Roman" w:hAnsi="Times New Roman" w:cs="Times New Roman"/>
          <w:color w:val="000000"/>
          <w:sz w:val="24"/>
          <w:szCs w:val="24"/>
        </w:rPr>
        <w:t xml:space="preserve"> </w:t>
      </w:r>
    </w:p>
    <w:p w14:paraId="6DBB52BA"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 xml:space="preserve">Analize su provođene prema zahtjevima Europske direktive o vodama o praćenju prioritetnih tvari u vodama te je ocjena kemijskog stanja rađena prema važećem europskom i hrvatskom zakonodavstvu, Uredba o standardu kakvoće voda (Narodne novine, br. 73/13, 151/14 i 78/15), u kojem su definirane dozvoljene koncentracije tih tvari u vodama i bioti. Ocjena stanja za sediment (za koji ne postoji niti hrvatska niti europska regulativa) rađena je prema dostupnoj znanstvenoj literaturi. U 2015. organske onečišćujuće tvari mjerene su samo u vodi (priobalne vode), a u razdoblju od 2016. do 2017. praćene su u vodi, sedimentu i bioti i to u 2016. u području prijelaznih voda, a u 2017. u području priobalnih voda. </w:t>
      </w:r>
    </w:p>
    <w:p w14:paraId="46619C5C" w14:textId="60E46612" w:rsidR="00D84719" w:rsidRPr="00DF02E3" w:rsidRDefault="00D84719" w:rsidP="00D84719">
      <w:pPr>
        <w:shd w:val="clear" w:color="auto" w:fill="FCFCFC"/>
        <w:spacing w:before="80" w:beforeAutospacing="1" w:after="0" w:line="276" w:lineRule="auto"/>
        <w:jc w:val="both"/>
        <w:rPr>
          <w:rFonts w:ascii="Times New Roman" w:eastAsia="Times New Roman" w:hAnsi="Times New Roman" w:cs="Times New Roman"/>
          <w:b/>
          <w:color w:val="000000"/>
          <w:sz w:val="24"/>
          <w:lang w:eastAsia="hr-HR"/>
        </w:rPr>
      </w:pPr>
      <w:r w:rsidRPr="00DF02E3">
        <w:rPr>
          <w:rFonts w:ascii="Times New Roman" w:eastAsia="Times New Roman" w:hAnsi="Times New Roman" w:cs="Times New Roman"/>
          <w:b/>
          <w:i/>
          <w:iCs/>
          <w:color w:val="000000"/>
          <w:sz w:val="24"/>
          <w:lang w:eastAsia="hr-HR"/>
        </w:rPr>
        <w:t>Priobalne vode, 2015</w:t>
      </w:r>
      <w:r w:rsidR="004C449C">
        <w:rPr>
          <w:rFonts w:ascii="Times New Roman" w:eastAsia="Times New Roman" w:hAnsi="Times New Roman" w:cs="Times New Roman"/>
          <w:b/>
          <w:i/>
          <w:iCs/>
          <w:color w:val="000000"/>
          <w:sz w:val="24"/>
          <w:lang w:eastAsia="hr-HR"/>
        </w:rPr>
        <w:t>.</w:t>
      </w:r>
    </w:p>
    <w:p w14:paraId="29B859C1" w14:textId="77777777" w:rsidR="00D84719" w:rsidRPr="00D84719" w:rsidRDefault="00D84719" w:rsidP="00D84719">
      <w:pPr>
        <w:shd w:val="clear" w:color="auto" w:fill="FCFCFC"/>
        <w:spacing w:before="80" w:after="0" w:line="276" w:lineRule="auto"/>
        <w:jc w:val="both"/>
        <w:rPr>
          <w:rFonts w:ascii="Times New Roman" w:eastAsia="Times New Roman" w:hAnsi="Times New Roman" w:cs="Times New Roman"/>
          <w:color w:val="000000"/>
          <w:sz w:val="24"/>
          <w:lang w:eastAsia="hr-HR"/>
        </w:rPr>
      </w:pPr>
      <w:r w:rsidRPr="00D84719">
        <w:rPr>
          <w:rFonts w:ascii="Times New Roman" w:eastAsia="Times New Roman" w:hAnsi="Times New Roman" w:cs="Times New Roman"/>
          <w:color w:val="000000"/>
          <w:sz w:val="24"/>
          <w:lang w:eastAsia="hr-HR"/>
        </w:rPr>
        <w:t>Većina POPs-ova mjerenih u vodi u području priobalnih voda istočne jadranske obale u 2015. (četiri sezonska izlaska na 26 postaja) bili su niži od granica detekcije korištenih analitičkih metoda i od dozvoljenih koncentracija za te spojeve prema postojećoj regulativi. U nekoliko uzoraka zabilježene su koncentracije izomera heksaklorocikloheksana</w:t>
      </w:r>
      <w:r w:rsidR="00612979">
        <w:rPr>
          <w:rFonts w:ascii="Times New Roman" w:eastAsia="Times New Roman" w:hAnsi="Times New Roman" w:cs="Times New Roman"/>
          <w:color w:val="000000"/>
          <w:sz w:val="24"/>
          <w:lang w:eastAsia="hr-HR"/>
        </w:rPr>
        <w:t xml:space="preserve"> </w:t>
      </w:r>
      <w:r w:rsidRPr="00D84719">
        <w:rPr>
          <w:rFonts w:ascii="Times New Roman" w:eastAsia="Times New Roman" w:hAnsi="Times New Roman" w:cs="Times New Roman"/>
          <w:color w:val="000000"/>
          <w:sz w:val="24"/>
          <w:lang w:eastAsia="hr-HR"/>
        </w:rPr>
        <w:t>(beta-, gama- i delta-) koje su prelazile PGK, ali niti jedna nije prelazila MGK, tako da je s obzirom na mjerene POPs-ove u vodi kemijsko stanje priobalnih voda bilo dobro.</w:t>
      </w:r>
    </w:p>
    <w:p w14:paraId="2057FCE9" w14:textId="46D59FB4" w:rsidR="00D84719" w:rsidRPr="00DF02E3" w:rsidRDefault="00D84719" w:rsidP="00D84719">
      <w:pPr>
        <w:shd w:val="clear" w:color="auto" w:fill="FCFCFC"/>
        <w:spacing w:before="80" w:beforeAutospacing="1" w:after="0" w:line="276" w:lineRule="auto"/>
        <w:jc w:val="both"/>
        <w:rPr>
          <w:rFonts w:ascii="Times New Roman" w:eastAsia="Times New Roman" w:hAnsi="Times New Roman" w:cs="Times New Roman"/>
          <w:b/>
          <w:color w:val="000000"/>
          <w:sz w:val="24"/>
          <w:lang w:eastAsia="hr-HR"/>
        </w:rPr>
      </w:pPr>
      <w:r w:rsidRPr="00DF02E3">
        <w:rPr>
          <w:rFonts w:ascii="Times New Roman" w:eastAsia="Times New Roman" w:hAnsi="Times New Roman" w:cs="Times New Roman"/>
          <w:b/>
          <w:i/>
          <w:iCs/>
          <w:color w:val="000000"/>
          <w:sz w:val="24"/>
          <w:lang w:eastAsia="hr-HR"/>
        </w:rPr>
        <w:t>Prijelazne vode, 2016</w:t>
      </w:r>
      <w:r w:rsidR="004C449C">
        <w:rPr>
          <w:rFonts w:ascii="Times New Roman" w:eastAsia="Times New Roman" w:hAnsi="Times New Roman" w:cs="Times New Roman"/>
          <w:b/>
          <w:i/>
          <w:iCs/>
          <w:color w:val="000000"/>
          <w:sz w:val="24"/>
          <w:lang w:eastAsia="hr-HR"/>
        </w:rPr>
        <w:t>.</w:t>
      </w:r>
    </w:p>
    <w:p w14:paraId="6A8E282B" w14:textId="77777777" w:rsidR="00D84719" w:rsidRPr="00DF02E3" w:rsidRDefault="00D84719" w:rsidP="00D84719">
      <w:pPr>
        <w:shd w:val="clear" w:color="auto" w:fill="FCFCFC"/>
        <w:spacing w:before="80" w:after="0" w:line="276" w:lineRule="auto"/>
        <w:jc w:val="both"/>
        <w:rPr>
          <w:rFonts w:ascii="Times New Roman" w:eastAsia="Times New Roman" w:hAnsi="Times New Roman" w:cs="Times New Roman"/>
          <w:b/>
          <w:color w:val="000000"/>
          <w:sz w:val="24"/>
          <w:lang w:eastAsia="hr-HR"/>
        </w:rPr>
      </w:pPr>
      <w:r w:rsidRPr="00DF02E3">
        <w:rPr>
          <w:rFonts w:ascii="Times New Roman" w:eastAsia="Times New Roman" w:hAnsi="Times New Roman" w:cs="Times New Roman"/>
          <w:b/>
          <w:i/>
          <w:iCs/>
          <w:color w:val="000000"/>
          <w:sz w:val="24"/>
          <w:lang w:eastAsia="hr-HR"/>
        </w:rPr>
        <w:t>VODA</w:t>
      </w:r>
    </w:p>
    <w:p w14:paraId="6AA7FC4B" w14:textId="77777777" w:rsidR="00D84719" w:rsidRPr="00D84719" w:rsidRDefault="00D84719" w:rsidP="00D84719">
      <w:pPr>
        <w:shd w:val="clear" w:color="auto" w:fill="FCFCFC"/>
        <w:spacing w:before="80" w:after="0" w:line="276" w:lineRule="auto"/>
        <w:jc w:val="both"/>
        <w:rPr>
          <w:rFonts w:ascii="Times New Roman" w:eastAsia="Times New Roman" w:hAnsi="Times New Roman" w:cs="Times New Roman"/>
          <w:color w:val="000000"/>
          <w:sz w:val="24"/>
          <w:lang w:eastAsia="hr-HR"/>
        </w:rPr>
      </w:pPr>
      <w:r w:rsidRPr="00D84719">
        <w:rPr>
          <w:rFonts w:ascii="Times New Roman" w:eastAsia="Times New Roman" w:hAnsi="Times New Roman" w:cs="Times New Roman"/>
          <w:color w:val="000000"/>
          <w:sz w:val="24"/>
          <w:lang w:eastAsia="hr-HR"/>
        </w:rPr>
        <w:t xml:space="preserve">Praćenje POPs-ova u prijelaznim vodama tijekom 2016. obuhvatilo je četiri sezonska izlaska na 26 postaja i pokazalo da je stanje voda u odnosu na opterećenje praćenim tvarima uglavnom dobro. Na svim postajama i u svim sezonama koncentracije organoklorovih pesticida </w:t>
      </w:r>
      <w:r w:rsidRPr="00D84719">
        <w:rPr>
          <w:rFonts w:ascii="Times New Roman" w:eastAsia="Times New Roman" w:hAnsi="Times New Roman" w:cs="Times New Roman"/>
          <w:color w:val="000000"/>
          <w:sz w:val="24"/>
          <w:lang w:eastAsia="hr-HR"/>
        </w:rPr>
        <w:lastRenderedPageBreak/>
        <w:t xml:space="preserve">pentaklorobenzena, endosulfana, heksaklorocikloheksana i </w:t>
      </w:r>
      <w:proofErr w:type="spellStart"/>
      <w:r w:rsidRPr="00D84719">
        <w:rPr>
          <w:rFonts w:ascii="Times New Roman" w:eastAsia="Times New Roman" w:hAnsi="Times New Roman" w:cs="Times New Roman"/>
          <w:color w:val="000000"/>
          <w:sz w:val="24"/>
          <w:lang w:eastAsia="hr-HR"/>
        </w:rPr>
        <w:t>p,p</w:t>
      </w:r>
      <w:proofErr w:type="spellEnd"/>
      <w:r w:rsidRPr="00D84719">
        <w:rPr>
          <w:rFonts w:ascii="Times New Roman" w:eastAsia="Times New Roman" w:hAnsi="Times New Roman" w:cs="Times New Roman"/>
          <w:color w:val="000000"/>
          <w:sz w:val="24"/>
          <w:lang w:eastAsia="hr-HR"/>
        </w:rPr>
        <w:t>-DDT-a bile su ispod granice određivanja primijenjene metode (0</w:t>
      </w:r>
      <w:r w:rsidR="004E6AED">
        <w:rPr>
          <w:rFonts w:ascii="Times New Roman" w:eastAsia="Times New Roman" w:hAnsi="Times New Roman" w:cs="Times New Roman"/>
          <w:color w:val="000000"/>
          <w:sz w:val="24"/>
          <w:lang w:eastAsia="hr-HR"/>
        </w:rPr>
        <w:t>,</w:t>
      </w:r>
      <w:r w:rsidRPr="00D84719">
        <w:rPr>
          <w:rFonts w:ascii="Times New Roman" w:eastAsia="Times New Roman" w:hAnsi="Times New Roman" w:cs="Times New Roman"/>
          <w:color w:val="000000"/>
          <w:sz w:val="24"/>
          <w:lang w:eastAsia="hr-HR"/>
        </w:rPr>
        <w:t>1 i 0</w:t>
      </w:r>
      <w:r w:rsidR="004E6AED">
        <w:rPr>
          <w:rFonts w:ascii="Times New Roman" w:eastAsia="Times New Roman" w:hAnsi="Times New Roman" w:cs="Times New Roman"/>
          <w:color w:val="000000"/>
          <w:sz w:val="24"/>
          <w:lang w:eastAsia="hr-HR"/>
        </w:rPr>
        <w:t>,</w:t>
      </w:r>
      <w:r w:rsidRPr="00D84719">
        <w:rPr>
          <w:rFonts w:ascii="Times New Roman" w:eastAsia="Times New Roman" w:hAnsi="Times New Roman" w:cs="Times New Roman"/>
          <w:color w:val="000000"/>
          <w:sz w:val="24"/>
          <w:lang w:eastAsia="hr-HR"/>
        </w:rPr>
        <w:t>5 ng/l) što je niže od propisanih PGK vrijednosti (0</w:t>
      </w:r>
      <w:r w:rsidR="004E6AED">
        <w:rPr>
          <w:rFonts w:ascii="Times New Roman" w:eastAsia="Times New Roman" w:hAnsi="Times New Roman" w:cs="Times New Roman"/>
          <w:color w:val="000000"/>
          <w:sz w:val="24"/>
          <w:lang w:eastAsia="hr-HR"/>
        </w:rPr>
        <w:t>,</w:t>
      </w:r>
      <w:r w:rsidRPr="00D84719">
        <w:rPr>
          <w:rFonts w:ascii="Times New Roman" w:eastAsia="Times New Roman" w:hAnsi="Times New Roman" w:cs="Times New Roman"/>
          <w:color w:val="000000"/>
          <w:sz w:val="24"/>
          <w:lang w:eastAsia="hr-HR"/>
        </w:rPr>
        <w:t>7 ng/l, 0</w:t>
      </w:r>
      <w:r w:rsidR="004E6AED">
        <w:rPr>
          <w:rFonts w:ascii="Times New Roman" w:eastAsia="Times New Roman" w:hAnsi="Times New Roman" w:cs="Times New Roman"/>
          <w:color w:val="000000"/>
          <w:sz w:val="24"/>
          <w:lang w:eastAsia="hr-HR"/>
        </w:rPr>
        <w:t>,</w:t>
      </w:r>
      <w:r w:rsidRPr="00D84719">
        <w:rPr>
          <w:rFonts w:ascii="Times New Roman" w:eastAsia="Times New Roman" w:hAnsi="Times New Roman" w:cs="Times New Roman"/>
          <w:color w:val="000000"/>
          <w:sz w:val="24"/>
          <w:lang w:eastAsia="hr-HR"/>
        </w:rPr>
        <w:t>5 ng/l, 2 ng/l i 10 ng/l). Koncentracija sume kongenera PBDE u prijelaznim vodama 2016. kretala se u rasponu od &lt;0</w:t>
      </w:r>
      <w:r w:rsidR="004E6AED">
        <w:rPr>
          <w:rFonts w:ascii="Times New Roman" w:eastAsia="Times New Roman" w:hAnsi="Times New Roman" w:cs="Times New Roman"/>
          <w:color w:val="000000"/>
          <w:sz w:val="24"/>
          <w:lang w:eastAsia="hr-HR"/>
        </w:rPr>
        <w:t>,</w:t>
      </w:r>
      <w:r w:rsidRPr="00D84719">
        <w:rPr>
          <w:rFonts w:ascii="Times New Roman" w:eastAsia="Times New Roman" w:hAnsi="Times New Roman" w:cs="Times New Roman"/>
          <w:color w:val="000000"/>
          <w:sz w:val="24"/>
          <w:lang w:eastAsia="hr-HR"/>
        </w:rPr>
        <w:t>12 ng/l do 1</w:t>
      </w:r>
      <w:r w:rsidR="004E6AED">
        <w:rPr>
          <w:rFonts w:ascii="Times New Roman" w:eastAsia="Times New Roman" w:hAnsi="Times New Roman" w:cs="Times New Roman"/>
          <w:color w:val="000000"/>
          <w:sz w:val="24"/>
          <w:lang w:eastAsia="hr-HR"/>
        </w:rPr>
        <w:t>,</w:t>
      </w:r>
      <w:r w:rsidRPr="00D84719">
        <w:rPr>
          <w:rFonts w:ascii="Times New Roman" w:eastAsia="Times New Roman" w:hAnsi="Times New Roman" w:cs="Times New Roman"/>
          <w:color w:val="000000"/>
          <w:sz w:val="24"/>
          <w:lang w:eastAsia="hr-HR"/>
        </w:rPr>
        <w:t>25 ng/l. Prema starom hrvatskom kriteriju za površinske vode iz 2013. (PGK = 0</w:t>
      </w:r>
      <w:r w:rsidR="004E6AED">
        <w:rPr>
          <w:rFonts w:ascii="Times New Roman" w:eastAsia="Times New Roman" w:hAnsi="Times New Roman" w:cs="Times New Roman"/>
          <w:color w:val="000000"/>
          <w:sz w:val="24"/>
          <w:lang w:eastAsia="hr-HR"/>
        </w:rPr>
        <w:t>,</w:t>
      </w:r>
      <w:r w:rsidRPr="00D84719">
        <w:rPr>
          <w:rFonts w:ascii="Times New Roman" w:eastAsia="Times New Roman" w:hAnsi="Times New Roman" w:cs="Times New Roman"/>
          <w:color w:val="000000"/>
          <w:sz w:val="24"/>
          <w:lang w:eastAsia="hr-HR"/>
        </w:rPr>
        <w:t>2 ng/l) na nekim lokacijama izmjerene vrijednosti su premašivale taj PGK, međutim, propis iz 2015. sadrži samo MGK (14 ng/l) kao kriterij SKVO i niti jedna od povišenih koncentracija nije premašila taj kriterij. Stoga se može reći da je, što se tiče koncentracije PBDE u vodenom stupcu, situacija zadovoljavajuća.</w:t>
      </w:r>
    </w:p>
    <w:p w14:paraId="4986C10E" w14:textId="77777777" w:rsidR="00D84719" w:rsidRPr="00DF02E3" w:rsidRDefault="00D84719" w:rsidP="00D84719">
      <w:pPr>
        <w:shd w:val="clear" w:color="auto" w:fill="FCFCFC"/>
        <w:spacing w:before="80" w:beforeAutospacing="1" w:after="0" w:line="276" w:lineRule="auto"/>
        <w:jc w:val="both"/>
        <w:rPr>
          <w:rFonts w:ascii="Times New Roman" w:eastAsia="Times New Roman" w:hAnsi="Times New Roman" w:cs="Times New Roman"/>
          <w:b/>
          <w:color w:val="000000"/>
          <w:sz w:val="24"/>
          <w:lang w:eastAsia="hr-HR"/>
        </w:rPr>
      </w:pPr>
      <w:r w:rsidRPr="00DF02E3">
        <w:rPr>
          <w:rFonts w:ascii="Times New Roman" w:eastAsia="Times New Roman" w:hAnsi="Times New Roman" w:cs="Times New Roman"/>
          <w:b/>
          <w:i/>
          <w:iCs/>
          <w:color w:val="000000"/>
          <w:sz w:val="24"/>
          <w:lang w:eastAsia="hr-HR"/>
        </w:rPr>
        <w:t>BIOTA</w:t>
      </w:r>
    </w:p>
    <w:p w14:paraId="51A920EF" w14:textId="77777777" w:rsidR="00D84719" w:rsidRPr="00D84719" w:rsidRDefault="00D84719" w:rsidP="00D84719">
      <w:pPr>
        <w:shd w:val="clear" w:color="auto" w:fill="FCFCFC"/>
        <w:spacing w:before="80" w:after="0" w:line="276" w:lineRule="auto"/>
        <w:jc w:val="both"/>
        <w:rPr>
          <w:rFonts w:ascii="Times New Roman" w:eastAsia="Times New Roman" w:hAnsi="Times New Roman" w:cs="Times New Roman"/>
          <w:color w:val="000000"/>
          <w:sz w:val="24"/>
          <w:lang w:eastAsia="hr-HR"/>
        </w:rPr>
      </w:pPr>
      <w:r w:rsidRPr="00D84719">
        <w:rPr>
          <w:rFonts w:ascii="Times New Roman" w:eastAsia="Times New Roman" w:hAnsi="Times New Roman" w:cs="Times New Roman"/>
          <w:color w:val="000000"/>
          <w:sz w:val="24"/>
          <w:lang w:eastAsia="hr-HR"/>
        </w:rPr>
        <w:t>Koncentracije heksaklorobenzena (&lt;0</w:t>
      </w:r>
      <w:r w:rsidR="00943B17">
        <w:rPr>
          <w:rFonts w:ascii="Times New Roman" w:eastAsia="Times New Roman" w:hAnsi="Times New Roman" w:cs="Times New Roman"/>
          <w:color w:val="000000"/>
          <w:sz w:val="24"/>
          <w:lang w:eastAsia="hr-HR"/>
        </w:rPr>
        <w:t>,</w:t>
      </w:r>
      <w:r w:rsidRPr="00D84719">
        <w:rPr>
          <w:rFonts w:ascii="Times New Roman" w:eastAsia="Times New Roman" w:hAnsi="Times New Roman" w:cs="Times New Roman"/>
          <w:color w:val="000000"/>
          <w:sz w:val="24"/>
          <w:lang w:eastAsia="hr-HR"/>
        </w:rPr>
        <w:t>03 – 0</w:t>
      </w:r>
      <w:r w:rsidR="00943B17">
        <w:rPr>
          <w:rFonts w:ascii="Times New Roman" w:eastAsia="Times New Roman" w:hAnsi="Times New Roman" w:cs="Times New Roman"/>
          <w:color w:val="000000"/>
          <w:sz w:val="24"/>
          <w:lang w:eastAsia="hr-HR"/>
        </w:rPr>
        <w:t>,</w:t>
      </w:r>
      <w:r w:rsidRPr="00D84719">
        <w:rPr>
          <w:rFonts w:ascii="Times New Roman" w:eastAsia="Times New Roman" w:hAnsi="Times New Roman" w:cs="Times New Roman"/>
          <w:color w:val="000000"/>
          <w:sz w:val="24"/>
          <w:lang w:eastAsia="hr-HR"/>
        </w:rPr>
        <w:t>06 ng/g), heksaklorobutadiena (&lt;0</w:t>
      </w:r>
      <w:r w:rsidR="00943B17">
        <w:rPr>
          <w:rFonts w:ascii="Times New Roman" w:eastAsia="Times New Roman" w:hAnsi="Times New Roman" w:cs="Times New Roman"/>
          <w:color w:val="000000"/>
          <w:sz w:val="24"/>
          <w:lang w:eastAsia="hr-HR"/>
        </w:rPr>
        <w:t>,</w:t>
      </w:r>
      <w:r w:rsidRPr="00D84719">
        <w:rPr>
          <w:rFonts w:ascii="Times New Roman" w:eastAsia="Times New Roman" w:hAnsi="Times New Roman" w:cs="Times New Roman"/>
          <w:color w:val="000000"/>
          <w:sz w:val="24"/>
          <w:lang w:eastAsia="hr-HR"/>
        </w:rPr>
        <w:t>1 ng/g) i dioksina i njima srodnih spojeva (0</w:t>
      </w:r>
      <w:r w:rsidR="00943B17">
        <w:rPr>
          <w:rFonts w:ascii="Times New Roman" w:eastAsia="Times New Roman" w:hAnsi="Times New Roman" w:cs="Times New Roman"/>
          <w:color w:val="000000"/>
          <w:sz w:val="24"/>
          <w:lang w:eastAsia="hr-HR"/>
        </w:rPr>
        <w:t>,</w:t>
      </w:r>
      <w:r w:rsidRPr="00D84719">
        <w:rPr>
          <w:rFonts w:ascii="Times New Roman" w:eastAsia="Times New Roman" w:hAnsi="Times New Roman" w:cs="Times New Roman"/>
          <w:color w:val="000000"/>
          <w:sz w:val="24"/>
          <w:lang w:eastAsia="hr-HR"/>
        </w:rPr>
        <w:t>00009 – 0</w:t>
      </w:r>
      <w:r w:rsidR="00943B17">
        <w:rPr>
          <w:rFonts w:ascii="Times New Roman" w:eastAsia="Times New Roman" w:hAnsi="Times New Roman" w:cs="Times New Roman"/>
          <w:color w:val="000000"/>
          <w:sz w:val="24"/>
          <w:lang w:eastAsia="hr-HR"/>
        </w:rPr>
        <w:t>,</w:t>
      </w:r>
      <w:r w:rsidRPr="00D84719">
        <w:rPr>
          <w:rFonts w:ascii="Times New Roman" w:eastAsia="Times New Roman" w:hAnsi="Times New Roman" w:cs="Times New Roman"/>
          <w:color w:val="000000"/>
          <w:sz w:val="24"/>
          <w:lang w:eastAsia="hr-HR"/>
        </w:rPr>
        <w:t>0045 ng/g, zbroj TEQ) u uzorcima riba iz prijelaznih voda u 2016. bile su znatno niže od odgovarajućih vrijednosti SKVO za biotu (u cijeloj ribi ili mišiću ribe, ovisno o tvari). Koncentracije heptaklora i heptaklor epoksida (&lt;0</w:t>
      </w:r>
      <w:r w:rsidR="00943B17">
        <w:rPr>
          <w:rFonts w:ascii="Times New Roman" w:eastAsia="Times New Roman" w:hAnsi="Times New Roman" w:cs="Times New Roman"/>
          <w:color w:val="000000"/>
          <w:sz w:val="24"/>
          <w:lang w:eastAsia="hr-HR"/>
        </w:rPr>
        <w:t>,</w:t>
      </w:r>
      <w:r w:rsidRPr="00D84719">
        <w:rPr>
          <w:rFonts w:ascii="Times New Roman" w:eastAsia="Times New Roman" w:hAnsi="Times New Roman" w:cs="Times New Roman"/>
          <w:color w:val="000000"/>
          <w:sz w:val="24"/>
          <w:lang w:eastAsia="hr-HR"/>
        </w:rPr>
        <w:t>05 – 0</w:t>
      </w:r>
      <w:r w:rsidR="00943B17">
        <w:rPr>
          <w:rFonts w:ascii="Times New Roman" w:eastAsia="Times New Roman" w:hAnsi="Times New Roman" w:cs="Times New Roman"/>
          <w:color w:val="000000"/>
          <w:sz w:val="24"/>
          <w:lang w:eastAsia="hr-HR"/>
        </w:rPr>
        <w:t>,</w:t>
      </w:r>
      <w:r w:rsidRPr="00D84719">
        <w:rPr>
          <w:rFonts w:ascii="Times New Roman" w:eastAsia="Times New Roman" w:hAnsi="Times New Roman" w:cs="Times New Roman"/>
          <w:color w:val="000000"/>
          <w:sz w:val="24"/>
          <w:lang w:eastAsia="hr-HR"/>
        </w:rPr>
        <w:t>53 ng/g) bile su za neke uzorke znatno više od vrlo zahtjevne vrijednosti SKVO od 0</w:t>
      </w:r>
      <w:r w:rsidR="00943B17">
        <w:rPr>
          <w:rFonts w:ascii="Times New Roman" w:eastAsia="Times New Roman" w:hAnsi="Times New Roman" w:cs="Times New Roman"/>
          <w:color w:val="000000"/>
          <w:sz w:val="24"/>
          <w:lang w:eastAsia="hr-HR"/>
        </w:rPr>
        <w:t>,</w:t>
      </w:r>
      <w:r w:rsidRPr="00D84719">
        <w:rPr>
          <w:rFonts w:ascii="Times New Roman" w:eastAsia="Times New Roman" w:hAnsi="Times New Roman" w:cs="Times New Roman"/>
          <w:color w:val="000000"/>
          <w:sz w:val="24"/>
          <w:lang w:eastAsia="hr-HR"/>
        </w:rPr>
        <w:t>0067 ng/g.</w:t>
      </w:r>
    </w:p>
    <w:p w14:paraId="60614B69" w14:textId="77777777" w:rsidR="00D84719" w:rsidRPr="00D84719" w:rsidRDefault="00D84719" w:rsidP="00D84719">
      <w:pPr>
        <w:shd w:val="clear" w:color="auto" w:fill="FCFCFC"/>
        <w:spacing w:before="80" w:after="0" w:line="276" w:lineRule="auto"/>
        <w:jc w:val="both"/>
        <w:rPr>
          <w:rFonts w:ascii="Times New Roman" w:eastAsia="Times New Roman" w:hAnsi="Times New Roman" w:cs="Times New Roman"/>
          <w:color w:val="000000"/>
          <w:sz w:val="24"/>
          <w:lang w:eastAsia="hr-HR"/>
        </w:rPr>
      </w:pPr>
      <w:r w:rsidRPr="00D84719">
        <w:rPr>
          <w:rFonts w:ascii="Times New Roman" w:eastAsia="Times New Roman" w:hAnsi="Times New Roman" w:cs="Times New Roman"/>
          <w:color w:val="000000"/>
          <w:sz w:val="24"/>
          <w:lang w:eastAsia="hr-HR"/>
        </w:rPr>
        <w:t>Najkritičniji pokazatelj sa stajališta zadovoljavanja kriterija SKVO za biotu predstavljaju polibromirani difenileteri (PBDE) u mišiću riba. Zbog izrazito strogog kriterija SKVO od 0</w:t>
      </w:r>
      <w:r w:rsidR="00943B17">
        <w:rPr>
          <w:rFonts w:ascii="Times New Roman" w:eastAsia="Times New Roman" w:hAnsi="Times New Roman" w:cs="Times New Roman"/>
          <w:color w:val="000000"/>
          <w:sz w:val="24"/>
          <w:lang w:eastAsia="hr-HR"/>
        </w:rPr>
        <w:t>,</w:t>
      </w:r>
      <w:r w:rsidRPr="00D84719">
        <w:rPr>
          <w:rFonts w:ascii="Times New Roman" w:eastAsia="Times New Roman" w:hAnsi="Times New Roman" w:cs="Times New Roman"/>
          <w:color w:val="000000"/>
          <w:sz w:val="24"/>
          <w:lang w:eastAsia="hr-HR"/>
        </w:rPr>
        <w:t>0085 ng/g za sumu reprezentativnih 6 kongenera PBDE niti jedan uzorak nije zadovoljio taj kriterij. Raspon koncentracija kretao se u rasponu od 0</w:t>
      </w:r>
      <w:r w:rsidR="00943B17">
        <w:rPr>
          <w:rFonts w:ascii="Times New Roman" w:eastAsia="Times New Roman" w:hAnsi="Times New Roman" w:cs="Times New Roman"/>
          <w:color w:val="000000"/>
          <w:sz w:val="24"/>
          <w:lang w:eastAsia="hr-HR"/>
        </w:rPr>
        <w:t>,</w:t>
      </w:r>
      <w:r w:rsidRPr="00D84719">
        <w:rPr>
          <w:rFonts w:ascii="Times New Roman" w:eastAsia="Times New Roman" w:hAnsi="Times New Roman" w:cs="Times New Roman"/>
          <w:color w:val="000000"/>
          <w:sz w:val="24"/>
          <w:lang w:eastAsia="hr-HR"/>
        </w:rPr>
        <w:t>04 do 0</w:t>
      </w:r>
      <w:r w:rsidR="00943B17">
        <w:rPr>
          <w:rFonts w:ascii="Times New Roman" w:eastAsia="Times New Roman" w:hAnsi="Times New Roman" w:cs="Times New Roman"/>
          <w:color w:val="000000"/>
          <w:sz w:val="24"/>
          <w:lang w:eastAsia="hr-HR"/>
        </w:rPr>
        <w:t>,</w:t>
      </w:r>
      <w:r w:rsidRPr="00D84719">
        <w:rPr>
          <w:rFonts w:ascii="Times New Roman" w:eastAsia="Times New Roman" w:hAnsi="Times New Roman" w:cs="Times New Roman"/>
          <w:color w:val="000000"/>
          <w:sz w:val="24"/>
          <w:lang w:eastAsia="hr-HR"/>
        </w:rPr>
        <w:t xml:space="preserve">99 ng/g te prosječna koncentracija od 0,32 ng/g višestruko premašuje propisani kriterij. Prema prostornoj raspodjeli koncentracija u našim prijelaznim vodama, najjača žarišta unosa PBDE zabilježena su u estuariju </w:t>
      </w:r>
      <w:proofErr w:type="spellStart"/>
      <w:r w:rsidRPr="00D84719">
        <w:rPr>
          <w:rFonts w:ascii="Times New Roman" w:eastAsia="Times New Roman" w:hAnsi="Times New Roman" w:cs="Times New Roman"/>
          <w:color w:val="000000"/>
          <w:sz w:val="24"/>
          <w:lang w:eastAsia="hr-HR"/>
        </w:rPr>
        <w:t>Omble</w:t>
      </w:r>
      <w:proofErr w:type="spellEnd"/>
      <w:r w:rsidRPr="00D84719">
        <w:rPr>
          <w:rFonts w:ascii="Times New Roman" w:eastAsia="Times New Roman" w:hAnsi="Times New Roman" w:cs="Times New Roman"/>
          <w:color w:val="000000"/>
          <w:sz w:val="24"/>
          <w:lang w:eastAsia="hr-HR"/>
        </w:rPr>
        <w:t xml:space="preserve"> (FP-P1 i FP-P2), ali koncentracije su bile značajne i u estuarijima Neretve (FP-P5b), Cetine (FP-8), </w:t>
      </w:r>
      <w:proofErr w:type="spellStart"/>
      <w:r w:rsidRPr="00D84719">
        <w:rPr>
          <w:rFonts w:ascii="Times New Roman" w:eastAsia="Times New Roman" w:hAnsi="Times New Roman" w:cs="Times New Roman"/>
          <w:color w:val="000000"/>
          <w:sz w:val="24"/>
          <w:lang w:eastAsia="hr-HR"/>
        </w:rPr>
        <w:t>Jadra</w:t>
      </w:r>
      <w:proofErr w:type="spellEnd"/>
      <w:r w:rsidRPr="00D84719">
        <w:rPr>
          <w:rFonts w:ascii="Times New Roman" w:eastAsia="Times New Roman" w:hAnsi="Times New Roman" w:cs="Times New Roman"/>
          <w:color w:val="000000"/>
          <w:sz w:val="24"/>
          <w:lang w:eastAsia="hr-HR"/>
        </w:rPr>
        <w:t xml:space="preserve"> (FP-P9), Krke (FP-P13) i Rječine (FP-18).</w:t>
      </w:r>
    </w:p>
    <w:p w14:paraId="0F96EC24" w14:textId="77777777" w:rsidR="00D84719" w:rsidRPr="00D84719" w:rsidRDefault="00D84719" w:rsidP="00D84719">
      <w:pPr>
        <w:keepNext/>
        <w:shd w:val="clear" w:color="auto" w:fill="FCFCFC"/>
        <w:spacing w:before="80" w:after="0" w:line="240" w:lineRule="auto"/>
        <w:rPr>
          <w:rFonts w:ascii="Times New Roman" w:eastAsia="Times New Roman" w:hAnsi="Times New Roman" w:cs="Times New Roman"/>
          <w:color w:val="000000"/>
          <w:szCs w:val="24"/>
        </w:rPr>
      </w:pPr>
      <w:r w:rsidRPr="00D84719">
        <w:rPr>
          <w:rFonts w:ascii="Times New Roman" w:eastAsia="Times New Roman" w:hAnsi="Times New Roman" w:cs="Times New Roman"/>
          <w:noProof/>
          <w:color w:val="000000"/>
          <w:szCs w:val="24"/>
          <w:lang w:eastAsia="hr-HR"/>
        </w:rPr>
        <w:lastRenderedPageBreak/>
        <w:drawing>
          <wp:inline distT="0" distB="0" distL="0" distR="0" wp14:anchorId="7494A9CE" wp14:editId="064333A3">
            <wp:extent cx="4680000" cy="3798962"/>
            <wp:effectExtent l="0" t="0" r="635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80000" cy="3798962"/>
                    </a:xfrm>
                    <a:prstGeom prst="rect">
                      <a:avLst/>
                    </a:prstGeom>
                    <a:noFill/>
                    <a:ln>
                      <a:noFill/>
                    </a:ln>
                  </pic:spPr>
                </pic:pic>
              </a:graphicData>
            </a:graphic>
          </wp:inline>
        </w:drawing>
      </w:r>
    </w:p>
    <w:p w14:paraId="2BEDD142" w14:textId="77777777" w:rsidR="00D84719" w:rsidRPr="00D84719" w:rsidRDefault="00D84719" w:rsidP="00D84719">
      <w:pPr>
        <w:keepNext/>
        <w:spacing w:before="80" w:after="0" w:line="276" w:lineRule="auto"/>
        <w:jc w:val="both"/>
        <w:rPr>
          <w:rFonts w:ascii="Times New Roman" w:eastAsia="Times New Roman" w:hAnsi="Times New Roman" w:cs="Times New Roman"/>
          <w:b/>
          <w:bCs/>
          <w:i/>
          <w:color w:val="000000"/>
          <w:sz w:val="24"/>
          <w:szCs w:val="20"/>
          <w:lang w:eastAsia="hr-HR"/>
        </w:rPr>
      </w:pPr>
      <w:r w:rsidRPr="00D84719">
        <w:rPr>
          <w:rFonts w:ascii="Times New Roman" w:eastAsia="Times New Roman" w:hAnsi="Times New Roman" w:cs="Times New Roman"/>
          <w:b/>
          <w:bCs/>
          <w:i/>
          <w:sz w:val="20"/>
          <w:szCs w:val="20"/>
        </w:rPr>
        <w:t xml:space="preserve">Slika </w:t>
      </w:r>
      <w:r w:rsidRPr="00D84719">
        <w:rPr>
          <w:rFonts w:ascii="Times New Roman" w:eastAsia="Times New Roman" w:hAnsi="Times New Roman" w:cs="Times New Roman"/>
          <w:b/>
          <w:bCs/>
          <w:i/>
          <w:sz w:val="20"/>
          <w:szCs w:val="20"/>
        </w:rPr>
        <w:fldChar w:fldCharType="begin"/>
      </w:r>
      <w:r w:rsidRPr="00D84719">
        <w:rPr>
          <w:rFonts w:ascii="Times New Roman" w:eastAsia="Times New Roman" w:hAnsi="Times New Roman" w:cs="Times New Roman"/>
          <w:b/>
          <w:bCs/>
          <w:i/>
          <w:sz w:val="20"/>
          <w:szCs w:val="20"/>
        </w:rPr>
        <w:instrText xml:space="preserve"> STYLEREF 2 \s </w:instrText>
      </w:r>
      <w:r w:rsidRPr="00D84719">
        <w:rPr>
          <w:rFonts w:ascii="Times New Roman" w:eastAsia="Times New Roman" w:hAnsi="Times New Roman" w:cs="Times New Roman"/>
          <w:b/>
          <w:bCs/>
          <w:i/>
          <w:sz w:val="20"/>
          <w:szCs w:val="20"/>
        </w:rPr>
        <w:fldChar w:fldCharType="separate"/>
      </w:r>
      <w:r w:rsidRPr="00D84719">
        <w:rPr>
          <w:rFonts w:ascii="Times New Roman" w:eastAsia="Times New Roman" w:hAnsi="Times New Roman" w:cs="Times New Roman"/>
          <w:b/>
          <w:bCs/>
          <w:i/>
          <w:sz w:val="20"/>
          <w:szCs w:val="20"/>
        </w:rPr>
        <w:t>3.7</w:t>
      </w:r>
      <w:r w:rsidRPr="00D84719">
        <w:rPr>
          <w:rFonts w:ascii="Times New Roman" w:eastAsia="Times New Roman" w:hAnsi="Times New Roman" w:cs="Times New Roman"/>
          <w:b/>
          <w:bCs/>
          <w:i/>
          <w:sz w:val="20"/>
          <w:szCs w:val="20"/>
        </w:rPr>
        <w:fldChar w:fldCharType="end"/>
      </w:r>
      <w:r w:rsidRPr="00D84719">
        <w:rPr>
          <w:rFonts w:ascii="Times New Roman" w:eastAsia="Times New Roman" w:hAnsi="Times New Roman" w:cs="Times New Roman"/>
          <w:b/>
          <w:bCs/>
          <w:i/>
          <w:sz w:val="20"/>
          <w:szCs w:val="20"/>
        </w:rPr>
        <w:noBreakHyphen/>
      </w:r>
      <w:r w:rsidRPr="00D84719">
        <w:rPr>
          <w:rFonts w:ascii="Times New Roman" w:eastAsia="Times New Roman" w:hAnsi="Times New Roman" w:cs="Times New Roman"/>
          <w:b/>
          <w:bCs/>
          <w:i/>
          <w:sz w:val="20"/>
          <w:szCs w:val="20"/>
        </w:rPr>
        <w:fldChar w:fldCharType="begin"/>
      </w:r>
      <w:r w:rsidRPr="00D84719">
        <w:rPr>
          <w:rFonts w:ascii="Times New Roman" w:eastAsia="Times New Roman" w:hAnsi="Times New Roman" w:cs="Times New Roman"/>
          <w:b/>
          <w:bCs/>
          <w:i/>
          <w:sz w:val="20"/>
          <w:szCs w:val="20"/>
        </w:rPr>
        <w:instrText xml:space="preserve"> SEQ Slika \* ARABIC \s 2 </w:instrText>
      </w:r>
      <w:r w:rsidRPr="00D84719">
        <w:rPr>
          <w:rFonts w:ascii="Times New Roman" w:eastAsia="Times New Roman" w:hAnsi="Times New Roman" w:cs="Times New Roman"/>
          <w:b/>
          <w:bCs/>
          <w:i/>
          <w:sz w:val="20"/>
          <w:szCs w:val="20"/>
        </w:rPr>
        <w:fldChar w:fldCharType="separate"/>
      </w:r>
      <w:r w:rsidRPr="00D84719">
        <w:rPr>
          <w:rFonts w:ascii="Times New Roman" w:eastAsia="Times New Roman" w:hAnsi="Times New Roman" w:cs="Times New Roman"/>
          <w:b/>
          <w:bCs/>
          <w:i/>
          <w:sz w:val="20"/>
          <w:szCs w:val="20"/>
        </w:rPr>
        <w:t>1</w:t>
      </w:r>
      <w:r w:rsidRPr="00D84719">
        <w:rPr>
          <w:rFonts w:ascii="Times New Roman" w:eastAsia="Times New Roman" w:hAnsi="Times New Roman" w:cs="Times New Roman"/>
          <w:b/>
          <w:bCs/>
          <w:i/>
          <w:sz w:val="20"/>
          <w:szCs w:val="20"/>
        </w:rPr>
        <w:fldChar w:fldCharType="end"/>
      </w:r>
      <w:r w:rsidRPr="00D84719">
        <w:rPr>
          <w:rFonts w:ascii="Times New Roman" w:eastAsia="Times New Roman" w:hAnsi="Times New Roman" w:cs="Times New Roman"/>
          <w:b/>
          <w:bCs/>
          <w:i/>
          <w:sz w:val="20"/>
          <w:szCs w:val="20"/>
        </w:rPr>
        <w:t xml:space="preserve"> Raspodjela polibromiranih difeniletera (PBDE) u ribama prijelaznih voda 2016. </w:t>
      </w:r>
    </w:p>
    <w:p w14:paraId="5D81A2F2" w14:textId="77777777" w:rsidR="00D84719" w:rsidRPr="00D84719" w:rsidRDefault="00D84719" w:rsidP="00D84719">
      <w:pPr>
        <w:shd w:val="clear" w:color="auto" w:fill="FCFCFC"/>
        <w:spacing w:before="80" w:after="0" w:line="276" w:lineRule="auto"/>
        <w:jc w:val="both"/>
        <w:rPr>
          <w:rFonts w:ascii="Times New Roman" w:eastAsia="Times New Roman" w:hAnsi="Times New Roman" w:cs="Times New Roman"/>
          <w:color w:val="000000"/>
          <w:sz w:val="24"/>
          <w:lang w:eastAsia="hr-HR"/>
        </w:rPr>
      </w:pPr>
    </w:p>
    <w:p w14:paraId="5155132D" w14:textId="77777777" w:rsidR="00D84719" w:rsidRPr="00D84719" w:rsidRDefault="00D84719" w:rsidP="00D84719">
      <w:pPr>
        <w:shd w:val="clear" w:color="auto" w:fill="FCFCFC"/>
        <w:spacing w:before="80" w:after="0" w:line="276" w:lineRule="auto"/>
        <w:jc w:val="both"/>
        <w:rPr>
          <w:rFonts w:ascii="Times New Roman" w:eastAsia="Times New Roman" w:hAnsi="Times New Roman" w:cs="Times New Roman"/>
          <w:color w:val="000000"/>
          <w:sz w:val="24"/>
          <w:lang w:eastAsia="hr-HR"/>
        </w:rPr>
      </w:pPr>
      <w:r w:rsidRPr="00D84719">
        <w:rPr>
          <w:rFonts w:ascii="Times New Roman" w:eastAsia="Times New Roman" w:hAnsi="Times New Roman" w:cs="Times New Roman"/>
          <w:color w:val="000000"/>
          <w:sz w:val="24"/>
          <w:lang w:eastAsia="hr-HR"/>
        </w:rPr>
        <w:t xml:space="preserve">Drugi tip bromiranih usporivača gorenja koji je obuhvaćen monitoringom biote, heksabromociklododekan (HBCDD), pokazuje </w:t>
      </w:r>
      <w:r w:rsidR="00B974B8" w:rsidRPr="00D84719">
        <w:rPr>
          <w:rFonts w:ascii="Times New Roman" w:eastAsia="Times New Roman" w:hAnsi="Times New Roman" w:cs="Times New Roman"/>
          <w:color w:val="000000"/>
          <w:sz w:val="24"/>
          <w:lang w:eastAsia="hr-HR"/>
        </w:rPr>
        <w:t>koncentracije</w:t>
      </w:r>
      <w:r w:rsidRPr="00D84719">
        <w:rPr>
          <w:rFonts w:ascii="Times New Roman" w:eastAsia="Times New Roman" w:hAnsi="Times New Roman" w:cs="Times New Roman"/>
          <w:color w:val="000000"/>
          <w:sz w:val="24"/>
          <w:lang w:eastAsia="hr-HR"/>
        </w:rPr>
        <w:t xml:space="preserve"> u sličnom redu veličine (&lt;0</w:t>
      </w:r>
      <w:r w:rsidR="001629F8">
        <w:rPr>
          <w:rFonts w:ascii="Times New Roman" w:eastAsia="Times New Roman" w:hAnsi="Times New Roman" w:cs="Times New Roman"/>
          <w:color w:val="000000"/>
          <w:sz w:val="24"/>
          <w:lang w:eastAsia="hr-HR"/>
        </w:rPr>
        <w:t>,</w:t>
      </w:r>
      <w:r w:rsidRPr="00D84719">
        <w:rPr>
          <w:rFonts w:ascii="Times New Roman" w:eastAsia="Times New Roman" w:hAnsi="Times New Roman" w:cs="Times New Roman"/>
          <w:color w:val="000000"/>
          <w:sz w:val="24"/>
          <w:lang w:eastAsia="hr-HR"/>
        </w:rPr>
        <w:t>1 – 0</w:t>
      </w:r>
      <w:r w:rsidR="001629F8">
        <w:rPr>
          <w:rFonts w:ascii="Times New Roman" w:eastAsia="Times New Roman" w:hAnsi="Times New Roman" w:cs="Times New Roman"/>
          <w:color w:val="000000"/>
          <w:sz w:val="24"/>
          <w:lang w:eastAsia="hr-HR"/>
        </w:rPr>
        <w:t>,</w:t>
      </w:r>
      <w:r w:rsidRPr="00D84719">
        <w:rPr>
          <w:rFonts w:ascii="Times New Roman" w:eastAsia="Times New Roman" w:hAnsi="Times New Roman" w:cs="Times New Roman"/>
          <w:color w:val="000000"/>
          <w:sz w:val="24"/>
          <w:lang w:eastAsia="hr-HR"/>
        </w:rPr>
        <w:t>5 ng/g; srednja vrijednost 0</w:t>
      </w:r>
      <w:r w:rsidR="001629F8">
        <w:rPr>
          <w:rFonts w:ascii="Times New Roman" w:eastAsia="Times New Roman" w:hAnsi="Times New Roman" w:cs="Times New Roman"/>
          <w:color w:val="000000"/>
          <w:sz w:val="24"/>
          <w:lang w:eastAsia="hr-HR"/>
        </w:rPr>
        <w:t>,</w:t>
      </w:r>
      <w:r w:rsidRPr="00D84719">
        <w:rPr>
          <w:rFonts w:ascii="Times New Roman" w:eastAsia="Times New Roman" w:hAnsi="Times New Roman" w:cs="Times New Roman"/>
          <w:color w:val="000000"/>
          <w:sz w:val="24"/>
          <w:lang w:eastAsia="hr-HR"/>
        </w:rPr>
        <w:t>13 ng/g) kao za PBDE. Međutim, SKVO za koncentraciju HBCDD u ribama je, za razliku od PBDE, dosta visok (167 ng/g) pa su sve izmjerene vrijednosti barem sto puta manje od propisanog kriterija SKVO. Također, treba uočiti da ne postoji korelacija između pojavljivanja povišenih razina PBDE i HBCDD. Najviše koncentracije HBCDD izmjerene su u ribama iz estuarija Krke (FP-P13), Rječine (FP-P18) i Raše (FP-P19).</w:t>
      </w:r>
    </w:p>
    <w:p w14:paraId="47CD8974" w14:textId="77777777" w:rsidR="00D84719" w:rsidRPr="00D84719" w:rsidRDefault="00D84719" w:rsidP="00D84719">
      <w:pPr>
        <w:shd w:val="clear" w:color="auto" w:fill="FCFCFC"/>
        <w:spacing w:before="80" w:after="0" w:line="276" w:lineRule="auto"/>
        <w:jc w:val="both"/>
        <w:rPr>
          <w:rFonts w:ascii="Times New Roman" w:eastAsia="Times New Roman" w:hAnsi="Times New Roman" w:cs="Times New Roman"/>
          <w:color w:val="000000"/>
          <w:sz w:val="24"/>
          <w:lang w:eastAsia="hr-HR"/>
        </w:rPr>
      </w:pPr>
      <w:r w:rsidRPr="00D84719">
        <w:rPr>
          <w:rFonts w:ascii="Times New Roman" w:eastAsia="Times New Roman" w:hAnsi="Times New Roman" w:cs="Times New Roman"/>
          <w:color w:val="000000"/>
          <w:sz w:val="24"/>
          <w:lang w:eastAsia="hr-HR"/>
        </w:rPr>
        <w:t>PFOS (p</w:t>
      </w:r>
      <w:r w:rsidRPr="00D84719">
        <w:rPr>
          <w:rFonts w:ascii="Times New Roman" w:eastAsia="Times New Roman" w:hAnsi="Times New Roman" w:cs="Times New Roman"/>
          <w:color w:val="000000"/>
          <w:sz w:val="24"/>
          <w:szCs w:val="24"/>
        </w:rPr>
        <w:t xml:space="preserve">erfluorooktan sulfonska kiselina) </w:t>
      </w:r>
      <w:r w:rsidRPr="00D84719">
        <w:rPr>
          <w:rFonts w:ascii="Times New Roman" w:eastAsia="Times New Roman" w:hAnsi="Times New Roman" w:cs="Times New Roman"/>
          <w:color w:val="000000"/>
          <w:sz w:val="24"/>
          <w:lang w:eastAsia="hr-HR"/>
        </w:rPr>
        <w:t>su kemijski spojevi koji uz lipofilna svojstva imaju i polarni karakter što znači da po svojim fizikalno-kemijskim značajkama pripadaju skupini tenzida. To svojstvo ih dosta razlikuje od ostalih tipova perzistentnih prioritetnih tvari. Njihova koncentracija u ribama bila je vrlo sličnog reda veličine kao i koncentracija polibromiranih usporivača gorenja (raspon koncentracija &lt;0</w:t>
      </w:r>
      <w:r w:rsidR="001629F8">
        <w:rPr>
          <w:rFonts w:ascii="Times New Roman" w:eastAsia="Times New Roman" w:hAnsi="Times New Roman" w:cs="Times New Roman"/>
          <w:color w:val="000000"/>
          <w:sz w:val="24"/>
          <w:lang w:eastAsia="hr-HR"/>
        </w:rPr>
        <w:t>,</w:t>
      </w:r>
      <w:r w:rsidRPr="00D84719">
        <w:rPr>
          <w:rFonts w:ascii="Times New Roman" w:eastAsia="Times New Roman" w:hAnsi="Times New Roman" w:cs="Times New Roman"/>
          <w:color w:val="000000"/>
          <w:sz w:val="24"/>
          <w:lang w:eastAsia="hr-HR"/>
        </w:rPr>
        <w:t>1-0</w:t>
      </w:r>
      <w:r w:rsidR="001629F8">
        <w:rPr>
          <w:rFonts w:ascii="Times New Roman" w:eastAsia="Times New Roman" w:hAnsi="Times New Roman" w:cs="Times New Roman"/>
          <w:color w:val="000000"/>
          <w:sz w:val="24"/>
          <w:lang w:eastAsia="hr-HR"/>
        </w:rPr>
        <w:t>,</w:t>
      </w:r>
      <w:r w:rsidRPr="00D84719">
        <w:rPr>
          <w:rFonts w:ascii="Times New Roman" w:eastAsia="Times New Roman" w:hAnsi="Times New Roman" w:cs="Times New Roman"/>
          <w:color w:val="000000"/>
          <w:sz w:val="24"/>
          <w:lang w:eastAsia="hr-HR"/>
        </w:rPr>
        <w:t>5 ng/g), što je niže od propisanog kriterija SKVO (9</w:t>
      </w:r>
      <w:r w:rsidR="001629F8">
        <w:rPr>
          <w:rFonts w:ascii="Times New Roman" w:eastAsia="Times New Roman" w:hAnsi="Times New Roman" w:cs="Times New Roman"/>
          <w:color w:val="000000"/>
          <w:sz w:val="24"/>
          <w:lang w:eastAsia="hr-HR"/>
        </w:rPr>
        <w:t>,</w:t>
      </w:r>
      <w:r w:rsidRPr="00D84719">
        <w:rPr>
          <w:rFonts w:ascii="Times New Roman" w:eastAsia="Times New Roman" w:hAnsi="Times New Roman" w:cs="Times New Roman"/>
          <w:color w:val="000000"/>
          <w:sz w:val="24"/>
          <w:lang w:eastAsia="hr-HR"/>
        </w:rPr>
        <w:t>1 ng/g). S obzirom na omjer srednje (0</w:t>
      </w:r>
      <w:r w:rsidR="001629F8">
        <w:rPr>
          <w:rFonts w:ascii="Times New Roman" w:eastAsia="Times New Roman" w:hAnsi="Times New Roman" w:cs="Times New Roman"/>
          <w:color w:val="000000"/>
          <w:sz w:val="24"/>
          <w:lang w:eastAsia="hr-HR"/>
        </w:rPr>
        <w:t>,</w:t>
      </w:r>
      <w:r w:rsidRPr="00D84719">
        <w:rPr>
          <w:rFonts w:ascii="Times New Roman" w:eastAsia="Times New Roman" w:hAnsi="Times New Roman" w:cs="Times New Roman"/>
          <w:color w:val="000000"/>
          <w:sz w:val="24"/>
          <w:lang w:eastAsia="hr-HR"/>
        </w:rPr>
        <w:t>22 ng/g) i maksimalne izmjerene koncentracije (0</w:t>
      </w:r>
      <w:r w:rsidR="001629F8">
        <w:rPr>
          <w:rFonts w:ascii="Times New Roman" w:eastAsia="Times New Roman" w:hAnsi="Times New Roman" w:cs="Times New Roman"/>
          <w:color w:val="000000"/>
          <w:sz w:val="24"/>
          <w:lang w:eastAsia="hr-HR"/>
        </w:rPr>
        <w:t>,</w:t>
      </w:r>
      <w:r w:rsidRPr="00D84719">
        <w:rPr>
          <w:rFonts w:ascii="Times New Roman" w:eastAsia="Times New Roman" w:hAnsi="Times New Roman" w:cs="Times New Roman"/>
          <w:color w:val="000000"/>
          <w:sz w:val="24"/>
          <w:lang w:eastAsia="hr-HR"/>
        </w:rPr>
        <w:t>5 ng/g) i kriterija SKVO, čini se da ne postoji naglašena opasnost od prekoračenja propisanih vrijednosti.</w:t>
      </w:r>
    </w:p>
    <w:p w14:paraId="331EF465" w14:textId="77777777" w:rsidR="00D84719" w:rsidRPr="00D84719" w:rsidRDefault="00D84719" w:rsidP="00D84719">
      <w:pPr>
        <w:shd w:val="clear" w:color="auto" w:fill="FCFCFC"/>
        <w:spacing w:before="80" w:after="0" w:line="276" w:lineRule="auto"/>
        <w:jc w:val="both"/>
        <w:rPr>
          <w:rFonts w:ascii="Times New Roman" w:eastAsia="Times New Roman" w:hAnsi="Times New Roman" w:cs="Times New Roman"/>
          <w:color w:val="000000"/>
          <w:lang w:eastAsia="hr-HR"/>
        </w:rPr>
      </w:pPr>
      <w:r w:rsidRPr="00D84719">
        <w:rPr>
          <w:rFonts w:ascii="Times New Roman" w:eastAsia="Times New Roman" w:hAnsi="Times New Roman" w:cs="Times New Roman"/>
          <w:color w:val="000000"/>
          <w:lang w:eastAsia="hr-HR"/>
        </w:rPr>
        <w:t> </w:t>
      </w:r>
    </w:p>
    <w:p w14:paraId="45928495" w14:textId="77777777" w:rsidR="00D84719" w:rsidRPr="00D84719" w:rsidRDefault="00D84719" w:rsidP="00D84719">
      <w:pPr>
        <w:keepNext/>
        <w:shd w:val="clear" w:color="auto" w:fill="FCFCFC"/>
        <w:spacing w:before="80" w:after="0" w:line="240" w:lineRule="auto"/>
        <w:rPr>
          <w:rFonts w:ascii="Times New Roman" w:eastAsia="Times New Roman" w:hAnsi="Times New Roman" w:cs="Times New Roman"/>
          <w:color w:val="000000"/>
          <w:szCs w:val="24"/>
        </w:rPr>
      </w:pPr>
      <w:r w:rsidRPr="00D84719">
        <w:rPr>
          <w:rFonts w:ascii="Times New Roman" w:eastAsia="Times New Roman" w:hAnsi="Times New Roman" w:cs="Times New Roman"/>
          <w:noProof/>
          <w:color w:val="000000"/>
          <w:szCs w:val="24"/>
          <w:lang w:eastAsia="hr-HR"/>
        </w:rPr>
        <w:lastRenderedPageBreak/>
        <w:drawing>
          <wp:inline distT="0" distB="0" distL="0" distR="0" wp14:anchorId="5B2098B4" wp14:editId="0C8F1CD7">
            <wp:extent cx="4680000" cy="3791555"/>
            <wp:effectExtent l="0" t="0" r="635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179"/>
                    <a:stretch/>
                  </pic:blipFill>
                  <pic:spPr bwMode="auto">
                    <a:xfrm>
                      <a:off x="0" y="0"/>
                      <a:ext cx="4680000" cy="3791555"/>
                    </a:xfrm>
                    <a:prstGeom prst="rect">
                      <a:avLst/>
                    </a:prstGeom>
                    <a:noFill/>
                    <a:ln>
                      <a:noFill/>
                    </a:ln>
                    <a:extLst>
                      <a:ext uri="{53640926-AAD7-44D8-BBD7-CCE9431645EC}">
                        <a14:shadowObscured xmlns:a14="http://schemas.microsoft.com/office/drawing/2010/main"/>
                      </a:ext>
                    </a:extLst>
                  </pic:spPr>
                </pic:pic>
              </a:graphicData>
            </a:graphic>
          </wp:inline>
        </w:drawing>
      </w:r>
    </w:p>
    <w:p w14:paraId="20F52352" w14:textId="77777777" w:rsidR="00D84719" w:rsidRPr="00D84719" w:rsidRDefault="00D84719" w:rsidP="00D84719">
      <w:pPr>
        <w:keepNext/>
        <w:spacing w:before="80" w:after="0" w:line="276" w:lineRule="auto"/>
        <w:jc w:val="both"/>
        <w:rPr>
          <w:rFonts w:ascii="Times New Roman" w:eastAsia="Times New Roman" w:hAnsi="Times New Roman" w:cs="Times New Roman"/>
          <w:b/>
          <w:bCs/>
          <w:i/>
          <w:color w:val="000000"/>
          <w:sz w:val="24"/>
          <w:szCs w:val="20"/>
          <w:lang w:eastAsia="hr-HR"/>
        </w:rPr>
      </w:pPr>
      <w:r w:rsidRPr="00D84719">
        <w:rPr>
          <w:rFonts w:ascii="Times New Roman" w:eastAsia="Times New Roman" w:hAnsi="Times New Roman" w:cs="Times New Roman"/>
          <w:b/>
          <w:bCs/>
          <w:i/>
          <w:sz w:val="20"/>
          <w:szCs w:val="20"/>
        </w:rPr>
        <w:t xml:space="preserve">Slika </w:t>
      </w:r>
      <w:r w:rsidRPr="00D84719">
        <w:rPr>
          <w:rFonts w:ascii="Times New Roman" w:eastAsia="Times New Roman" w:hAnsi="Times New Roman" w:cs="Times New Roman"/>
          <w:b/>
          <w:bCs/>
          <w:i/>
          <w:sz w:val="20"/>
          <w:szCs w:val="20"/>
        </w:rPr>
        <w:fldChar w:fldCharType="begin"/>
      </w:r>
      <w:r w:rsidRPr="00D84719">
        <w:rPr>
          <w:rFonts w:ascii="Times New Roman" w:eastAsia="Times New Roman" w:hAnsi="Times New Roman" w:cs="Times New Roman"/>
          <w:b/>
          <w:bCs/>
          <w:i/>
          <w:sz w:val="20"/>
          <w:szCs w:val="20"/>
        </w:rPr>
        <w:instrText xml:space="preserve"> STYLEREF 2 \s </w:instrText>
      </w:r>
      <w:r w:rsidRPr="00D84719">
        <w:rPr>
          <w:rFonts w:ascii="Times New Roman" w:eastAsia="Times New Roman" w:hAnsi="Times New Roman" w:cs="Times New Roman"/>
          <w:b/>
          <w:bCs/>
          <w:i/>
          <w:sz w:val="20"/>
          <w:szCs w:val="20"/>
        </w:rPr>
        <w:fldChar w:fldCharType="separate"/>
      </w:r>
      <w:r w:rsidRPr="00D84719">
        <w:rPr>
          <w:rFonts w:ascii="Times New Roman" w:eastAsia="Times New Roman" w:hAnsi="Times New Roman" w:cs="Times New Roman"/>
          <w:b/>
          <w:bCs/>
          <w:i/>
          <w:sz w:val="20"/>
          <w:szCs w:val="20"/>
        </w:rPr>
        <w:t>3.7</w:t>
      </w:r>
      <w:r w:rsidRPr="00D84719">
        <w:rPr>
          <w:rFonts w:ascii="Times New Roman" w:eastAsia="Times New Roman" w:hAnsi="Times New Roman" w:cs="Times New Roman"/>
          <w:b/>
          <w:bCs/>
          <w:i/>
          <w:sz w:val="20"/>
          <w:szCs w:val="20"/>
        </w:rPr>
        <w:fldChar w:fldCharType="end"/>
      </w:r>
      <w:r w:rsidRPr="00D84719">
        <w:rPr>
          <w:rFonts w:ascii="Times New Roman" w:eastAsia="Times New Roman" w:hAnsi="Times New Roman" w:cs="Times New Roman"/>
          <w:b/>
          <w:bCs/>
          <w:i/>
          <w:sz w:val="20"/>
          <w:szCs w:val="20"/>
        </w:rPr>
        <w:noBreakHyphen/>
      </w:r>
      <w:r w:rsidRPr="00D84719">
        <w:rPr>
          <w:rFonts w:ascii="Times New Roman" w:eastAsia="Times New Roman" w:hAnsi="Times New Roman" w:cs="Times New Roman"/>
          <w:b/>
          <w:bCs/>
          <w:i/>
          <w:sz w:val="20"/>
          <w:szCs w:val="20"/>
        </w:rPr>
        <w:fldChar w:fldCharType="begin"/>
      </w:r>
      <w:r w:rsidRPr="00D84719">
        <w:rPr>
          <w:rFonts w:ascii="Times New Roman" w:eastAsia="Times New Roman" w:hAnsi="Times New Roman" w:cs="Times New Roman"/>
          <w:b/>
          <w:bCs/>
          <w:i/>
          <w:sz w:val="20"/>
          <w:szCs w:val="20"/>
        </w:rPr>
        <w:instrText xml:space="preserve"> SEQ Slika \* ARABIC \s 2 </w:instrText>
      </w:r>
      <w:r w:rsidRPr="00D84719">
        <w:rPr>
          <w:rFonts w:ascii="Times New Roman" w:eastAsia="Times New Roman" w:hAnsi="Times New Roman" w:cs="Times New Roman"/>
          <w:b/>
          <w:bCs/>
          <w:i/>
          <w:sz w:val="20"/>
          <w:szCs w:val="20"/>
        </w:rPr>
        <w:fldChar w:fldCharType="separate"/>
      </w:r>
      <w:r w:rsidRPr="00D84719">
        <w:rPr>
          <w:rFonts w:ascii="Times New Roman" w:eastAsia="Times New Roman" w:hAnsi="Times New Roman" w:cs="Times New Roman"/>
          <w:b/>
          <w:bCs/>
          <w:i/>
          <w:sz w:val="20"/>
          <w:szCs w:val="20"/>
        </w:rPr>
        <w:t>2</w:t>
      </w:r>
      <w:r w:rsidRPr="00D84719">
        <w:rPr>
          <w:rFonts w:ascii="Times New Roman" w:eastAsia="Times New Roman" w:hAnsi="Times New Roman" w:cs="Times New Roman"/>
          <w:b/>
          <w:bCs/>
          <w:i/>
          <w:sz w:val="20"/>
          <w:szCs w:val="20"/>
        </w:rPr>
        <w:fldChar w:fldCharType="end"/>
      </w:r>
      <w:r w:rsidRPr="00D84719">
        <w:rPr>
          <w:rFonts w:ascii="Times New Roman" w:eastAsia="Times New Roman" w:hAnsi="Times New Roman" w:cs="Times New Roman"/>
          <w:b/>
          <w:bCs/>
          <w:i/>
          <w:sz w:val="20"/>
          <w:szCs w:val="20"/>
        </w:rPr>
        <w:t xml:space="preserve"> Raspodjela heksabromociklododekana (HBCDD) u ribama prijelaznih voda 2016. </w:t>
      </w:r>
    </w:p>
    <w:p w14:paraId="7758B66F" w14:textId="77777777" w:rsidR="00D84719" w:rsidRPr="00D84719" w:rsidRDefault="00D84719" w:rsidP="00D84719">
      <w:pPr>
        <w:shd w:val="clear" w:color="auto" w:fill="FCFCFC"/>
        <w:spacing w:before="80" w:after="0" w:line="240" w:lineRule="auto"/>
        <w:jc w:val="both"/>
        <w:rPr>
          <w:rFonts w:ascii="Times New Roman" w:eastAsia="Times New Roman" w:hAnsi="Times New Roman" w:cs="Times New Roman"/>
          <w:i/>
          <w:iCs/>
          <w:color w:val="000000"/>
          <w:sz w:val="24"/>
          <w:szCs w:val="24"/>
          <w:lang w:eastAsia="hr-HR"/>
        </w:rPr>
      </w:pPr>
    </w:p>
    <w:p w14:paraId="215BC2A0" w14:textId="77777777" w:rsidR="00D84719" w:rsidRPr="00D84719" w:rsidRDefault="00D84719" w:rsidP="00D84719">
      <w:pPr>
        <w:keepNext/>
        <w:shd w:val="clear" w:color="auto" w:fill="FCFCFC"/>
        <w:spacing w:before="80" w:after="0" w:line="240" w:lineRule="auto"/>
        <w:rPr>
          <w:rFonts w:ascii="Times New Roman" w:eastAsia="Times New Roman" w:hAnsi="Times New Roman" w:cs="Times New Roman"/>
          <w:color w:val="000000"/>
          <w:szCs w:val="24"/>
        </w:rPr>
      </w:pPr>
      <w:r w:rsidRPr="00D84719">
        <w:rPr>
          <w:rFonts w:ascii="Times New Roman" w:eastAsia="Times New Roman" w:hAnsi="Times New Roman" w:cs="Times New Roman"/>
          <w:noProof/>
          <w:color w:val="000000"/>
          <w:sz w:val="24"/>
          <w:szCs w:val="24"/>
          <w:lang w:eastAsia="hr-HR"/>
        </w:rPr>
        <w:drawing>
          <wp:inline distT="0" distB="0" distL="0" distR="0" wp14:anchorId="695229B6" wp14:editId="10172182">
            <wp:extent cx="4638675" cy="3124200"/>
            <wp:effectExtent l="0" t="0" r="9525"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38675" cy="3124200"/>
                    </a:xfrm>
                    <a:prstGeom prst="rect">
                      <a:avLst/>
                    </a:prstGeom>
                    <a:noFill/>
                    <a:ln>
                      <a:noFill/>
                    </a:ln>
                  </pic:spPr>
                </pic:pic>
              </a:graphicData>
            </a:graphic>
          </wp:inline>
        </w:drawing>
      </w:r>
    </w:p>
    <w:p w14:paraId="5846492B" w14:textId="77777777" w:rsidR="00D84719" w:rsidRPr="00D84719" w:rsidRDefault="00D84719" w:rsidP="00D84719">
      <w:pPr>
        <w:keepNext/>
        <w:spacing w:before="80" w:after="0" w:line="276" w:lineRule="auto"/>
        <w:jc w:val="both"/>
        <w:rPr>
          <w:rFonts w:ascii="Times New Roman" w:eastAsia="Times New Roman" w:hAnsi="Times New Roman" w:cs="Times New Roman"/>
          <w:b/>
          <w:bCs/>
          <w:i/>
          <w:color w:val="000000"/>
          <w:sz w:val="24"/>
          <w:szCs w:val="20"/>
          <w:lang w:eastAsia="hr-HR"/>
        </w:rPr>
      </w:pPr>
      <w:r w:rsidRPr="00D84719">
        <w:rPr>
          <w:rFonts w:ascii="Times New Roman" w:eastAsia="Times New Roman" w:hAnsi="Times New Roman" w:cs="Times New Roman"/>
          <w:b/>
          <w:bCs/>
          <w:i/>
          <w:sz w:val="20"/>
          <w:szCs w:val="20"/>
        </w:rPr>
        <w:t xml:space="preserve">Slika </w:t>
      </w:r>
      <w:r w:rsidRPr="00D84719">
        <w:rPr>
          <w:rFonts w:ascii="Times New Roman" w:eastAsia="Times New Roman" w:hAnsi="Times New Roman" w:cs="Times New Roman"/>
          <w:b/>
          <w:bCs/>
          <w:i/>
          <w:sz w:val="20"/>
          <w:szCs w:val="20"/>
        </w:rPr>
        <w:fldChar w:fldCharType="begin"/>
      </w:r>
      <w:r w:rsidRPr="00D84719">
        <w:rPr>
          <w:rFonts w:ascii="Times New Roman" w:eastAsia="Times New Roman" w:hAnsi="Times New Roman" w:cs="Times New Roman"/>
          <w:b/>
          <w:bCs/>
          <w:i/>
          <w:sz w:val="20"/>
          <w:szCs w:val="20"/>
        </w:rPr>
        <w:instrText xml:space="preserve"> STYLEREF 2 \s </w:instrText>
      </w:r>
      <w:r w:rsidRPr="00D84719">
        <w:rPr>
          <w:rFonts w:ascii="Times New Roman" w:eastAsia="Times New Roman" w:hAnsi="Times New Roman" w:cs="Times New Roman"/>
          <w:b/>
          <w:bCs/>
          <w:i/>
          <w:sz w:val="20"/>
          <w:szCs w:val="20"/>
        </w:rPr>
        <w:fldChar w:fldCharType="separate"/>
      </w:r>
      <w:r w:rsidRPr="00D84719">
        <w:rPr>
          <w:rFonts w:ascii="Times New Roman" w:eastAsia="Times New Roman" w:hAnsi="Times New Roman" w:cs="Times New Roman"/>
          <w:b/>
          <w:bCs/>
          <w:i/>
          <w:sz w:val="20"/>
          <w:szCs w:val="20"/>
        </w:rPr>
        <w:t>3.7</w:t>
      </w:r>
      <w:r w:rsidRPr="00D84719">
        <w:rPr>
          <w:rFonts w:ascii="Times New Roman" w:eastAsia="Times New Roman" w:hAnsi="Times New Roman" w:cs="Times New Roman"/>
          <w:b/>
          <w:bCs/>
          <w:i/>
          <w:sz w:val="20"/>
          <w:szCs w:val="20"/>
        </w:rPr>
        <w:fldChar w:fldCharType="end"/>
      </w:r>
      <w:r w:rsidRPr="00D84719">
        <w:rPr>
          <w:rFonts w:ascii="Times New Roman" w:eastAsia="Times New Roman" w:hAnsi="Times New Roman" w:cs="Times New Roman"/>
          <w:b/>
          <w:bCs/>
          <w:i/>
          <w:sz w:val="20"/>
          <w:szCs w:val="20"/>
        </w:rPr>
        <w:noBreakHyphen/>
      </w:r>
      <w:r w:rsidRPr="00D84719">
        <w:rPr>
          <w:rFonts w:ascii="Times New Roman" w:eastAsia="Times New Roman" w:hAnsi="Times New Roman" w:cs="Times New Roman"/>
          <w:b/>
          <w:bCs/>
          <w:i/>
          <w:sz w:val="20"/>
          <w:szCs w:val="20"/>
        </w:rPr>
        <w:fldChar w:fldCharType="begin"/>
      </w:r>
      <w:r w:rsidRPr="00D84719">
        <w:rPr>
          <w:rFonts w:ascii="Times New Roman" w:eastAsia="Times New Roman" w:hAnsi="Times New Roman" w:cs="Times New Roman"/>
          <w:b/>
          <w:bCs/>
          <w:i/>
          <w:sz w:val="20"/>
          <w:szCs w:val="20"/>
        </w:rPr>
        <w:instrText xml:space="preserve"> SEQ Slika \* ARABIC \s 2 </w:instrText>
      </w:r>
      <w:r w:rsidRPr="00D84719">
        <w:rPr>
          <w:rFonts w:ascii="Times New Roman" w:eastAsia="Times New Roman" w:hAnsi="Times New Roman" w:cs="Times New Roman"/>
          <w:b/>
          <w:bCs/>
          <w:i/>
          <w:sz w:val="20"/>
          <w:szCs w:val="20"/>
        </w:rPr>
        <w:fldChar w:fldCharType="separate"/>
      </w:r>
      <w:r w:rsidRPr="00D84719">
        <w:rPr>
          <w:rFonts w:ascii="Times New Roman" w:eastAsia="Times New Roman" w:hAnsi="Times New Roman" w:cs="Times New Roman"/>
          <w:b/>
          <w:bCs/>
          <w:i/>
          <w:sz w:val="20"/>
          <w:szCs w:val="20"/>
        </w:rPr>
        <w:t>3</w:t>
      </w:r>
      <w:r w:rsidRPr="00D84719">
        <w:rPr>
          <w:rFonts w:ascii="Times New Roman" w:eastAsia="Times New Roman" w:hAnsi="Times New Roman" w:cs="Times New Roman"/>
          <w:b/>
          <w:bCs/>
          <w:i/>
          <w:sz w:val="20"/>
          <w:szCs w:val="20"/>
        </w:rPr>
        <w:fldChar w:fldCharType="end"/>
      </w:r>
      <w:r w:rsidRPr="00D84719">
        <w:rPr>
          <w:rFonts w:ascii="Times New Roman" w:eastAsia="Times New Roman" w:hAnsi="Times New Roman" w:cs="Times New Roman"/>
          <w:b/>
          <w:bCs/>
          <w:i/>
          <w:sz w:val="20"/>
          <w:szCs w:val="20"/>
        </w:rPr>
        <w:t xml:space="preserve"> Raspodjela perfluorooktan</w:t>
      </w:r>
      <w:r w:rsidR="009524D1">
        <w:rPr>
          <w:rFonts w:ascii="Times New Roman" w:eastAsia="Times New Roman" w:hAnsi="Times New Roman" w:cs="Times New Roman"/>
          <w:b/>
          <w:bCs/>
          <w:i/>
          <w:sz w:val="20"/>
          <w:szCs w:val="20"/>
        </w:rPr>
        <w:t xml:space="preserve"> </w:t>
      </w:r>
      <w:r w:rsidRPr="00D84719">
        <w:rPr>
          <w:rFonts w:ascii="Times New Roman" w:eastAsia="Times New Roman" w:hAnsi="Times New Roman" w:cs="Times New Roman"/>
          <w:b/>
          <w:bCs/>
          <w:i/>
          <w:sz w:val="20"/>
          <w:szCs w:val="20"/>
        </w:rPr>
        <w:t xml:space="preserve">sulfonske kiseline (PFOS) u ribama prijelaznih voda 2016. </w:t>
      </w:r>
    </w:p>
    <w:p w14:paraId="1B71D6AF" w14:textId="699428AB" w:rsidR="00D84719" w:rsidRPr="00D84719" w:rsidRDefault="00D84719" w:rsidP="00D84719">
      <w:pPr>
        <w:shd w:val="clear" w:color="auto" w:fill="FCFCFC"/>
        <w:spacing w:before="80" w:beforeAutospacing="1" w:after="0" w:line="276" w:lineRule="auto"/>
        <w:jc w:val="both"/>
        <w:rPr>
          <w:rFonts w:ascii="Times New Roman" w:eastAsia="Times New Roman" w:hAnsi="Times New Roman" w:cs="Times New Roman"/>
          <w:color w:val="000000"/>
          <w:sz w:val="24"/>
          <w:lang w:eastAsia="hr-HR"/>
        </w:rPr>
      </w:pPr>
      <w:r w:rsidRPr="00D84719">
        <w:rPr>
          <w:rFonts w:ascii="Times New Roman" w:eastAsia="Times New Roman" w:hAnsi="Times New Roman" w:cs="Times New Roman"/>
          <w:color w:val="000000"/>
          <w:sz w:val="24"/>
          <w:lang w:eastAsia="hr-HR"/>
        </w:rPr>
        <w:t>Rezultati istraživanja koncentracija POPs-ova u jestivim vrstama riba iz različitih ribarskih zona Jadrana iz 2016</w:t>
      </w:r>
      <w:r w:rsidR="005C26BD">
        <w:rPr>
          <w:rFonts w:ascii="Times New Roman" w:eastAsia="Times New Roman" w:hAnsi="Times New Roman" w:cs="Times New Roman"/>
          <w:color w:val="000000"/>
          <w:sz w:val="24"/>
          <w:lang w:eastAsia="hr-HR"/>
        </w:rPr>
        <w:t>.</w:t>
      </w:r>
      <w:r w:rsidRPr="00D84719">
        <w:rPr>
          <w:rFonts w:ascii="Times New Roman" w:eastAsia="Times New Roman" w:hAnsi="Times New Roman" w:cs="Times New Roman"/>
          <w:color w:val="000000"/>
          <w:sz w:val="24"/>
          <w:lang w:eastAsia="hr-HR"/>
        </w:rPr>
        <w:t xml:space="preserve"> rezultatima ukazuju kako su one sigurne za ljudsku prehranu, prema parametrima koje propisuje zakonodavstvo Europske unije. Kao ciljanu vrstu u istraživanju odabralo se pelagičke vrste riba (srdelu, inćun, šarun i golemu srdelu) na kojima se zatim provodila odgovarajuća toksikološka analiza. Rezultati pokazuju kako su u uzorcima riba bili </w:t>
      </w:r>
      <w:r w:rsidRPr="00D84719">
        <w:rPr>
          <w:rFonts w:ascii="Times New Roman" w:eastAsia="Times New Roman" w:hAnsi="Times New Roman" w:cs="Times New Roman"/>
          <w:color w:val="000000"/>
          <w:sz w:val="24"/>
          <w:lang w:eastAsia="hr-HR"/>
        </w:rPr>
        <w:lastRenderedPageBreak/>
        <w:t>prisutni organoklorovi pesticidi u intervalu 0</w:t>
      </w:r>
      <w:r w:rsidR="001629F8">
        <w:rPr>
          <w:rFonts w:ascii="Times New Roman" w:eastAsia="Times New Roman" w:hAnsi="Times New Roman" w:cs="Times New Roman"/>
          <w:color w:val="000000"/>
          <w:sz w:val="24"/>
          <w:lang w:eastAsia="hr-HR"/>
        </w:rPr>
        <w:t>,</w:t>
      </w:r>
      <w:r w:rsidRPr="00D84719">
        <w:rPr>
          <w:rFonts w:ascii="Times New Roman" w:eastAsia="Times New Roman" w:hAnsi="Times New Roman" w:cs="Times New Roman"/>
          <w:color w:val="000000"/>
          <w:sz w:val="24"/>
          <w:lang w:eastAsia="hr-HR"/>
        </w:rPr>
        <w:t>02-2</w:t>
      </w:r>
      <w:r w:rsidR="001629F8">
        <w:rPr>
          <w:rFonts w:ascii="Times New Roman" w:eastAsia="Times New Roman" w:hAnsi="Times New Roman" w:cs="Times New Roman"/>
          <w:color w:val="000000"/>
          <w:sz w:val="24"/>
          <w:lang w:eastAsia="hr-HR"/>
        </w:rPr>
        <w:t>,</w:t>
      </w:r>
      <w:r w:rsidRPr="00D84719">
        <w:rPr>
          <w:rFonts w:ascii="Times New Roman" w:eastAsia="Times New Roman" w:hAnsi="Times New Roman" w:cs="Times New Roman"/>
          <w:color w:val="000000"/>
          <w:sz w:val="24"/>
          <w:lang w:eastAsia="hr-HR"/>
        </w:rPr>
        <w:t>32 ng/g te poliklorirani bifenili u intervalu 0</w:t>
      </w:r>
      <w:r w:rsidR="00415B43">
        <w:rPr>
          <w:rFonts w:ascii="Times New Roman" w:eastAsia="Times New Roman" w:hAnsi="Times New Roman" w:cs="Times New Roman"/>
          <w:color w:val="000000"/>
          <w:sz w:val="24"/>
          <w:lang w:eastAsia="hr-HR"/>
        </w:rPr>
        <w:t>,</w:t>
      </w:r>
      <w:r w:rsidRPr="00D84719">
        <w:rPr>
          <w:rFonts w:ascii="Times New Roman" w:eastAsia="Times New Roman" w:hAnsi="Times New Roman" w:cs="Times New Roman"/>
          <w:color w:val="000000"/>
          <w:sz w:val="24"/>
          <w:lang w:eastAsia="hr-HR"/>
        </w:rPr>
        <w:t>02- 3</w:t>
      </w:r>
      <w:r w:rsidR="00415B43">
        <w:rPr>
          <w:rFonts w:ascii="Times New Roman" w:eastAsia="Times New Roman" w:hAnsi="Times New Roman" w:cs="Times New Roman"/>
          <w:color w:val="000000"/>
          <w:sz w:val="24"/>
          <w:lang w:eastAsia="hr-HR"/>
        </w:rPr>
        <w:t>,</w:t>
      </w:r>
      <w:r w:rsidRPr="00D84719">
        <w:rPr>
          <w:rFonts w:ascii="Times New Roman" w:eastAsia="Times New Roman" w:hAnsi="Times New Roman" w:cs="Times New Roman"/>
          <w:color w:val="000000"/>
          <w:sz w:val="24"/>
          <w:lang w:eastAsia="hr-HR"/>
        </w:rPr>
        <w:t xml:space="preserve">29 ng/g koncentracije. Od bitnijih pesticida DDE je bio najzastupljeniji, dok su kod polikloriranih bifenila najzastupljeniji bili kongeneri PCB-153, PCB-138 i PCB-180. Smatra se kako je glavni razlog viših koncentracija navedenih POPs-ova u uzorcima veća biopostojanost uslijed dužeg poluživota tih spojeva u morskom okolišu. Međutim, također je </w:t>
      </w:r>
      <w:r w:rsidR="00865E8D" w:rsidRPr="00D84719">
        <w:rPr>
          <w:rFonts w:ascii="Times New Roman" w:eastAsia="Times New Roman" w:hAnsi="Times New Roman" w:cs="Times New Roman"/>
          <w:color w:val="000000"/>
          <w:sz w:val="24"/>
          <w:lang w:eastAsia="hr-HR"/>
        </w:rPr>
        <w:t>primijećeno</w:t>
      </w:r>
      <w:r w:rsidRPr="00D84719">
        <w:rPr>
          <w:rFonts w:ascii="Times New Roman" w:eastAsia="Times New Roman" w:hAnsi="Times New Roman" w:cs="Times New Roman"/>
          <w:color w:val="000000"/>
          <w:sz w:val="24"/>
          <w:lang w:eastAsia="hr-HR"/>
        </w:rPr>
        <w:t xml:space="preserve"> kako u uzorcima srdele postoji blagi porast PCB-a u odnosu na 2014., što ukazuje na mogućnost neprestanog obogaćenja tim spojevima te potrebu za kontinuiranim nadzorom u ribama za ljudsku prehranu. Rezultati su također pokazali kako nije bilo značajne razlike u razinama POPs-ova između skupina srdela iz različitih dijelova Jadrana.</w:t>
      </w:r>
    </w:p>
    <w:p w14:paraId="7945A5CD" w14:textId="77777777" w:rsidR="00D84719" w:rsidRPr="00DF02E3" w:rsidRDefault="00D84719" w:rsidP="00D84719">
      <w:pPr>
        <w:shd w:val="clear" w:color="auto" w:fill="FCFCFC"/>
        <w:spacing w:before="80" w:beforeAutospacing="1" w:after="0" w:line="276" w:lineRule="auto"/>
        <w:jc w:val="both"/>
        <w:rPr>
          <w:rFonts w:ascii="Times New Roman" w:eastAsia="Times New Roman" w:hAnsi="Times New Roman" w:cs="Times New Roman"/>
          <w:b/>
          <w:color w:val="000000"/>
          <w:sz w:val="24"/>
          <w:lang w:eastAsia="hr-HR"/>
        </w:rPr>
      </w:pPr>
      <w:r w:rsidRPr="00DF02E3">
        <w:rPr>
          <w:rFonts w:ascii="Times New Roman" w:eastAsia="Times New Roman" w:hAnsi="Times New Roman" w:cs="Times New Roman"/>
          <w:b/>
          <w:i/>
          <w:iCs/>
          <w:color w:val="000000"/>
          <w:sz w:val="24"/>
          <w:lang w:eastAsia="hr-HR"/>
        </w:rPr>
        <w:t>SEDIMENT</w:t>
      </w:r>
    </w:p>
    <w:p w14:paraId="7FF6AC72" w14:textId="4C07474D" w:rsidR="00D84719" w:rsidRPr="00D84719" w:rsidRDefault="00D84719" w:rsidP="00D84719">
      <w:pPr>
        <w:shd w:val="clear" w:color="auto" w:fill="FCFCFC"/>
        <w:spacing w:before="80" w:after="0" w:line="276" w:lineRule="auto"/>
        <w:jc w:val="both"/>
        <w:rPr>
          <w:rFonts w:ascii="Times New Roman" w:eastAsia="Times New Roman" w:hAnsi="Times New Roman" w:cs="Times New Roman"/>
          <w:color w:val="000000"/>
          <w:sz w:val="24"/>
          <w:lang w:eastAsia="hr-HR"/>
        </w:rPr>
      </w:pPr>
      <w:r w:rsidRPr="00D84719">
        <w:rPr>
          <w:rFonts w:ascii="Times New Roman" w:eastAsia="Times New Roman" w:hAnsi="Times New Roman" w:cs="Times New Roman"/>
          <w:color w:val="000000"/>
          <w:sz w:val="24"/>
          <w:lang w:eastAsia="hr-HR"/>
        </w:rPr>
        <w:t>Koncentracije POPs-ova u sedimentima prijelaznih voda u 2016</w:t>
      </w:r>
      <w:r w:rsidR="004C449C">
        <w:rPr>
          <w:rFonts w:ascii="Times New Roman" w:eastAsia="Times New Roman" w:hAnsi="Times New Roman" w:cs="Times New Roman"/>
          <w:color w:val="000000"/>
          <w:sz w:val="24"/>
          <w:lang w:eastAsia="hr-HR"/>
        </w:rPr>
        <w:t>.</w:t>
      </w:r>
      <w:r w:rsidRPr="00D84719">
        <w:rPr>
          <w:rFonts w:ascii="Times New Roman" w:eastAsia="Times New Roman" w:hAnsi="Times New Roman" w:cs="Times New Roman"/>
          <w:color w:val="000000"/>
          <w:sz w:val="24"/>
          <w:lang w:eastAsia="hr-HR"/>
        </w:rPr>
        <w:t xml:space="preserve"> bile su za većinu praćenih pokazatelja relativno niske i zadovoljavale korištene kriterije. To uključuje organoklorove insekticide heksaklor</w:t>
      </w:r>
      <w:r w:rsidR="009524D1">
        <w:rPr>
          <w:rFonts w:ascii="Times New Roman" w:eastAsia="Times New Roman" w:hAnsi="Times New Roman" w:cs="Times New Roman"/>
          <w:color w:val="000000"/>
          <w:sz w:val="24"/>
          <w:lang w:eastAsia="hr-HR"/>
        </w:rPr>
        <w:t>o</w:t>
      </w:r>
      <w:r w:rsidRPr="00D84719">
        <w:rPr>
          <w:rFonts w:ascii="Times New Roman" w:eastAsia="Times New Roman" w:hAnsi="Times New Roman" w:cs="Times New Roman"/>
          <w:color w:val="000000"/>
          <w:sz w:val="24"/>
          <w:lang w:eastAsia="hr-HR"/>
        </w:rPr>
        <w:t>benzen i heksaklorocikloheksan (&lt;0</w:t>
      </w:r>
      <w:r w:rsidR="00415B43">
        <w:rPr>
          <w:rFonts w:ascii="Times New Roman" w:eastAsia="Times New Roman" w:hAnsi="Times New Roman" w:cs="Times New Roman"/>
          <w:color w:val="000000"/>
          <w:sz w:val="24"/>
          <w:lang w:eastAsia="hr-HR"/>
        </w:rPr>
        <w:t>,</w:t>
      </w:r>
      <w:r w:rsidRPr="00D84719">
        <w:rPr>
          <w:rFonts w:ascii="Times New Roman" w:eastAsia="Times New Roman" w:hAnsi="Times New Roman" w:cs="Times New Roman"/>
          <w:color w:val="000000"/>
          <w:sz w:val="24"/>
          <w:lang w:eastAsia="hr-HR"/>
        </w:rPr>
        <w:t>1 ng/g), heksabromociklododekan (&lt;0</w:t>
      </w:r>
      <w:r w:rsidR="00415B43">
        <w:rPr>
          <w:rFonts w:ascii="Times New Roman" w:eastAsia="Times New Roman" w:hAnsi="Times New Roman" w:cs="Times New Roman"/>
          <w:color w:val="000000"/>
          <w:sz w:val="24"/>
          <w:lang w:eastAsia="hr-HR"/>
        </w:rPr>
        <w:t>,</w:t>
      </w:r>
      <w:r w:rsidRPr="00D84719">
        <w:rPr>
          <w:rFonts w:ascii="Times New Roman" w:eastAsia="Times New Roman" w:hAnsi="Times New Roman" w:cs="Times New Roman"/>
          <w:color w:val="000000"/>
          <w:sz w:val="24"/>
          <w:lang w:eastAsia="hr-HR"/>
        </w:rPr>
        <w:t>1-1</w:t>
      </w:r>
      <w:r w:rsidR="00415B43">
        <w:rPr>
          <w:rFonts w:ascii="Times New Roman" w:eastAsia="Times New Roman" w:hAnsi="Times New Roman" w:cs="Times New Roman"/>
          <w:color w:val="000000"/>
          <w:sz w:val="24"/>
          <w:lang w:eastAsia="hr-HR"/>
        </w:rPr>
        <w:t>,</w:t>
      </w:r>
      <w:r w:rsidRPr="00D84719">
        <w:rPr>
          <w:rFonts w:ascii="Times New Roman" w:eastAsia="Times New Roman" w:hAnsi="Times New Roman" w:cs="Times New Roman"/>
          <w:color w:val="000000"/>
          <w:sz w:val="24"/>
          <w:lang w:eastAsia="hr-HR"/>
        </w:rPr>
        <w:t>8 ng/g), pentaklorobenzen (&lt;0</w:t>
      </w:r>
      <w:r w:rsidR="00415B43">
        <w:rPr>
          <w:rFonts w:ascii="Times New Roman" w:eastAsia="Times New Roman" w:hAnsi="Times New Roman" w:cs="Times New Roman"/>
          <w:color w:val="000000"/>
          <w:sz w:val="24"/>
          <w:lang w:eastAsia="hr-HR"/>
        </w:rPr>
        <w:t>,</w:t>
      </w:r>
      <w:r w:rsidRPr="00D84719">
        <w:rPr>
          <w:rFonts w:ascii="Times New Roman" w:eastAsia="Times New Roman" w:hAnsi="Times New Roman" w:cs="Times New Roman"/>
          <w:color w:val="000000"/>
          <w:sz w:val="24"/>
          <w:lang w:eastAsia="hr-HR"/>
        </w:rPr>
        <w:t>1-0</w:t>
      </w:r>
      <w:r w:rsidR="00415B43">
        <w:rPr>
          <w:rFonts w:ascii="Times New Roman" w:eastAsia="Times New Roman" w:hAnsi="Times New Roman" w:cs="Times New Roman"/>
          <w:color w:val="000000"/>
          <w:sz w:val="24"/>
          <w:lang w:eastAsia="hr-HR"/>
        </w:rPr>
        <w:t>,</w:t>
      </w:r>
      <w:r w:rsidRPr="00D84719">
        <w:rPr>
          <w:rFonts w:ascii="Times New Roman" w:eastAsia="Times New Roman" w:hAnsi="Times New Roman" w:cs="Times New Roman"/>
          <w:color w:val="000000"/>
          <w:sz w:val="24"/>
          <w:lang w:eastAsia="hr-HR"/>
        </w:rPr>
        <w:t>3 ng/g), heptaklor i heptaklor epoksid (&lt;0</w:t>
      </w:r>
      <w:r w:rsidR="00415B43">
        <w:rPr>
          <w:rFonts w:ascii="Times New Roman" w:eastAsia="Times New Roman" w:hAnsi="Times New Roman" w:cs="Times New Roman"/>
          <w:color w:val="000000"/>
          <w:sz w:val="24"/>
          <w:lang w:eastAsia="hr-HR"/>
        </w:rPr>
        <w:t>,</w:t>
      </w:r>
      <w:r w:rsidRPr="00D84719">
        <w:rPr>
          <w:rFonts w:ascii="Times New Roman" w:eastAsia="Times New Roman" w:hAnsi="Times New Roman" w:cs="Times New Roman"/>
          <w:color w:val="000000"/>
          <w:sz w:val="24"/>
          <w:lang w:eastAsia="hr-HR"/>
        </w:rPr>
        <w:t>1 ng/g), PFOS (&lt;0</w:t>
      </w:r>
      <w:r w:rsidR="00415B43">
        <w:rPr>
          <w:rFonts w:ascii="Times New Roman" w:eastAsia="Times New Roman" w:hAnsi="Times New Roman" w:cs="Times New Roman"/>
          <w:color w:val="000000"/>
          <w:sz w:val="24"/>
          <w:lang w:eastAsia="hr-HR"/>
        </w:rPr>
        <w:t>,</w:t>
      </w:r>
      <w:r w:rsidRPr="00D84719">
        <w:rPr>
          <w:rFonts w:ascii="Times New Roman" w:eastAsia="Times New Roman" w:hAnsi="Times New Roman" w:cs="Times New Roman"/>
          <w:color w:val="000000"/>
          <w:sz w:val="24"/>
          <w:lang w:eastAsia="hr-HR"/>
        </w:rPr>
        <w:t>1-0</w:t>
      </w:r>
      <w:r w:rsidR="00415B43">
        <w:rPr>
          <w:rFonts w:ascii="Times New Roman" w:eastAsia="Times New Roman" w:hAnsi="Times New Roman" w:cs="Times New Roman"/>
          <w:color w:val="000000"/>
          <w:sz w:val="24"/>
          <w:lang w:eastAsia="hr-HR"/>
        </w:rPr>
        <w:t>,</w:t>
      </w:r>
      <w:r w:rsidRPr="00D84719">
        <w:rPr>
          <w:rFonts w:ascii="Times New Roman" w:eastAsia="Times New Roman" w:hAnsi="Times New Roman" w:cs="Times New Roman"/>
          <w:color w:val="000000"/>
          <w:sz w:val="24"/>
          <w:lang w:eastAsia="hr-HR"/>
        </w:rPr>
        <w:t>29 ng/g) i dioksine i njima srodne spojeve (&lt;0</w:t>
      </w:r>
      <w:r w:rsidR="00415B43">
        <w:rPr>
          <w:rFonts w:ascii="Times New Roman" w:eastAsia="Times New Roman" w:hAnsi="Times New Roman" w:cs="Times New Roman"/>
          <w:color w:val="000000"/>
          <w:sz w:val="24"/>
          <w:lang w:eastAsia="hr-HR"/>
        </w:rPr>
        <w:t>,</w:t>
      </w:r>
      <w:r w:rsidRPr="00D84719">
        <w:rPr>
          <w:rFonts w:ascii="Times New Roman" w:eastAsia="Times New Roman" w:hAnsi="Times New Roman" w:cs="Times New Roman"/>
          <w:color w:val="000000"/>
          <w:sz w:val="24"/>
          <w:lang w:eastAsia="hr-HR"/>
        </w:rPr>
        <w:t>00005-0</w:t>
      </w:r>
      <w:r w:rsidR="00415B43">
        <w:rPr>
          <w:rFonts w:ascii="Times New Roman" w:eastAsia="Times New Roman" w:hAnsi="Times New Roman" w:cs="Times New Roman"/>
          <w:color w:val="000000"/>
          <w:sz w:val="24"/>
          <w:lang w:eastAsia="hr-HR"/>
        </w:rPr>
        <w:t>,</w:t>
      </w:r>
      <w:r w:rsidRPr="00D84719">
        <w:rPr>
          <w:rFonts w:ascii="Times New Roman" w:eastAsia="Times New Roman" w:hAnsi="Times New Roman" w:cs="Times New Roman"/>
          <w:color w:val="000000"/>
          <w:sz w:val="24"/>
          <w:lang w:eastAsia="hr-HR"/>
        </w:rPr>
        <w:t xml:space="preserve">0048 ng/g, zbroj TEQ). Kako za kakvoću sedimenta nisu propisani jedinstveni europski kriteriji kao što je to slučaj za vodu i biotu, ocjena stanja načinjena je prema kriterijima koje su u Norveškoj predložili </w:t>
      </w:r>
      <w:proofErr w:type="spellStart"/>
      <w:r w:rsidRPr="00D84719">
        <w:rPr>
          <w:rFonts w:ascii="Times New Roman" w:eastAsia="Times New Roman" w:hAnsi="Times New Roman" w:cs="Times New Roman"/>
          <w:color w:val="000000"/>
          <w:sz w:val="24"/>
          <w:lang w:eastAsia="hr-HR"/>
        </w:rPr>
        <w:t>Bakke</w:t>
      </w:r>
      <w:proofErr w:type="spellEnd"/>
      <w:r w:rsidRPr="00D84719">
        <w:rPr>
          <w:rFonts w:ascii="Times New Roman" w:eastAsia="Times New Roman" w:hAnsi="Times New Roman" w:cs="Times New Roman"/>
          <w:color w:val="000000"/>
          <w:sz w:val="24"/>
          <w:lang w:eastAsia="hr-HR"/>
        </w:rPr>
        <w:t xml:space="preserve"> i suradnici (2010.). Prema </w:t>
      </w:r>
      <w:proofErr w:type="spellStart"/>
      <w:r w:rsidRPr="00D84719">
        <w:rPr>
          <w:rFonts w:ascii="Times New Roman" w:eastAsia="Times New Roman" w:hAnsi="Times New Roman" w:cs="Times New Roman"/>
          <w:color w:val="000000"/>
          <w:sz w:val="24"/>
          <w:lang w:eastAsia="hr-HR"/>
        </w:rPr>
        <w:t>Bakkeu</w:t>
      </w:r>
      <w:proofErr w:type="spellEnd"/>
      <w:r w:rsidRPr="00D84719">
        <w:rPr>
          <w:rFonts w:ascii="Times New Roman" w:eastAsia="Times New Roman" w:hAnsi="Times New Roman" w:cs="Times New Roman"/>
          <w:color w:val="000000"/>
          <w:sz w:val="24"/>
          <w:lang w:eastAsia="hr-HR"/>
        </w:rPr>
        <w:t xml:space="preserve"> i suradnicima kakvoća sedimenata je razvrstana u pet kategorija pri čemu su prve dvije, što se tiče stanja okoliša, smatrane dobrom i/ili zadovoljavajućom, dok su III., IV. i V. smatrane nezadovoljavajućom jer se u tom rasponu koncentracija</w:t>
      </w:r>
      <w:r w:rsidR="00612979">
        <w:rPr>
          <w:rFonts w:ascii="Times New Roman" w:eastAsia="Times New Roman" w:hAnsi="Times New Roman" w:cs="Times New Roman"/>
          <w:color w:val="000000"/>
          <w:sz w:val="24"/>
          <w:lang w:eastAsia="hr-HR"/>
        </w:rPr>
        <w:t xml:space="preserve"> </w:t>
      </w:r>
      <w:r w:rsidRPr="00D84719">
        <w:rPr>
          <w:rFonts w:ascii="Times New Roman" w:eastAsia="Times New Roman" w:hAnsi="Times New Roman" w:cs="Times New Roman"/>
          <w:color w:val="000000"/>
          <w:sz w:val="24"/>
          <w:lang w:eastAsia="hr-HR"/>
        </w:rPr>
        <w:t>mogu očekivati toksični učinci.</w:t>
      </w:r>
    </w:p>
    <w:p w14:paraId="35427EBC" w14:textId="77777777" w:rsidR="00D84719" w:rsidRPr="00D84719" w:rsidRDefault="00D84719" w:rsidP="00D84719">
      <w:pPr>
        <w:shd w:val="clear" w:color="auto" w:fill="FCFCFC"/>
        <w:spacing w:before="80" w:after="0" w:line="276" w:lineRule="auto"/>
        <w:jc w:val="both"/>
        <w:rPr>
          <w:rFonts w:ascii="Times New Roman" w:eastAsia="Times New Roman" w:hAnsi="Times New Roman" w:cs="Times New Roman"/>
          <w:color w:val="000000"/>
          <w:sz w:val="24"/>
          <w:lang w:eastAsia="hr-HR"/>
        </w:rPr>
      </w:pPr>
      <w:r w:rsidRPr="00D84719">
        <w:rPr>
          <w:rFonts w:ascii="Times New Roman" w:eastAsia="Times New Roman" w:hAnsi="Times New Roman" w:cs="Times New Roman"/>
          <w:color w:val="000000"/>
          <w:sz w:val="24"/>
          <w:lang w:eastAsia="hr-HR"/>
        </w:rPr>
        <w:t xml:space="preserve">Prema </w:t>
      </w:r>
      <w:proofErr w:type="spellStart"/>
      <w:r w:rsidRPr="00D84719">
        <w:rPr>
          <w:rFonts w:ascii="Times New Roman" w:eastAsia="Times New Roman" w:hAnsi="Times New Roman" w:cs="Times New Roman"/>
          <w:color w:val="000000"/>
          <w:sz w:val="24"/>
          <w:lang w:eastAsia="hr-HR"/>
        </w:rPr>
        <w:t>Bakkeu</w:t>
      </w:r>
      <w:proofErr w:type="spellEnd"/>
      <w:r w:rsidRPr="00D84719">
        <w:rPr>
          <w:rFonts w:ascii="Times New Roman" w:eastAsia="Times New Roman" w:hAnsi="Times New Roman" w:cs="Times New Roman"/>
          <w:color w:val="000000"/>
          <w:sz w:val="24"/>
          <w:lang w:eastAsia="hr-HR"/>
        </w:rPr>
        <w:t xml:space="preserve"> i sur. (2010.) kriterij za značajno onečišćenje sedimenta s PBDE je 62 ng/g što je u odnosu na koncentracije izmjerene u sedimentima naših prijelaznih voda vrlo visoko. Raspon koncentracija PBDE u sedimentima bio je od 0</w:t>
      </w:r>
      <w:r w:rsidR="00E24DDF">
        <w:rPr>
          <w:rFonts w:ascii="Times New Roman" w:eastAsia="Times New Roman" w:hAnsi="Times New Roman" w:cs="Times New Roman"/>
          <w:color w:val="000000"/>
          <w:sz w:val="24"/>
          <w:lang w:eastAsia="hr-HR"/>
        </w:rPr>
        <w:t>,</w:t>
      </w:r>
      <w:r w:rsidRPr="00D84719">
        <w:rPr>
          <w:rFonts w:ascii="Times New Roman" w:eastAsia="Times New Roman" w:hAnsi="Times New Roman" w:cs="Times New Roman"/>
          <w:color w:val="000000"/>
          <w:sz w:val="24"/>
          <w:lang w:eastAsia="hr-HR"/>
        </w:rPr>
        <w:t>03 ng/g do 0</w:t>
      </w:r>
      <w:r w:rsidR="00E24DDF">
        <w:rPr>
          <w:rFonts w:ascii="Times New Roman" w:eastAsia="Times New Roman" w:hAnsi="Times New Roman" w:cs="Times New Roman"/>
          <w:color w:val="000000"/>
          <w:sz w:val="24"/>
          <w:lang w:eastAsia="hr-HR"/>
        </w:rPr>
        <w:t>,</w:t>
      </w:r>
      <w:r w:rsidRPr="00D84719">
        <w:rPr>
          <w:rFonts w:ascii="Times New Roman" w:eastAsia="Times New Roman" w:hAnsi="Times New Roman" w:cs="Times New Roman"/>
          <w:color w:val="000000"/>
          <w:sz w:val="24"/>
          <w:lang w:eastAsia="hr-HR"/>
        </w:rPr>
        <w:t>44 ng/g (srednja vrijednost 0</w:t>
      </w:r>
      <w:r w:rsidR="00331207">
        <w:rPr>
          <w:rFonts w:ascii="Times New Roman" w:eastAsia="Times New Roman" w:hAnsi="Times New Roman" w:cs="Times New Roman"/>
          <w:color w:val="000000"/>
          <w:sz w:val="24"/>
          <w:lang w:eastAsia="hr-HR"/>
        </w:rPr>
        <w:t>,</w:t>
      </w:r>
      <w:r w:rsidRPr="00D84719">
        <w:rPr>
          <w:rFonts w:ascii="Times New Roman" w:eastAsia="Times New Roman" w:hAnsi="Times New Roman" w:cs="Times New Roman"/>
          <w:color w:val="000000"/>
          <w:sz w:val="24"/>
          <w:lang w:eastAsia="hr-HR"/>
        </w:rPr>
        <w:t xml:space="preserve">14 ng/g) što je preko 100 puta niže od predloženog kriterija. Ovdje je odnos izmjerenih koncentracija i kriterija kakvoće okoliša potpuno obrnut od onog koji je zabilježen za biotu. Zanimljivo je uočiti da ne postoji korelacija opterećenja sedimenta i biote, međutim moguća razlika može biti povezana s činjenicom da se </w:t>
      </w:r>
      <w:proofErr w:type="spellStart"/>
      <w:r w:rsidRPr="00D84719">
        <w:rPr>
          <w:rFonts w:ascii="Times New Roman" w:eastAsia="Times New Roman" w:hAnsi="Times New Roman" w:cs="Times New Roman"/>
          <w:color w:val="000000"/>
          <w:sz w:val="24"/>
          <w:lang w:eastAsia="hr-HR"/>
        </w:rPr>
        <w:t>mikrolokacije</w:t>
      </w:r>
      <w:proofErr w:type="spellEnd"/>
      <w:r w:rsidRPr="00D84719">
        <w:rPr>
          <w:rFonts w:ascii="Times New Roman" w:eastAsia="Times New Roman" w:hAnsi="Times New Roman" w:cs="Times New Roman"/>
          <w:color w:val="000000"/>
          <w:sz w:val="24"/>
          <w:lang w:eastAsia="hr-HR"/>
        </w:rPr>
        <w:t xml:space="preserve"> uzorkovanja sedimenta i biote često ne poklapaju. Ipak, najviše su koncentracije izmjerene na lokacijama u estuarijima </w:t>
      </w:r>
      <w:proofErr w:type="spellStart"/>
      <w:r w:rsidRPr="00D84719">
        <w:rPr>
          <w:rFonts w:ascii="Times New Roman" w:eastAsia="Times New Roman" w:hAnsi="Times New Roman" w:cs="Times New Roman"/>
          <w:color w:val="000000"/>
          <w:sz w:val="24"/>
          <w:lang w:eastAsia="hr-HR"/>
        </w:rPr>
        <w:t>Omble</w:t>
      </w:r>
      <w:proofErr w:type="spellEnd"/>
      <w:r w:rsidRPr="00D84719">
        <w:rPr>
          <w:rFonts w:ascii="Times New Roman" w:eastAsia="Times New Roman" w:hAnsi="Times New Roman" w:cs="Times New Roman"/>
          <w:color w:val="000000"/>
          <w:sz w:val="24"/>
          <w:lang w:eastAsia="hr-HR"/>
        </w:rPr>
        <w:t>, Neretve, Rječine i Raše.</w:t>
      </w:r>
    </w:p>
    <w:p w14:paraId="5304CCBC" w14:textId="77777777" w:rsidR="00D84719" w:rsidRPr="00D84719" w:rsidRDefault="00D84719" w:rsidP="00D84719">
      <w:pPr>
        <w:keepNext/>
        <w:shd w:val="clear" w:color="auto" w:fill="FCFCFC"/>
        <w:spacing w:before="80" w:after="0" w:line="240" w:lineRule="auto"/>
        <w:rPr>
          <w:rFonts w:ascii="Times New Roman" w:eastAsia="Times New Roman" w:hAnsi="Times New Roman" w:cs="Times New Roman"/>
          <w:color w:val="000000"/>
          <w:szCs w:val="24"/>
        </w:rPr>
      </w:pPr>
      <w:r w:rsidRPr="00D84719">
        <w:rPr>
          <w:rFonts w:ascii="Times New Roman" w:eastAsia="Times New Roman" w:hAnsi="Times New Roman" w:cs="Times New Roman"/>
          <w:noProof/>
          <w:color w:val="000000"/>
          <w:sz w:val="24"/>
          <w:szCs w:val="24"/>
          <w:lang w:eastAsia="hr-HR"/>
        </w:rPr>
        <w:lastRenderedPageBreak/>
        <w:drawing>
          <wp:inline distT="0" distB="0" distL="0" distR="0" wp14:anchorId="626D2B67" wp14:editId="1126EA95">
            <wp:extent cx="4076700" cy="2946343"/>
            <wp:effectExtent l="0" t="0" r="0" b="6985"/>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80661" cy="2949206"/>
                    </a:xfrm>
                    <a:prstGeom prst="rect">
                      <a:avLst/>
                    </a:prstGeom>
                    <a:noFill/>
                    <a:ln>
                      <a:noFill/>
                    </a:ln>
                  </pic:spPr>
                </pic:pic>
              </a:graphicData>
            </a:graphic>
          </wp:inline>
        </w:drawing>
      </w:r>
    </w:p>
    <w:p w14:paraId="7A2F2B59" w14:textId="77777777" w:rsidR="00D84719" w:rsidRPr="00D84719" w:rsidRDefault="00D84719" w:rsidP="00D84719">
      <w:pPr>
        <w:keepNext/>
        <w:spacing w:before="80" w:after="0" w:line="276" w:lineRule="auto"/>
        <w:jc w:val="both"/>
        <w:rPr>
          <w:rFonts w:ascii="Times New Roman" w:eastAsia="Times New Roman" w:hAnsi="Times New Roman" w:cs="Times New Roman"/>
          <w:b/>
          <w:bCs/>
          <w:i/>
          <w:sz w:val="20"/>
          <w:szCs w:val="20"/>
        </w:rPr>
      </w:pPr>
      <w:r w:rsidRPr="00D84719">
        <w:rPr>
          <w:rFonts w:ascii="Times New Roman" w:eastAsia="Times New Roman" w:hAnsi="Times New Roman" w:cs="Times New Roman"/>
          <w:b/>
          <w:bCs/>
          <w:i/>
          <w:sz w:val="20"/>
          <w:szCs w:val="20"/>
        </w:rPr>
        <w:t xml:space="preserve">Slika </w:t>
      </w:r>
      <w:r w:rsidRPr="00D84719">
        <w:rPr>
          <w:rFonts w:ascii="Times New Roman" w:eastAsia="Times New Roman" w:hAnsi="Times New Roman" w:cs="Times New Roman"/>
          <w:b/>
          <w:bCs/>
          <w:i/>
          <w:sz w:val="20"/>
          <w:szCs w:val="20"/>
        </w:rPr>
        <w:fldChar w:fldCharType="begin"/>
      </w:r>
      <w:r w:rsidRPr="00D84719">
        <w:rPr>
          <w:rFonts w:ascii="Times New Roman" w:eastAsia="Times New Roman" w:hAnsi="Times New Roman" w:cs="Times New Roman"/>
          <w:b/>
          <w:bCs/>
          <w:i/>
          <w:sz w:val="20"/>
          <w:szCs w:val="20"/>
        </w:rPr>
        <w:instrText xml:space="preserve"> STYLEREF 2 \s </w:instrText>
      </w:r>
      <w:r w:rsidRPr="00D84719">
        <w:rPr>
          <w:rFonts w:ascii="Times New Roman" w:eastAsia="Times New Roman" w:hAnsi="Times New Roman" w:cs="Times New Roman"/>
          <w:b/>
          <w:bCs/>
          <w:i/>
          <w:sz w:val="20"/>
          <w:szCs w:val="20"/>
        </w:rPr>
        <w:fldChar w:fldCharType="separate"/>
      </w:r>
      <w:r w:rsidRPr="00D84719">
        <w:rPr>
          <w:rFonts w:ascii="Times New Roman" w:eastAsia="Times New Roman" w:hAnsi="Times New Roman" w:cs="Times New Roman"/>
          <w:b/>
          <w:bCs/>
          <w:i/>
          <w:sz w:val="20"/>
          <w:szCs w:val="20"/>
        </w:rPr>
        <w:t>3.7</w:t>
      </w:r>
      <w:r w:rsidRPr="00D84719">
        <w:rPr>
          <w:rFonts w:ascii="Times New Roman" w:eastAsia="Times New Roman" w:hAnsi="Times New Roman" w:cs="Times New Roman"/>
          <w:b/>
          <w:bCs/>
          <w:i/>
          <w:sz w:val="20"/>
          <w:szCs w:val="20"/>
        </w:rPr>
        <w:fldChar w:fldCharType="end"/>
      </w:r>
      <w:r w:rsidRPr="00D84719">
        <w:rPr>
          <w:rFonts w:ascii="Times New Roman" w:eastAsia="Times New Roman" w:hAnsi="Times New Roman" w:cs="Times New Roman"/>
          <w:b/>
          <w:bCs/>
          <w:i/>
          <w:sz w:val="20"/>
          <w:szCs w:val="20"/>
        </w:rPr>
        <w:noBreakHyphen/>
      </w:r>
      <w:r w:rsidRPr="00D84719">
        <w:rPr>
          <w:rFonts w:ascii="Times New Roman" w:eastAsia="Times New Roman" w:hAnsi="Times New Roman" w:cs="Times New Roman"/>
          <w:b/>
          <w:bCs/>
          <w:i/>
          <w:sz w:val="20"/>
          <w:szCs w:val="20"/>
        </w:rPr>
        <w:fldChar w:fldCharType="begin"/>
      </w:r>
      <w:r w:rsidRPr="00D84719">
        <w:rPr>
          <w:rFonts w:ascii="Times New Roman" w:eastAsia="Times New Roman" w:hAnsi="Times New Roman" w:cs="Times New Roman"/>
          <w:b/>
          <w:bCs/>
          <w:i/>
          <w:sz w:val="20"/>
          <w:szCs w:val="20"/>
        </w:rPr>
        <w:instrText xml:space="preserve"> SEQ Slika \* ARABIC \s 2 </w:instrText>
      </w:r>
      <w:r w:rsidRPr="00D84719">
        <w:rPr>
          <w:rFonts w:ascii="Times New Roman" w:eastAsia="Times New Roman" w:hAnsi="Times New Roman" w:cs="Times New Roman"/>
          <w:b/>
          <w:bCs/>
          <w:i/>
          <w:sz w:val="20"/>
          <w:szCs w:val="20"/>
        </w:rPr>
        <w:fldChar w:fldCharType="separate"/>
      </w:r>
      <w:r w:rsidRPr="00D84719">
        <w:rPr>
          <w:rFonts w:ascii="Times New Roman" w:eastAsia="Times New Roman" w:hAnsi="Times New Roman" w:cs="Times New Roman"/>
          <w:b/>
          <w:bCs/>
          <w:i/>
          <w:sz w:val="20"/>
          <w:szCs w:val="20"/>
        </w:rPr>
        <w:t>4</w:t>
      </w:r>
      <w:r w:rsidRPr="00D84719">
        <w:rPr>
          <w:rFonts w:ascii="Times New Roman" w:eastAsia="Times New Roman" w:hAnsi="Times New Roman" w:cs="Times New Roman"/>
          <w:b/>
          <w:bCs/>
          <w:i/>
          <w:sz w:val="20"/>
          <w:szCs w:val="20"/>
        </w:rPr>
        <w:fldChar w:fldCharType="end"/>
      </w:r>
      <w:r w:rsidRPr="00D84719">
        <w:rPr>
          <w:rFonts w:ascii="Times New Roman" w:eastAsia="Times New Roman" w:hAnsi="Times New Roman" w:cs="Times New Roman"/>
          <w:b/>
          <w:bCs/>
          <w:i/>
          <w:sz w:val="20"/>
          <w:szCs w:val="20"/>
        </w:rPr>
        <w:t xml:space="preserve"> Raspodjela perfluorooktan sulfonske kiseline (PFOS) u ribama prijelaznih voda 2016.</w:t>
      </w:r>
    </w:p>
    <w:p w14:paraId="7E9EFA7A" w14:textId="77777777" w:rsidR="00D84719" w:rsidRPr="00D84719" w:rsidRDefault="00D84719" w:rsidP="00D84719">
      <w:pPr>
        <w:spacing w:before="80" w:line="276" w:lineRule="auto"/>
        <w:jc w:val="both"/>
        <w:rPr>
          <w:rFonts w:ascii="Times New Roman" w:eastAsia="Times New Roman" w:hAnsi="Times New Roman" w:cs="Times New Roman"/>
          <w:color w:val="000000"/>
          <w:szCs w:val="24"/>
        </w:rPr>
      </w:pPr>
    </w:p>
    <w:p w14:paraId="33FC11FB" w14:textId="77777777" w:rsidR="00D84719" w:rsidRPr="00D84719" w:rsidRDefault="00D84719" w:rsidP="00D84719">
      <w:pPr>
        <w:shd w:val="clear" w:color="auto" w:fill="FCFCFC"/>
        <w:spacing w:before="80" w:after="0" w:line="276" w:lineRule="auto"/>
        <w:jc w:val="both"/>
        <w:rPr>
          <w:rFonts w:ascii="Times New Roman" w:eastAsia="Times New Roman" w:hAnsi="Times New Roman" w:cs="Times New Roman"/>
          <w:color w:val="000000"/>
          <w:sz w:val="24"/>
          <w:lang w:eastAsia="hr-HR"/>
        </w:rPr>
      </w:pPr>
      <w:r w:rsidRPr="00D84719">
        <w:rPr>
          <w:rFonts w:ascii="Times New Roman" w:eastAsia="Times New Roman" w:hAnsi="Times New Roman" w:cs="Times New Roman"/>
          <w:color w:val="000000"/>
          <w:sz w:val="24"/>
          <w:lang w:eastAsia="hr-HR"/>
        </w:rPr>
        <w:t xml:space="preserve">U sedimentima priobalnih voda izmjerene su i značajne koncentracije dugolančanih kloroalkana. Kako se radi o prioritetnim tvarima industrijskog porijekla, njihova prostorna raspodjela pokazuje povišene vrijednosti na lokacijama u estuarijima </w:t>
      </w:r>
      <w:proofErr w:type="spellStart"/>
      <w:r w:rsidRPr="00D84719">
        <w:rPr>
          <w:rFonts w:ascii="Times New Roman" w:eastAsia="Times New Roman" w:hAnsi="Times New Roman" w:cs="Times New Roman"/>
          <w:color w:val="000000"/>
          <w:sz w:val="24"/>
          <w:lang w:eastAsia="hr-HR"/>
        </w:rPr>
        <w:t>Omble</w:t>
      </w:r>
      <w:proofErr w:type="spellEnd"/>
      <w:r w:rsidRPr="00D84719">
        <w:rPr>
          <w:rFonts w:ascii="Times New Roman" w:eastAsia="Times New Roman" w:hAnsi="Times New Roman" w:cs="Times New Roman"/>
          <w:color w:val="000000"/>
          <w:sz w:val="24"/>
          <w:lang w:eastAsia="hr-HR"/>
        </w:rPr>
        <w:t xml:space="preserve">, Neretve, </w:t>
      </w:r>
      <w:proofErr w:type="spellStart"/>
      <w:r w:rsidRPr="00D84719">
        <w:rPr>
          <w:rFonts w:ascii="Times New Roman" w:eastAsia="Times New Roman" w:hAnsi="Times New Roman" w:cs="Times New Roman"/>
          <w:color w:val="000000"/>
          <w:sz w:val="24"/>
          <w:lang w:eastAsia="hr-HR"/>
        </w:rPr>
        <w:t>Jadra</w:t>
      </w:r>
      <w:proofErr w:type="spellEnd"/>
      <w:r w:rsidRPr="00D84719">
        <w:rPr>
          <w:rFonts w:ascii="Times New Roman" w:eastAsia="Times New Roman" w:hAnsi="Times New Roman" w:cs="Times New Roman"/>
          <w:color w:val="000000"/>
          <w:sz w:val="24"/>
          <w:lang w:eastAsia="hr-HR"/>
        </w:rPr>
        <w:t>, Krke i Rječine (FP-P2, FP-P5b, FP-P10, FP-P13 i FP-P18) koje su imale povećane razine i nekih drugih prioritetnih tvari. Međutim, prema kanadskim kriterijima (</w:t>
      </w:r>
      <w:proofErr w:type="spellStart"/>
      <w:r w:rsidRPr="00D84719">
        <w:rPr>
          <w:rFonts w:ascii="Times New Roman" w:eastAsia="Times New Roman" w:hAnsi="Times New Roman" w:cs="Times New Roman"/>
          <w:color w:val="000000"/>
          <w:sz w:val="24"/>
          <w:lang w:eastAsia="hr-HR"/>
        </w:rPr>
        <w:t>Environment</w:t>
      </w:r>
      <w:proofErr w:type="spellEnd"/>
      <w:r w:rsidRPr="00D84719">
        <w:rPr>
          <w:rFonts w:ascii="Times New Roman" w:eastAsia="Times New Roman" w:hAnsi="Times New Roman" w:cs="Times New Roman"/>
          <w:color w:val="000000"/>
          <w:sz w:val="24"/>
          <w:lang w:eastAsia="hr-HR"/>
        </w:rPr>
        <w:t xml:space="preserve"> Canada, 2016) te su koncentracije preko 1</w:t>
      </w:r>
      <w:r w:rsidR="00FA60FF">
        <w:rPr>
          <w:rFonts w:ascii="Times New Roman" w:eastAsia="Times New Roman" w:hAnsi="Times New Roman" w:cs="Times New Roman"/>
          <w:color w:val="000000"/>
          <w:sz w:val="24"/>
          <w:lang w:eastAsia="hr-HR"/>
        </w:rPr>
        <w:t>.</w:t>
      </w:r>
      <w:r w:rsidRPr="00D84719">
        <w:rPr>
          <w:rFonts w:ascii="Times New Roman" w:eastAsia="Times New Roman" w:hAnsi="Times New Roman" w:cs="Times New Roman"/>
          <w:color w:val="000000"/>
          <w:sz w:val="24"/>
          <w:lang w:eastAsia="hr-HR"/>
        </w:rPr>
        <w:t>000 puta niže od kritičnih.</w:t>
      </w:r>
    </w:p>
    <w:p w14:paraId="684AA72B" w14:textId="77777777" w:rsidR="00D84719" w:rsidRPr="00D84719" w:rsidRDefault="00D84719" w:rsidP="00D84719">
      <w:pPr>
        <w:shd w:val="clear" w:color="auto" w:fill="FCFCFC"/>
        <w:spacing w:before="80" w:after="0" w:line="240" w:lineRule="auto"/>
        <w:jc w:val="both"/>
        <w:rPr>
          <w:rFonts w:ascii="Times New Roman" w:eastAsia="Times New Roman" w:hAnsi="Times New Roman" w:cs="Times New Roman"/>
          <w:color w:val="000000"/>
          <w:sz w:val="24"/>
          <w:szCs w:val="24"/>
          <w:lang w:eastAsia="hr-HR"/>
        </w:rPr>
      </w:pPr>
    </w:p>
    <w:p w14:paraId="12FC066C" w14:textId="77777777" w:rsidR="00D84719" w:rsidRPr="00D84719" w:rsidRDefault="00D84719" w:rsidP="00D84719">
      <w:pPr>
        <w:keepNext/>
        <w:shd w:val="clear" w:color="auto" w:fill="FCFCFC"/>
        <w:spacing w:before="80" w:after="0" w:line="240" w:lineRule="auto"/>
        <w:rPr>
          <w:rFonts w:ascii="Times New Roman" w:eastAsia="Times New Roman" w:hAnsi="Times New Roman" w:cs="Times New Roman"/>
          <w:color w:val="000000"/>
          <w:szCs w:val="24"/>
        </w:rPr>
      </w:pPr>
      <w:r w:rsidRPr="00D84719">
        <w:rPr>
          <w:rFonts w:ascii="Times New Roman" w:eastAsia="Times New Roman" w:hAnsi="Times New Roman" w:cs="Times New Roman"/>
          <w:noProof/>
          <w:color w:val="000000"/>
          <w:sz w:val="24"/>
          <w:szCs w:val="24"/>
          <w:lang w:eastAsia="hr-HR"/>
        </w:rPr>
        <w:drawing>
          <wp:inline distT="0" distB="0" distL="0" distR="0" wp14:anchorId="1D0219A4" wp14:editId="749E754D">
            <wp:extent cx="4680000" cy="3387913"/>
            <wp:effectExtent l="0" t="0" r="6350" b="317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80000" cy="3387913"/>
                    </a:xfrm>
                    <a:prstGeom prst="rect">
                      <a:avLst/>
                    </a:prstGeom>
                    <a:noFill/>
                    <a:ln>
                      <a:noFill/>
                    </a:ln>
                  </pic:spPr>
                </pic:pic>
              </a:graphicData>
            </a:graphic>
          </wp:inline>
        </w:drawing>
      </w:r>
    </w:p>
    <w:p w14:paraId="698F22FE" w14:textId="77777777" w:rsidR="00D84719" w:rsidRPr="00D84719" w:rsidRDefault="00D84719" w:rsidP="00D84719">
      <w:pPr>
        <w:keepNext/>
        <w:spacing w:before="80" w:after="0" w:line="276" w:lineRule="auto"/>
        <w:jc w:val="both"/>
        <w:rPr>
          <w:rFonts w:ascii="Times New Roman" w:eastAsia="Times New Roman" w:hAnsi="Times New Roman" w:cs="Times New Roman"/>
          <w:b/>
          <w:bCs/>
          <w:i/>
          <w:color w:val="000000"/>
          <w:sz w:val="24"/>
          <w:szCs w:val="20"/>
          <w:lang w:eastAsia="hr-HR"/>
        </w:rPr>
      </w:pPr>
      <w:r w:rsidRPr="00D84719">
        <w:rPr>
          <w:rFonts w:ascii="Times New Roman" w:eastAsia="Times New Roman" w:hAnsi="Times New Roman" w:cs="Times New Roman"/>
          <w:b/>
          <w:bCs/>
          <w:i/>
          <w:sz w:val="20"/>
          <w:szCs w:val="20"/>
        </w:rPr>
        <w:t xml:space="preserve">Slika </w:t>
      </w:r>
      <w:r w:rsidRPr="00D84719">
        <w:rPr>
          <w:rFonts w:ascii="Times New Roman" w:eastAsia="Times New Roman" w:hAnsi="Times New Roman" w:cs="Times New Roman"/>
          <w:b/>
          <w:bCs/>
          <w:i/>
          <w:sz w:val="20"/>
          <w:szCs w:val="20"/>
        </w:rPr>
        <w:fldChar w:fldCharType="begin"/>
      </w:r>
      <w:r w:rsidRPr="00D84719">
        <w:rPr>
          <w:rFonts w:ascii="Times New Roman" w:eastAsia="Times New Roman" w:hAnsi="Times New Roman" w:cs="Times New Roman"/>
          <w:b/>
          <w:bCs/>
          <w:i/>
          <w:sz w:val="20"/>
          <w:szCs w:val="20"/>
        </w:rPr>
        <w:instrText xml:space="preserve"> STYLEREF 2 \s </w:instrText>
      </w:r>
      <w:r w:rsidRPr="00D84719">
        <w:rPr>
          <w:rFonts w:ascii="Times New Roman" w:eastAsia="Times New Roman" w:hAnsi="Times New Roman" w:cs="Times New Roman"/>
          <w:b/>
          <w:bCs/>
          <w:i/>
          <w:sz w:val="20"/>
          <w:szCs w:val="20"/>
        </w:rPr>
        <w:fldChar w:fldCharType="separate"/>
      </w:r>
      <w:r w:rsidRPr="00D84719">
        <w:rPr>
          <w:rFonts w:ascii="Times New Roman" w:eastAsia="Times New Roman" w:hAnsi="Times New Roman" w:cs="Times New Roman"/>
          <w:b/>
          <w:bCs/>
          <w:i/>
          <w:sz w:val="20"/>
          <w:szCs w:val="20"/>
        </w:rPr>
        <w:t>3.7</w:t>
      </w:r>
      <w:r w:rsidRPr="00D84719">
        <w:rPr>
          <w:rFonts w:ascii="Times New Roman" w:eastAsia="Times New Roman" w:hAnsi="Times New Roman" w:cs="Times New Roman"/>
          <w:b/>
          <w:bCs/>
          <w:i/>
          <w:sz w:val="20"/>
          <w:szCs w:val="20"/>
        </w:rPr>
        <w:fldChar w:fldCharType="end"/>
      </w:r>
      <w:r w:rsidRPr="00D84719">
        <w:rPr>
          <w:rFonts w:ascii="Times New Roman" w:eastAsia="Times New Roman" w:hAnsi="Times New Roman" w:cs="Times New Roman"/>
          <w:b/>
          <w:bCs/>
          <w:i/>
          <w:sz w:val="20"/>
          <w:szCs w:val="20"/>
        </w:rPr>
        <w:noBreakHyphen/>
      </w:r>
      <w:r w:rsidRPr="00D84719">
        <w:rPr>
          <w:rFonts w:ascii="Times New Roman" w:eastAsia="Times New Roman" w:hAnsi="Times New Roman" w:cs="Times New Roman"/>
          <w:b/>
          <w:bCs/>
          <w:i/>
          <w:sz w:val="20"/>
          <w:szCs w:val="20"/>
        </w:rPr>
        <w:fldChar w:fldCharType="begin"/>
      </w:r>
      <w:r w:rsidRPr="00D84719">
        <w:rPr>
          <w:rFonts w:ascii="Times New Roman" w:eastAsia="Times New Roman" w:hAnsi="Times New Roman" w:cs="Times New Roman"/>
          <w:b/>
          <w:bCs/>
          <w:i/>
          <w:sz w:val="20"/>
          <w:szCs w:val="20"/>
        </w:rPr>
        <w:instrText xml:space="preserve"> SEQ Slika \* ARABIC \s 2 </w:instrText>
      </w:r>
      <w:r w:rsidRPr="00D84719">
        <w:rPr>
          <w:rFonts w:ascii="Times New Roman" w:eastAsia="Times New Roman" w:hAnsi="Times New Roman" w:cs="Times New Roman"/>
          <w:b/>
          <w:bCs/>
          <w:i/>
          <w:sz w:val="20"/>
          <w:szCs w:val="20"/>
        </w:rPr>
        <w:fldChar w:fldCharType="separate"/>
      </w:r>
      <w:r w:rsidRPr="00D84719">
        <w:rPr>
          <w:rFonts w:ascii="Times New Roman" w:eastAsia="Times New Roman" w:hAnsi="Times New Roman" w:cs="Times New Roman"/>
          <w:b/>
          <w:bCs/>
          <w:i/>
          <w:sz w:val="20"/>
          <w:szCs w:val="20"/>
        </w:rPr>
        <w:t>5</w:t>
      </w:r>
      <w:r w:rsidRPr="00D84719">
        <w:rPr>
          <w:rFonts w:ascii="Times New Roman" w:eastAsia="Times New Roman" w:hAnsi="Times New Roman" w:cs="Times New Roman"/>
          <w:b/>
          <w:bCs/>
          <w:i/>
          <w:sz w:val="20"/>
          <w:szCs w:val="20"/>
        </w:rPr>
        <w:fldChar w:fldCharType="end"/>
      </w:r>
      <w:r w:rsidRPr="00D84719">
        <w:rPr>
          <w:rFonts w:ascii="Times New Roman" w:eastAsia="Times New Roman" w:hAnsi="Times New Roman" w:cs="Times New Roman"/>
          <w:b/>
          <w:bCs/>
          <w:i/>
          <w:sz w:val="20"/>
          <w:szCs w:val="20"/>
        </w:rPr>
        <w:t xml:space="preserve"> Raspodjela dugolančanih kloralkana (C10-C13) u sedimentima prijelaznih voda 2016. </w:t>
      </w:r>
    </w:p>
    <w:p w14:paraId="333E483C" w14:textId="77777777" w:rsidR="00D84719" w:rsidRPr="00D84719" w:rsidRDefault="00D84719" w:rsidP="00D84719">
      <w:pPr>
        <w:spacing w:before="80" w:line="276" w:lineRule="auto"/>
        <w:jc w:val="both"/>
        <w:rPr>
          <w:rFonts w:ascii="Times New Roman" w:eastAsia="Times New Roman" w:hAnsi="Times New Roman" w:cs="Times New Roman"/>
          <w:color w:val="000000"/>
          <w:szCs w:val="24"/>
          <w:lang w:eastAsia="hr-HR"/>
        </w:rPr>
      </w:pPr>
    </w:p>
    <w:p w14:paraId="7765F717" w14:textId="77777777" w:rsidR="00D84719" w:rsidRPr="00DF02E3" w:rsidRDefault="00D84719" w:rsidP="00D84719">
      <w:pPr>
        <w:spacing w:before="80" w:line="276" w:lineRule="auto"/>
        <w:jc w:val="both"/>
        <w:rPr>
          <w:rFonts w:ascii="Times New Roman" w:eastAsia="Times New Roman" w:hAnsi="Times New Roman" w:cs="Times New Roman"/>
          <w:b/>
          <w:color w:val="000000"/>
          <w:sz w:val="24"/>
          <w:szCs w:val="24"/>
          <w:lang w:eastAsia="hr-HR"/>
        </w:rPr>
      </w:pPr>
      <w:r w:rsidRPr="00DF02E3">
        <w:rPr>
          <w:rFonts w:ascii="Times New Roman" w:eastAsia="Times New Roman" w:hAnsi="Times New Roman" w:cs="Times New Roman"/>
          <w:b/>
          <w:i/>
          <w:iCs/>
          <w:color w:val="000000"/>
          <w:sz w:val="24"/>
          <w:szCs w:val="24"/>
          <w:lang w:eastAsia="hr-HR"/>
        </w:rPr>
        <w:lastRenderedPageBreak/>
        <w:t xml:space="preserve">Priobalne vode, 2017. </w:t>
      </w:r>
    </w:p>
    <w:p w14:paraId="1DC530A2" w14:textId="77777777" w:rsidR="00D84719" w:rsidRPr="00DF02E3" w:rsidRDefault="00D84719" w:rsidP="00D84719">
      <w:pPr>
        <w:spacing w:before="80" w:line="276" w:lineRule="auto"/>
        <w:jc w:val="both"/>
        <w:rPr>
          <w:rFonts w:ascii="Times New Roman" w:eastAsia="Times New Roman" w:hAnsi="Times New Roman" w:cs="Times New Roman"/>
          <w:b/>
          <w:color w:val="000000"/>
          <w:sz w:val="24"/>
          <w:szCs w:val="24"/>
          <w:lang w:eastAsia="hr-HR"/>
        </w:rPr>
      </w:pPr>
      <w:r w:rsidRPr="00DF02E3">
        <w:rPr>
          <w:rFonts w:ascii="Times New Roman" w:eastAsia="Times New Roman" w:hAnsi="Times New Roman" w:cs="Times New Roman"/>
          <w:b/>
          <w:i/>
          <w:iCs/>
          <w:color w:val="000000"/>
          <w:sz w:val="24"/>
          <w:szCs w:val="24"/>
          <w:lang w:eastAsia="hr-HR"/>
        </w:rPr>
        <w:t>VODA</w:t>
      </w:r>
    </w:p>
    <w:p w14:paraId="30E77352" w14:textId="10BB8C11"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eastAsia="hr-HR"/>
        </w:rPr>
      </w:pPr>
      <w:r w:rsidRPr="00D84719">
        <w:rPr>
          <w:rFonts w:ascii="Times New Roman" w:eastAsia="Times New Roman" w:hAnsi="Times New Roman" w:cs="Times New Roman"/>
          <w:color w:val="000000"/>
          <w:sz w:val="24"/>
          <w:szCs w:val="24"/>
          <w:lang w:eastAsia="hr-HR"/>
        </w:rPr>
        <w:t xml:space="preserve">Praćenje POPs-ova u priobalnim vodama tijekom 2017., obuhvatilo je četiri sezonska izlaska na 37 postaja i pokazalo da je stanje voda u odnosu na opterećenje praćenim tvarima uglavnom vrlo dobro. Na svim postajama i u svim sezonama koncentracije organoklorovih pesticida pentaklorobenzena, endosulfana, heksaklorocikloheksana i </w:t>
      </w:r>
      <w:proofErr w:type="spellStart"/>
      <w:r w:rsidRPr="00D84719">
        <w:rPr>
          <w:rFonts w:ascii="Times New Roman" w:eastAsia="Times New Roman" w:hAnsi="Times New Roman" w:cs="Times New Roman"/>
          <w:color w:val="000000"/>
          <w:sz w:val="24"/>
          <w:szCs w:val="24"/>
          <w:lang w:eastAsia="hr-HR"/>
        </w:rPr>
        <w:t>p,p</w:t>
      </w:r>
      <w:proofErr w:type="spellEnd"/>
      <w:r w:rsidRPr="00D84719">
        <w:rPr>
          <w:rFonts w:ascii="Times New Roman" w:eastAsia="Times New Roman" w:hAnsi="Times New Roman" w:cs="Times New Roman"/>
          <w:color w:val="000000"/>
          <w:sz w:val="24"/>
          <w:szCs w:val="24"/>
          <w:lang w:eastAsia="hr-HR"/>
        </w:rPr>
        <w:t>-DDT-a bile su niže od propisanih PGK vrijednosti (0</w:t>
      </w:r>
      <w:r w:rsidR="00AF5B8C">
        <w:rPr>
          <w:rFonts w:ascii="Times New Roman" w:eastAsia="Times New Roman" w:hAnsi="Times New Roman" w:cs="Times New Roman"/>
          <w:color w:val="000000"/>
          <w:sz w:val="24"/>
          <w:szCs w:val="24"/>
          <w:lang w:eastAsia="hr-HR"/>
        </w:rPr>
        <w:t>,</w:t>
      </w:r>
      <w:r w:rsidRPr="00D84719">
        <w:rPr>
          <w:rFonts w:ascii="Times New Roman" w:eastAsia="Times New Roman" w:hAnsi="Times New Roman" w:cs="Times New Roman"/>
          <w:color w:val="000000"/>
          <w:sz w:val="24"/>
          <w:szCs w:val="24"/>
          <w:lang w:eastAsia="hr-HR"/>
        </w:rPr>
        <w:t>7 ng/l, 0</w:t>
      </w:r>
      <w:r w:rsidR="00AF5B8C">
        <w:rPr>
          <w:rFonts w:ascii="Times New Roman" w:eastAsia="Times New Roman" w:hAnsi="Times New Roman" w:cs="Times New Roman"/>
          <w:color w:val="000000"/>
          <w:sz w:val="24"/>
          <w:szCs w:val="24"/>
          <w:lang w:eastAsia="hr-HR"/>
        </w:rPr>
        <w:t>,</w:t>
      </w:r>
      <w:r w:rsidRPr="00D84719">
        <w:rPr>
          <w:rFonts w:ascii="Times New Roman" w:eastAsia="Times New Roman" w:hAnsi="Times New Roman" w:cs="Times New Roman"/>
          <w:color w:val="000000"/>
          <w:sz w:val="24"/>
          <w:szCs w:val="24"/>
          <w:lang w:eastAsia="hr-HR"/>
        </w:rPr>
        <w:t>5 ng/l, 2 ng/l i 10 ng/l). Koncentracija sume kongenera PBDE u priobalnim vodama 2017. kretala se u rasponu od &lt;0</w:t>
      </w:r>
      <w:r w:rsidR="00AF5B8C">
        <w:rPr>
          <w:rFonts w:ascii="Times New Roman" w:eastAsia="Times New Roman" w:hAnsi="Times New Roman" w:cs="Times New Roman"/>
          <w:color w:val="000000"/>
          <w:sz w:val="24"/>
          <w:szCs w:val="24"/>
          <w:lang w:eastAsia="hr-HR"/>
        </w:rPr>
        <w:t>,</w:t>
      </w:r>
      <w:r w:rsidRPr="00D84719">
        <w:rPr>
          <w:rFonts w:ascii="Times New Roman" w:eastAsia="Times New Roman" w:hAnsi="Times New Roman" w:cs="Times New Roman"/>
          <w:color w:val="000000"/>
          <w:sz w:val="24"/>
          <w:szCs w:val="24"/>
          <w:lang w:eastAsia="hr-HR"/>
        </w:rPr>
        <w:t>12 ng/l do 2.21 ng/l što je vrlo slično rasponu koji je određen u prijelaznim vodama. Kao što je već spomenuto u poglavlju o prijelaznim vodama, SKVO za druge površinske vode prema hrvatskoj regulativi iz 2013</w:t>
      </w:r>
      <w:r w:rsidR="005C26BD">
        <w:rPr>
          <w:rFonts w:ascii="Times New Roman" w:eastAsia="Times New Roman" w:hAnsi="Times New Roman" w:cs="Times New Roman"/>
          <w:color w:val="000000"/>
          <w:sz w:val="24"/>
          <w:szCs w:val="24"/>
          <w:lang w:eastAsia="hr-HR"/>
        </w:rPr>
        <w:t>.</w:t>
      </w:r>
      <w:r w:rsidRPr="00D84719">
        <w:rPr>
          <w:rFonts w:ascii="Times New Roman" w:eastAsia="Times New Roman" w:hAnsi="Times New Roman" w:cs="Times New Roman"/>
          <w:color w:val="000000"/>
          <w:sz w:val="24"/>
          <w:szCs w:val="24"/>
          <w:lang w:eastAsia="hr-HR"/>
        </w:rPr>
        <w:t xml:space="preserve"> (PGK 0</w:t>
      </w:r>
      <w:r w:rsidR="00AF5B8C">
        <w:rPr>
          <w:rFonts w:ascii="Times New Roman" w:eastAsia="Times New Roman" w:hAnsi="Times New Roman" w:cs="Times New Roman"/>
          <w:color w:val="000000"/>
          <w:sz w:val="24"/>
          <w:szCs w:val="24"/>
          <w:lang w:eastAsia="hr-HR"/>
        </w:rPr>
        <w:t>,</w:t>
      </w:r>
      <w:r w:rsidRPr="00D84719">
        <w:rPr>
          <w:rFonts w:ascii="Times New Roman" w:eastAsia="Times New Roman" w:hAnsi="Times New Roman" w:cs="Times New Roman"/>
          <w:color w:val="000000"/>
          <w:sz w:val="24"/>
          <w:szCs w:val="24"/>
          <w:lang w:eastAsia="hr-HR"/>
        </w:rPr>
        <w:t>2 ng/l) na nekim lokacijama PGK vrijednosti ne bi zadovoljavale propisanu razinu, međutim propis iz 2015. sadrži samo MGK (14 ng/l) kao kriterij SKVO. Niti jedna od povišenih koncentracija ne premašuje taj kriterij.</w:t>
      </w:r>
    </w:p>
    <w:p w14:paraId="3A3FDAAB" w14:textId="77777777" w:rsidR="00D84719" w:rsidRPr="00DF02E3" w:rsidRDefault="00D84719" w:rsidP="00D84719">
      <w:pPr>
        <w:spacing w:before="80" w:line="276" w:lineRule="auto"/>
        <w:jc w:val="both"/>
        <w:rPr>
          <w:rFonts w:ascii="Times New Roman" w:eastAsia="Times New Roman" w:hAnsi="Times New Roman" w:cs="Times New Roman"/>
          <w:b/>
          <w:color w:val="000000"/>
          <w:sz w:val="24"/>
          <w:szCs w:val="24"/>
          <w:lang w:eastAsia="hr-HR"/>
        </w:rPr>
      </w:pPr>
      <w:r w:rsidRPr="00DF02E3">
        <w:rPr>
          <w:rFonts w:ascii="Times New Roman" w:eastAsia="Times New Roman" w:hAnsi="Times New Roman" w:cs="Times New Roman"/>
          <w:b/>
          <w:i/>
          <w:iCs/>
          <w:color w:val="000000"/>
          <w:sz w:val="24"/>
          <w:szCs w:val="24"/>
          <w:lang w:eastAsia="hr-HR"/>
        </w:rPr>
        <w:t>BIOTA</w:t>
      </w:r>
    </w:p>
    <w:p w14:paraId="3EB4AFB5" w14:textId="77777777" w:rsidR="00D84719" w:rsidRPr="00D84719" w:rsidRDefault="00D84719" w:rsidP="00D84719">
      <w:pPr>
        <w:spacing w:before="80" w:line="276" w:lineRule="auto"/>
        <w:jc w:val="both"/>
        <w:rPr>
          <w:rFonts w:ascii="Times New Roman" w:eastAsia="Times New Roman" w:hAnsi="Times New Roman" w:cs="Times New Roman"/>
          <w:color w:val="000000"/>
          <w:sz w:val="24"/>
          <w:lang w:eastAsia="hr-HR"/>
        </w:rPr>
      </w:pPr>
      <w:r w:rsidRPr="00D84719">
        <w:rPr>
          <w:rFonts w:ascii="Times New Roman" w:eastAsia="Times New Roman" w:hAnsi="Times New Roman" w:cs="Times New Roman"/>
          <w:color w:val="000000"/>
          <w:sz w:val="24"/>
          <w:szCs w:val="24"/>
          <w:lang w:eastAsia="hr-HR"/>
        </w:rPr>
        <w:t>Koncentracije heksaklorobenzena (0</w:t>
      </w:r>
      <w:r w:rsidR="009D0F7D">
        <w:rPr>
          <w:rFonts w:ascii="Times New Roman" w:eastAsia="Times New Roman" w:hAnsi="Times New Roman" w:cs="Times New Roman"/>
          <w:color w:val="000000"/>
          <w:sz w:val="24"/>
          <w:szCs w:val="24"/>
          <w:lang w:eastAsia="hr-HR"/>
        </w:rPr>
        <w:t>,</w:t>
      </w:r>
      <w:r w:rsidRPr="00D84719">
        <w:rPr>
          <w:rFonts w:ascii="Times New Roman" w:eastAsia="Times New Roman" w:hAnsi="Times New Roman" w:cs="Times New Roman"/>
          <w:color w:val="000000"/>
          <w:sz w:val="24"/>
          <w:szCs w:val="24"/>
          <w:lang w:eastAsia="hr-HR"/>
        </w:rPr>
        <w:t>06-0</w:t>
      </w:r>
      <w:r w:rsidR="009D0F7D">
        <w:rPr>
          <w:rFonts w:ascii="Times New Roman" w:eastAsia="Times New Roman" w:hAnsi="Times New Roman" w:cs="Times New Roman"/>
          <w:color w:val="000000"/>
          <w:sz w:val="24"/>
          <w:szCs w:val="24"/>
          <w:lang w:eastAsia="hr-HR"/>
        </w:rPr>
        <w:t>,</w:t>
      </w:r>
      <w:r w:rsidRPr="00D84719">
        <w:rPr>
          <w:rFonts w:ascii="Times New Roman" w:eastAsia="Times New Roman" w:hAnsi="Times New Roman" w:cs="Times New Roman"/>
          <w:color w:val="000000"/>
          <w:sz w:val="24"/>
          <w:szCs w:val="24"/>
          <w:lang w:eastAsia="hr-HR"/>
        </w:rPr>
        <w:t>48 ng/g), heksaklorobutadiena (&lt;0</w:t>
      </w:r>
      <w:r w:rsidR="009D0F7D">
        <w:rPr>
          <w:rFonts w:ascii="Times New Roman" w:eastAsia="Times New Roman" w:hAnsi="Times New Roman" w:cs="Times New Roman"/>
          <w:color w:val="000000"/>
          <w:sz w:val="24"/>
          <w:szCs w:val="24"/>
          <w:lang w:eastAsia="hr-HR"/>
        </w:rPr>
        <w:t>,</w:t>
      </w:r>
      <w:r w:rsidR="00612979">
        <w:rPr>
          <w:rFonts w:ascii="Times New Roman" w:eastAsia="Times New Roman" w:hAnsi="Times New Roman" w:cs="Times New Roman"/>
          <w:color w:val="000000"/>
          <w:sz w:val="24"/>
          <w:szCs w:val="24"/>
          <w:lang w:eastAsia="hr-HR"/>
        </w:rPr>
        <w:t>1 ng/g)</w:t>
      </w:r>
      <w:r w:rsidRPr="00D84719">
        <w:rPr>
          <w:rFonts w:ascii="Times New Roman" w:eastAsia="Times New Roman" w:hAnsi="Times New Roman" w:cs="Times New Roman"/>
          <w:color w:val="000000"/>
          <w:sz w:val="24"/>
          <w:szCs w:val="24"/>
          <w:lang w:eastAsia="hr-HR"/>
        </w:rPr>
        <w:t xml:space="preserve"> i dioksina i njima srodnih spojeva (&lt;0</w:t>
      </w:r>
      <w:r w:rsidR="009D0F7D">
        <w:rPr>
          <w:rFonts w:ascii="Times New Roman" w:eastAsia="Times New Roman" w:hAnsi="Times New Roman" w:cs="Times New Roman"/>
          <w:color w:val="000000"/>
          <w:sz w:val="24"/>
          <w:szCs w:val="24"/>
          <w:lang w:eastAsia="hr-HR"/>
        </w:rPr>
        <w:t>,</w:t>
      </w:r>
      <w:r w:rsidRPr="00D84719">
        <w:rPr>
          <w:rFonts w:ascii="Times New Roman" w:eastAsia="Times New Roman" w:hAnsi="Times New Roman" w:cs="Times New Roman"/>
          <w:color w:val="000000"/>
          <w:sz w:val="24"/>
          <w:szCs w:val="24"/>
          <w:lang w:eastAsia="hr-HR"/>
        </w:rPr>
        <w:t>00001-0</w:t>
      </w:r>
      <w:r w:rsidR="009D0F7D">
        <w:rPr>
          <w:rFonts w:ascii="Times New Roman" w:eastAsia="Times New Roman" w:hAnsi="Times New Roman" w:cs="Times New Roman"/>
          <w:color w:val="000000"/>
          <w:sz w:val="24"/>
          <w:szCs w:val="24"/>
          <w:lang w:eastAsia="hr-HR"/>
        </w:rPr>
        <w:t>,</w:t>
      </w:r>
      <w:r w:rsidRPr="00D84719">
        <w:rPr>
          <w:rFonts w:ascii="Times New Roman" w:eastAsia="Times New Roman" w:hAnsi="Times New Roman" w:cs="Times New Roman"/>
          <w:color w:val="000000"/>
          <w:sz w:val="24"/>
          <w:szCs w:val="24"/>
          <w:lang w:eastAsia="hr-HR"/>
        </w:rPr>
        <w:t xml:space="preserve">0123 ng/g, zbroj TEQ) u uzorcima riba iz priobalnih voda u 2017. bile su uglavnom znatno niže od odgovarajućih vrijednosti </w:t>
      </w:r>
      <w:r w:rsidRPr="00D84719">
        <w:rPr>
          <w:rFonts w:ascii="Times New Roman" w:eastAsia="Times New Roman" w:hAnsi="Times New Roman" w:cs="Times New Roman"/>
          <w:color w:val="000000"/>
          <w:sz w:val="24"/>
          <w:lang w:eastAsia="hr-HR"/>
        </w:rPr>
        <w:t>SKVO za biotu (u cijeloj ribi ili mišiću ribe, ovisno o tvari). Međutim, treba spomenuti da su na tri lokacije (Splitska luka - FP-O15a, Pulska luka - FP-O45 i na lokaciji FP-O21a u Šibenskom akvatoriju) utvrđene koncentracije dioksina i njima srodnih spojeva u mišiću riba (0,00685-0,0123 ng/g, zbroj TEQ) koje su neznatno prelazile SKVO za te spojeve (0</w:t>
      </w:r>
      <w:r w:rsidR="009D0F7D">
        <w:rPr>
          <w:rFonts w:ascii="Times New Roman" w:eastAsia="Times New Roman" w:hAnsi="Times New Roman" w:cs="Times New Roman"/>
          <w:color w:val="000000"/>
          <w:sz w:val="24"/>
          <w:lang w:eastAsia="hr-HR"/>
        </w:rPr>
        <w:t>,</w:t>
      </w:r>
      <w:r w:rsidRPr="00D84719">
        <w:rPr>
          <w:rFonts w:ascii="Times New Roman" w:eastAsia="Times New Roman" w:hAnsi="Times New Roman" w:cs="Times New Roman"/>
          <w:color w:val="000000"/>
          <w:sz w:val="24"/>
          <w:lang w:eastAsia="hr-HR"/>
        </w:rPr>
        <w:t>0065 ng/g, zbroj TEQ). Također treba napomenuti da, zbog vrlo stroge SKVO vrijednosti (0</w:t>
      </w:r>
      <w:r w:rsidR="009D0F7D">
        <w:rPr>
          <w:rFonts w:ascii="Times New Roman" w:eastAsia="Times New Roman" w:hAnsi="Times New Roman" w:cs="Times New Roman"/>
          <w:color w:val="000000"/>
          <w:sz w:val="24"/>
          <w:lang w:eastAsia="hr-HR"/>
        </w:rPr>
        <w:t>,</w:t>
      </w:r>
      <w:r w:rsidRPr="00D84719">
        <w:rPr>
          <w:rFonts w:ascii="Times New Roman" w:eastAsia="Times New Roman" w:hAnsi="Times New Roman" w:cs="Times New Roman"/>
          <w:color w:val="000000"/>
          <w:sz w:val="24"/>
          <w:lang w:eastAsia="hr-HR"/>
        </w:rPr>
        <w:t>0067 ng/g) kritičnu skupinu predstavljaju i heptaklor i heptaklor epoksid te da su koncentracije heptaklora i heptaklor epoksida (&lt;0</w:t>
      </w:r>
      <w:r w:rsidR="009D0F7D">
        <w:rPr>
          <w:rFonts w:ascii="Times New Roman" w:eastAsia="Times New Roman" w:hAnsi="Times New Roman" w:cs="Times New Roman"/>
          <w:color w:val="000000"/>
          <w:sz w:val="24"/>
          <w:lang w:eastAsia="hr-HR"/>
        </w:rPr>
        <w:t>,</w:t>
      </w:r>
      <w:r w:rsidRPr="00D84719">
        <w:rPr>
          <w:rFonts w:ascii="Times New Roman" w:eastAsia="Times New Roman" w:hAnsi="Times New Roman" w:cs="Times New Roman"/>
          <w:color w:val="000000"/>
          <w:sz w:val="24"/>
          <w:lang w:eastAsia="hr-HR"/>
        </w:rPr>
        <w:t>05-0</w:t>
      </w:r>
      <w:r w:rsidR="009D0F7D">
        <w:rPr>
          <w:rFonts w:ascii="Times New Roman" w:eastAsia="Times New Roman" w:hAnsi="Times New Roman" w:cs="Times New Roman"/>
          <w:color w:val="000000"/>
          <w:sz w:val="24"/>
          <w:lang w:eastAsia="hr-HR"/>
        </w:rPr>
        <w:t>,</w:t>
      </w:r>
      <w:r w:rsidRPr="00D84719">
        <w:rPr>
          <w:rFonts w:ascii="Times New Roman" w:eastAsia="Times New Roman" w:hAnsi="Times New Roman" w:cs="Times New Roman"/>
          <w:color w:val="000000"/>
          <w:sz w:val="24"/>
          <w:lang w:eastAsia="hr-HR"/>
        </w:rPr>
        <w:t>06 ng/g) bile za neke uzorke više od SKVO.</w:t>
      </w:r>
    </w:p>
    <w:p w14:paraId="34C58793" w14:textId="77777777" w:rsidR="00D84719" w:rsidRPr="00D84719" w:rsidRDefault="00D84719" w:rsidP="00D84719">
      <w:pPr>
        <w:shd w:val="clear" w:color="auto" w:fill="FCFCFC"/>
        <w:spacing w:before="80" w:after="0" w:line="276" w:lineRule="auto"/>
        <w:jc w:val="both"/>
        <w:rPr>
          <w:rFonts w:ascii="Times New Roman" w:eastAsia="Times New Roman" w:hAnsi="Times New Roman" w:cs="Times New Roman"/>
          <w:color w:val="000000"/>
          <w:lang w:eastAsia="hr-HR"/>
        </w:rPr>
      </w:pPr>
      <w:r w:rsidRPr="00D84719">
        <w:rPr>
          <w:rFonts w:ascii="Times New Roman" w:eastAsia="Times New Roman" w:hAnsi="Times New Roman" w:cs="Times New Roman"/>
          <w:color w:val="000000"/>
          <w:sz w:val="24"/>
          <w:lang w:eastAsia="hr-HR"/>
        </w:rPr>
        <w:t>Raspodjela PBDE (0</w:t>
      </w:r>
      <w:r w:rsidR="009D0F7D">
        <w:rPr>
          <w:rFonts w:ascii="Times New Roman" w:eastAsia="Times New Roman" w:hAnsi="Times New Roman" w:cs="Times New Roman"/>
          <w:color w:val="000000"/>
          <w:sz w:val="24"/>
          <w:lang w:eastAsia="hr-HR"/>
        </w:rPr>
        <w:t>,</w:t>
      </w:r>
      <w:r w:rsidRPr="00D84719">
        <w:rPr>
          <w:rFonts w:ascii="Times New Roman" w:eastAsia="Times New Roman" w:hAnsi="Times New Roman" w:cs="Times New Roman"/>
          <w:color w:val="000000"/>
          <w:sz w:val="24"/>
          <w:lang w:eastAsia="hr-HR"/>
        </w:rPr>
        <w:t>04 do 0</w:t>
      </w:r>
      <w:r w:rsidR="009D0F7D">
        <w:rPr>
          <w:rFonts w:ascii="Times New Roman" w:eastAsia="Times New Roman" w:hAnsi="Times New Roman" w:cs="Times New Roman"/>
          <w:color w:val="000000"/>
          <w:sz w:val="24"/>
          <w:lang w:eastAsia="hr-HR"/>
        </w:rPr>
        <w:t>,</w:t>
      </w:r>
      <w:r w:rsidRPr="00D84719">
        <w:rPr>
          <w:rFonts w:ascii="Times New Roman" w:eastAsia="Times New Roman" w:hAnsi="Times New Roman" w:cs="Times New Roman"/>
          <w:color w:val="000000"/>
          <w:sz w:val="24"/>
          <w:lang w:eastAsia="hr-HR"/>
        </w:rPr>
        <w:t>68 ng/g) u ribama priobalnog mora pokazuje značajne razlike između zagađenih i slabije opterećenih lokacija, međutim sve izmjerene koncentracije premašuju kriterij SKVO (0</w:t>
      </w:r>
      <w:r w:rsidR="009D0F7D">
        <w:rPr>
          <w:rFonts w:ascii="Times New Roman" w:eastAsia="Times New Roman" w:hAnsi="Times New Roman" w:cs="Times New Roman"/>
          <w:color w:val="000000"/>
          <w:sz w:val="24"/>
          <w:lang w:eastAsia="hr-HR"/>
        </w:rPr>
        <w:t>,</w:t>
      </w:r>
      <w:r w:rsidRPr="00D84719">
        <w:rPr>
          <w:rFonts w:ascii="Times New Roman" w:eastAsia="Times New Roman" w:hAnsi="Times New Roman" w:cs="Times New Roman"/>
          <w:color w:val="000000"/>
          <w:sz w:val="24"/>
          <w:lang w:eastAsia="hr-HR"/>
        </w:rPr>
        <w:t xml:space="preserve">0085 ng/g) od 10 do 100 puta. U ovom trenu vruće točke s jače povišenim razinama PBDE su splitska luka (FP-O15a), Kaštelanski zaljev (FP-O16a), šibensko područje (FP-O21 i FP-O23), riječka luka (FP-O38), Riječki zaljev (FP-O39), Kvarner (FP-O42) i </w:t>
      </w:r>
      <w:proofErr w:type="spellStart"/>
      <w:r w:rsidRPr="00D84719">
        <w:rPr>
          <w:rFonts w:ascii="Times New Roman" w:eastAsia="Times New Roman" w:hAnsi="Times New Roman" w:cs="Times New Roman"/>
          <w:color w:val="000000"/>
          <w:sz w:val="24"/>
          <w:lang w:eastAsia="hr-HR"/>
        </w:rPr>
        <w:t>Kvarnerić</w:t>
      </w:r>
      <w:proofErr w:type="spellEnd"/>
      <w:r w:rsidRPr="00D84719">
        <w:rPr>
          <w:rFonts w:ascii="Times New Roman" w:eastAsia="Times New Roman" w:hAnsi="Times New Roman" w:cs="Times New Roman"/>
          <w:color w:val="000000"/>
          <w:sz w:val="24"/>
          <w:lang w:eastAsia="hr-HR"/>
        </w:rPr>
        <w:t xml:space="preserve"> (FP-O30).</w:t>
      </w:r>
    </w:p>
    <w:p w14:paraId="18EEDD8F" w14:textId="77777777" w:rsidR="00D84719" w:rsidRPr="00D84719" w:rsidRDefault="00D84719" w:rsidP="00D84719">
      <w:pPr>
        <w:keepNext/>
        <w:shd w:val="clear" w:color="auto" w:fill="FCFCFC"/>
        <w:spacing w:before="80" w:after="0" w:line="240" w:lineRule="auto"/>
        <w:rPr>
          <w:rFonts w:ascii="Times New Roman" w:eastAsia="Times New Roman" w:hAnsi="Times New Roman" w:cs="Times New Roman"/>
          <w:color w:val="000000"/>
          <w:szCs w:val="24"/>
        </w:rPr>
      </w:pPr>
      <w:r w:rsidRPr="00D84719">
        <w:rPr>
          <w:rFonts w:ascii="Times New Roman" w:eastAsia="Times New Roman" w:hAnsi="Times New Roman" w:cs="Times New Roman"/>
          <w:noProof/>
          <w:color w:val="000000"/>
          <w:sz w:val="24"/>
          <w:szCs w:val="24"/>
          <w:lang w:eastAsia="hr-HR"/>
        </w:rPr>
        <w:lastRenderedPageBreak/>
        <w:drawing>
          <wp:inline distT="0" distB="0" distL="0" distR="0" wp14:anchorId="7E070B2C" wp14:editId="6F448F18">
            <wp:extent cx="4680000" cy="3578351"/>
            <wp:effectExtent l="0" t="0" r="6350" b="317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80000" cy="3578351"/>
                    </a:xfrm>
                    <a:prstGeom prst="rect">
                      <a:avLst/>
                    </a:prstGeom>
                    <a:noFill/>
                    <a:ln>
                      <a:noFill/>
                    </a:ln>
                  </pic:spPr>
                </pic:pic>
              </a:graphicData>
            </a:graphic>
          </wp:inline>
        </w:drawing>
      </w:r>
    </w:p>
    <w:p w14:paraId="1EB6718C" w14:textId="77777777" w:rsidR="00D84719" w:rsidRPr="00D84719" w:rsidRDefault="00D84719" w:rsidP="00D84719">
      <w:pPr>
        <w:keepNext/>
        <w:spacing w:before="80" w:after="0" w:line="276" w:lineRule="auto"/>
        <w:jc w:val="both"/>
        <w:rPr>
          <w:rFonts w:ascii="Times New Roman" w:eastAsia="Times New Roman" w:hAnsi="Times New Roman" w:cs="Times New Roman"/>
          <w:b/>
          <w:bCs/>
          <w:i/>
          <w:color w:val="000000"/>
          <w:sz w:val="24"/>
          <w:szCs w:val="20"/>
          <w:lang w:eastAsia="hr-HR"/>
        </w:rPr>
      </w:pPr>
      <w:r w:rsidRPr="00D84719">
        <w:rPr>
          <w:rFonts w:ascii="Times New Roman" w:eastAsia="Times New Roman" w:hAnsi="Times New Roman" w:cs="Times New Roman"/>
          <w:b/>
          <w:bCs/>
          <w:i/>
          <w:sz w:val="20"/>
          <w:szCs w:val="20"/>
        </w:rPr>
        <w:t xml:space="preserve">Slika </w:t>
      </w:r>
      <w:r w:rsidRPr="00D84719">
        <w:rPr>
          <w:rFonts w:ascii="Times New Roman" w:eastAsia="Times New Roman" w:hAnsi="Times New Roman" w:cs="Times New Roman"/>
          <w:b/>
          <w:bCs/>
          <w:i/>
          <w:sz w:val="20"/>
          <w:szCs w:val="20"/>
        </w:rPr>
        <w:fldChar w:fldCharType="begin"/>
      </w:r>
      <w:r w:rsidRPr="00D84719">
        <w:rPr>
          <w:rFonts w:ascii="Times New Roman" w:eastAsia="Times New Roman" w:hAnsi="Times New Roman" w:cs="Times New Roman"/>
          <w:b/>
          <w:bCs/>
          <w:i/>
          <w:sz w:val="20"/>
          <w:szCs w:val="20"/>
        </w:rPr>
        <w:instrText xml:space="preserve"> STYLEREF 2 \s </w:instrText>
      </w:r>
      <w:r w:rsidRPr="00D84719">
        <w:rPr>
          <w:rFonts w:ascii="Times New Roman" w:eastAsia="Times New Roman" w:hAnsi="Times New Roman" w:cs="Times New Roman"/>
          <w:b/>
          <w:bCs/>
          <w:i/>
          <w:sz w:val="20"/>
          <w:szCs w:val="20"/>
        </w:rPr>
        <w:fldChar w:fldCharType="separate"/>
      </w:r>
      <w:r w:rsidRPr="00D84719">
        <w:rPr>
          <w:rFonts w:ascii="Times New Roman" w:eastAsia="Times New Roman" w:hAnsi="Times New Roman" w:cs="Times New Roman"/>
          <w:b/>
          <w:bCs/>
          <w:i/>
          <w:sz w:val="20"/>
          <w:szCs w:val="20"/>
        </w:rPr>
        <w:t>3.7</w:t>
      </w:r>
      <w:r w:rsidRPr="00D84719">
        <w:rPr>
          <w:rFonts w:ascii="Times New Roman" w:eastAsia="Times New Roman" w:hAnsi="Times New Roman" w:cs="Times New Roman"/>
          <w:b/>
          <w:bCs/>
          <w:i/>
          <w:sz w:val="20"/>
          <w:szCs w:val="20"/>
        </w:rPr>
        <w:fldChar w:fldCharType="end"/>
      </w:r>
      <w:r w:rsidRPr="00D84719">
        <w:rPr>
          <w:rFonts w:ascii="Times New Roman" w:eastAsia="Times New Roman" w:hAnsi="Times New Roman" w:cs="Times New Roman"/>
          <w:b/>
          <w:bCs/>
          <w:i/>
          <w:sz w:val="20"/>
          <w:szCs w:val="20"/>
        </w:rPr>
        <w:noBreakHyphen/>
      </w:r>
      <w:r w:rsidRPr="00D84719">
        <w:rPr>
          <w:rFonts w:ascii="Times New Roman" w:eastAsia="Times New Roman" w:hAnsi="Times New Roman" w:cs="Times New Roman"/>
          <w:b/>
          <w:bCs/>
          <w:i/>
          <w:sz w:val="20"/>
          <w:szCs w:val="20"/>
        </w:rPr>
        <w:fldChar w:fldCharType="begin"/>
      </w:r>
      <w:r w:rsidRPr="00D84719">
        <w:rPr>
          <w:rFonts w:ascii="Times New Roman" w:eastAsia="Times New Roman" w:hAnsi="Times New Roman" w:cs="Times New Roman"/>
          <w:b/>
          <w:bCs/>
          <w:i/>
          <w:sz w:val="20"/>
          <w:szCs w:val="20"/>
        </w:rPr>
        <w:instrText xml:space="preserve"> SEQ Slika \* ARABIC \s 2 </w:instrText>
      </w:r>
      <w:r w:rsidRPr="00D84719">
        <w:rPr>
          <w:rFonts w:ascii="Times New Roman" w:eastAsia="Times New Roman" w:hAnsi="Times New Roman" w:cs="Times New Roman"/>
          <w:b/>
          <w:bCs/>
          <w:i/>
          <w:sz w:val="20"/>
          <w:szCs w:val="20"/>
        </w:rPr>
        <w:fldChar w:fldCharType="separate"/>
      </w:r>
      <w:r w:rsidRPr="00D84719">
        <w:rPr>
          <w:rFonts w:ascii="Times New Roman" w:eastAsia="Times New Roman" w:hAnsi="Times New Roman" w:cs="Times New Roman"/>
          <w:b/>
          <w:bCs/>
          <w:i/>
          <w:sz w:val="20"/>
          <w:szCs w:val="20"/>
        </w:rPr>
        <w:t>6</w:t>
      </w:r>
      <w:r w:rsidRPr="00D84719">
        <w:rPr>
          <w:rFonts w:ascii="Times New Roman" w:eastAsia="Times New Roman" w:hAnsi="Times New Roman" w:cs="Times New Roman"/>
          <w:b/>
          <w:bCs/>
          <w:i/>
          <w:sz w:val="20"/>
          <w:szCs w:val="20"/>
        </w:rPr>
        <w:fldChar w:fldCharType="end"/>
      </w:r>
      <w:r w:rsidRPr="00D84719">
        <w:rPr>
          <w:rFonts w:ascii="Times New Roman" w:eastAsia="Times New Roman" w:hAnsi="Times New Roman" w:cs="Times New Roman"/>
          <w:b/>
          <w:bCs/>
          <w:i/>
          <w:sz w:val="20"/>
          <w:szCs w:val="20"/>
        </w:rPr>
        <w:t xml:space="preserve"> Raspodjela polibromiranih difeniletera (PBDE) u ribama priobalnih voda 2017. </w:t>
      </w:r>
    </w:p>
    <w:p w14:paraId="582EBCFB" w14:textId="77777777" w:rsidR="00D84719" w:rsidRPr="00D84719" w:rsidRDefault="00D84719" w:rsidP="00D84719">
      <w:pPr>
        <w:shd w:val="clear" w:color="auto" w:fill="FCFCFC"/>
        <w:spacing w:before="80" w:after="0" w:line="240" w:lineRule="auto"/>
        <w:jc w:val="both"/>
        <w:rPr>
          <w:rFonts w:ascii="Times New Roman" w:eastAsia="Times New Roman" w:hAnsi="Times New Roman" w:cs="Times New Roman"/>
          <w:color w:val="000000"/>
          <w:sz w:val="24"/>
          <w:szCs w:val="24"/>
          <w:lang w:eastAsia="hr-HR"/>
        </w:rPr>
      </w:pPr>
    </w:p>
    <w:p w14:paraId="1414E112" w14:textId="77777777" w:rsidR="00D84719" w:rsidRPr="00D84719" w:rsidRDefault="00D84719" w:rsidP="00D84719">
      <w:pPr>
        <w:shd w:val="clear" w:color="auto" w:fill="FCFCFC"/>
        <w:spacing w:before="80" w:after="0" w:line="276" w:lineRule="auto"/>
        <w:jc w:val="both"/>
        <w:rPr>
          <w:rFonts w:ascii="Times New Roman" w:eastAsia="Times New Roman" w:hAnsi="Times New Roman" w:cs="Times New Roman"/>
          <w:color w:val="000000"/>
          <w:sz w:val="24"/>
          <w:lang w:eastAsia="hr-HR"/>
        </w:rPr>
      </w:pPr>
      <w:r w:rsidRPr="00D84719">
        <w:rPr>
          <w:rFonts w:ascii="Times New Roman" w:eastAsia="Times New Roman" w:hAnsi="Times New Roman" w:cs="Times New Roman"/>
          <w:color w:val="000000"/>
          <w:sz w:val="24"/>
          <w:lang w:eastAsia="hr-HR"/>
        </w:rPr>
        <w:t>Razina drugog tipa bromiranih usporivača gorenja HBCDD (&lt;0</w:t>
      </w:r>
      <w:r w:rsidR="00666C20">
        <w:rPr>
          <w:rFonts w:ascii="Times New Roman" w:eastAsia="Times New Roman" w:hAnsi="Times New Roman" w:cs="Times New Roman"/>
          <w:color w:val="000000"/>
          <w:sz w:val="24"/>
          <w:lang w:eastAsia="hr-HR"/>
        </w:rPr>
        <w:t>,</w:t>
      </w:r>
      <w:r w:rsidRPr="00D84719">
        <w:rPr>
          <w:rFonts w:ascii="Times New Roman" w:eastAsia="Times New Roman" w:hAnsi="Times New Roman" w:cs="Times New Roman"/>
          <w:color w:val="000000"/>
          <w:sz w:val="24"/>
          <w:lang w:eastAsia="hr-HR"/>
        </w:rPr>
        <w:t>1-0</w:t>
      </w:r>
      <w:r w:rsidR="00666C20">
        <w:rPr>
          <w:rFonts w:ascii="Times New Roman" w:eastAsia="Times New Roman" w:hAnsi="Times New Roman" w:cs="Times New Roman"/>
          <w:color w:val="000000"/>
          <w:sz w:val="24"/>
          <w:lang w:eastAsia="hr-HR"/>
        </w:rPr>
        <w:t>,</w:t>
      </w:r>
      <w:r w:rsidRPr="00D84719">
        <w:rPr>
          <w:rFonts w:ascii="Times New Roman" w:eastAsia="Times New Roman" w:hAnsi="Times New Roman" w:cs="Times New Roman"/>
          <w:color w:val="000000"/>
          <w:sz w:val="24"/>
          <w:lang w:eastAsia="hr-HR"/>
        </w:rPr>
        <w:t>5 ng/g) bila je u ribama priobalnih voda u 2017. u prosjeku niža nego u prijelaznim vodama, ali su rasponi koncentracija dosta slični. Također, razine HBCDD vrlo su slične onima koje su opisane za PBDE, a povišene razine su nađene u identičnim područjima: splitskom (lokacije FP-O14 i FP-O15a, FP-O16A), šibenskom (FP-O21) i riječkom (FP-O37, FP-O42).</w:t>
      </w:r>
    </w:p>
    <w:p w14:paraId="000B3AFF" w14:textId="77777777" w:rsidR="00D84719" w:rsidRPr="00D84719" w:rsidRDefault="00D84719" w:rsidP="00D84719">
      <w:pPr>
        <w:shd w:val="clear" w:color="auto" w:fill="FCFCFC"/>
        <w:spacing w:before="80" w:after="0" w:line="276" w:lineRule="auto"/>
        <w:jc w:val="both"/>
        <w:rPr>
          <w:rFonts w:ascii="Times New Roman" w:eastAsia="Times New Roman" w:hAnsi="Times New Roman" w:cs="Times New Roman"/>
          <w:color w:val="000000"/>
          <w:sz w:val="24"/>
          <w:lang w:eastAsia="hr-HR"/>
        </w:rPr>
      </w:pPr>
      <w:r w:rsidRPr="00D84719">
        <w:rPr>
          <w:rFonts w:ascii="Times New Roman" w:eastAsia="Times New Roman" w:hAnsi="Times New Roman" w:cs="Times New Roman"/>
          <w:color w:val="000000"/>
          <w:sz w:val="24"/>
          <w:lang w:eastAsia="hr-HR"/>
        </w:rPr>
        <w:t> </w:t>
      </w:r>
    </w:p>
    <w:p w14:paraId="49E2F8BE" w14:textId="77777777" w:rsidR="00D84719" w:rsidRPr="00D84719" w:rsidRDefault="00D84719" w:rsidP="00D84719">
      <w:pPr>
        <w:keepNext/>
        <w:shd w:val="clear" w:color="auto" w:fill="FCFCFC"/>
        <w:spacing w:before="80" w:after="0" w:line="240" w:lineRule="auto"/>
        <w:rPr>
          <w:rFonts w:ascii="Times New Roman" w:eastAsia="Times New Roman" w:hAnsi="Times New Roman" w:cs="Times New Roman"/>
          <w:color w:val="000000"/>
          <w:szCs w:val="24"/>
        </w:rPr>
      </w:pPr>
      <w:r w:rsidRPr="00D84719">
        <w:rPr>
          <w:rFonts w:ascii="Times New Roman" w:eastAsia="Times New Roman" w:hAnsi="Times New Roman" w:cs="Times New Roman"/>
          <w:noProof/>
          <w:color w:val="000000"/>
          <w:sz w:val="24"/>
          <w:szCs w:val="24"/>
          <w:lang w:eastAsia="hr-HR"/>
        </w:rPr>
        <w:drawing>
          <wp:inline distT="0" distB="0" distL="0" distR="0" wp14:anchorId="34326C27" wp14:editId="0D6BE552">
            <wp:extent cx="4680000" cy="2808000"/>
            <wp:effectExtent l="0" t="0" r="635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80000" cy="2808000"/>
                    </a:xfrm>
                    <a:prstGeom prst="rect">
                      <a:avLst/>
                    </a:prstGeom>
                    <a:noFill/>
                    <a:ln>
                      <a:noFill/>
                    </a:ln>
                  </pic:spPr>
                </pic:pic>
              </a:graphicData>
            </a:graphic>
          </wp:inline>
        </w:drawing>
      </w:r>
    </w:p>
    <w:p w14:paraId="236D5C08" w14:textId="77777777" w:rsidR="00D84719" w:rsidRPr="00D84719" w:rsidRDefault="00D84719" w:rsidP="00D84719">
      <w:pPr>
        <w:keepNext/>
        <w:spacing w:before="80" w:after="0" w:line="276" w:lineRule="auto"/>
        <w:jc w:val="both"/>
        <w:rPr>
          <w:rFonts w:ascii="Times New Roman" w:eastAsia="Times New Roman" w:hAnsi="Times New Roman" w:cs="Times New Roman"/>
          <w:b/>
          <w:bCs/>
          <w:i/>
          <w:color w:val="000000"/>
          <w:sz w:val="24"/>
          <w:szCs w:val="20"/>
          <w:lang w:eastAsia="hr-HR"/>
        </w:rPr>
      </w:pPr>
      <w:r w:rsidRPr="00D84719">
        <w:rPr>
          <w:rFonts w:ascii="Times New Roman" w:eastAsia="Times New Roman" w:hAnsi="Times New Roman" w:cs="Times New Roman"/>
          <w:b/>
          <w:bCs/>
          <w:i/>
          <w:sz w:val="20"/>
          <w:szCs w:val="20"/>
        </w:rPr>
        <w:t xml:space="preserve">Slika </w:t>
      </w:r>
      <w:r w:rsidRPr="00D84719">
        <w:rPr>
          <w:rFonts w:ascii="Times New Roman" w:eastAsia="Times New Roman" w:hAnsi="Times New Roman" w:cs="Times New Roman"/>
          <w:b/>
          <w:bCs/>
          <w:i/>
          <w:sz w:val="20"/>
          <w:szCs w:val="20"/>
        </w:rPr>
        <w:fldChar w:fldCharType="begin"/>
      </w:r>
      <w:r w:rsidRPr="00D84719">
        <w:rPr>
          <w:rFonts w:ascii="Times New Roman" w:eastAsia="Times New Roman" w:hAnsi="Times New Roman" w:cs="Times New Roman"/>
          <w:b/>
          <w:bCs/>
          <w:i/>
          <w:sz w:val="20"/>
          <w:szCs w:val="20"/>
        </w:rPr>
        <w:instrText xml:space="preserve"> STYLEREF 2 \s </w:instrText>
      </w:r>
      <w:r w:rsidRPr="00D84719">
        <w:rPr>
          <w:rFonts w:ascii="Times New Roman" w:eastAsia="Times New Roman" w:hAnsi="Times New Roman" w:cs="Times New Roman"/>
          <w:b/>
          <w:bCs/>
          <w:i/>
          <w:sz w:val="20"/>
          <w:szCs w:val="20"/>
        </w:rPr>
        <w:fldChar w:fldCharType="separate"/>
      </w:r>
      <w:r w:rsidRPr="00D84719">
        <w:rPr>
          <w:rFonts w:ascii="Times New Roman" w:eastAsia="Times New Roman" w:hAnsi="Times New Roman" w:cs="Times New Roman"/>
          <w:b/>
          <w:bCs/>
          <w:i/>
          <w:sz w:val="20"/>
          <w:szCs w:val="20"/>
        </w:rPr>
        <w:t>3.7</w:t>
      </w:r>
      <w:r w:rsidRPr="00D84719">
        <w:rPr>
          <w:rFonts w:ascii="Times New Roman" w:eastAsia="Times New Roman" w:hAnsi="Times New Roman" w:cs="Times New Roman"/>
          <w:b/>
          <w:bCs/>
          <w:i/>
          <w:sz w:val="20"/>
          <w:szCs w:val="20"/>
        </w:rPr>
        <w:fldChar w:fldCharType="end"/>
      </w:r>
      <w:r w:rsidRPr="00D84719">
        <w:rPr>
          <w:rFonts w:ascii="Times New Roman" w:eastAsia="Times New Roman" w:hAnsi="Times New Roman" w:cs="Times New Roman"/>
          <w:b/>
          <w:bCs/>
          <w:i/>
          <w:sz w:val="20"/>
          <w:szCs w:val="20"/>
        </w:rPr>
        <w:noBreakHyphen/>
      </w:r>
      <w:r w:rsidRPr="00D84719">
        <w:rPr>
          <w:rFonts w:ascii="Times New Roman" w:eastAsia="Times New Roman" w:hAnsi="Times New Roman" w:cs="Times New Roman"/>
          <w:b/>
          <w:bCs/>
          <w:i/>
          <w:sz w:val="20"/>
          <w:szCs w:val="20"/>
        </w:rPr>
        <w:fldChar w:fldCharType="begin"/>
      </w:r>
      <w:r w:rsidRPr="00D84719">
        <w:rPr>
          <w:rFonts w:ascii="Times New Roman" w:eastAsia="Times New Roman" w:hAnsi="Times New Roman" w:cs="Times New Roman"/>
          <w:b/>
          <w:bCs/>
          <w:i/>
          <w:sz w:val="20"/>
          <w:szCs w:val="20"/>
        </w:rPr>
        <w:instrText xml:space="preserve"> SEQ Slika \* ARABIC \s 2 </w:instrText>
      </w:r>
      <w:r w:rsidRPr="00D84719">
        <w:rPr>
          <w:rFonts w:ascii="Times New Roman" w:eastAsia="Times New Roman" w:hAnsi="Times New Roman" w:cs="Times New Roman"/>
          <w:b/>
          <w:bCs/>
          <w:i/>
          <w:sz w:val="20"/>
          <w:szCs w:val="20"/>
        </w:rPr>
        <w:fldChar w:fldCharType="separate"/>
      </w:r>
      <w:r w:rsidRPr="00D84719">
        <w:rPr>
          <w:rFonts w:ascii="Times New Roman" w:eastAsia="Times New Roman" w:hAnsi="Times New Roman" w:cs="Times New Roman"/>
          <w:b/>
          <w:bCs/>
          <w:i/>
          <w:sz w:val="20"/>
          <w:szCs w:val="20"/>
        </w:rPr>
        <w:t>7</w:t>
      </w:r>
      <w:r w:rsidRPr="00D84719">
        <w:rPr>
          <w:rFonts w:ascii="Times New Roman" w:eastAsia="Times New Roman" w:hAnsi="Times New Roman" w:cs="Times New Roman"/>
          <w:b/>
          <w:bCs/>
          <w:i/>
          <w:sz w:val="20"/>
          <w:szCs w:val="20"/>
        </w:rPr>
        <w:fldChar w:fldCharType="end"/>
      </w:r>
      <w:r w:rsidRPr="00D84719">
        <w:rPr>
          <w:rFonts w:ascii="Times New Roman" w:eastAsia="Times New Roman" w:hAnsi="Times New Roman" w:cs="Times New Roman"/>
          <w:b/>
          <w:bCs/>
          <w:i/>
          <w:sz w:val="20"/>
          <w:szCs w:val="20"/>
        </w:rPr>
        <w:t xml:space="preserve"> Raspodjela heksabromociklododekana (HBCDD) u ribama priobalnih voda 2017. </w:t>
      </w:r>
    </w:p>
    <w:p w14:paraId="35705934" w14:textId="77777777" w:rsidR="00D84719" w:rsidRPr="00D84719" w:rsidRDefault="00D84719" w:rsidP="00D84719">
      <w:pPr>
        <w:shd w:val="clear" w:color="auto" w:fill="FCFCFC"/>
        <w:spacing w:before="80" w:after="0" w:line="240" w:lineRule="auto"/>
        <w:jc w:val="both"/>
        <w:rPr>
          <w:rFonts w:ascii="Times New Roman" w:eastAsia="Times New Roman" w:hAnsi="Times New Roman" w:cs="Times New Roman"/>
          <w:i/>
          <w:iCs/>
          <w:color w:val="000000"/>
          <w:sz w:val="24"/>
          <w:szCs w:val="24"/>
          <w:lang w:eastAsia="hr-HR"/>
        </w:rPr>
      </w:pPr>
    </w:p>
    <w:p w14:paraId="321ADF82" w14:textId="77777777" w:rsidR="00D84719" w:rsidRPr="00D84719" w:rsidRDefault="00D84719" w:rsidP="00D84719">
      <w:pPr>
        <w:shd w:val="clear" w:color="auto" w:fill="FCFCFC"/>
        <w:spacing w:before="80" w:beforeAutospacing="1" w:after="0" w:line="276" w:lineRule="auto"/>
        <w:jc w:val="both"/>
        <w:rPr>
          <w:rFonts w:ascii="Times New Roman" w:eastAsia="Times New Roman" w:hAnsi="Times New Roman" w:cs="Times New Roman"/>
          <w:color w:val="000000"/>
          <w:sz w:val="24"/>
          <w:lang w:eastAsia="hr-HR"/>
        </w:rPr>
      </w:pPr>
      <w:r w:rsidRPr="00D84719">
        <w:rPr>
          <w:rFonts w:ascii="Times New Roman" w:eastAsia="Times New Roman" w:hAnsi="Times New Roman" w:cs="Times New Roman"/>
          <w:color w:val="000000"/>
          <w:sz w:val="24"/>
          <w:lang w:eastAsia="hr-HR"/>
        </w:rPr>
        <w:lastRenderedPageBreak/>
        <w:t>Razine perfluorooktan sulfon</w:t>
      </w:r>
      <w:r w:rsidR="009524D1">
        <w:rPr>
          <w:rFonts w:ascii="Times New Roman" w:eastAsia="Times New Roman" w:hAnsi="Times New Roman" w:cs="Times New Roman"/>
          <w:color w:val="000000"/>
          <w:sz w:val="24"/>
          <w:lang w:eastAsia="hr-HR"/>
        </w:rPr>
        <w:t>s</w:t>
      </w:r>
      <w:r w:rsidRPr="00D84719">
        <w:rPr>
          <w:rFonts w:ascii="Times New Roman" w:eastAsia="Times New Roman" w:hAnsi="Times New Roman" w:cs="Times New Roman"/>
          <w:color w:val="000000"/>
          <w:sz w:val="24"/>
          <w:lang w:eastAsia="hr-HR"/>
        </w:rPr>
        <w:t>ke kiseline (PFOS) vrlo su slične razinama bromiranih usporivača gorenja, ali se njihove prostorne raspodjele dosta razlikuju.</w:t>
      </w:r>
      <w:r w:rsidR="00612979">
        <w:rPr>
          <w:rFonts w:ascii="Times New Roman" w:eastAsia="Times New Roman" w:hAnsi="Times New Roman" w:cs="Times New Roman"/>
          <w:color w:val="000000"/>
          <w:sz w:val="24"/>
          <w:lang w:eastAsia="hr-HR"/>
        </w:rPr>
        <w:t xml:space="preserve"> </w:t>
      </w:r>
      <w:r w:rsidRPr="00D84719">
        <w:rPr>
          <w:rFonts w:ascii="Times New Roman" w:eastAsia="Times New Roman" w:hAnsi="Times New Roman" w:cs="Times New Roman"/>
          <w:color w:val="000000"/>
          <w:sz w:val="24"/>
          <w:lang w:eastAsia="hr-HR"/>
        </w:rPr>
        <w:t>Razina PFOS preko deset puta je niža od propisanog SKVO (9</w:t>
      </w:r>
      <w:r w:rsidR="00666C20">
        <w:rPr>
          <w:rFonts w:ascii="Times New Roman" w:eastAsia="Times New Roman" w:hAnsi="Times New Roman" w:cs="Times New Roman"/>
          <w:color w:val="000000"/>
          <w:sz w:val="24"/>
          <w:lang w:eastAsia="hr-HR"/>
        </w:rPr>
        <w:t>,</w:t>
      </w:r>
      <w:r w:rsidRPr="00D84719">
        <w:rPr>
          <w:rFonts w:ascii="Times New Roman" w:eastAsia="Times New Roman" w:hAnsi="Times New Roman" w:cs="Times New Roman"/>
          <w:color w:val="000000"/>
          <w:sz w:val="24"/>
          <w:lang w:eastAsia="hr-HR"/>
        </w:rPr>
        <w:t>1 ng/g), a povišene koncentracije nađene su, pomalo iznenađujuće, na lokacijama FP-O4, FP-O5 (Malostonski zaljev) i FP-O7 (Neretvanski kanal).</w:t>
      </w:r>
      <w:r w:rsidR="00612979">
        <w:rPr>
          <w:rFonts w:ascii="Times New Roman" w:eastAsia="Times New Roman" w:hAnsi="Times New Roman" w:cs="Times New Roman"/>
          <w:color w:val="000000"/>
          <w:sz w:val="24"/>
          <w:lang w:eastAsia="hr-HR"/>
        </w:rPr>
        <w:t xml:space="preserve"> </w:t>
      </w:r>
      <w:r w:rsidRPr="00D84719">
        <w:rPr>
          <w:rFonts w:ascii="Times New Roman" w:eastAsia="Times New Roman" w:hAnsi="Times New Roman" w:cs="Times New Roman"/>
          <w:color w:val="000000"/>
          <w:sz w:val="24"/>
          <w:lang w:eastAsia="hr-HR"/>
        </w:rPr>
        <w:t>Mjerljive koncentracije određene su i u Zadarskom (FP-O24), Bakarskom (FP-O37) i Riječkom zaljevu (FP-O39). Zasada se ne čini da bi PFOS trebale predstavljati izravnu opasnost za kakvoću priobalni voda, ali budući da se radi tek o prvim mjerenjima tog pokazatelja u našim vodama, trebalo bi osigurati njihovo sustavno praćenje i u narednom razdoblju kako bi se na vrijeme detektirali nepovoljni trendovi.</w:t>
      </w:r>
    </w:p>
    <w:p w14:paraId="4BFD39DE" w14:textId="77777777" w:rsidR="00D84719" w:rsidRPr="00D84719" w:rsidRDefault="00D84719" w:rsidP="00D84719">
      <w:pPr>
        <w:keepNext/>
        <w:shd w:val="clear" w:color="auto" w:fill="FCFCFC"/>
        <w:spacing w:before="80" w:after="0" w:line="240" w:lineRule="auto"/>
        <w:rPr>
          <w:rFonts w:ascii="Times New Roman" w:eastAsia="Times New Roman" w:hAnsi="Times New Roman" w:cs="Times New Roman"/>
          <w:color w:val="000000"/>
          <w:szCs w:val="24"/>
        </w:rPr>
      </w:pPr>
      <w:r w:rsidRPr="00D84719">
        <w:rPr>
          <w:rFonts w:ascii="Times New Roman" w:eastAsia="Times New Roman" w:hAnsi="Times New Roman" w:cs="Times New Roman"/>
          <w:noProof/>
          <w:color w:val="000000"/>
          <w:sz w:val="24"/>
          <w:szCs w:val="24"/>
          <w:lang w:eastAsia="hr-HR"/>
        </w:rPr>
        <w:drawing>
          <wp:inline distT="0" distB="0" distL="0" distR="0" wp14:anchorId="7F492366" wp14:editId="33DFEB21">
            <wp:extent cx="4368608" cy="3113448"/>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05192" cy="3139521"/>
                    </a:xfrm>
                    <a:prstGeom prst="rect">
                      <a:avLst/>
                    </a:prstGeom>
                    <a:noFill/>
                    <a:ln>
                      <a:noFill/>
                    </a:ln>
                  </pic:spPr>
                </pic:pic>
              </a:graphicData>
            </a:graphic>
          </wp:inline>
        </w:drawing>
      </w:r>
    </w:p>
    <w:p w14:paraId="4CA1E9F7" w14:textId="77777777" w:rsidR="00D84719" w:rsidRPr="00D84719" w:rsidRDefault="00D84719" w:rsidP="00D84719">
      <w:pPr>
        <w:keepNext/>
        <w:spacing w:before="80" w:after="0" w:line="276" w:lineRule="auto"/>
        <w:jc w:val="both"/>
        <w:rPr>
          <w:rFonts w:ascii="Times New Roman" w:eastAsia="Times New Roman" w:hAnsi="Times New Roman" w:cs="Times New Roman"/>
          <w:b/>
          <w:bCs/>
          <w:i/>
          <w:color w:val="000000"/>
          <w:sz w:val="24"/>
          <w:szCs w:val="20"/>
          <w:lang w:eastAsia="hr-HR"/>
        </w:rPr>
      </w:pPr>
      <w:r w:rsidRPr="00D84719">
        <w:rPr>
          <w:rFonts w:ascii="Times New Roman" w:eastAsia="Times New Roman" w:hAnsi="Times New Roman" w:cs="Times New Roman"/>
          <w:b/>
          <w:bCs/>
          <w:i/>
          <w:sz w:val="20"/>
          <w:szCs w:val="20"/>
        </w:rPr>
        <w:t xml:space="preserve">Slika </w:t>
      </w:r>
      <w:r w:rsidRPr="00D84719">
        <w:rPr>
          <w:rFonts w:ascii="Times New Roman" w:eastAsia="Times New Roman" w:hAnsi="Times New Roman" w:cs="Times New Roman"/>
          <w:b/>
          <w:bCs/>
          <w:i/>
          <w:sz w:val="20"/>
          <w:szCs w:val="20"/>
        </w:rPr>
        <w:fldChar w:fldCharType="begin"/>
      </w:r>
      <w:r w:rsidRPr="00D84719">
        <w:rPr>
          <w:rFonts w:ascii="Times New Roman" w:eastAsia="Times New Roman" w:hAnsi="Times New Roman" w:cs="Times New Roman"/>
          <w:b/>
          <w:bCs/>
          <w:i/>
          <w:sz w:val="20"/>
          <w:szCs w:val="20"/>
        </w:rPr>
        <w:instrText xml:space="preserve"> STYLEREF 2 \s </w:instrText>
      </w:r>
      <w:r w:rsidRPr="00D84719">
        <w:rPr>
          <w:rFonts w:ascii="Times New Roman" w:eastAsia="Times New Roman" w:hAnsi="Times New Roman" w:cs="Times New Roman"/>
          <w:b/>
          <w:bCs/>
          <w:i/>
          <w:sz w:val="20"/>
          <w:szCs w:val="20"/>
        </w:rPr>
        <w:fldChar w:fldCharType="separate"/>
      </w:r>
      <w:r w:rsidRPr="00D84719">
        <w:rPr>
          <w:rFonts w:ascii="Times New Roman" w:eastAsia="Times New Roman" w:hAnsi="Times New Roman" w:cs="Times New Roman"/>
          <w:b/>
          <w:bCs/>
          <w:i/>
          <w:sz w:val="20"/>
          <w:szCs w:val="20"/>
        </w:rPr>
        <w:t>3.7</w:t>
      </w:r>
      <w:r w:rsidRPr="00D84719">
        <w:rPr>
          <w:rFonts w:ascii="Times New Roman" w:eastAsia="Times New Roman" w:hAnsi="Times New Roman" w:cs="Times New Roman"/>
          <w:b/>
          <w:bCs/>
          <w:i/>
          <w:sz w:val="20"/>
          <w:szCs w:val="20"/>
        </w:rPr>
        <w:fldChar w:fldCharType="end"/>
      </w:r>
      <w:r w:rsidRPr="00D84719">
        <w:rPr>
          <w:rFonts w:ascii="Times New Roman" w:eastAsia="Times New Roman" w:hAnsi="Times New Roman" w:cs="Times New Roman"/>
          <w:b/>
          <w:bCs/>
          <w:i/>
          <w:sz w:val="20"/>
          <w:szCs w:val="20"/>
        </w:rPr>
        <w:noBreakHyphen/>
      </w:r>
      <w:r w:rsidRPr="00D84719">
        <w:rPr>
          <w:rFonts w:ascii="Times New Roman" w:eastAsia="Times New Roman" w:hAnsi="Times New Roman" w:cs="Times New Roman"/>
          <w:b/>
          <w:bCs/>
          <w:i/>
          <w:sz w:val="20"/>
          <w:szCs w:val="20"/>
        </w:rPr>
        <w:fldChar w:fldCharType="begin"/>
      </w:r>
      <w:r w:rsidRPr="00D84719">
        <w:rPr>
          <w:rFonts w:ascii="Times New Roman" w:eastAsia="Times New Roman" w:hAnsi="Times New Roman" w:cs="Times New Roman"/>
          <w:b/>
          <w:bCs/>
          <w:i/>
          <w:sz w:val="20"/>
          <w:szCs w:val="20"/>
        </w:rPr>
        <w:instrText xml:space="preserve"> SEQ Slika \* ARABIC \s 2 </w:instrText>
      </w:r>
      <w:r w:rsidRPr="00D84719">
        <w:rPr>
          <w:rFonts w:ascii="Times New Roman" w:eastAsia="Times New Roman" w:hAnsi="Times New Roman" w:cs="Times New Roman"/>
          <w:b/>
          <w:bCs/>
          <w:i/>
          <w:sz w:val="20"/>
          <w:szCs w:val="20"/>
        </w:rPr>
        <w:fldChar w:fldCharType="separate"/>
      </w:r>
      <w:r w:rsidRPr="00D84719">
        <w:rPr>
          <w:rFonts w:ascii="Times New Roman" w:eastAsia="Times New Roman" w:hAnsi="Times New Roman" w:cs="Times New Roman"/>
          <w:b/>
          <w:bCs/>
          <w:i/>
          <w:sz w:val="20"/>
          <w:szCs w:val="20"/>
        </w:rPr>
        <w:t>8</w:t>
      </w:r>
      <w:r w:rsidRPr="00D84719">
        <w:rPr>
          <w:rFonts w:ascii="Times New Roman" w:eastAsia="Times New Roman" w:hAnsi="Times New Roman" w:cs="Times New Roman"/>
          <w:b/>
          <w:bCs/>
          <w:i/>
          <w:sz w:val="20"/>
          <w:szCs w:val="20"/>
        </w:rPr>
        <w:fldChar w:fldCharType="end"/>
      </w:r>
      <w:r w:rsidRPr="00D84719">
        <w:rPr>
          <w:rFonts w:ascii="Times New Roman" w:eastAsia="Times New Roman" w:hAnsi="Times New Roman" w:cs="Times New Roman"/>
          <w:b/>
          <w:bCs/>
          <w:i/>
          <w:sz w:val="20"/>
          <w:szCs w:val="20"/>
        </w:rPr>
        <w:t xml:space="preserve"> Raspodjela perfluorooktan sulfonke kiseline (PFOS) u ribama priobalnih voda 2017. </w:t>
      </w:r>
    </w:p>
    <w:p w14:paraId="7A998D48" w14:textId="77777777" w:rsidR="00D84719" w:rsidRPr="00D84719" w:rsidRDefault="00D84719" w:rsidP="00D84719">
      <w:pPr>
        <w:shd w:val="clear" w:color="auto" w:fill="FCFCFC"/>
        <w:spacing w:before="80" w:after="0" w:line="240" w:lineRule="auto"/>
        <w:jc w:val="both"/>
        <w:rPr>
          <w:rFonts w:ascii="Times New Roman" w:eastAsia="Times New Roman" w:hAnsi="Times New Roman" w:cs="Times New Roman"/>
          <w:color w:val="000000"/>
          <w:sz w:val="24"/>
          <w:szCs w:val="24"/>
          <w:lang w:eastAsia="hr-HR"/>
        </w:rPr>
      </w:pPr>
    </w:p>
    <w:p w14:paraId="6FCDFA37" w14:textId="77777777" w:rsidR="00D84719" w:rsidRPr="00DF02E3" w:rsidRDefault="00D84719" w:rsidP="00D84719">
      <w:pPr>
        <w:shd w:val="clear" w:color="auto" w:fill="FCFCFC"/>
        <w:spacing w:before="80" w:after="0" w:line="276" w:lineRule="auto"/>
        <w:jc w:val="both"/>
        <w:rPr>
          <w:rFonts w:ascii="Times New Roman" w:eastAsia="Times New Roman" w:hAnsi="Times New Roman" w:cs="Times New Roman"/>
          <w:b/>
          <w:color w:val="000000"/>
          <w:sz w:val="24"/>
          <w:lang w:eastAsia="hr-HR"/>
        </w:rPr>
      </w:pPr>
      <w:r w:rsidRPr="00DF02E3">
        <w:rPr>
          <w:rFonts w:ascii="Times New Roman" w:eastAsia="Times New Roman" w:hAnsi="Times New Roman" w:cs="Times New Roman"/>
          <w:b/>
          <w:i/>
          <w:iCs/>
          <w:color w:val="000000"/>
          <w:sz w:val="24"/>
          <w:lang w:eastAsia="hr-HR"/>
        </w:rPr>
        <w:t>SEDIMENT</w:t>
      </w:r>
    </w:p>
    <w:p w14:paraId="4C0501F2" w14:textId="77777777" w:rsidR="00D84719" w:rsidRPr="00D84719" w:rsidRDefault="00D84719" w:rsidP="00D84719">
      <w:pPr>
        <w:shd w:val="clear" w:color="auto" w:fill="FCFCFC"/>
        <w:spacing w:before="80" w:after="0" w:line="276" w:lineRule="auto"/>
        <w:jc w:val="both"/>
        <w:rPr>
          <w:rFonts w:ascii="Times New Roman" w:eastAsia="Times New Roman" w:hAnsi="Times New Roman" w:cs="Times New Roman"/>
          <w:color w:val="000000"/>
          <w:sz w:val="24"/>
          <w:lang w:eastAsia="hr-HR"/>
        </w:rPr>
      </w:pPr>
      <w:r w:rsidRPr="00D84719">
        <w:rPr>
          <w:rFonts w:ascii="Times New Roman" w:eastAsia="Times New Roman" w:hAnsi="Times New Roman" w:cs="Times New Roman"/>
          <w:color w:val="000000"/>
          <w:sz w:val="24"/>
          <w:lang w:eastAsia="hr-HR"/>
        </w:rPr>
        <w:t>Koncentracije POPs-ova u sedimentima priobalnih voda u 2017. bile su za većinu praćenih pokazatelja relativno niske i zadovoljavale korištene kriterije. To uključuje organoklorove insekticide heksaklorobenzen (&lt;0</w:t>
      </w:r>
      <w:r w:rsidR="003102DF">
        <w:rPr>
          <w:rFonts w:ascii="Times New Roman" w:eastAsia="Times New Roman" w:hAnsi="Times New Roman" w:cs="Times New Roman"/>
          <w:color w:val="000000"/>
          <w:sz w:val="24"/>
          <w:lang w:eastAsia="hr-HR"/>
        </w:rPr>
        <w:t>,</w:t>
      </w:r>
      <w:r w:rsidRPr="00D84719">
        <w:rPr>
          <w:rFonts w:ascii="Times New Roman" w:eastAsia="Times New Roman" w:hAnsi="Times New Roman" w:cs="Times New Roman"/>
          <w:color w:val="000000"/>
          <w:sz w:val="24"/>
          <w:lang w:eastAsia="hr-HR"/>
        </w:rPr>
        <w:t>03-5</w:t>
      </w:r>
      <w:r w:rsidR="003102DF">
        <w:rPr>
          <w:rFonts w:ascii="Times New Roman" w:eastAsia="Times New Roman" w:hAnsi="Times New Roman" w:cs="Times New Roman"/>
          <w:color w:val="000000"/>
          <w:sz w:val="24"/>
          <w:lang w:eastAsia="hr-HR"/>
        </w:rPr>
        <w:t>,</w:t>
      </w:r>
      <w:r w:rsidRPr="00D84719">
        <w:rPr>
          <w:rFonts w:ascii="Times New Roman" w:eastAsia="Times New Roman" w:hAnsi="Times New Roman" w:cs="Times New Roman"/>
          <w:color w:val="000000"/>
          <w:sz w:val="24"/>
          <w:lang w:eastAsia="hr-HR"/>
        </w:rPr>
        <w:t>89) i heksaklorocikloheksan (&lt;0</w:t>
      </w:r>
      <w:r w:rsidR="003102DF">
        <w:rPr>
          <w:rFonts w:ascii="Times New Roman" w:eastAsia="Times New Roman" w:hAnsi="Times New Roman" w:cs="Times New Roman"/>
          <w:color w:val="000000"/>
          <w:sz w:val="24"/>
          <w:lang w:eastAsia="hr-HR"/>
        </w:rPr>
        <w:t>,</w:t>
      </w:r>
      <w:r w:rsidRPr="00D84719">
        <w:rPr>
          <w:rFonts w:ascii="Times New Roman" w:eastAsia="Times New Roman" w:hAnsi="Times New Roman" w:cs="Times New Roman"/>
          <w:color w:val="000000"/>
          <w:sz w:val="24"/>
          <w:lang w:eastAsia="hr-HR"/>
        </w:rPr>
        <w:t>03 ng/g), heksabromociklododekan (&lt;0,1-1,5 ng/g),</w:t>
      </w:r>
      <w:r w:rsidR="00612979">
        <w:rPr>
          <w:rFonts w:ascii="Times New Roman" w:eastAsia="Times New Roman" w:hAnsi="Times New Roman" w:cs="Times New Roman"/>
          <w:color w:val="000000"/>
          <w:sz w:val="24"/>
          <w:lang w:eastAsia="hr-HR"/>
        </w:rPr>
        <w:t xml:space="preserve"> </w:t>
      </w:r>
      <w:r w:rsidRPr="00D84719">
        <w:rPr>
          <w:rFonts w:ascii="Times New Roman" w:eastAsia="Times New Roman" w:hAnsi="Times New Roman" w:cs="Times New Roman"/>
          <w:color w:val="000000"/>
          <w:sz w:val="24"/>
          <w:lang w:eastAsia="hr-HR"/>
        </w:rPr>
        <w:t>pentaklorobenzen (&lt;0</w:t>
      </w:r>
      <w:r w:rsidR="003102DF">
        <w:rPr>
          <w:rFonts w:ascii="Times New Roman" w:eastAsia="Times New Roman" w:hAnsi="Times New Roman" w:cs="Times New Roman"/>
          <w:color w:val="000000"/>
          <w:sz w:val="24"/>
          <w:lang w:eastAsia="hr-HR"/>
        </w:rPr>
        <w:t>,</w:t>
      </w:r>
      <w:r w:rsidRPr="00D84719">
        <w:rPr>
          <w:rFonts w:ascii="Times New Roman" w:eastAsia="Times New Roman" w:hAnsi="Times New Roman" w:cs="Times New Roman"/>
          <w:color w:val="000000"/>
          <w:sz w:val="24"/>
          <w:lang w:eastAsia="hr-HR"/>
        </w:rPr>
        <w:t>02-1</w:t>
      </w:r>
      <w:r w:rsidR="003102DF">
        <w:rPr>
          <w:rFonts w:ascii="Times New Roman" w:eastAsia="Times New Roman" w:hAnsi="Times New Roman" w:cs="Times New Roman"/>
          <w:color w:val="000000"/>
          <w:sz w:val="24"/>
          <w:lang w:eastAsia="hr-HR"/>
        </w:rPr>
        <w:t>,</w:t>
      </w:r>
      <w:r w:rsidRPr="00D84719">
        <w:rPr>
          <w:rFonts w:ascii="Times New Roman" w:eastAsia="Times New Roman" w:hAnsi="Times New Roman" w:cs="Times New Roman"/>
          <w:color w:val="000000"/>
          <w:sz w:val="24"/>
          <w:lang w:eastAsia="hr-HR"/>
        </w:rPr>
        <w:t>48 ng/g), heptaklor i heptaklor epoksid (&lt;0</w:t>
      </w:r>
      <w:r w:rsidR="003102DF">
        <w:rPr>
          <w:rFonts w:ascii="Times New Roman" w:eastAsia="Times New Roman" w:hAnsi="Times New Roman" w:cs="Times New Roman"/>
          <w:color w:val="000000"/>
          <w:sz w:val="24"/>
          <w:lang w:eastAsia="hr-HR"/>
        </w:rPr>
        <w:t>,</w:t>
      </w:r>
      <w:r w:rsidRPr="00D84719">
        <w:rPr>
          <w:rFonts w:ascii="Times New Roman" w:eastAsia="Times New Roman" w:hAnsi="Times New Roman" w:cs="Times New Roman"/>
          <w:color w:val="000000"/>
          <w:sz w:val="24"/>
          <w:lang w:eastAsia="hr-HR"/>
        </w:rPr>
        <w:t>03 – 0</w:t>
      </w:r>
      <w:r w:rsidR="003102DF">
        <w:rPr>
          <w:rFonts w:ascii="Times New Roman" w:eastAsia="Times New Roman" w:hAnsi="Times New Roman" w:cs="Times New Roman"/>
          <w:color w:val="000000"/>
          <w:sz w:val="24"/>
          <w:lang w:eastAsia="hr-HR"/>
        </w:rPr>
        <w:t>,</w:t>
      </w:r>
      <w:r w:rsidRPr="00D84719">
        <w:rPr>
          <w:rFonts w:ascii="Times New Roman" w:eastAsia="Times New Roman" w:hAnsi="Times New Roman" w:cs="Times New Roman"/>
          <w:color w:val="000000"/>
          <w:sz w:val="24"/>
          <w:lang w:eastAsia="hr-HR"/>
        </w:rPr>
        <w:t>04 ng/g), PFOS (&lt;0</w:t>
      </w:r>
      <w:r w:rsidR="003102DF">
        <w:rPr>
          <w:rFonts w:ascii="Times New Roman" w:eastAsia="Times New Roman" w:hAnsi="Times New Roman" w:cs="Times New Roman"/>
          <w:color w:val="000000"/>
          <w:sz w:val="24"/>
          <w:lang w:eastAsia="hr-HR"/>
        </w:rPr>
        <w:t>,</w:t>
      </w:r>
      <w:r w:rsidRPr="00D84719">
        <w:rPr>
          <w:rFonts w:ascii="Times New Roman" w:eastAsia="Times New Roman" w:hAnsi="Times New Roman" w:cs="Times New Roman"/>
          <w:color w:val="000000"/>
          <w:sz w:val="24"/>
          <w:lang w:eastAsia="hr-HR"/>
        </w:rPr>
        <w:t>1-0</w:t>
      </w:r>
      <w:r w:rsidR="003102DF">
        <w:rPr>
          <w:rFonts w:ascii="Times New Roman" w:eastAsia="Times New Roman" w:hAnsi="Times New Roman" w:cs="Times New Roman"/>
          <w:color w:val="000000"/>
          <w:sz w:val="24"/>
          <w:lang w:eastAsia="hr-HR"/>
        </w:rPr>
        <w:t>,</w:t>
      </w:r>
      <w:r w:rsidRPr="00D84719">
        <w:rPr>
          <w:rFonts w:ascii="Times New Roman" w:eastAsia="Times New Roman" w:hAnsi="Times New Roman" w:cs="Times New Roman"/>
          <w:color w:val="000000"/>
          <w:sz w:val="24"/>
          <w:lang w:eastAsia="hr-HR"/>
        </w:rPr>
        <w:t>4 ng/g) te dioksine i njima srodne spojeve (&lt;0</w:t>
      </w:r>
      <w:r w:rsidR="003102DF">
        <w:rPr>
          <w:rFonts w:ascii="Times New Roman" w:eastAsia="Times New Roman" w:hAnsi="Times New Roman" w:cs="Times New Roman"/>
          <w:color w:val="000000"/>
          <w:sz w:val="24"/>
          <w:lang w:eastAsia="hr-HR"/>
        </w:rPr>
        <w:t>,</w:t>
      </w:r>
      <w:r w:rsidRPr="00D84719">
        <w:rPr>
          <w:rFonts w:ascii="Times New Roman" w:eastAsia="Times New Roman" w:hAnsi="Times New Roman" w:cs="Times New Roman"/>
          <w:color w:val="000000"/>
          <w:sz w:val="24"/>
          <w:lang w:eastAsia="hr-HR"/>
        </w:rPr>
        <w:t>00005-0</w:t>
      </w:r>
      <w:r w:rsidR="003102DF">
        <w:rPr>
          <w:rFonts w:ascii="Times New Roman" w:eastAsia="Times New Roman" w:hAnsi="Times New Roman" w:cs="Times New Roman"/>
          <w:color w:val="000000"/>
          <w:sz w:val="24"/>
          <w:lang w:eastAsia="hr-HR"/>
        </w:rPr>
        <w:t>,</w:t>
      </w:r>
      <w:r w:rsidRPr="00D84719">
        <w:rPr>
          <w:rFonts w:ascii="Times New Roman" w:eastAsia="Times New Roman" w:hAnsi="Times New Roman" w:cs="Times New Roman"/>
          <w:color w:val="000000"/>
          <w:sz w:val="24"/>
          <w:lang w:eastAsia="hr-HR"/>
        </w:rPr>
        <w:t xml:space="preserve">0084 ng/g, zbroj TEQ). Ocjena stanja načinjena je prema kriterijima koje su u Norveškoj predložili </w:t>
      </w:r>
      <w:proofErr w:type="spellStart"/>
      <w:r w:rsidRPr="00D84719">
        <w:rPr>
          <w:rFonts w:ascii="Times New Roman" w:eastAsia="Times New Roman" w:hAnsi="Times New Roman" w:cs="Times New Roman"/>
          <w:color w:val="000000"/>
          <w:sz w:val="24"/>
          <w:lang w:eastAsia="hr-HR"/>
        </w:rPr>
        <w:t>Bakke</w:t>
      </w:r>
      <w:proofErr w:type="spellEnd"/>
      <w:r w:rsidRPr="00D84719">
        <w:rPr>
          <w:rFonts w:ascii="Times New Roman" w:eastAsia="Times New Roman" w:hAnsi="Times New Roman" w:cs="Times New Roman"/>
          <w:color w:val="000000"/>
          <w:sz w:val="24"/>
          <w:lang w:eastAsia="hr-HR"/>
        </w:rPr>
        <w:t xml:space="preserve"> i suradnici (2010.). Prema </w:t>
      </w:r>
      <w:proofErr w:type="spellStart"/>
      <w:r w:rsidRPr="00D84719">
        <w:rPr>
          <w:rFonts w:ascii="Times New Roman" w:eastAsia="Times New Roman" w:hAnsi="Times New Roman" w:cs="Times New Roman"/>
          <w:color w:val="000000"/>
          <w:sz w:val="24"/>
          <w:lang w:eastAsia="hr-HR"/>
        </w:rPr>
        <w:t>Bakkeu</w:t>
      </w:r>
      <w:proofErr w:type="spellEnd"/>
      <w:r w:rsidRPr="00D84719">
        <w:rPr>
          <w:rFonts w:ascii="Times New Roman" w:eastAsia="Times New Roman" w:hAnsi="Times New Roman" w:cs="Times New Roman"/>
          <w:color w:val="000000"/>
          <w:sz w:val="24"/>
          <w:lang w:eastAsia="hr-HR"/>
        </w:rPr>
        <w:t xml:space="preserve"> i suradnicima kakvoća sedimenata je razvrstana u pet kategorija pri čemu su prve dvije smatrane dobrom i/ili zadovoljavajućom, dok su III., IV. i V. smatrane nezadovoljavajućom jer se u tom rasponu koncentracija</w:t>
      </w:r>
      <w:r w:rsidR="00612979">
        <w:rPr>
          <w:rFonts w:ascii="Times New Roman" w:eastAsia="Times New Roman" w:hAnsi="Times New Roman" w:cs="Times New Roman"/>
          <w:color w:val="000000"/>
          <w:sz w:val="24"/>
          <w:lang w:eastAsia="hr-HR"/>
        </w:rPr>
        <w:t xml:space="preserve"> </w:t>
      </w:r>
      <w:r w:rsidRPr="00D84719">
        <w:rPr>
          <w:rFonts w:ascii="Times New Roman" w:eastAsia="Times New Roman" w:hAnsi="Times New Roman" w:cs="Times New Roman"/>
          <w:color w:val="000000"/>
          <w:sz w:val="24"/>
          <w:lang w:eastAsia="hr-HR"/>
        </w:rPr>
        <w:t>mogu očekivati toksični učinci.</w:t>
      </w:r>
    </w:p>
    <w:p w14:paraId="77288564"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eastAsia="hr-HR"/>
        </w:rPr>
      </w:pPr>
      <w:r w:rsidRPr="00D84719">
        <w:rPr>
          <w:rFonts w:ascii="Times New Roman" w:eastAsia="Times New Roman" w:hAnsi="Times New Roman" w:cs="Times New Roman"/>
          <w:color w:val="000000"/>
          <w:sz w:val="24"/>
          <w:szCs w:val="24"/>
          <w:lang w:eastAsia="hr-HR"/>
        </w:rPr>
        <w:t xml:space="preserve">Kriterij za značajno onečišćenje sedimenta s PBDE je 62 ng/g što je značajno više od razina koncentracija izmjerenih u sedimentima naših priobalnih voda. Raspon koncentracija PBDE u sedimentima priobalnih voda bio je nešto niži nego u </w:t>
      </w:r>
      <w:r w:rsidR="00FD2E5F" w:rsidRPr="00D84719">
        <w:rPr>
          <w:rFonts w:ascii="Times New Roman" w:eastAsia="Times New Roman" w:hAnsi="Times New Roman" w:cs="Times New Roman"/>
          <w:color w:val="000000"/>
          <w:sz w:val="24"/>
          <w:szCs w:val="24"/>
          <w:lang w:eastAsia="hr-HR"/>
        </w:rPr>
        <w:t>prijelaznim</w:t>
      </w:r>
      <w:r w:rsidRPr="00D84719">
        <w:rPr>
          <w:rFonts w:ascii="Times New Roman" w:eastAsia="Times New Roman" w:hAnsi="Times New Roman" w:cs="Times New Roman"/>
          <w:color w:val="000000"/>
          <w:sz w:val="24"/>
          <w:szCs w:val="24"/>
          <w:lang w:eastAsia="hr-HR"/>
        </w:rPr>
        <w:t xml:space="preserve"> vodama (raspon od &lt;0,05 ng/g do 0,23 ng/g; srednja vrijednost 0</w:t>
      </w:r>
      <w:r w:rsidR="00942F80">
        <w:rPr>
          <w:rFonts w:ascii="Times New Roman" w:eastAsia="Times New Roman" w:hAnsi="Times New Roman" w:cs="Times New Roman"/>
          <w:color w:val="000000"/>
          <w:sz w:val="24"/>
          <w:szCs w:val="24"/>
          <w:lang w:eastAsia="hr-HR"/>
        </w:rPr>
        <w:t>,</w:t>
      </w:r>
      <w:r w:rsidRPr="00D84719">
        <w:rPr>
          <w:rFonts w:ascii="Times New Roman" w:eastAsia="Times New Roman" w:hAnsi="Times New Roman" w:cs="Times New Roman"/>
          <w:color w:val="000000"/>
          <w:sz w:val="24"/>
          <w:szCs w:val="24"/>
          <w:lang w:eastAsia="hr-HR"/>
        </w:rPr>
        <w:t xml:space="preserve">09 ng/g) što je peko 100 puta niže od predloženog kriterija. Ipak, zbog mogućeg prijenosa PBDE u biotu putem sedimenta važno je uočiti lokacije </w:t>
      </w:r>
      <w:r w:rsidRPr="00D84719">
        <w:rPr>
          <w:rFonts w:ascii="Times New Roman" w:eastAsia="Times New Roman" w:hAnsi="Times New Roman" w:cs="Times New Roman"/>
          <w:color w:val="000000"/>
          <w:sz w:val="24"/>
          <w:szCs w:val="24"/>
          <w:lang w:eastAsia="hr-HR"/>
        </w:rPr>
        <w:lastRenderedPageBreak/>
        <w:t>koje pokazuju povišene vrijednosti. To su lokacije FP-O14 i FP-17A u splitskom području te lokacije FP-O27 i FP-28A u južnom dijelu Podvelebitskog kanala i uvali naselja Pag.</w:t>
      </w:r>
    </w:p>
    <w:p w14:paraId="68923D6B"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eastAsia="hr-HR"/>
        </w:rPr>
      </w:pPr>
      <w:r w:rsidRPr="00D84719">
        <w:rPr>
          <w:rFonts w:ascii="Times New Roman" w:eastAsia="Times New Roman" w:hAnsi="Times New Roman" w:cs="Times New Roman"/>
          <w:color w:val="000000"/>
          <w:sz w:val="24"/>
          <w:szCs w:val="24"/>
          <w:lang w:eastAsia="hr-HR"/>
        </w:rPr>
        <w:t>Koncentracije dugolančanih kloroalkana u sedimentima priobalnih voda bile su dosta niže nego u prijelaznim vodama.</w:t>
      </w:r>
    </w:p>
    <w:p w14:paraId="4D4B27E2" w14:textId="77777777" w:rsidR="00D84719" w:rsidRPr="00D84719" w:rsidRDefault="00D84719" w:rsidP="00D84719">
      <w:pPr>
        <w:keepNext/>
        <w:shd w:val="clear" w:color="auto" w:fill="FCFCFC"/>
        <w:spacing w:before="80" w:after="0" w:line="240" w:lineRule="auto"/>
        <w:rPr>
          <w:rFonts w:ascii="Times New Roman" w:eastAsia="Times New Roman" w:hAnsi="Times New Roman" w:cs="Times New Roman"/>
          <w:color w:val="000000"/>
          <w:szCs w:val="24"/>
        </w:rPr>
      </w:pPr>
      <w:r w:rsidRPr="00D84719">
        <w:rPr>
          <w:rFonts w:ascii="Times New Roman" w:eastAsia="Times New Roman" w:hAnsi="Times New Roman" w:cs="Times New Roman"/>
          <w:noProof/>
          <w:color w:val="000000"/>
          <w:sz w:val="24"/>
          <w:szCs w:val="24"/>
          <w:lang w:eastAsia="hr-HR"/>
        </w:rPr>
        <w:drawing>
          <wp:inline distT="0" distB="0" distL="0" distR="0" wp14:anchorId="304C1A32" wp14:editId="7295B565">
            <wp:extent cx="4680000" cy="2687679"/>
            <wp:effectExtent l="0" t="0" r="635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80000" cy="2687679"/>
                    </a:xfrm>
                    <a:prstGeom prst="rect">
                      <a:avLst/>
                    </a:prstGeom>
                    <a:noFill/>
                    <a:ln>
                      <a:noFill/>
                    </a:ln>
                  </pic:spPr>
                </pic:pic>
              </a:graphicData>
            </a:graphic>
          </wp:inline>
        </w:drawing>
      </w:r>
    </w:p>
    <w:p w14:paraId="5745E629" w14:textId="77777777" w:rsidR="00D84719" w:rsidRPr="00D84719" w:rsidRDefault="00D84719" w:rsidP="00D84719">
      <w:pPr>
        <w:keepNext/>
        <w:spacing w:before="80" w:after="0" w:line="276" w:lineRule="auto"/>
        <w:jc w:val="both"/>
        <w:rPr>
          <w:rFonts w:ascii="Times New Roman" w:eastAsia="Times New Roman" w:hAnsi="Times New Roman" w:cs="Times New Roman"/>
          <w:b/>
          <w:bCs/>
          <w:i/>
          <w:color w:val="000000"/>
          <w:sz w:val="24"/>
          <w:szCs w:val="20"/>
          <w:lang w:eastAsia="hr-HR"/>
        </w:rPr>
      </w:pPr>
      <w:r w:rsidRPr="00D84719">
        <w:rPr>
          <w:rFonts w:ascii="Times New Roman" w:eastAsia="Times New Roman" w:hAnsi="Times New Roman" w:cs="Times New Roman"/>
          <w:b/>
          <w:bCs/>
          <w:i/>
          <w:sz w:val="20"/>
          <w:szCs w:val="20"/>
        </w:rPr>
        <w:t xml:space="preserve">Slika </w:t>
      </w:r>
      <w:r w:rsidRPr="00D84719">
        <w:rPr>
          <w:rFonts w:ascii="Times New Roman" w:eastAsia="Times New Roman" w:hAnsi="Times New Roman" w:cs="Times New Roman"/>
          <w:b/>
          <w:bCs/>
          <w:i/>
          <w:sz w:val="20"/>
          <w:szCs w:val="20"/>
        </w:rPr>
        <w:fldChar w:fldCharType="begin"/>
      </w:r>
      <w:r w:rsidRPr="00D84719">
        <w:rPr>
          <w:rFonts w:ascii="Times New Roman" w:eastAsia="Times New Roman" w:hAnsi="Times New Roman" w:cs="Times New Roman"/>
          <w:b/>
          <w:bCs/>
          <w:i/>
          <w:sz w:val="20"/>
          <w:szCs w:val="20"/>
        </w:rPr>
        <w:instrText xml:space="preserve"> STYLEREF 2 \s </w:instrText>
      </w:r>
      <w:r w:rsidRPr="00D84719">
        <w:rPr>
          <w:rFonts w:ascii="Times New Roman" w:eastAsia="Times New Roman" w:hAnsi="Times New Roman" w:cs="Times New Roman"/>
          <w:b/>
          <w:bCs/>
          <w:i/>
          <w:sz w:val="20"/>
          <w:szCs w:val="20"/>
        </w:rPr>
        <w:fldChar w:fldCharType="separate"/>
      </w:r>
      <w:r w:rsidRPr="00D84719">
        <w:rPr>
          <w:rFonts w:ascii="Times New Roman" w:eastAsia="Times New Roman" w:hAnsi="Times New Roman" w:cs="Times New Roman"/>
          <w:b/>
          <w:bCs/>
          <w:i/>
          <w:sz w:val="20"/>
          <w:szCs w:val="20"/>
        </w:rPr>
        <w:t>3.7</w:t>
      </w:r>
      <w:r w:rsidRPr="00D84719">
        <w:rPr>
          <w:rFonts w:ascii="Times New Roman" w:eastAsia="Times New Roman" w:hAnsi="Times New Roman" w:cs="Times New Roman"/>
          <w:b/>
          <w:bCs/>
          <w:i/>
          <w:sz w:val="20"/>
          <w:szCs w:val="20"/>
        </w:rPr>
        <w:fldChar w:fldCharType="end"/>
      </w:r>
      <w:r w:rsidRPr="00D84719">
        <w:rPr>
          <w:rFonts w:ascii="Times New Roman" w:eastAsia="Times New Roman" w:hAnsi="Times New Roman" w:cs="Times New Roman"/>
          <w:b/>
          <w:bCs/>
          <w:i/>
          <w:sz w:val="20"/>
          <w:szCs w:val="20"/>
        </w:rPr>
        <w:noBreakHyphen/>
      </w:r>
      <w:r w:rsidRPr="00D84719">
        <w:rPr>
          <w:rFonts w:ascii="Times New Roman" w:eastAsia="Times New Roman" w:hAnsi="Times New Roman" w:cs="Times New Roman"/>
          <w:b/>
          <w:bCs/>
          <w:i/>
          <w:sz w:val="20"/>
          <w:szCs w:val="20"/>
        </w:rPr>
        <w:fldChar w:fldCharType="begin"/>
      </w:r>
      <w:r w:rsidRPr="00D84719">
        <w:rPr>
          <w:rFonts w:ascii="Times New Roman" w:eastAsia="Times New Roman" w:hAnsi="Times New Roman" w:cs="Times New Roman"/>
          <w:b/>
          <w:bCs/>
          <w:i/>
          <w:sz w:val="20"/>
          <w:szCs w:val="20"/>
        </w:rPr>
        <w:instrText xml:space="preserve"> SEQ Slika \* ARABIC \s 2 </w:instrText>
      </w:r>
      <w:r w:rsidRPr="00D84719">
        <w:rPr>
          <w:rFonts w:ascii="Times New Roman" w:eastAsia="Times New Roman" w:hAnsi="Times New Roman" w:cs="Times New Roman"/>
          <w:b/>
          <w:bCs/>
          <w:i/>
          <w:sz w:val="20"/>
          <w:szCs w:val="20"/>
        </w:rPr>
        <w:fldChar w:fldCharType="separate"/>
      </w:r>
      <w:r w:rsidRPr="00D84719">
        <w:rPr>
          <w:rFonts w:ascii="Times New Roman" w:eastAsia="Times New Roman" w:hAnsi="Times New Roman" w:cs="Times New Roman"/>
          <w:b/>
          <w:bCs/>
          <w:i/>
          <w:sz w:val="20"/>
          <w:szCs w:val="20"/>
        </w:rPr>
        <w:t>9</w:t>
      </w:r>
      <w:r w:rsidRPr="00D84719">
        <w:rPr>
          <w:rFonts w:ascii="Times New Roman" w:eastAsia="Times New Roman" w:hAnsi="Times New Roman" w:cs="Times New Roman"/>
          <w:b/>
          <w:bCs/>
          <w:i/>
          <w:sz w:val="20"/>
          <w:szCs w:val="20"/>
        </w:rPr>
        <w:fldChar w:fldCharType="end"/>
      </w:r>
      <w:r w:rsidRPr="00D84719">
        <w:rPr>
          <w:rFonts w:ascii="Times New Roman" w:eastAsia="Times New Roman" w:hAnsi="Times New Roman" w:cs="Times New Roman"/>
          <w:b/>
          <w:bCs/>
          <w:i/>
          <w:sz w:val="20"/>
          <w:szCs w:val="20"/>
        </w:rPr>
        <w:t xml:space="preserve"> Raspodjela polibromiranih difeniletera (PBDE) u sedimentima priobalnih voda 2017. </w:t>
      </w:r>
    </w:p>
    <w:p w14:paraId="2F9BA3AA" w14:textId="77777777" w:rsidR="00D84719" w:rsidRPr="00D84719" w:rsidRDefault="00D84719" w:rsidP="00D84719">
      <w:pPr>
        <w:shd w:val="clear" w:color="auto" w:fill="FCFCFC"/>
        <w:spacing w:before="80" w:after="0" w:line="240" w:lineRule="auto"/>
        <w:jc w:val="both"/>
        <w:rPr>
          <w:rFonts w:ascii="Times New Roman" w:eastAsia="Times New Roman" w:hAnsi="Times New Roman" w:cs="Times New Roman"/>
          <w:color w:val="000000"/>
          <w:sz w:val="24"/>
          <w:szCs w:val="24"/>
          <w:lang w:eastAsia="hr-HR"/>
        </w:rPr>
      </w:pPr>
    </w:p>
    <w:p w14:paraId="00E27266" w14:textId="77777777" w:rsidR="00D84719" w:rsidRPr="00D84719" w:rsidRDefault="00D84719" w:rsidP="00D84719">
      <w:pPr>
        <w:keepNext/>
        <w:shd w:val="clear" w:color="auto" w:fill="FCFCFC"/>
        <w:spacing w:before="80" w:after="0" w:line="240" w:lineRule="auto"/>
        <w:rPr>
          <w:rFonts w:ascii="Times New Roman" w:eastAsia="Times New Roman" w:hAnsi="Times New Roman" w:cs="Times New Roman"/>
          <w:color w:val="000000"/>
          <w:szCs w:val="24"/>
        </w:rPr>
      </w:pPr>
      <w:r w:rsidRPr="00D84719">
        <w:rPr>
          <w:rFonts w:ascii="Times New Roman" w:eastAsia="Times New Roman" w:hAnsi="Times New Roman" w:cs="Times New Roman"/>
          <w:noProof/>
          <w:color w:val="000000"/>
          <w:sz w:val="24"/>
          <w:szCs w:val="24"/>
          <w:lang w:eastAsia="hr-HR"/>
        </w:rPr>
        <w:drawing>
          <wp:inline distT="0" distB="0" distL="0" distR="0" wp14:anchorId="745CDD99" wp14:editId="29AE24CE">
            <wp:extent cx="4477398" cy="2597344"/>
            <wp:effectExtent l="0" t="0" r="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81173" cy="2599534"/>
                    </a:xfrm>
                    <a:prstGeom prst="rect">
                      <a:avLst/>
                    </a:prstGeom>
                    <a:noFill/>
                    <a:ln>
                      <a:noFill/>
                    </a:ln>
                  </pic:spPr>
                </pic:pic>
              </a:graphicData>
            </a:graphic>
          </wp:inline>
        </w:drawing>
      </w:r>
    </w:p>
    <w:p w14:paraId="0A4B6B08" w14:textId="77777777" w:rsidR="00D84719" w:rsidRPr="00D84719" w:rsidRDefault="00D84719" w:rsidP="00D84719">
      <w:pPr>
        <w:keepNext/>
        <w:spacing w:before="80" w:after="0" w:line="276" w:lineRule="auto"/>
        <w:jc w:val="both"/>
        <w:rPr>
          <w:rFonts w:ascii="Times New Roman" w:eastAsia="Times New Roman" w:hAnsi="Times New Roman" w:cs="Times New Roman"/>
          <w:b/>
          <w:bCs/>
          <w:i/>
          <w:color w:val="000000"/>
          <w:sz w:val="24"/>
          <w:szCs w:val="20"/>
          <w:lang w:eastAsia="hr-HR"/>
        </w:rPr>
      </w:pPr>
      <w:r w:rsidRPr="00D84719">
        <w:rPr>
          <w:rFonts w:ascii="Times New Roman" w:eastAsia="Times New Roman" w:hAnsi="Times New Roman" w:cs="Times New Roman"/>
          <w:b/>
          <w:bCs/>
          <w:i/>
          <w:sz w:val="20"/>
          <w:szCs w:val="20"/>
        </w:rPr>
        <w:t xml:space="preserve">Slika </w:t>
      </w:r>
      <w:r w:rsidRPr="00D84719">
        <w:rPr>
          <w:rFonts w:ascii="Times New Roman" w:eastAsia="Times New Roman" w:hAnsi="Times New Roman" w:cs="Times New Roman"/>
          <w:b/>
          <w:bCs/>
          <w:i/>
          <w:sz w:val="20"/>
          <w:szCs w:val="20"/>
        </w:rPr>
        <w:fldChar w:fldCharType="begin"/>
      </w:r>
      <w:r w:rsidRPr="00D84719">
        <w:rPr>
          <w:rFonts w:ascii="Times New Roman" w:eastAsia="Times New Roman" w:hAnsi="Times New Roman" w:cs="Times New Roman"/>
          <w:b/>
          <w:bCs/>
          <w:i/>
          <w:sz w:val="20"/>
          <w:szCs w:val="20"/>
        </w:rPr>
        <w:instrText xml:space="preserve"> STYLEREF 2 \s </w:instrText>
      </w:r>
      <w:r w:rsidRPr="00D84719">
        <w:rPr>
          <w:rFonts w:ascii="Times New Roman" w:eastAsia="Times New Roman" w:hAnsi="Times New Roman" w:cs="Times New Roman"/>
          <w:b/>
          <w:bCs/>
          <w:i/>
          <w:sz w:val="20"/>
          <w:szCs w:val="20"/>
        </w:rPr>
        <w:fldChar w:fldCharType="separate"/>
      </w:r>
      <w:r w:rsidRPr="00D84719">
        <w:rPr>
          <w:rFonts w:ascii="Times New Roman" w:eastAsia="Times New Roman" w:hAnsi="Times New Roman" w:cs="Times New Roman"/>
          <w:b/>
          <w:bCs/>
          <w:i/>
          <w:sz w:val="20"/>
          <w:szCs w:val="20"/>
        </w:rPr>
        <w:t>3.7</w:t>
      </w:r>
      <w:r w:rsidRPr="00D84719">
        <w:rPr>
          <w:rFonts w:ascii="Times New Roman" w:eastAsia="Times New Roman" w:hAnsi="Times New Roman" w:cs="Times New Roman"/>
          <w:b/>
          <w:bCs/>
          <w:i/>
          <w:sz w:val="20"/>
          <w:szCs w:val="20"/>
        </w:rPr>
        <w:fldChar w:fldCharType="end"/>
      </w:r>
      <w:r w:rsidRPr="00D84719">
        <w:rPr>
          <w:rFonts w:ascii="Times New Roman" w:eastAsia="Times New Roman" w:hAnsi="Times New Roman" w:cs="Times New Roman"/>
          <w:b/>
          <w:bCs/>
          <w:i/>
          <w:sz w:val="20"/>
          <w:szCs w:val="20"/>
        </w:rPr>
        <w:noBreakHyphen/>
      </w:r>
      <w:r w:rsidRPr="00D84719">
        <w:rPr>
          <w:rFonts w:ascii="Times New Roman" w:eastAsia="Times New Roman" w:hAnsi="Times New Roman" w:cs="Times New Roman"/>
          <w:b/>
          <w:bCs/>
          <w:i/>
          <w:sz w:val="20"/>
          <w:szCs w:val="20"/>
        </w:rPr>
        <w:fldChar w:fldCharType="begin"/>
      </w:r>
      <w:r w:rsidRPr="00D84719">
        <w:rPr>
          <w:rFonts w:ascii="Times New Roman" w:eastAsia="Times New Roman" w:hAnsi="Times New Roman" w:cs="Times New Roman"/>
          <w:b/>
          <w:bCs/>
          <w:i/>
          <w:sz w:val="20"/>
          <w:szCs w:val="20"/>
        </w:rPr>
        <w:instrText xml:space="preserve"> SEQ Slika \* ARABIC \s 2 </w:instrText>
      </w:r>
      <w:r w:rsidRPr="00D84719">
        <w:rPr>
          <w:rFonts w:ascii="Times New Roman" w:eastAsia="Times New Roman" w:hAnsi="Times New Roman" w:cs="Times New Roman"/>
          <w:b/>
          <w:bCs/>
          <w:i/>
          <w:sz w:val="20"/>
          <w:szCs w:val="20"/>
        </w:rPr>
        <w:fldChar w:fldCharType="separate"/>
      </w:r>
      <w:r w:rsidRPr="00D84719">
        <w:rPr>
          <w:rFonts w:ascii="Times New Roman" w:eastAsia="Times New Roman" w:hAnsi="Times New Roman" w:cs="Times New Roman"/>
          <w:b/>
          <w:bCs/>
          <w:i/>
          <w:sz w:val="20"/>
          <w:szCs w:val="20"/>
        </w:rPr>
        <w:t>10</w:t>
      </w:r>
      <w:r w:rsidRPr="00D84719">
        <w:rPr>
          <w:rFonts w:ascii="Times New Roman" w:eastAsia="Times New Roman" w:hAnsi="Times New Roman" w:cs="Times New Roman"/>
          <w:b/>
          <w:bCs/>
          <w:i/>
          <w:sz w:val="20"/>
          <w:szCs w:val="20"/>
        </w:rPr>
        <w:fldChar w:fldCharType="end"/>
      </w:r>
      <w:r w:rsidRPr="00D84719">
        <w:rPr>
          <w:rFonts w:ascii="Times New Roman" w:eastAsia="Times New Roman" w:hAnsi="Times New Roman" w:cs="Times New Roman"/>
          <w:b/>
          <w:bCs/>
          <w:i/>
          <w:sz w:val="20"/>
          <w:szCs w:val="20"/>
        </w:rPr>
        <w:t xml:space="preserve"> Raspodjela dugolančanih kloroalkana (C10-C13) u sedimentima priobalnih voda 2017. </w:t>
      </w:r>
    </w:p>
    <w:p w14:paraId="0A55B953" w14:textId="77777777" w:rsidR="00D84719" w:rsidRPr="00D84719" w:rsidRDefault="00D84719" w:rsidP="00D84719">
      <w:pPr>
        <w:shd w:val="clear" w:color="auto" w:fill="FCFCFC"/>
        <w:spacing w:before="80" w:after="100" w:line="240" w:lineRule="auto"/>
        <w:jc w:val="both"/>
        <w:rPr>
          <w:rFonts w:ascii="Times New Roman" w:eastAsia="Times New Roman" w:hAnsi="Times New Roman" w:cs="Times New Roman"/>
          <w:color w:val="000000"/>
          <w:sz w:val="24"/>
          <w:szCs w:val="24"/>
          <w:lang w:eastAsia="hr-HR"/>
        </w:rPr>
      </w:pPr>
    </w:p>
    <w:p w14:paraId="15B35299" w14:textId="1C5A4087" w:rsidR="00D84719" w:rsidRPr="00D84719" w:rsidRDefault="00D84719" w:rsidP="00D90D7F">
      <w:pPr>
        <w:pStyle w:val="Naslov4"/>
      </w:pPr>
      <w:bookmarkStart w:id="138" w:name="_Toc64460729"/>
      <w:r w:rsidRPr="00D84719">
        <w:t>POPs-ovi u prijelaznim vodama u 2018</w:t>
      </w:r>
      <w:r w:rsidR="004C449C">
        <w:t>.</w:t>
      </w:r>
      <w:bookmarkEnd w:id="138"/>
    </w:p>
    <w:p w14:paraId="1B748493" w14:textId="77777777" w:rsidR="00B82A26" w:rsidRDefault="00B82A26" w:rsidP="00D84719">
      <w:pPr>
        <w:spacing w:before="80" w:line="276" w:lineRule="auto"/>
        <w:jc w:val="both"/>
        <w:rPr>
          <w:rFonts w:ascii="Times New Roman" w:eastAsia="Calibri" w:hAnsi="Times New Roman" w:cs="Times New Roman"/>
          <w:b/>
          <w:i/>
          <w:color w:val="000000"/>
          <w:sz w:val="24"/>
          <w:szCs w:val="24"/>
        </w:rPr>
      </w:pPr>
    </w:p>
    <w:p w14:paraId="600EB415" w14:textId="591B90AE" w:rsidR="00B82A26" w:rsidRPr="00CE13A5" w:rsidRDefault="00B82A26" w:rsidP="00B82A26">
      <w:pPr>
        <w:spacing w:after="0" w:line="240" w:lineRule="auto"/>
        <w:jc w:val="both"/>
        <w:rPr>
          <w:rFonts w:ascii="Times New Roman" w:eastAsia="Times New Roman" w:hAnsi="Times New Roman" w:cs="Times New Roman"/>
          <w:noProof/>
          <w:sz w:val="24"/>
          <w:szCs w:val="24"/>
          <w:lang w:eastAsia="hr-HR"/>
        </w:rPr>
      </w:pPr>
      <w:r w:rsidRPr="00CE13A5">
        <w:rPr>
          <w:rFonts w:ascii="Times New Roman" w:eastAsia="Times New Roman" w:hAnsi="Times New Roman" w:cs="Times New Roman"/>
          <w:noProof/>
          <w:sz w:val="24"/>
          <w:szCs w:val="24"/>
          <w:lang w:eastAsia="hr-HR"/>
        </w:rPr>
        <w:t>U razdoblju 2018.-2019</w:t>
      </w:r>
      <w:r w:rsidR="005C26BD">
        <w:rPr>
          <w:rFonts w:ascii="Times New Roman" w:eastAsia="Times New Roman" w:hAnsi="Times New Roman" w:cs="Times New Roman"/>
          <w:noProof/>
          <w:sz w:val="24"/>
          <w:szCs w:val="24"/>
          <w:lang w:eastAsia="hr-HR"/>
        </w:rPr>
        <w:t>.</w:t>
      </w:r>
      <w:r w:rsidRPr="00CE13A5">
        <w:rPr>
          <w:rFonts w:ascii="Times New Roman" w:eastAsia="Times New Roman" w:hAnsi="Times New Roman" w:cs="Times New Roman"/>
          <w:noProof/>
          <w:sz w:val="24"/>
          <w:szCs w:val="24"/>
          <w:lang w:eastAsia="hr-HR"/>
        </w:rPr>
        <w:t xml:space="preserve"> u okviru „Ugovora o sustavnom ispitivanju kakvoće prijelaznih i priobalnih voda u 2018-2019. godini“ financiranog od strane Hrvatskih voda radjene su analize niza organskih onečišćivala koje ulaze u skupinu POPs-ova (</w:t>
      </w:r>
      <w:r w:rsidRPr="00CE13A5">
        <w:rPr>
          <w:rFonts w:ascii="Times New Roman" w:eastAsia="Times New Roman" w:hAnsi="Times New Roman" w:cs="Times New Roman"/>
          <w:bCs/>
          <w:i/>
          <w:sz w:val="24"/>
          <w:szCs w:val="24"/>
          <w:lang w:eastAsia="hr-HR"/>
        </w:rPr>
        <w:t xml:space="preserve">Tablica </w:t>
      </w:r>
      <w:r>
        <w:rPr>
          <w:rFonts w:ascii="Times New Roman" w:eastAsia="Times New Roman" w:hAnsi="Times New Roman" w:cs="Times New Roman"/>
          <w:bCs/>
          <w:i/>
          <w:sz w:val="24"/>
          <w:szCs w:val="24"/>
          <w:lang w:eastAsia="hr-HR"/>
        </w:rPr>
        <w:t>3</w:t>
      </w:r>
      <w:r w:rsidRPr="00CE13A5">
        <w:rPr>
          <w:rFonts w:ascii="Times New Roman" w:eastAsia="Times New Roman" w:hAnsi="Times New Roman" w:cs="Times New Roman"/>
          <w:bCs/>
          <w:i/>
          <w:sz w:val="24"/>
          <w:szCs w:val="24"/>
          <w:lang w:eastAsia="hr-HR"/>
        </w:rPr>
        <w:t>.</w:t>
      </w:r>
      <w:r>
        <w:rPr>
          <w:rFonts w:ascii="Times New Roman" w:eastAsia="Times New Roman" w:hAnsi="Times New Roman" w:cs="Times New Roman"/>
          <w:bCs/>
          <w:i/>
          <w:sz w:val="24"/>
          <w:szCs w:val="24"/>
          <w:lang w:eastAsia="hr-HR"/>
        </w:rPr>
        <w:t>7</w:t>
      </w:r>
      <w:r w:rsidRPr="00CE13A5">
        <w:rPr>
          <w:rFonts w:ascii="Times New Roman" w:eastAsia="Times New Roman" w:hAnsi="Times New Roman" w:cs="Times New Roman"/>
          <w:bCs/>
          <w:i/>
          <w:sz w:val="24"/>
          <w:szCs w:val="24"/>
          <w:lang w:eastAsia="hr-HR"/>
        </w:rPr>
        <w:t>-2</w:t>
      </w:r>
      <w:r w:rsidRPr="00CE13A5">
        <w:rPr>
          <w:rFonts w:ascii="Times New Roman" w:eastAsia="Times New Roman" w:hAnsi="Times New Roman" w:cs="Times New Roman"/>
          <w:noProof/>
          <w:sz w:val="24"/>
          <w:szCs w:val="24"/>
          <w:lang w:eastAsia="hr-HR"/>
        </w:rPr>
        <w:t>). Izvođači Ugovora bili su konzorcij između Instituta za oceanografiju i ribarstvo iz Splita (IOR), Instituta Ruđer Bošković iz Zagreba (IRB) i Nacionalnog laboratorija za zdravje, okolje i hrano iz Maribora, Slovenija (NZLO). Analize POPs-ova rađene su u laboratorijima IRB-a i NZLO-a.</w:t>
      </w:r>
      <w:r w:rsidR="00612979">
        <w:rPr>
          <w:rFonts w:ascii="Times New Roman" w:eastAsia="Times New Roman" w:hAnsi="Times New Roman" w:cs="Times New Roman"/>
          <w:noProof/>
          <w:sz w:val="24"/>
          <w:szCs w:val="24"/>
          <w:lang w:eastAsia="hr-HR"/>
        </w:rPr>
        <w:t xml:space="preserve"> </w:t>
      </w:r>
    </w:p>
    <w:p w14:paraId="2F1F866C" w14:textId="77777777" w:rsidR="00B82A26" w:rsidRPr="00CE13A5" w:rsidRDefault="00B82A26" w:rsidP="00B82A26">
      <w:pPr>
        <w:spacing w:after="0" w:line="240" w:lineRule="auto"/>
        <w:jc w:val="both"/>
        <w:rPr>
          <w:rFonts w:ascii="Times New Roman" w:eastAsia="Times New Roman" w:hAnsi="Times New Roman" w:cs="Times New Roman"/>
          <w:noProof/>
          <w:sz w:val="24"/>
          <w:szCs w:val="24"/>
          <w:lang w:eastAsia="hr-HR"/>
        </w:rPr>
      </w:pPr>
    </w:p>
    <w:p w14:paraId="6774B7E5" w14:textId="50371376" w:rsidR="00B82A26" w:rsidRPr="00B82A26" w:rsidRDefault="00B82A26" w:rsidP="00B82A26">
      <w:pPr>
        <w:keepNext/>
        <w:spacing w:before="80" w:after="0" w:line="276" w:lineRule="auto"/>
        <w:jc w:val="both"/>
        <w:rPr>
          <w:rFonts w:ascii="Times New Roman" w:eastAsia="Times New Roman" w:hAnsi="Times New Roman" w:cs="Times New Roman"/>
          <w:b/>
          <w:bCs/>
          <w:i/>
          <w:sz w:val="20"/>
          <w:szCs w:val="20"/>
        </w:rPr>
      </w:pPr>
      <w:r w:rsidRPr="00B82A26">
        <w:rPr>
          <w:rFonts w:ascii="Times New Roman" w:eastAsia="Times New Roman" w:hAnsi="Times New Roman" w:cs="Times New Roman"/>
          <w:b/>
          <w:bCs/>
          <w:i/>
          <w:sz w:val="20"/>
          <w:szCs w:val="20"/>
        </w:rPr>
        <w:t>Tablica 3.7-2 Popis POPs-ova određivanih u vodi, sedimentu i bioti u okviru monitoringa prijelaznih voda istočne jadranske obale u 2018</w:t>
      </w:r>
      <w:r w:rsidR="004C449C">
        <w:rPr>
          <w:rFonts w:ascii="Times New Roman" w:eastAsia="Times New Roman" w:hAnsi="Times New Roman" w:cs="Times New Roman"/>
          <w:b/>
          <w:bCs/>
          <w:i/>
          <w:sz w:val="20"/>
          <w:szCs w:val="20"/>
        </w:rPr>
        <w:t>.</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6520"/>
      </w:tblGrid>
      <w:tr w:rsidR="00B82A26" w:rsidRPr="00CE13A5" w14:paraId="776C1933" w14:textId="77777777" w:rsidTr="00160275">
        <w:trPr>
          <w:trHeight w:val="534"/>
          <w:jc w:val="center"/>
        </w:trPr>
        <w:tc>
          <w:tcPr>
            <w:tcW w:w="2093" w:type="dxa"/>
            <w:vAlign w:val="center"/>
          </w:tcPr>
          <w:p w14:paraId="03BFC428" w14:textId="77777777" w:rsidR="00B82A26" w:rsidRPr="00CE13A5" w:rsidRDefault="00B82A26" w:rsidP="00160275">
            <w:pPr>
              <w:spacing w:after="0" w:line="240" w:lineRule="auto"/>
              <w:jc w:val="both"/>
              <w:rPr>
                <w:rFonts w:ascii="Times New Roman" w:eastAsia="Times New Roman" w:hAnsi="Times New Roman" w:cs="Times New Roman"/>
                <w:b/>
                <w:sz w:val="24"/>
                <w:szCs w:val="24"/>
                <w:lang w:eastAsia="hr-HR"/>
              </w:rPr>
            </w:pPr>
            <w:r w:rsidRPr="00CE13A5">
              <w:rPr>
                <w:rFonts w:ascii="Times New Roman" w:eastAsia="Times New Roman" w:hAnsi="Times New Roman" w:cs="Times New Roman"/>
                <w:b/>
                <w:sz w:val="24"/>
                <w:szCs w:val="24"/>
                <w:lang w:eastAsia="hr-HR"/>
              </w:rPr>
              <w:t>Dio vodenog okoliša</w:t>
            </w:r>
          </w:p>
        </w:tc>
        <w:tc>
          <w:tcPr>
            <w:tcW w:w="6520" w:type="dxa"/>
            <w:vAlign w:val="center"/>
          </w:tcPr>
          <w:p w14:paraId="6ED4DE96" w14:textId="45DC4A95" w:rsidR="00B82A26" w:rsidRPr="00CE13A5" w:rsidRDefault="00B82A26" w:rsidP="00160275">
            <w:pPr>
              <w:spacing w:after="0" w:line="240" w:lineRule="auto"/>
              <w:jc w:val="both"/>
              <w:rPr>
                <w:rFonts w:ascii="Times New Roman" w:eastAsia="Times New Roman" w:hAnsi="Times New Roman" w:cs="Times New Roman"/>
                <w:b/>
                <w:sz w:val="24"/>
                <w:szCs w:val="24"/>
                <w:lang w:eastAsia="hr-HR"/>
              </w:rPr>
            </w:pPr>
            <w:r w:rsidRPr="00CE13A5">
              <w:rPr>
                <w:rFonts w:ascii="Times New Roman" w:eastAsia="Times New Roman" w:hAnsi="Times New Roman" w:cs="Times New Roman"/>
                <w:b/>
                <w:sz w:val="24"/>
                <w:szCs w:val="24"/>
                <w:lang w:eastAsia="hr-HR"/>
              </w:rPr>
              <w:t>Postojana organska onečišćujuća tvar (POP) mjerena u 2018</w:t>
            </w:r>
            <w:r w:rsidR="004C449C">
              <w:rPr>
                <w:rFonts w:ascii="Times New Roman" w:eastAsia="Times New Roman" w:hAnsi="Times New Roman" w:cs="Times New Roman"/>
                <w:b/>
                <w:sz w:val="24"/>
                <w:szCs w:val="24"/>
                <w:lang w:eastAsia="hr-HR"/>
              </w:rPr>
              <w:t>.</w:t>
            </w:r>
          </w:p>
        </w:tc>
      </w:tr>
      <w:tr w:rsidR="00B82A26" w:rsidRPr="00CE13A5" w14:paraId="504140C2" w14:textId="77777777" w:rsidTr="00160275">
        <w:trPr>
          <w:trHeight w:val="1305"/>
          <w:jc w:val="center"/>
        </w:trPr>
        <w:tc>
          <w:tcPr>
            <w:tcW w:w="2093" w:type="dxa"/>
          </w:tcPr>
          <w:p w14:paraId="090FAB59" w14:textId="77777777" w:rsidR="00B82A26" w:rsidRPr="00CE13A5" w:rsidRDefault="00B82A26" w:rsidP="00160275">
            <w:pPr>
              <w:spacing w:after="0" w:line="240" w:lineRule="auto"/>
              <w:jc w:val="both"/>
              <w:rPr>
                <w:rFonts w:ascii="Times New Roman" w:eastAsia="Times New Roman" w:hAnsi="Times New Roman" w:cs="Times New Roman"/>
                <w:b/>
                <w:sz w:val="24"/>
                <w:szCs w:val="24"/>
                <w:lang w:eastAsia="hr-HR"/>
              </w:rPr>
            </w:pPr>
          </w:p>
          <w:p w14:paraId="392D2583" w14:textId="77777777" w:rsidR="00B82A26" w:rsidRPr="00CE13A5" w:rsidRDefault="00B82A26" w:rsidP="00160275">
            <w:pPr>
              <w:spacing w:after="0" w:line="240" w:lineRule="auto"/>
              <w:jc w:val="both"/>
              <w:rPr>
                <w:rFonts w:ascii="Times New Roman" w:eastAsia="Times New Roman" w:hAnsi="Times New Roman" w:cs="Times New Roman"/>
                <w:b/>
                <w:sz w:val="24"/>
                <w:szCs w:val="24"/>
                <w:lang w:eastAsia="hr-HR"/>
              </w:rPr>
            </w:pPr>
            <w:r w:rsidRPr="00CE13A5">
              <w:rPr>
                <w:rFonts w:ascii="Times New Roman" w:eastAsia="Times New Roman" w:hAnsi="Times New Roman" w:cs="Times New Roman"/>
                <w:b/>
                <w:sz w:val="24"/>
                <w:szCs w:val="24"/>
                <w:lang w:eastAsia="hr-HR"/>
              </w:rPr>
              <w:t>Voda</w:t>
            </w:r>
          </w:p>
        </w:tc>
        <w:tc>
          <w:tcPr>
            <w:tcW w:w="6520" w:type="dxa"/>
            <w:vAlign w:val="center"/>
          </w:tcPr>
          <w:p w14:paraId="1404E490" w14:textId="77777777" w:rsidR="00B82A26" w:rsidRPr="00CE13A5" w:rsidRDefault="00B82A26" w:rsidP="00160275">
            <w:pPr>
              <w:spacing w:after="0" w:line="240" w:lineRule="auto"/>
              <w:jc w:val="both"/>
              <w:rPr>
                <w:rFonts w:ascii="Times New Roman" w:eastAsia="Times New Roman" w:hAnsi="Times New Roman" w:cs="Times New Roman"/>
                <w:sz w:val="24"/>
                <w:szCs w:val="24"/>
                <w:lang w:eastAsia="hr-HR"/>
              </w:rPr>
            </w:pPr>
            <w:r w:rsidRPr="00CE13A5">
              <w:rPr>
                <w:rFonts w:ascii="Times New Roman" w:eastAsia="Times New Roman" w:hAnsi="Times New Roman" w:cs="Times New Roman"/>
                <w:sz w:val="24"/>
                <w:szCs w:val="24"/>
                <w:lang w:eastAsia="hr-HR"/>
              </w:rPr>
              <w:t>DDT</w:t>
            </w:r>
          </w:p>
          <w:p w14:paraId="1AC13737" w14:textId="77777777" w:rsidR="00B82A26" w:rsidRPr="00CE13A5" w:rsidRDefault="00B82A26" w:rsidP="00160275">
            <w:pPr>
              <w:spacing w:after="0" w:line="240" w:lineRule="auto"/>
              <w:jc w:val="both"/>
              <w:rPr>
                <w:rFonts w:ascii="Times New Roman" w:eastAsia="Times New Roman" w:hAnsi="Times New Roman" w:cs="Times New Roman"/>
                <w:sz w:val="24"/>
                <w:szCs w:val="24"/>
                <w:lang w:eastAsia="hr-HR"/>
              </w:rPr>
            </w:pPr>
            <w:r w:rsidRPr="00CE13A5">
              <w:rPr>
                <w:rFonts w:ascii="Times New Roman" w:eastAsia="Times New Roman" w:hAnsi="Times New Roman" w:cs="Times New Roman"/>
                <w:sz w:val="24"/>
                <w:szCs w:val="24"/>
                <w:lang w:eastAsia="hr-HR"/>
              </w:rPr>
              <w:t>Endosulfan</w:t>
            </w:r>
          </w:p>
          <w:p w14:paraId="016FF6BA" w14:textId="77777777" w:rsidR="00B82A26" w:rsidRPr="00CE13A5" w:rsidRDefault="00B82A26" w:rsidP="00160275">
            <w:pPr>
              <w:spacing w:after="0" w:line="240" w:lineRule="auto"/>
              <w:jc w:val="both"/>
              <w:rPr>
                <w:rFonts w:ascii="Times New Roman" w:eastAsia="Times New Roman" w:hAnsi="Times New Roman" w:cs="Times New Roman"/>
                <w:sz w:val="24"/>
                <w:szCs w:val="24"/>
                <w:lang w:eastAsia="hr-HR"/>
              </w:rPr>
            </w:pPr>
            <w:r w:rsidRPr="00CE13A5">
              <w:rPr>
                <w:rFonts w:ascii="Times New Roman" w:eastAsia="Times New Roman" w:hAnsi="Times New Roman" w:cs="Times New Roman"/>
                <w:sz w:val="24"/>
                <w:szCs w:val="24"/>
                <w:lang w:eastAsia="hr-HR"/>
              </w:rPr>
              <w:t>Perfluorooktan</w:t>
            </w:r>
            <w:r w:rsidR="00FD23AC">
              <w:rPr>
                <w:rFonts w:ascii="Times New Roman" w:eastAsia="Times New Roman" w:hAnsi="Times New Roman" w:cs="Times New Roman"/>
                <w:sz w:val="24"/>
                <w:szCs w:val="24"/>
                <w:lang w:eastAsia="hr-HR"/>
              </w:rPr>
              <w:t xml:space="preserve"> </w:t>
            </w:r>
            <w:r w:rsidRPr="00CE13A5">
              <w:rPr>
                <w:rFonts w:ascii="Times New Roman" w:eastAsia="Times New Roman" w:hAnsi="Times New Roman" w:cs="Times New Roman"/>
                <w:sz w:val="24"/>
                <w:szCs w:val="24"/>
                <w:lang w:eastAsia="hr-HR"/>
              </w:rPr>
              <w:t>sulfonska kiselina (PFOS)</w:t>
            </w:r>
          </w:p>
          <w:p w14:paraId="3F58E475" w14:textId="77777777" w:rsidR="00B82A26" w:rsidRPr="00CE13A5" w:rsidRDefault="00B82A26" w:rsidP="00160275">
            <w:pPr>
              <w:spacing w:after="0" w:line="240" w:lineRule="auto"/>
              <w:jc w:val="both"/>
              <w:rPr>
                <w:rFonts w:ascii="Times New Roman" w:eastAsia="Times New Roman" w:hAnsi="Times New Roman" w:cs="Times New Roman"/>
                <w:sz w:val="24"/>
                <w:szCs w:val="24"/>
                <w:lang w:eastAsia="hr-HR"/>
              </w:rPr>
            </w:pPr>
            <w:r w:rsidRPr="00CE13A5">
              <w:rPr>
                <w:rFonts w:ascii="Times New Roman" w:eastAsia="Times New Roman" w:hAnsi="Times New Roman" w:cs="Times New Roman"/>
                <w:sz w:val="24"/>
                <w:szCs w:val="24"/>
                <w:lang w:eastAsia="hr-HR"/>
              </w:rPr>
              <w:t>Heksabromociklododekan (HBCDD)</w:t>
            </w:r>
          </w:p>
        </w:tc>
      </w:tr>
      <w:tr w:rsidR="00B82A26" w:rsidRPr="00CE13A5" w14:paraId="2B62051D" w14:textId="77777777" w:rsidTr="00160275">
        <w:trPr>
          <w:trHeight w:val="2094"/>
          <w:jc w:val="center"/>
        </w:trPr>
        <w:tc>
          <w:tcPr>
            <w:tcW w:w="2093" w:type="dxa"/>
          </w:tcPr>
          <w:p w14:paraId="725E3920" w14:textId="77777777" w:rsidR="00B82A26" w:rsidRPr="00CE13A5" w:rsidRDefault="00B82A26" w:rsidP="00160275">
            <w:pPr>
              <w:spacing w:after="0" w:line="240" w:lineRule="auto"/>
              <w:jc w:val="both"/>
              <w:rPr>
                <w:rFonts w:ascii="Times New Roman" w:eastAsia="Times New Roman" w:hAnsi="Times New Roman" w:cs="Times New Roman"/>
                <w:sz w:val="24"/>
                <w:szCs w:val="24"/>
                <w:lang w:eastAsia="hr-HR"/>
              </w:rPr>
            </w:pPr>
          </w:p>
          <w:p w14:paraId="23C27AFC" w14:textId="77777777" w:rsidR="00B82A26" w:rsidRPr="00CE13A5" w:rsidRDefault="00B82A26" w:rsidP="00160275">
            <w:pPr>
              <w:spacing w:after="0" w:line="240" w:lineRule="auto"/>
              <w:jc w:val="both"/>
              <w:rPr>
                <w:rFonts w:ascii="Times New Roman" w:eastAsia="Times New Roman" w:hAnsi="Times New Roman" w:cs="Times New Roman"/>
                <w:b/>
                <w:sz w:val="24"/>
                <w:szCs w:val="24"/>
                <w:lang w:eastAsia="hr-HR"/>
              </w:rPr>
            </w:pPr>
            <w:r w:rsidRPr="00CE13A5">
              <w:rPr>
                <w:rFonts w:ascii="Times New Roman" w:eastAsia="Times New Roman" w:hAnsi="Times New Roman" w:cs="Times New Roman"/>
                <w:b/>
                <w:sz w:val="24"/>
                <w:szCs w:val="24"/>
                <w:lang w:eastAsia="hr-HR"/>
              </w:rPr>
              <w:t>Biota</w:t>
            </w:r>
          </w:p>
        </w:tc>
        <w:tc>
          <w:tcPr>
            <w:tcW w:w="6520" w:type="dxa"/>
            <w:vAlign w:val="center"/>
          </w:tcPr>
          <w:p w14:paraId="76F4E0D9" w14:textId="77777777" w:rsidR="00B82A26" w:rsidRPr="00CE13A5" w:rsidRDefault="00B82A26" w:rsidP="00160275">
            <w:pPr>
              <w:spacing w:after="0" w:line="240" w:lineRule="auto"/>
              <w:jc w:val="both"/>
              <w:rPr>
                <w:rFonts w:ascii="Times New Roman" w:eastAsia="Times New Roman" w:hAnsi="Times New Roman" w:cs="Times New Roman"/>
                <w:sz w:val="24"/>
                <w:szCs w:val="24"/>
                <w:lang w:eastAsia="hr-HR"/>
              </w:rPr>
            </w:pPr>
            <w:r w:rsidRPr="00CE13A5">
              <w:rPr>
                <w:rFonts w:ascii="Times New Roman" w:eastAsia="Times New Roman" w:hAnsi="Times New Roman" w:cs="Times New Roman"/>
                <w:sz w:val="24"/>
                <w:szCs w:val="24"/>
                <w:lang w:eastAsia="hr-HR"/>
              </w:rPr>
              <w:t>Polibromirani difenileteri</w:t>
            </w:r>
          </w:p>
          <w:p w14:paraId="2B62D3BA" w14:textId="77777777" w:rsidR="00B82A26" w:rsidRPr="00CE13A5" w:rsidRDefault="00B82A26" w:rsidP="00160275">
            <w:pPr>
              <w:spacing w:after="0" w:line="240" w:lineRule="auto"/>
              <w:jc w:val="both"/>
              <w:rPr>
                <w:rFonts w:ascii="Times New Roman" w:eastAsia="Times New Roman" w:hAnsi="Times New Roman" w:cs="Times New Roman"/>
                <w:sz w:val="24"/>
                <w:szCs w:val="24"/>
                <w:lang w:eastAsia="hr-HR"/>
              </w:rPr>
            </w:pPr>
            <w:r w:rsidRPr="00CE13A5">
              <w:rPr>
                <w:rFonts w:ascii="Times New Roman" w:eastAsia="Times New Roman" w:hAnsi="Times New Roman" w:cs="Times New Roman"/>
                <w:sz w:val="24"/>
                <w:szCs w:val="24"/>
                <w:lang w:eastAsia="hr-HR"/>
              </w:rPr>
              <w:t>Heksaklorobenzen</w:t>
            </w:r>
          </w:p>
          <w:p w14:paraId="096159D2" w14:textId="77777777" w:rsidR="00B82A26" w:rsidRPr="00CE13A5" w:rsidRDefault="00B82A26" w:rsidP="00160275">
            <w:pPr>
              <w:spacing w:after="0" w:line="240" w:lineRule="auto"/>
              <w:jc w:val="both"/>
              <w:rPr>
                <w:rFonts w:ascii="Times New Roman" w:eastAsia="Times New Roman" w:hAnsi="Times New Roman" w:cs="Times New Roman"/>
                <w:sz w:val="24"/>
                <w:szCs w:val="24"/>
                <w:lang w:eastAsia="hr-HR"/>
              </w:rPr>
            </w:pPr>
            <w:r w:rsidRPr="00CE13A5">
              <w:rPr>
                <w:rFonts w:ascii="Times New Roman" w:eastAsia="Times New Roman" w:hAnsi="Times New Roman" w:cs="Times New Roman"/>
                <w:sz w:val="24"/>
                <w:szCs w:val="24"/>
                <w:lang w:eastAsia="hr-HR"/>
              </w:rPr>
              <w:t>Heksaklorobutadien</w:t>
            </w:r>
          </w:p>
          <w:p w14:paraId="76BF7932" w14:textId="77777777" w:rsidR="00B82A26" w:rsidRPr="00CE13A5" w:rsidRDefault="00B82A26" w:rsidP="00160275">
            <w:pPr>
              <w:spacing w:after="0" w:line="240" w:lineRule="auto"/>
              <w:jc w:val="both"/>
              <w:rPr>
                <w:rFonts w:ascii="Times New Roman" w:eastAsia="Times New Roman" w:hAnsi="Times New Roman" w:cs="Times New Roman"/>
                <w:sz w:val="24"/>
                <w:szCs w:val="24"/>
                <w:lang w:eastAsia="hr-HR"/>
              </w:rPr>
            </w:pPr>
            <w:r w:rsidRPr="00CE13A5">
              <w:rPr>
                <w:rFonts w:ascii="Times New Roman" w:eastAsia="Times New Roman" w:hAnsi="Times New Roman" w:cs="Times New Roman"/>
                <w:sz w:val="24"/>
                <w:szCs w:val="24"/>
                <w:lang w:eastAsia="hr-HR"/>
              </w:rPr>
              <w:t>Alfa-, beta-, gama- heksaklorocikloheksan</w:t>
            </w:r>
          </w:p>
          <w:p w14:paraId="2A995DF0" w14:textId="77777777" w:rsidR="00B82A26" w:rsidRPr="00CE13A5" w:rsidRDefault="00B82A26" w:rsidP="00160275">
            <w:pPr>
              <w:spacing w:after="0" w:line="240" w:lineRule="auto"/>
              <w:jc w:val="both"/>
              <w:rPr>
                <w:rFonts w:ascii="Times New Roman" w:eastAsia="Times New Roman" w:hAnsi="Times New Roman" w:cs="Times New Roman"/>
                <w:sz w:val="24"/>
                <w:szCs w:val="24"/>
                <w:lang w:eastAsia="hr-HR"/>
              </w:rPr>
            </w:pPr>
            <w:r w:rsidRPr="00CE13A5">
              <w:rPr>
                <w:rFonts w:ascii="Times New Roman" w:eastAsia="Times New Roman" w:hAnsi="Times New Roman" w:cs="Times New Roman"/>
                <w:sz w:val="24"/>
                <w:szCs w:val="24"/>
                <w:lang w:eastAsia="hr-HR"/>
              </w:rPr>
              <w:t>Perfluorooktan</w:t>
            </w:r>
            <w:r w:rsidR="00FD23AC">
              <w:rPr>
                <w:rFonts w:ascii="Times New Roman" w:eastAsia="Times New Roman" w:hAnsi="Times New Roman" w:cs="Times New Roman"/>
                <w:sz w:val="24"/>
                <w:szCs w:val="24"/>
                <w:lang w:eastAsia="hr-HR"/>
              </w:rPr>
              <w:t xml:space="preserve"> </w:t>
            </w:r>
            <w:r w:rsidRPr="00CE13A5">
              <w:rPr>
                <w:rFonts w:ascii="Times New Roman" w:eastAsia="Times New Roman" w:hAnsi="Times New Roman" w:cs="Times New Roman"/>
                <w:sz w:val="24"/>
                <w:szCs w:val="24"/>
                <w:lang w:eastAsia="hr-HR"/>
              </w:rPr>
              <w:t>sulfonska kiselina (PFOS)</w:t>
            </w:r>
          </w:p>
          <w:p w14:paraId="58B593E2" w14:textId="77777777" w:rsidR="00B82A26" w:rsidRPr="00CE13A5" w:rsidRDefault="00B82A26" w:rsidP="00160275">
            <w:pPr>
              <w:spacing w:after="0" w:line="240" w:lineRule="auto"/>
              <w:jc w:val="both"/>
              <w:rPr>
                <w:rFonts w:ascii="Times New Roman" w:eastAsia="Times New Roman" w:hAnsi="Times New Roman" w:cs="Times New Roman"/>
                <w:sz w:val="24"/>
                <w:szCs w:val="24"/>
                <w:lang w:eastAsia="hr-HR"/>
              </w:rPr>
            </w:pPr>
            <w:r w:rsidRPr="00CE13A5">
              <w:rPr>
                <w:rFonts w:ascii="Times New Roman" w:eastAsia="Times New Roman" w:hAnsi="Times New Roman" w:cs="Times New Roman"/>
                <w:sz w:val="24"/>
                <w:szCs w:val="24"/>
                <w:lang w:eastAsia="hr-HR"/>
              </w:rPr>
              <w:t>Dioksini i spojevi poput dioksina</w:t>
            </w:r>
          </w:p>
          <w:p w14:paraId="48F71AD2" w14:textId="77777777" w:rsidR="00B82A26" w:rsidRPr="00CE13A5" w:rsidRDefault="00B82A26" w:rsidP="00160275">
            <w:pPr>
              <w:spacing w:after="0" w:line="240" w:lineRule="auto"/>
              <w:jc w:val="both"/>
              <w:rPr>
                <w:rFonts w:ascii="Times New Roman" w:eastAsia="Times New Roman" w:hAnsi="Times New Roman" w:cs="Times New Roman"/>
                <w:sz w:val="24"/>
                <w:szCs w:val="24"/>
                <w:lang w:eastAsia="hr-HR"/>
              </w:rPr>
            </w:pPr>
            <w:r w:rsidRPr="00CE13A5">
              <w:rPr>
                <w:rFonts w:ascii="Times New Roman" w:eastAsia="Times New Roman" w:hAnsi="Times New Roman" w:cs="Times New Roman"/>
                <w:sz w:val="24"/>
                <w:szCs w:val="24"/>
                <w:lang w:eastAsia="hr-HR"/>
              </w:rPr>
              <w:t>Heksabromociklododekan (HBCDD)</w:t>
            </w:r>
          </w:p>
          <w:p w14:paraId="4ACCBC56" w14:textId="77777777" w:rsidR="00B82A26" w:rsidRPr="00CE13A5" w:rsidRDefault="00B82A26" w:rsidP="00160275">
            <w:pPr>
              <w:spacing w:after="0" w:line="240" w:lineRule="auto"/>
              <w:jc w:val="both"/>
              <w:rPr>
                <w:rFonts w:ascii="Times New Roman" w:eastAsia="Times New Roman" w:hAnsi="Times New Roman" w:cs="Times New Roman"/>
                <w:sz w:val="24"/>
                <w:szCs w:val="24"/>
                <w:lang w:eastAsia="hr-HR"/>
              </w:rPr>
            </w:pPr>
            <w:r w:rsidRPr="00CE13A5">
              <w:rPr>
                <w:rFonts w:ascii="Times New Roman" w:eastAsia="Times New Roman" w:hAnsi="Times New Roman" w:cs="Times New Roman"/>
                <w:sz w:val="24"/>
                <w:szCs w:val="24"/>
                <w:lang w:eastAsia="hr-HR"/>
              </w:rPr>
              <w:t xml:space="preserve">Heptaklor i </w:t>
            </w:r>
            <w:proofErr w:type="spellStart"/>
            <w:r w:rsidRPr="00CE13A5">
              <w:rPr>
                <w:rFonts w:ascii="Times New Roman" w:eastAsia="Times New Roman" w:hAnsi="Times New Roman" w:cs="Times New Roman"/>
                <w:sz w:val="24"/>
                <w:szCs w:val="24"/>
                <w:lang w:eastAsia="hr-HR"/>
              </w:rPr>
              <w:t>heptaklorepkosid</w:t>
            </w:r>
            <w:proofErr w:type="spellEnd"/>
          </w:p>
        </w:tc>
      </w:tr>
      <w:tr w:rsidR="00B82A26" w:rsidRPr="00CE13A5" w14:paraId="5F7C4C92" w14:textId="77777777" w:rsidTr="00160275">
        <w:trPr>
          <w:trHeight w:val="2356"/>
          <w:jc w:val="center"/>
        </w:trPr>
        <w:tc>
          <w:tcPr>
            <w:tcW w:w="2093" w:type="dxa"/>
          </w:tcPr>
          <w:p w14:paraId="6A6AE327" w14:textId="77777777" w:rsidR="00B82A26" w:rsidRPr="00CE13A5" w:rsidRDefault="00B82A26" w:rsidP="00160275">
            <w:pPr>
              <w:spacing w:after="0" w:line="240" w:lineRule="auto"/>
              <w:jc w:val="both"/>
              <w:rPr>
                <w:rFonts w:ascii="Times New Roman" w:eastAsia="Times New Roman" w:hAnsi="Times New Roman" w:cs="Times New Roman"/>
                <w:sz w:val="24"/>
                <w:szCs w:val="24"/>
                <w:lang w:eastAsia="hr-HR"/>
              </w:rPr>
            </w:pPr>
          </w:p>
          <w:p w14:paraId="21994329" w14:textId="77777777" w:rsidR="00B82A26" w:rsidRPr="00CE13A5" w:rsidRDefault="00B82A26" w:rsidP="00160275">
            <w:pPr>
              <w:spacing w:after="0" w:line="240" w:lineRule="auto"/>
              <w:jc w:val="both"/>
              <w:rPr>
                <w:rFonts w:ascii="Times New Roman" w:eastAsia="Times New Roman" w:hAnsi="Times New Roman" w:cs="Times New Roman"/>
                <w:b/>
                <w:sz w:val="24"/>
                <w:szCs w:val="24"/>
                <w:lang w:eastAsia="hr-HR"/>
              </w:rPr>
            </w:pPr>
            <w:r w:rsidRPr="00CE13A5">
              <w:rPr>
                <w:rFonts w:ascii="Times New Roman" w:eastAsia="Times New Roman" w:hAnsi="Times New Roman" w:cs="Times New Roman"/>
                <w:b/>
                <w:sz w:val="24"/>
                <w:szCs w:val="24"/>
                <w:lang w:eastAsia="hr-HR"/>
              </w:rPr>
              <w:t>Sediment</w:t>
            </w:r>
          </w:p>
        </w:tc>
        <w:tc>
          <w:tcPr>
            <w:tcW w:w="6520" w:type="dxa"/>
            <w:vAlign w:val="center"/>
          </w:tcPr>
          <w:p w14:paraId="0FB23644" w14:textId="77777777" w:rsidR="00B82A26" w:rsidRPr="00CE13A5" w:rsidRDefault="00B82A26" w:rsidP="00160275">
            <w:pPr>
              <w:spacing w:after="0" w:line="240" w:lineRule="auto"/>
              <w:jc w:val="both"/>
              <w:rPr>
                <w:rFonts w:ascii="Times New Roman" w:eastAsia="Times New Roman" w:hAnsi="Times New Roman" w:cs="Times New Roman"/>
                <w:sz w:val="24"/>
                <w:szCs w:val="24"/>
                <w:lang w:eastAsia="hr-HR"/>
              </w:rPr>
            </w:pPr>
            <w:r w:rsidRPr="00CE13A5">
              <w:rPr>
                <w:rFonts w:ascii="Times New Roman" w:eastAsia="Times New Roman" w:hAnsi="Times New Roman" w:cs="Times New Roman"/>
                <w:sz w:val="24"/>
                <w:szCs w:val="24"/>
                <w:lang w:eastAsia="hr-HR"/>
              </w:rPr>
              <w:t>Polibromirani difenileteri</w:t>
            </w:r>
          </w:p>
          <w:p w14:paraId="42D89549" w14:textId="77777777" w:rsidR="00B82A26" w:rsidRPr="00CE13A5" w:rsidRDefault="00B82A26" w:rsidP="00160275">
            <w:pPr>
              <w:spacing w:after="0" w:line="240" w:lineRule="auto"/>
              <w:jc w:val="both"/>
              <w:rPr>
                <w:rFonts w:ascii="Times New Roman" w:eastAsia="Times New Roman" w:hAnsi="Times New Roman" w:cs="Times New Roman"/>
                <w:sz w:val="24"/>
                <w:szCs w:val="24"/>
                <w:lang w:eastAsia="hr-HR"/>
              </w:rPr>
            </w:pPr>
            <w:r w:rsidRPr="00CE13A5">
              <w:rPr>
                <w:rFonts w:ascii="Times New Roman" w:eastAsia="Times New Roman" w:hAnsi="Times New Roman" w:cs="Times New Roman"/>
                <w:sz w:val="24"/>
                <w:szCs w:val="24"/>
                <w:lang w:eastAsia="hr-HR"/>
              </w:rPr>
              <w:t>Kloroalkani C10-C13</w:t>
            </w:r>
          </w:p>
          <w:p w14:paraId="09E3EF69" w14:textId="77777777" w:rsidR="00B82A26" w:rsidRPr="00CE13A5" w:rsidRDefault="00B82A26" w:rsidP="00160275">
            <w:pPr>
              <w:spacing w:after="0" w:line="240" w:lineRule="auto"/>
              <w:jc w:val="both"/>
              <w:rPr>
                <w:rFonts w:ascii="Times New Roman" w:eastAsia="Times New Roman" w:hAnsi="Times New Roman" w:cs="Times New Roman"/>
                <w:sz w:val="24"/>
                <w:szCs w:val="24"/>
                <w:lang w:eastAsia="hr-HR"/>
              </w:rPr>
            </w:pPr>
            <w:r w:rsidRPr="00CE13A5">
              <w:rPr>
                <w:rFonts w:ascii="Times New Roman" w:eastAsia="Times New Roman" w:hAnsi="Times New Roman" w:cs="Times New Roman"/>
                <w:sz w:val="24"/>
                <w:szCs w:val="24"/>
                <w:lang w:eastAsia="hr-HR"/>
              </w:rPr>
              <w:t>Organoklorovi pesticidi (heksaklorobenzen i heksaklorocikloheksan)</w:t>
            </w:r>
          </w:p>
          <w:p w14:paraId="0864331D" w14:textId="77777777" w:rsidR="00B82A26" w:rsidRPr="00CE13A5" w:rsidRDefault="00B82A26" w:rsidP="00160275">
            <w:pPr>
              <w:spacing w:after="0" w:line="240" w:lineRule="auto"/>
              <w:jc w:val="both"/>
              <w:rPr>
                <w:rFonts w:ascii="Times New Roman" w:eastAsia="Times New Roman" w:hAnsi="Times New Roman" w:cs="Times New Roman"/>
                <w:sz w:val="24"/>
                <w:szCs w:val="24"/>
                <w:lang w:eastAsia="hr-HR"/>
              </w:rPr>
            </w:pPr>
            <w:r w:rsidRPr="00CE13A5">
              <w:rPr>
                <w:rFonts w:ascii="Times New Roman" w:eastAsia="Times New Roman" w:hAnsi="Times New Roman" w:cs="Times New Roman"/>
                <w:sz w:val="24"/>
                <w:szCs w:val="24"/>
                <w:lang w:eastAsia="hr-HR"/>
              </w:rPr>
              <w:t>Pentaklorobenzen</w:t>
            </w:r>
          </w:p>
          <w:p w14:paraId="07099A35" w14:textId="77777777" w:rsidR="00B82A26" w:rsidRPr="00CE13A5" w:rsidRDefault="00B82A26" w:rsidP="00160275">
            <w:pPr>
              <w:spacing w:after="0" w:line="240" w:lineRule="auto"/>
              <w:jc w:val="both"/>
              <w:rPr>
                <w:rFonts w:ascii="Times New Roman" w:eastAsia="Times New Roman" w:hAnsi="Times New Roman" w:cs="Times New Roman"/>
                <w:sz w:val="24"/>
                <w:szCs w:val="24"/>
                <w:lang w:eastAsia="hr-HR"/>
              </w:rPr>
            </w:pPr>
            <w:r w:rsidRPr="00CE13A5">
              <w:rPr>
                <w:rFonts w:ascii="Times New Roman" w:eastAsia="Times New Roman" w:hAnsi="Times New Roman" w:cs="Times New Roman"/>
                <w:sz w:val="24"/>
                <w:szCs w:val="24"/>
                <w:lang w:eastAsia="hr-HR"/>
              </w:rPr>
              <w:t>Perfluorooktan</w:t>
            </w:r>
            <w:r w:rsidR="00FD23AC">
              <w:rPr>
                <w:rFonts w:ascii="Times New Roman" w:eastAsia="Times New Roman" w:hAnsi="Times New Roman" w:cs="Times New Roman"/>
                <w:sz w:val="24"/>
                <w:szCs w:val="24"/>
                <w:lang w:eastAsia="hr-HR"/>
              </w:rPr>
              <w:t xml:space="preserve"> </w:t>
            </w:r>
            <w:r w:rsidRPr="00CE13A5">
              <w:rPr>
                <w:rFonts w:ascii="Times New Roman" w:eastAsia="Times New Roman" w:hAnsi="Times New Roman" w:cs="Times New Roman"/>
                <w:sz w:val="24"/>
                <w:szCs w:val="24"/>
                <w:lang w:eastAsia="hr-HR"/>
              </w:rPr>
              <w:t>sulfonska kiselina (PFOS)</w:t>
            </w:r>
          </w:p>
          <w:p w14:paraId="166D9F59" w14:textId="77777777" w:rsidR="00B82A26" w:rsidRPr="00CE13A5" w:rsidRDefault="00B82A26" w:rsidP="00160275">
            <w:pPr>
              <w:spacing w:after="0" w:line="240" w:lineRule="auto"/>
              <w:jc w:val="both"/>
              <w:rPr>
                <w:rFonts w:ascii="Times New Roman" w:eastAsia="Times New Roman" w:hAnsi="Times New Roman" w:cs="Times New Roman"/>
                <w:sz w:val="24"/>
                <w:szCs w:val="24"/>
                <w:lang w:eastAsia="hr-HR"/>
              </w:rPr>
            </w:pPr>
            <w:r w:rsidRPr="00CE13A5">
              <w:rPr>
                <w:rFonts w:ascii="Times New Roman" w:eastAsia="Times New Roman" w:hAnsi="Times New Roman" w:cs="Times New Roman"/>
                <w:sz w:val="24"/>
                <w:szCs w:val="24"/>
                <w:lang w:eastAsia="hr-HR"/>
              </w:rPr>
              <w:t>Dioksini i spojevi poput dioksina (TEQ)</w:t>
            </w:r>
          </w:p>
          <w:p w14:paraId="0686E6BD" w14:textId="77777777" w:rsidR="00B82A26" w:rsidRPr="00CE13A5" w:rsidRDefault="00B82A26" w:rsidP="00160275">
            <w:pPr>
              <w:spacing w:after="0" w:line="240" w:lineRule="auto"/>
              <w:jc w:val="both"/>
              <w:rPr>
                <w:rFonts w:ascii="Times New Roman" w:eastAsia="Times New Roman" w:hAnsi="Times New Roman" w:cs="Times New Roman"/>
                <w:sz w:val="24"/>
                <w:szCs w:val="24"/>
                <w:lang w:eastAsia="hr-HR"/>
              </w:rPr>
            </w:pPr>
            <w:r w:rsidRPr="00CE13A5">
              <w:rPr>
                <w:rFonts w:ascii="Times New Roman" w:eastAsia="Times New Roman" w:hAnsi="Times New Roman" w:cs="Times New Roman"/>
                <w:sz w:val="24"/>
                <w:szCs w:val="24"/>
                <w:lang w:eastAsia="hr-HR"/>
              </w:rPr>
              <w:t>Heksabromociklododekan</w:t>
            </w:r>
          </w:p>
          <w:p w14:paraId="004E8621" w14:textId="77777777" w:rsidR="00B82A26" w:rsidRPr="00CE13A5" w:rsidRDefault="00B82A26" w:rsidP="00160275">
            <w:pPr>
              <w:spacing w:after="0" w:line="240" w:lineRule="auto"/>
              <w:jc w:val="both"/>
              <w:rPr>
                <w:rFonts w:ascii="Times New Roman" w:eastAsia="Times New Roman" w:hAnsi="Times New Roman" w:cs="Times New Roman"/>
                <w:sz w:val="24"/>
                <w:szCs w:val="24"/>
                <w:lang w:eastAsia="hr-HR"/>
              </w:rPr>
            </w:pPr>
            <w:r w:rsidRPr="00CE13A5">
              <w:rPr>
                <w:rFonts w:ascii="Times New Roman" w:eastAsia="Times New Roman" w:hAnsi="Times New Roman" w:cs="Times New Roman"/>
                <w:sz w:val="24"/>
                <w:szCs w:val="24"/>
                <w:lang w:eastAsia="hr-HR"/>
              </w:rPr>
              <w:t>Heptaklor i heptaklorepoksid</w:t>
            </w:r>
          </w:p>
        </w:tc>
      </w:tr>
    </w:tbl>
    <w:p w14:paraId="3E9259CD" w14:textId="77777777" w:rsidR="00B82A26" w:rsidRPr="00CE13A5" w:rsidRDefault="00B82A26" w:rsidP="00B82A26">
      <w:pPr>
        <w:spacing w:after="0" w:line="240" w:lineRule="auto"/>
        <w:jc w:val="both"/>
        <w:rPr>
          <w:rFonts w:ascii="Times New Roman" w:eastAsia="Times New Roman" w:hAnsi="Times New Roman" w:cs="Times New Roman"/>
          <w:noProof/>
          <w:sz w:val="24"/>
          <w:szCs w:val="24"/>
          <w:lang w:eastAsia="hr-HR"/>
        </w:rPr>
      </w:pPr>
    </w:p>
    <w:p w14:paraId="0F8BF0C2" w14:textId="77777777" w:rsidR="00B82A26" w:rsidRPr="00CE13A5" w:rsidRDefault="00B82A26" w:rsidP="00B82A26">
      <w:pPr>
        <w:spacing w:after="0" w:line="240" w:lineRule="auto"/>
        <w:jc w:val="both"/>
        <w:rPr>
          <w:rFonts w:ascii="Times New Roman" w:eastAsia="Times New Roman" w:hAnsi="Times New Roman" w:cs="Times New Roman"/>
          <w:noProof/>
          <w:sz w:val="24"/>
          <w:szCs w:val="24"/>
          <w:lang w:eastAsia="hr-HR"/>
        </w:rPr>
      </w:pPr>
      <w:r w:rsidRPr="00CE13A5">
        <w:rPr>
          <w:rFonts w:ascii="Times New Roman" w:eastAsia="Times New Roman" w:hAnsi="Times New Roman" w:cs="Times New Roman"/>
          <w:noProof/>
          <w:sz w:val="24"/>
          <w:szCs w:val="24"/>
          <w:lang w:eastAsia="hr-HR"/>
        </w:rPr>
        <w:t>Analize su provođene prema zahtjevima Europske direktive o vodama o praćenju prioritetnih tvari u vodama te je ocjena kemijskog stanja rađena prema važećoj europskoj i hrvatskoj regulativi</w:t>
      </w:r>
      <w:r w:rsidR="00612979">
        <w:rPr>
          <w:rFonts w:ascii="Times New Roman" w:eastAsia="Times New Roman" w:hAnsi="Times New Roman" w:cs="Times New Roman"/>
          <w:noProof/>
          <w:sz w:val="24"/>
          <w:szCs w:val="24"/>
          <w:lang w:eastAsia="hr-HR"/>
        </w:rPr>
        <w:t xml:space="preserve"> </w:t>
      </w:r>
      <w:r w:rsidRPr="00CE13A5">
        <w:rPr>
          <w:rFonts w:ascii="Times New Roman" w:eastAsia="Times New Roman" w:hAnsi="Times New Roman" w:cs="Times New Roman"/>
          <w:noProof/>
          <w:sz w:val="24"/>
          <w:szCs w:val="24"/>
          <w:lang w:eastAsia="hr-HR"/>
        </w:rPr>
        <w:t>u kojoj su definirane dozvoljene koncentracije tih tvari u vodama i bioti (</w:t>
      </w:r>
      <w:r w:rsidRPr="00CE13A5">
        <w:rPr>
          <w:rFonts w:ascii="Times New Roman" w:eastAsia="Times New Roman" w:hAnsi="Times New Roman" w:cs="Times New Roman"/>
          <w:sz w:val="24"/>
          <w:szCs w:val="24"/>
          <w:lang w:eastAsia="hr-HR"/>
        </w:rPr>
        <w:t>Narodne novine, br. 73/13 i 78/15</w:t>
      </w:r>
      <w:r w:rsidRPr="00CE13A5">
        <w:rPr>
          <w:rFonts w:ascii="Times New Roman" w:eastAsia="Calibri" w:hAnsi="Times New Roman" w:cs="Times New Roman"/>
          <w:sz w:val="24"/>
          <w:szCs w:val="24"/>
          <w:lang w:eastAsia="hr-HR"/>
        </w:rPr>
        <w:t>)</w:t>
      </w:r>
      <w:r w:rsidRPr="00CE13A5">
        <w:rPr>
          <w:rFonts w:ascii="Times New Roman" w:eastAsia="Times New Roman" w:hAnsi="Times New Roman" w:cs="Times New Roman"/>
          <w:noProof/>
          <w:sz w:val="24"/>
          <w:szCs w:val="24"/>
          <w:lang w:eastAsia="hr-HR"/>
        </w:rPr>
        <w:t xml:space="preserve">. Ocjena stanja za sediment (za koji ne postoji niti hrvatska niti europska regulativa) rađena je prema dostupnoj znanstvenoj literaturi. </w:t>
      </w:r>
    </w:p>
    <w:p w14:paraId="069FE971" w14:textId="77777777" w:rsidR="00B82A26" w:rsidRDefault="00B82A26" w:rsidP="00D84719">
      <w:pPr>
        <w:spacing w:before="80" w:line="276" w:lineRule="auto"/>
        <w:jc w:val="both"/>
        <w:rPr>
          <w:rFonts w:ascii="Times New Roman" w:eastAsia="Calibri" w:hAnsi="Times New Roman" w:cs="Times New Roman"/>
          <w:b/>
          <w:i/>
          <w:color w:val="000000"/>
          <w:sz w:val="24"/>
          <w:szCs w:val="24"/>
        </w:rPr>
      </w:pPr>
    </w:p>
    <w:p w14:paraId="3FCB58E9" w14:textId="77777777" w:rsidR="00D84719" w:rsidRPr="00FD602F" w:rsidRDefault="00D84719" w:rsidP="00D84719">
      <w:pPr>
        <w:spacing w:before="80" w:line="276" w:lineRule="auto"/>
        <w:jc w:val="both"/>
        <w:rPr>
          <w:rFonts w:ascii="Times New Roman" w:eastAsia="Calibri" w:hAnsi="Times New Roman" w:cs="Times New Roman"/>
          <w:b/>
          <w:i/>
          <w:color w:val="000000"/>
          <w:sz w:val="24"/>
          <w:szCs w:val="24"/>
        </w:rPr>
      </w:pPr>
      <w:r w:rsidRPr="00FD602F">
        <w:rPr>
          <w:rFonts w:ascii="Times New Roman" w:eastAsia="Calibri" w:hAnsi="Times New Roman" w:cs="Times New Roman"/>
          <w:b/>
          <w:i/>
          <w:color w:val="000000"/>
          <w:sz w:val="24"/>
          <w:szCs w:val="24"/>
        </w:rPr>
        <w:t>VODA</w:t>
      </w:r>
    </w:p>
    <w:p w14:paraId="771EB9B5" w14:textId="77777777" w:rsid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Praćenje POPs-ova u prijelaznim vodama tijekom 2018., obuhvatilo je tri sezonska izlaska pri čemu su praćene tri različite skupine prioritetnih tvari: heksabromociklododekan, perfluoro</w:t>
      </w:r>
      <w:r w:rsidR="00FD23AC">
        <w:rPr>
          <w:rFonts w:ascii="Times New Roman" w:eastAsia="Times New Roman" w:hAnsi="Times New Roman" w:cs="Times New Roman"/>
          <w:color w:val="000000"/>
          <w:sz w:val="24"/>
          <w:szCs w:val="24"/>
        </w:rPr>
        <w:t>o</w:t>
      </w:r>
      <w:r w:rsidRPr="00D84719">
        <w:rPr>
          <w:rFonts w:ascii="Times New Roman" w:eastAsia="Times New Roman" w:hAnsi="Times New Roman" w:cs="Times New Roman"/>
          <w:color w:val="000000"/>
          <w:sz w:val="24"/>
          <w:szCs w:val="24"/>
        </w:rPr>
        <w:t xml:space="preserve">ktanska kiselina i njezini derivati te na manjem broju lokacija organoklorovi pesticidi endosulfan i </w:t>
      </w:r>
      <w:proofErr w:type="spellStart"/>
      <w:r w:rsidRPr="00D84719">
        <w:rPr>
          <w:rFonts w:ascii="Times New Roman" w:eastAsia="Times New Roman" w:hAnsi="Times New Roman" w:cs="Times New Roman"/>
          <w:color w:val="000000"/>
          <w:sz w:val="24"/>
          <w:szCs w:val="24"/>
        </w:rPr>
        <w:t>p,p</w:t>
      </w:r>
      <w:proofErr w:type="spellEnd"/>
      <w:r w:rsidRPr="00D84719">
        <w:rPr>
          <w:rFonts w:ascii="Times New Roman" w:eastAsia="Times New Roman" w:hAnsi="Times New Roman" w:cs="Times New Roman"/>
          <w:color w:val="000000"/>
          <w:sz w:val="24"/>
          <w:szCs w:val="24"/>
        </w:rPr>
        <w:t>-DDT.</w:t>
      </w:r>
      <w:r w:rsidR="00612979">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xml:space="preserve">Na svim postajama i u svim sezonama koncentracije organoklorovih pesticida endosulfana i </w:t>
      </w:r>
      <w:proofErr w:type="spellStart"/>
      <w:r w:rsidRPr="00D84719">
        <w:rPr>
          <w:rFonts w:ascii="Times New Roman" w:eastAsia="Times New Roman" w:hAnsi="Times New Roman" w:cs="Times New Roman"/>
          <w:color w:val="000000"/>
          <w:sz w:val="24"/>
          <w:szCs w:val="24"/>
        </w:rPr>
        <w:t>p,p</w:t>
      </w:r>
      <w:proofErr w:type="spellEnd"/>
      <w:r w:rsidRPr="00D84719">
        <w:rPr>
          <w:rFonts w:ascii="Times New Roman" w:eastAsia="Times New Roman" w:hAnsi="Times New Roman" w:cs="Times New Roman"/>
          <w:color w:val="000000"/>
          <w:sz w:val="24"/>
          <w:szCs w:val="24"/>
        </w:rPr>
        <w:t>-DDT bile su ispod granice određivanja primijenjene metode (0</w:t>
      </w:r>
      <w:r w:rsidR="005D5F42">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1 i 0</w:t>
      </w:r>
      <w:r w:rsidR="005D5F42">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5 ng/l) što je niže od propisanih PGK vrijednosti. Razina HBCDD bila je u većini uzoraka niža od propisanog kriterija (PGK=0</w:t>
      </w:r>
      <w:r w:rsidR="005D5F42">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8 ng/l),</w:t>
      </w:r>
      <w:r w:rsidR="00612979">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a povišene koncentracije (do 6</w:t>
      </w:r>
      <w:r w:rsidR="005D5F42">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4 ng/l), koje ipak nisu prelazile MGK (50 ng/l) izmjerene su u estuariju Raše. Na postaji</w:t>
      </w:r>
      <w:r w:rsidR="00612979">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FP-P19 u estuariju Raše, prosječna godišnja koncentracija za cijeli vodeni stupac (1</w:t>
      </w:r>
      <w:r w:rsidR="005D5F42">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5 ng/l), a posebno za pridneni sloj (2</w:t>
      </w:r>
      <w:r w:rsidR="005D5F42">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4 ng/l) višestruko su premašivale dozvoljenu PGK.</w:t>
      </w:r>
      <w:r w:rsidR="00612979">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Izmjerene razine PFOS bile su u većini uzoraka niže od 1 ng/l, međutim, na manjem broju lokacija prelazile su PGK (0</w:t>
      </w:r>
      <w:r w:rsidR="005D5F42">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 xml:space="preserve">13 ng/l). </w:t>
      </w:r>
      <w:r w:rsidRPr="00D84719">
        <w:rPr>
          <w:rFonts w:ascii="Times New Roman" w:eastAsia="Times New Roman" w:hAnsi="Times New Roman" w:cs="Times New Roman"/>
          <w:color w:val="000000"/>
          <w:sz w:val="24"/>
          <w:szCs w:val="24"/>
        </w:rPr>
        <w:lastRenderedPageBreak/>
        <w:t>Najviše razine u rasponu 0</w:t>
      </w:r>
      <w:r w:rsidR="005D5F42">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 xml:space="preserve">5-1 ng/l izmjerene u estuarijima Neretve, Cetine, </w:t>
      </w:r>
      <w:proofErr w:type="spellStart"/>
      <w:r w:rsidRPr="00D84719">
        <w:rPr>
          <w:rFonts w:ascii="Times New Roman" w:eastAsia="Times New Roman" w:hAnsi="Times New Roman" w:cs="Times New Roman"/>
          <w:color w:val="000000"/>
          <w:sz w:val="24"/>
          <w:szCs w:val="24"/>
        </w:rPr>
        <w:t>Jadra</w:t>
      </w:r>
      <w:proofErr w:type="spellEnd"/>
      <w:r w:rsidRPr="00D84719">
        <w:rPr>
          <w:rFonts w:ascii="Times New Roman" w:eastAsia="Times New Roman" w:hAnsi="Times New Roman" w:cs="Times New Roman"/>
          <w:color w:val="000000"/>
          <w:sz w:val="24"/>
          <w:szCs w:val="24"/>
        </w:rPr>
        <w:t xml:space="preserve">, Raše, Mirne i Dragonje, s tim da su nešto više vrijednosti zabilježene u površinskom sloju. </w:t>
      </w:r>
    </w:p>
    <w:p w14:paraId="70C75780" w14:textId="77777777" w:rsidR="00F32974" w:rsidRPr="00D84719" w:rsidRDefault="00F32974" w:rsidP="00D84719">
      <w:pPr>
        <w:spacing w:before="80" w:line="276" w:lineRule="auto"/>
        <w:jc w:val="both"/>
        <w:rPr>
          <w:rFonts w:ascii="Times New Roman" w:eastAsia="Times New Roman" w:hAnsi="Times New Roman" w:cs="Times New Roman"/>
          <w:color w:val="000000"/>
          <w:sz w:val="24"/>
          <w:szCs w:val="24"/>
        </w:rPr>
      </w:pPr>
    </w:p>
    <w:p w14:paraId="2A74C85B" w14:textId="77777777" w:rsidR="00D84719" w:rsidRPr="00F32974" w:rsidRDefault="00D84719" w:rsidP="00D84719">
      <w:pPr>
        <w:spacing w:before="80" w:line="276" w:lineRule="auto"/>
        <w:jc w:val="both"/>
        <w:rPr>
          <w:rFonts w:ascii="Times New Roman" w:eastAsia="Times New Roman" w:hAnsi="Times New Roman" w:cs="Times New Roman"/>
          <w:b/>
          <w:i/>
          <w:color w:val="000000"/>
          <w:sz w:val="24"/>
          <w:szCs w:val="24"/>
        </w:rPr>
      </w:pPr>
      <w:r w:rsidRPr="00F32974">
        <w:rPr>
          <w:rFonts w:ascii="Times New Roman" w:eastAsia="Times New Roman" w:hAnsi="Times New Roman" w:cs="Times New Roman"/>
          <w:b/>
          <w:i/>
          <w:color w:val="000000"/>
          <w:sz w:val="24"/>
          <w:szCs w:val="24"/>
        </w:rPr>
        <w:t>BIOTA</w:t>
      </w:r>
    </w:p>
    <w:p w14:paraId="5D371277"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Najkritičniji pokazatelj sa stajališta zadovoljavanja kriterija u uzorcima biote predstavlja koncentracija PBDE u mišiću riba. Zbog izrazito strogog kriterija SKVO od 0</w:t>
      </w:r>
      <w:r w:rsidR="005B6D0B">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0085 ng/g za sumu reprezentativnih šest kongenera PBDE niti jedan uzorak nije zadovoljio taj kriterij. Raspon koncentracija kretao se u rasponu od 0</w:t>
      </w:r>
      <w:r w:rsidR="005B6D0B">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013 do 0</w:t>
      </w:r>
      <w:r w:rsidR="005B6D0B">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 xml:space="preserve">24 ng/g te prosječna koncentracija od 0,09 ng/g višestruko premašuje propisani kriterij, a najviše koncentracije zabilježene su u estuarijima </w:t>
      </w:r>
      <w:proofErr w:type="spellStart"/>
      <w:r w:rsidRPr="00D84719">
        <w:rPr>
          <w:rFonts w:ascii="Times New Roman" w:eastAsia="Times New Roman" w:hAnsi="Times New Roman" w:cs="Times New Roman"/>
          <w:color w:val="000000"/>
          <w:sz w:val="24"/>
          <w:szCs w:val="24"/>
        </w:rPr>
        <w:t>Omble</w:t>
      </w:r>
      <w:proofErr w:type="spellEnd"/>
      <w:r w:rsidRPr="00D84719">
        <w:rPr>
          <w:rFonts w:ascii="Times New Roman" w:eastAsia="Times New Roman" w:hAnsi="Times New Roman" w:cs="Times New Roman"/>
          <w:color w:val="000000"/>
          <w:sz w:val="24"/>
          <w:szCs w:val="24"/>
        </w:rPr>
        <w:t xml:space="preserve"> (FP-P2), Neretve (FP-P5b), Cetine (FP-6a) i Krke (FP-P13). Vrlo slična situacija nađena je i u nekim drugim područjima Europe. Problem stanja okoliša u odnosu na koncentraciju bromiranih usporivača gorenja u ribama i propisane vrijednosti SKVO nedavno je iscrpno raspravljen u preglednom radu </w:t>
      </w:r>
      <w:proofErr w:type="spellStart"/>
      <w:r w:rsidRPr="00D84719">
        <w:rPr>
          <w:rFonts w:ascii="Times New Roman" w:eastAsia="Times New Roman" w:hAnsi="Times New Roman" w:cs="Times New Roman"/>
          <w:color w:val="000000"/>
          <w:sz w:val="24"/>
          <w:szCs w:val="24"/>
        </w:rPr>
        <w:t>Eljarrat</w:t>
      </w:r>
      <w:proofErr w:type="spellEnd"/>
      <w:r w:rsidRPr="00D84719">
        <w:rPr>
          <w:rFonts w:ascii="Times New Roman" w:eastAsia="Times New Roman" w:hAnsi="Times New Roman" w:cs="Times New Roman"/>
          <w:color w:val="000000"/>
          <w:sz w:val="24"/>
          <w:szCs w:val="24"/>
        </w:rPr>
        <w:t xml:space="preserve"> i </w:t>
      </w:r>
      <w:proofErr w:type="spellStart"/>
      <w:r w:rsidRPr="00D84719">
        <w:rPr>
          <w:rFonts w:ascii="Times New Roman" w:eastAsia="Times New Roman" w:hAnsi="Times New Roman" w:cs="Times New Roman"/>
          <w:color w:val="000000"/>
          <w:sz w:val="24"/>
          <w:szCs w:val="24"/>
        </w:rPr>
        <w:t>Barcela</w:t>
      </w:r>
      <w:proofErr w:type="spellEnd"/>
      <w:r w:rsidRPr="00D84719">
        <w:rPr>
          <w:rFonts w:ascii="Times New Roman" w:eastAsia="Times New Roman" w:hAnsi="Times New Roman" w:cs="Times New Roman"/>
          <w:color w:val="000000"/>
          <w:sz w:val="24"/>
          <w:szCs w:val="24"/>
        </w:rPr>
        <w:t xml:space="preserve"> (2018.) te je ukazano da u ogromnoj većini područja koncentracije PBDE mnogostruko premašuju SKVO propisan u zemljama Europske unije. Rad naglašava da je prisutan trend smanjenja koncentracija PBDE, ali zaključuje da je dinamika smanjenja takva da se ne može očekivati da se zahtijevana razina SKVO dostigne do 2021. kako to predviđa Okvirna direktiva o vodama. S ovim problemom očito će se suočiti gotovo sve članice </w:t>
      </w:r>
      <w:r w:rsidRPr="00D84719">
        <w:rPr>
          <w:rFonts w:ascii="Times New Roman" w:eastAsia="Times New Roman" w:hAnsi="Times New Roman" w:cs="Times New Roman"/>
          <w:color w:val="000000"/>
          <w:sz w:val="24"/>
          <w:szCs w:val="24"/>
          <w:lang w:bidi="en-US"/>
        </w:rPr>
        <w:t>Europske unije</w:t>
      </w:r>
      <w:r w:rsidRPr="00D84719">
        <w:rPr>
          <w:rFonts w:ascii="Times New Roman" w:eastAsia="Times New Roman" w:hAnsi="Times New Roman" w:cs="Times New Roman"/>
          <w:color w:val="000000"/>
          <w:sz w:val="24"/>
          <w:szCs w:val="24"/>
        </w:rPr>
        <w:t xml:space="preserve"> te su potrebni sustavni dogovori oko implementacije kriterija i dodatnih mjera za smanjenje unosa PBDE na okoliš. </w:t>
      </w:r>
    </w:p>
    <w:p w14:paraId="24CC3D0B" w14:textId="77777777" w:rsidR="00D84719" w:rsidRPr="00D84719" w:rsidRDefault="00D84719" w:rsidP="00D84719">
      <w:pPr>
        <w:keepNext/>
        <w:spacing w:before="80" w:line="276" w:lineRule="auto"/>
        <w:rPr>
          <w:rFonts w:ascii="Times New Roman" w:eastAsia="Times New Roman" w:hAnsi="Times New Roman" w:cs="Times New Roman"/>
          <w:color w:val="000000"/>
          <w:szCs w:val="24"/>
        </w:rPr>
      </w:pPr>
      <w:r w:rsidRPr="00D84719">
        <w:rPr>
          <w:rFonts w:ascii="Times New Roman" w:eastAsia="Times New Roman" w:hAnsi="Times New Roman" w:cs="Times New Roman"/>
          <w:noProof/>
          <w:color w:val="000000"/>
          <w:szCs w:val="24"/>
          <w:lang w:eastAsia="hr-HR"/>
        </w:rPr>
        <w:drawing>
          <wp:inline distT="0" distB="0" distL="0" distR="0" wp14:anchorId="18C6ADCF" wp14:editId="19068FCE">
            <wp:extent cx="4354556" cy="2984422"/>
            <wp:effectExtent l="0" t="0" r="8255" b="6985"/>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4381553" cy="3002924"/>
                    </a:xfrm>
                    <a:prstGeom prst="rect">
                      <a:avLst/>
                    </a:prstGeom>
                    <a:noFill/>
                    <a:ln w="9525">
                      <a:noFill/>
                      <a:miter lim="800000"/>
                      <a:headEnd/>
                      <a:tailEnd/>
                    </a:ln>
                  </pic:spPr>
                </pic:pic>
              </a:graphicData>
            </a:graphic>
          </wp:inline>
        </w:drawing>
      </w:r>
    </w:p>
    <w:p w14:paraId="4A4E925B" w14:textId="77777777" w:rsidR="00D84719" w:rsidRPr="00D84719" w:rsidRDefault="00D84719" w:rsidP="00D84719">
      <w:pPr>
        <w:keepNext/>
        <w:spacing w:before="80" w:after="0" w:line="276" w:lineRule="auto"/>
        <w:jc w:val="both"/>
        <w:rPr>
          <w:rFonts w:ascii="Times New Roman" w:eastAsia="Times New Roman" w:hAnsi="Times New Roman" w:cs="Times New Roman"/>
          <w:b/>
          <w:bCs/>
          <w:i/>
          <w:sz w:val="20"/>
          <w:szCs w:val="20"/>
        </w:rPr>
      </w:pPr>
      <w:r w:rsidRPr="00D84719">
        <w:rPr>
          <w:rFonts w:ascii="Times New Roman" w:eastAsia="Times New Roman" w:hAnsi="Times New Roman" w:cs="Times New Roman"/>
          <w:b/>
          <w:bCs/>
          <w:i/>
          <w:sz w:val="20"/>
          <w:szCs w:val="20"/>
        </w:rPr>
        <w:t xml:space="preserve">Slika </w:t>
      </w:r>
      <w:r w:rsidRPr="00D84719">
        <w:rPr>
          <w:rFonts w:ascii="Times New Roman" w:eastAsia="Times New Roman" w:hAnsi="Times New Roman" w:cs="Times New Roman"/>
          <w:b/>
          <w:bCs/>
          <w:i/>
          <w:sz w:val="20"/>
          <w:szCs w:val="20"/>
        </w:rPr>
        <w:fldChar w:fldCharType="begin"/>
      </w:r>
      <w:r w:rsidRPr="00D84719">
        <w:rPr>
          <w:rFonts w:ascii="Times New Roman" w:eastAsia="Times New Roman" w:hAnsi="Times New Roman" w:cs="Times New Roman"/>
          <w:b/>
          <w:bCs/>
          <w:i/>
          <w:sz w:val="20"/>
          <w:szCs w:val="20"/>
        </w:rPr>
        <w:instrText xml:space="preserve"> STYLEREF 2 \s </w:instrText>
      </w:r>
      <w:r w:rsidRPr="00D84719">
        <w:rPr>
          <w:rFonts w:ascii="Times New Roman" w:eastAsia="Times New Roman" w:hAnsi="Times New Roman" w:cs="Times New Roman"/>
          <w:b/>
          <w:bCs/>
          <w:i/>
          <w:sz w:val="20"/>
          <w:szCs w:val="20"/>
        </w:rPr>
        <w:fldChar w:fldCharType="separate"/>
      </w:r>
      <w:r w:rsidRPr="00D84719">
        <w:rPr>
          <w:rFonts w:ascii="Times New Roman" w:eastAsia="Times New Roman" w:hAnsi="Times New Roman" w:cs="Times New Roman"/>
          <w:b/>
          <w:bCs/>
          <w:i/>
          <w:sz w:val="20"/>
          <w:szCs w:val="20"/>
        </w:rPr>
        <w:t>3.7</w:t>
      </w:r>
      <w:r w:rsidRPr="00D84719">
        <w:rPr>
          <w:rFonts w:ascii="Times New Roman" w:eastAsia="Times New Roman" w:hAnsi="Times New Roman" w:cs="Times New Roman"/>
          <w:b/>
          <w:bCs/>
          <w:i/>
          <w:sz w:val="20"/>
          <w:szCs w:val="20"/>
        </w:rPr>
        <w:fldChar w:fldCharType="end"/>
      </w:r>
      <w:r w:rsidRPr="00D84719">
        <w:rPr>
          <w:rFonts w:ascii="Times New Roman" w:eastAsia="Times New Roman" w:hAnsi="Times New Roman" w:cs="Times New Roman"/>
          <w:b/>
          <w:bCs/>
          <w:i/>
          <w:sz w:val="20"/>
          <w:szCs w:val="20"/>
        </w:rPr>
        <w:noBreakHyphen/>
      </w:r>
      <w:r w:rsidRPr="00D84719">
        <w:rPr>
          <w:rFonts w:ascii="Times New Roman" w:eastAsia="Times New Roman" w:hAnsi="Times New Roman" w:cs="Times New Roman"/>
          <w:b/>
          <w:bCs/>
          <w:i/>
          <w:sz w:val="20"/>
          <w:szCs w:val="20"/>
        </w:rPr>
        <w:fldChar w:fldCharType="begin"/>
      </w:r>
      <w:r w:rsidRPr="00D84719">
        <w:rPr>
          <w:rFonts w:ascii="Times New Roman" w:eastAsia="Times New Roman" w:hAnsi="Times New Roman" w:cs="Times New Roman"/>
          <w:b/>
          <w:bCs/>
          <w:i/>
          <w:sz w:val="20"/>
          <w:szCs w:val="20"/>
        </w:rPr>
        <w:instrText xml:space="preserve"> SEQ Slika \* ARABIC \s 2 </w:instrText>
      </w:r>
      <w:r w:rsidRPr="00D84719">
        <w:rPr>
          <w:rFonts w:ascii="Times New Roman" w:eastAsia="Times New Roman" w:hAnsi="Times New Roman" w:cs="Times New Roman"/>
          <w:b/>
          <w:bCs/>
          <w:i/>
          <w:sz w:val="20"/>
          <w:szCs w:val="20"/>
        </w:rPr>
        <w:fldChar w:fldCharType="separate"/>
      </w:r>
      <w:r w:rsidRPr="00D84719">
        <w:rPr>
          <w:rFonts w:ascii="Times New Roman" w:eastAsia="Times New Roman" w:hAnsi="Times New Roman" w:cs="Times New Roman"/>
          <w:b/>
          <w:bCs/>
          <w:i/>
          <w:sz w:val="20"/>
          <w:szCs w:val="20"/>
        </w:rPr>
        <w:t>11</w:t>
      </w:r>
      <w:r w:rsidRPr="00D84719">
        <w:rPr>
          <w:rFonts w:ascii="Times New Roman" w:eastAsia="Times New Roman" w:hAnsi="Times New Roman" w:cs="Times New Roman"/>
          <w:b/>
          <w:bCs/>
          <w:i/>
          <w:sz w:val="20"/>
          <w:szCs w:val="20"/>
        </w:rPr>
        <w:fldChar w:fldCharType="end"/>
      </w:r>
      <w:r w:rsidRPr="00D84719">
        <w:rPr>
          <w:rFonts w:ascii="Times New Roman" w:eastAsia="Times New Roman" w:hAnsi="Times New Roman" w:cs="Times New Roman"/>
          <w:b/>
          <w:bCs/>
          <w:i/>
          <w:sz w:val="20"/>
          <w:szCs w:val="20"/>
        </w:rPr>
        <w:t xml:space="preserve"> Raspodjela PBDE u ribama prijelaznih voda 2018. </w:t>
      </w:r>
    </w:p>
    <w:p w14:paraId="43519236" w14:textId="77777777" w:rsidR="00D84719" w:rsidRPr="00D84719" w:rsidRDefault="00D84719" w:rsidP="00D84719">
      <w:pPr>
        <w:spacing w:before="80" w:line="276" w:lineRule="auto"/>
        <w:jc w:val="both"/>
        <w:rPr>
          <w:rFonts w:ascii="Times New Roman" w:eastAsia="Times New Roman" w:hAnsi="Times New Roman" w:cs="Times New Roman"/>
          <w:color w:val="000000"/>
          <w:szCs w:val="24"/>
        </w:rPr>
      </w:pPr>
    </w:p>
    <w:p w14:paraId="2B6303B3"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Drugi tip bromiranih usporivača gorenja, HBCDD koji se analizira u cijeloj ribi, pokazuje sličan red veličine koncentracije u analiziranim ribama (&lt;0</w:t>
      </w:r>
      <w:r w:rsidR="005B6D0B">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1-0</w:t>
      </w:r>
      <w:r w:rsidR="005B6D0B">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3 ng/g; sr vrijednost 0</w:t>
      </w:r>
      <w:r w:rsidR="005B6D0B">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 xml:space="preserve">04 ng/g). Međutim, za razliku od PBDE, SKVO za HBCDD u ribama je dosta visok (167 ng/g) pa su sve izmjerene vrijednosti barem sto puta manje od propisanog kriterija. Također, treba uočiti da ne postoji korelacija između pojavljivanja povišenih razina PBDE i HBCDD. Najviše </w:t>
      </w:r>
      <w:r w:rsidRPr="00D84719">
        <w:rPr>
          <w:rFonts w:ascii="Times New Roman" w:eastAsia="Times New Roman" w:hAnsi="Times New Roman" w:cs="Times New Roman"/>
          <w:color w:val="000000"/>
          <w:sz w:val="24"/>
          <w:szCs w:val="24"/>
        </w:rPr>
        <w:lastRenderedPageBreak/>
        <w:t xml:space="preserve">koncentracije HBCDD izmjerene su u ribama iz estuarija </w:t>
      </w:r>
      <w:proofErr w:type="spellStart"/>
      <w:r w:rsidRPr="00D84719">
        <w:rPr>
          <w:rFonts w:ascii="Times New Roman" w:eastAsia="Times New Roman" w:hAnsi="Times New Roman" w:cs="Times New Roman"/>
          <w:color w:val="000000"/>
          <w:sz w:val="24"/>
          <w:szCs w:val="24"/>
        </w:rPr>
        <w:t>Omble</w:t>
      </w:r>
      <w:proofErr w:type="spellEnd"/>
      <w:r w:rsidRPr="00D84719">
        <w:rPr>
          <w:rFonts w:ascii="Times New Roman" w:eastAsia="Times New Roman" w:hAnsi="Times New Roman" w:cs="Times New Roman"/>
          <w:color w:val="000000"/>
          <w:sz w:val="24"/>
          <w:szCs w:val="24"/>
        </w:rPr>
        <w:t xml:space="preserve"> (FP-P2; 0</w:t>
      </w:r>
      <w:r w:rsidR="005B6D0B">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3 ng/g), Neretve (FP-P5b; 0</w:t>
      </w:r>
      <w:r w:rsidR="005B6D0B">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1 ng/g) i Krke (FP-P13; 0</w:t>
      </w:r>
      <w:r w:rsidR="005B6D0B">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2 ng/g). Niske koncentracije HBCD izmjerene u bioti u skladu su s relativno niskim razinama tih tvari u vodenom stupcu priobalnih voda (tipično niže od 0</w:t>
      </w:r>
      <w:r w:rsidR="005B6D0B">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 xml:space="preserve">2 ng/l). </w:t>
      </w:r>
    </w:p>
    <w:p w14:paraId="1091BAF4" w14:textId="77777777" w:rsidR="00D84719" w:rsidRPr="00D84719" w:rsidRDefault="00D84719" w:rsidP="00D84719">
      <w:pPr>
        <w:keepNext/>
        <w:spacing w:before="80" w:line="276" w:lineRule="auto"/>
        <w:jc w:val="both"/>
        <w:rPr>
          <w:rFonts w:ascii="Times New Roman" w:eastAsia="Times New Roman" w:hAnsi="Times New Roman" w:cs="Times New Roman"/>
          <w:color w:val="000000"/>
          <w:szCs w:val="24"/>
        </w:rPr>
      </w:pPr>
      <w:r w:rsidRPr="00D84719">
        <w:rPr>
          <w:rFonts w:ascii="Times New Roman" w:eastAsia="Times New Roman" w:hAnsi="Times New Roman" w:cs="Times New Roman"/>
          <w:noProof/>
          <w:color w:val="000000"/>
          <w:szCs w:val="24"/>
          <w:lang w:eastAsia="hr-HR"/>
        </w:rPr>
        <w:drawing>
          <wp:inline distT="0" distB="0" distL="0" distR="0" wp14:anchorId="2BC78EC1" wp14:editId="21BC4F71">
            <wp:extent cx="4297119" cy="2519142"/>
            <wp:effectExtent l="0" t="0" r="8255"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5" cstate="print"/>
                    <a:srcRect t="2544" b="5871"/>
                    <a:stretch/>
                  </pic:blipFill>
                  <pic:spPr bwMode="auto">
                    <a:xfrm>
                      <a:off x="0" y="0"/>
                      <a:ext cx="4303389" cy="2522818"/>
                    </a:xfrm>
                    <a:prstGeom prst="rect">
                      <a:avLst/>
                    </a:prstGeom>
                    <a:noFill/>
                    <a:ln>
                      <a:noFill/>
                    </a:ln>
                    <a:extLst>
                      <a:ext uri="{53640926-AAD7-44D8-BBD7-CCE9431645EC}">
                        <a14:shadowObscured xmlns:a14="http://schemas.microsoft.com/office/drawing/2010/main"/>
                      </a:ext>
                    </a:extLst>
                  </pic:spPr>
                </pic:pic>
              </a:graphicData>
            </a:graphic>
          </wp:inline>
        </w:drawing>
      </w:r>
    </w:p>
    <w:p w14:paraId="41BDDCB6" w14:textId="77777777" w:rsidR="00D84719" w:rsidRPr="00D84719" w:rsidRDefault="00D84719" w:rsidP="00D84719">
      <w:pPr>
        <w:keepNext/>
        <w:spacing w:before="80" w:after="0" w:line="276" w:lineRule="auto"/>
        <w:jc w:val="both"/>
        <w:rPr>
          <w:rFonts w:ascii="Times New Roman" w:eastAsia="Times New Roman" w:hAnsi="Times New Roman" w:cs="Times New Roman"/>
          <w:b/>
          <w:bCs/>
          <w:i/>
          <w:sz w:val="20"/>
          <w:szCs w:val="20"/>
        </w:rPr>
      </w:pPr>
      <w:r w:rsidRPr="00D84719">
        <w:rPr>
          <w:rFonts w:ascii="Times New Roman" w:eastAsia="Times New Roman" w:hAnsi="Times New Roman" w:cs="Times New Roman"/>
          <w:b/>
          <w:bCs/>
          <w:i/>
          <w:sz w:val="20"/>
          <w:szCs w:val="20"/>
        </w:rPr>
        <w:t xml:space="preserve">Slika </w:t>
      </w:r>
      <w:r w:rsidRPr="00D84719">
        <w:rPr>
          <w:rFonts w:ascii="Times New Roman" w:eastAsia="Times New Roman" w:hAnsi="Times New Roman" w:cs="Times New Roman"/>
          <w:b/>
          <w:bCs/>
          <w:i/>
          <w:sz w:val="20"/>
          <w:szCs w:val="20"/>
        </w:rPr>
        <w:fldChar w:fldCharType="begin"/>
      </w:r>
      <w:r w:rsidRPr="00D84719">
        <w:rPr>
          <w:rFonts w:ascii="Times New Roman" w:eastAsia="Times New Roman" w:hAnsi="Times New Roman" w:cs="Times New Roman"/>
          <w:b/>
          <w:bCs/>
          <w:i/>
          <w:sz w:val="20"/>
          <w:szCs w:val="20"/>
        </w:rPr>
        <w:instrText xml:space="preserve"> STYLEREF 2 \s </w:instrText>
      </w:r>
      <w:r w:rsidRPr="00D84719">
        <w:rPr>
          <w:rFonts w:ascii="Times New Roman" w:eastAsia="Times New Roman" w:hAnsi="Times New Roman" w:cs="Times New Roman"/>
          <w:b/>
          <w:bCs/>
          <w:i/>
          <w:sz w:val="20"/>
          <w:szCs w:val="20"/>
        </w:rPr>
        <w:fldChar w:fldCharType="separate"/>
      </w:r>
      <w:r w:rsidRPr="00D84719">
        <w:rPr>
          <w:rFonts w:ascii="Times New Roman" w:eastAsia="Times New Roman" w:hAnsi="Times New Roman" w:cs="Times New Roman"/>
          <w:b/>
          <w:bCs/>
          <w:i/>
          <w:sz w:val="20"/>
          <w:szCs w:val="20"/>
        </w:rPr>
        <w:t>3.7</w:t>
      </w:r>
      <w:r w:rsidRPr="00D84719">
        <w:rPr>
          <w:rFonts w:ascii="Times New Roman" w:eastAsia="Times New Roman" w:hAnsi="Times New Roman" w:cs="Times New Roman"/>
          <w:b/>
          <w:bCs/>
          <w:i/>
          <w:sz w:val="20"/>
          <w:szCs w:val="20"/>
        </w:rPr>
        <w:fldChar w:fldCharType="end"/>
      </w:r>
      <w:r w:rsidRPr="00D84719">
        <w:rPr>
          <w:rFonts w:ascii="Times New Roman" w:eastAsia="Times New Roman" w:hAnsi="Times New Roman" w:cs="Times New Roman"/>
          <w:b/>
          <w:bCs/>
          <w:i/>
          <w:sz w:val="20"/>
          <w:szCs w:val="20"/>
        </w:rPr>
        <w:noBreakHyphen/>
      </w:r>
      <w:r w:rsidRPr="00D84719">
        <w:rPr>
          <w:rFonts w:ascii="Times New Roman" w:eastAsia="Times New Roman" w:hAnsi="Times New Roman" w:cs="Times New Roman"/>
          <w:b/>
          <w:bCs/>
          <w:i/>
          <w:sz w:val="20"/>
          <w:szCs w:val="20"/>
        </w:rPr>
        <w:fldChar w:fldCharType="begin"/>
      </w:r>
      <w:r w:rsidRPr="00D84719">
        <w:rPr>
          <w:rFonts w:ascii="Times New Roman" w:eastAsia="Times New Roman" w:hAnsi="Times New Roman" w:cs="Times New Roman"/>
          <w:b/>
          <w:bCs/>
          <w:i/>
          <w:sz w:val="20"/>
          <w:szCs w:val="20"/>
        </w:rPr>
        <w:instrText xml:space="preserve"> SEQ Slika \* ARABIC \s 2 </w:instrText>
      </w:r>
      <w:r w:rsidRPr="00D84719">
        <w:rPr>
          <w:rFonts w:ascii="Times New Roman" w:eastAsia="Times New Roman" w:hAnsi="Times New Roman" w:cs="Times New Roman"/>
          <w:b/>
          <w:bCs/>
          <w:i/>
          <w:sz w:val="20"/>
          <w:szCs w:val="20"/>
        </w:rPr>
        <w:fldChar w:fldCharType="separate"/>
      </w:r>
      <w:r w:rsidRPr="00D84719">
        <w:rPr>
          <w:rFonts w:ascii="Times New Roman" w:eastAsia="Times New Roman" w:hAnsi="Times New Roman" w:cs="Times New Roman"/>
          <w:b/>
          <w:bCs/>
          <w:i/>
          <w:sz w:val="20"/>
          <w:szCs w:val="20"/>
        </w:rPr>
        <w:t>12</w:t>
      </w:r>
      <w:r w:rsidRPr="00D84719">
        <w:rPr>
          <w:rFonts w:ascii="Times New Roman" w:eastAsia="Times New Roman" w:hAnsi="Times New Roman" w:cs="Times New Roman"/>
          <w:b/>
          <w:bCs/>
          <w:i/>
          <w:sz w:val="20"/>
          <w:szCs w:val="20"/>
        </w:rPr>
        <w:fldChar w:fldCharType="end"/>
      </w:r>
      <w:r w:rsidRPr="00D84719">
        <w:rPr>
          <w:rFonts w:ascii="Times New Roman" w:eastAsia="Times New Roman" w:hAnsi="Times New Roman" w:cs="Times New Roman"/>
          <w:b/>
          <w:bCs/>
          <w:i/>
          <w:sz w:val="20"/>
          <w:szCs w:val="20"/>
        </w:rPr>
        <w:t xml:space="preserve"> Raspodjela HBCDD u ribama prijelaznih voda 2018. </w:t>
      </w:r>
    </w:p>
    <w:p w14:paraId="2BC90331" w14:textId="77777777" w:rsidR="00D84719" w:rsidRPr="00D84719" w:rsidRDefault="00D84719" w:rsidP="00D84719">
      <w:pPr>
        <w:spacing w:before="80" w:line="276" w:lineRule="auto"/>
        <w:jc w:val="both"/>
        <w:rPr>
          <w:rFonts w:ascii="Times New Roman" w:eastAsia="Times New Roman" w:hAnsi="Times New Roman" w:cs="Times New Roman"/>
          <w:color w:val="000000"/>
          <w:szCs w:val="24"/>
        </w:rPr>
      </w:pPr>
    </w:p>
    <w:p w14:paraId="598C36CE"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Koncentracije bromiranih usporivača gorenja zanimljivo je usporediti s nekim klasičnim lipofilnim prioritetnim tvarima poput primjerice kloriranih insekticida i dioksina. Koncentracije heptaklora i heptakloroepoksida bile su u većini uzoraka niže od granice određivanja (0,05 ng/g) te ne ukazuju na neko značajnije onečišćenje tim sastojcima. Međutim, treba naglasiti da je SKVO za heptaklor i heptakloroepoksid vrlo rigorozan (0</w:t>
      </w:r>
      <w:r w:rsidR="00632D56">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0067 ng/g) te se dostupnom metodom (granica određivanja 0</w:t>
      </w:r>
      <w:r w:rsidR="00632D56">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05 ng/g) ne može utvrditi ispunjavanje kriterija SKVO. Za vrlo sličan klorirani insekticid, heksaklorobenzen, heksaklorobenzen kriterij je mnogo blaži (SKVO 10 ng/g) i sve izmjerene vrijednosti (raspon 0</w:t>
      </w:r>
      <w:r w:rsidR="00632D56">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04 do 0</w:t>
      </w:r>
      <w:r w:rsidR="00632D56">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16 ng/g) znatno su niže od propisanih, a njihova prostorna varijabilnost ne ukazuje na postojanje značajnijih izvora. Razine heksaklorobenzena u ribama vrlo su sličnog reda veličine kao za PBDE.</w:t>
      </w:r>
    </w:p>
    <w:p w14:paraId="731F6C07" w14:textId="77777777" w:rsidR="00D84719" w:rsidRPr="00D84719" w:rsidRDefault="00D84719" w:rsidP="00D84719">
      <w:pPr>
        <w:keepNext/>
        <w:spacing w:before="80" w:line="276" w:lineRule="auto"/>
        <w:jc w:val="both"/>
        <w:rPr>
          <w:rFonts w:ascii="Times New Roman" w:eastAsia="Times New Roman" w:hAnsi="Times New Roman" w:cs="Times New Roman"/>
          <w:color w:val="000000"/>
          <w:szCs w:val="24"/>
        </w:rPr>
      </w:pPr>
      <w:r w:rsidRPr="00D84719">
        <w:rPr>
          <w:rFonts w:ascii="Times New Roman" w:eastAsia="Times New Roman" w:hAnsi="Times New Roman" w:cs="Times New Roman"/>
          <w:noProof/>
          <w:color w:val="000000"/>
          <w:szCs w:val="24"/>
          <w:lang w:eastAsia="hr-HR"/>
        </w:rPr>
        <w:lastRenderedPageBreak/>
        <w:drawing>
          <wp:inline distT="0" distB="0" distL="0" distR="0" wp14:anchorId="504066E9" wp14:editId="51B8CFB6">
            <wp:extent cx="4680000" cy="2995683"/>
            <wp:effectExtent l="0" t="0" r="6350"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srcRect/>
                    <a:stretch>
                      <a:fillRect/>
                    </a:stretch>
                  </pic:blipFill>
                  <pic:spPr bwMode="auto">
                    <a:xfrm>
                      <a:off x="0" y="0"/>
                      <a:ext cx="4680000" cy="2995683"/>
                    </a:xfrm>
                    <a:prstGeom prst="rect">
                      <a:avLst/>
                    </a:prstGeom>
                    <a:noFill/>
                    <a:ln w="9525">
                      <a:noFill/>
                      <a:miter lim="800000"/>
                      <a:headEnd/>
                      <a:tailEnd/>
                    </a:ln>
                  </pic:spPr>
                </pic:pic>
              </a:graphicData>
            </a:graphic>
          </wp:inline>
        </w:drawing>
      </w:r>
    </w:p>
    <w:p w14:paraId="178037AA" w14:textId="77777777" w:rsidR="00D84719" w:rsidRPr="00D84719" w:rsidRDefault="00D84719" w:rsidP="00D84719">
      <w:pPr>
        <w:keepNext/>
        <w:spacing w:before="80" w:after="0" w:line="276" w:lineRule="auto"/>
        <w:jc w:val="both"/>
        <w:rPr>
          <w:rFonts w:ascii="Times New Roman" w:eastAsia="Times New Roman" w:hAnsi="Times New Roman" w:cs="Times New Roman"/>
          <w:b/>
          <w:bCs/>
          <w:i/>
          <w:sz w:val="20"/>
          <w:szCs w:val="20"/>
        </w:rPr>
      </w:pPr>
      <w:r w:rsidRPr="00D84719">
        <w:rPr>
          <w:rFonts w:ascii="Times New Roman" w:eastAsia="Times New Roman" w:hAnsi="Times New Roman" w:cs="Times New Roman"/>
          <w:b/>
          <w:bCs/>
          <w:i/>
          <w:sz w:val="20"/>
          <w:szCs w:val="20"/>
        </w:rPr>
        <w:t xml:space="preserve">Slika </w:t>
      </w:r>
      <w:r w:rsidRPr="00D84719">
        <w:rPr>
          <w:rFonts w:ascii="Times New Roman" w:eastAsia="Times New Roman" w:hAnsi="Times New Roman" w:cs="Times New Roman"/>
          <w:b/>
          <w:bCs/>
          <w:i/>
          <w:sz w:val="20"/>
          <w:szCs w:val="20"/>
        </w:rPr>
        <w:fldChar w:fldCharType="begin"/>
      </w:r>
      <w:r w:rsidRPr="00D84719">
        <w:rPr>
          <w:rFonts w:ascii="Times New Roman" w:eastAsia="Times New Roman" w:hAnsi="Times New Roman" w:cs="Times New Roman"/>
          <w:b/>
          <w:bCs/>
          <w:i/>
          <w:sz w:val="20"/>
          <w:szCs w:val="20"/>
        </w:rPr>
        <w:instrText xml:space="preserve"> STYLEREF 2 \s </w:instrText>
      </w:r>
      <w:r w:rsidRPr="00D84719">
        <w:rPr>
          <w:rFonts w:ascii="Times New Roman" w:eastAsia="Times New Roman" w:hAnsi="Times New Roman" w:cs="Times New Roman"/>
          <w:b/>
          <w:bCs/>
          <w:i/>
          <w:sz w:val="20"/>
          <w:szCs w:val="20"/>
        </w:rPr>
        <w:fldChar w:fldCharType="separate"/>
      </w:r>
      <w:r w:rsidRPr="00D84719">
        <w:rPr>
          <w:rFonts w:ascii="Times New Roman" w:eastAsia="Times New Roman" w:hAnsi="Times New Roman" w:cs="Times New Roman"/>
          <w:b/>
          <w:bCs/>
          <w:i/>
          <w:sz w:val="20"/>
          <w:szCs w:val="20"/>
        </w:rPr>
        <w:t>3.7</w:t>
      </w:r>
      <w:r w:rsidRPr="00D84719">
        <w:rPr>
          <w:rFonts w:ascii="Times New Roman" w:eastAsia="Times New Roman" w:hAnsi="Times New Roman" w:cs="Times New Roman"/>
          <w:b/>
          <w:bCs/>
          <w:i/>
          <w:sz w:val="20"/>
          <w:szCs w:val="20"/>
        </w:rPr>
        <w:fldChar w:fldCharType="end"/>
      </w:r>
      <w:r w:rsidRPr="00D84719">
        <w:rPr>
          <w:rFonts w:ascii="Times New Roman" w:eastAsia="Times New Roman" w:hAnsi="Times New Roman" w:cs="Times New Roman"/>
          <w:b/>
          <w:bCs/>
          <w:i/>
          <w:sz w:val="20"/>
          <w:szCs w:val="20"/>
        </w:rPr>
        <w:noBreakHyphen/>
      </w:r>
      <w:r w:rsidRPr="00D84719">
        <w:rPr>
          <w:rFonts w:ascii="Times New Roman" w:eastAsia="Times New Roman" w:hAnsi="Times New Roman" w:cs="Times New Roman"/>
          <w:b/>
          <w:bCs/>
          <w:i/>
          <w:sz w:val="20"/>
          <w:szCs w:val="20"/>
        </w:rPr>
        <w:fldChar w:fldCharType="begin"/>
      </w:r>
      <w:r w:rsidRPr="00D84719">
        <w:rPr>
          <w:rFonts w:ascii="Times New Roman" w:eastAsia="Times New Roman" w:hAnsi="Times New Roman" w:cs="Times New Roman"/>
          <w:b/>
          <w:bCs/>
          <w:i/>
          <w:sz w:val="20"/>
          <w:szCs w:val="20"/>
        </w:rPr>
        <w:instrText xml:space="preserve"> SEQ Slika \* ARABIC \s 2 </w:instrText>
      </w:r>
      <w:r w:rsidRPr="00D84719">
        <w:rPr>
          <w:rFonts w:ascii="Times New Roman" w:eastAsia="Times New Roman" w:hAnsi="Times New Roman" w:cs="Times New Roman"/>
          <w:b/>
          <w:bCs/>
          <w:i/>
          <w:sz w:val="20"/>
          <w:szCs w:val="20"/>
        </w:rPr>
        <w:fldChar w:fldCharType="separate"/>
      </w:r>
      <w:r w:rsidRPr="00D84719">
        <w:rPr>
          <w:rFonts w:ascii="Times New Roman" w:eastAsia="Times New Roman" w:hAnsi="Times New Roman" w:cs="Times New Roman"/>
          <w:b/>
          <w:bCs/>
          <w:i/>
          <w:sz w:val="20"/>
          <w:szCs w:val="20"/>
        </w:rPr>
        <w:t>13</w:t>
      </w:r>
      <w:r w:rsidRPr="00D84719">
        <w:rPr>
          <w:rFonts w:ascii="Times New Roman" w:eastAsia="Times New Roman" w:hAnsi="Times New Roman" w:cs="Times New Roman"/>
          <w:b/>
          <w:bCs/>
          <w:i/>
          <w:sz w:val="20"/>
          <w:szCs w:val="20"/>
        </w:rPr>
        <w:fldChar w:fldCharType="end"/>
      </w:r>
      <w:r w:rsidRPr="00D84719">
        <w:rPr>
          <w:rFonts w:ascii="Times New Roman" w:eastAsia="Times New Roman" w:hAnsi="Times New Roman" w:cs="Times New Roman"/>
          <w:b/>
          <w:bCs/>
          <w:i/>
          <w:sz w:val="20"/>
          <w:szCs w:val="20"/>
        </w:rPr>
        <w:t xml:space="preserve"> Raspodjela HCB u</w:t>
      </w:r>
      <w:r w:rsidR="00612979">
        <w:rPr>
          <w:rFonts w:ascii="Times New Roman" w:eastAsia="Times New Roman" w:hAnsi="Times New Roman" w:cs="Times New Roman"/>
          <w:b/>
          <w:bCs/>
          <w:i/>
          <w:sz w:val="20"/>
          <w:szCs w:val="20"/>
        </w:rPr>
        <w:t xml:space="preserve"> </w:t>
      </w:r>
      <w:r w:rsidRPr="00D84719">
        <w:rPr>
          <w:rFonts w:ascii="Times New Roman" w:eastAsia="Times New Roman" w:hAnsi="Times New Roman" w:cs="Times New Roman"/>
          <w:b/>
          <w:bCs/>
          <w:i/>
          <w:sz w:val="20"/>
          <w:szCs w:val="20"/>
        </w:rPr>
        <w:t xml:space="preserve">ribama prijelaznih voda 2018. </w:t>
      </w:r>
    </w:p>
    <w:p w14:paraId="2CE4369F" w14:textId="77777777" w:rsidR="00D84719" w:rsidRPr="00D84719" w:rsidRDefault="00D84719" w:rsidP="00D84719">
      <w:pPr>
        <w:spacing w:before="80" w:line="276" w:lineRule="auto"/>
        <w:jc w:val="both"/>
        <w:rPr>
          <w:rFonts w:ascii="Times New Roman" w:eastAsia="Times New Roman" w:hAnsi="Times New Roman" w:cs="Times New Roman"/>
          <w:color w:val="000000"/>
          <w:szCs w:val="24"/>
        </w:rPr>
      </w:pPr>
    </w:p>
    <w:p w14:paraId="4A103EA3"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Razina dioksina i njima srodnih spojeva kretale su se u rasponu od &lt;0</w:t>
      </w:r>
      <w:r w:rsidR="00632D56">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00002 do 0</w:t>
      </w:r>
      <w:r w:rsidR="00632D56">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0025 ng/g TEQ te su u svim uzorcima bile niže od propisanog SKVO (0</w:t>
      </w:r>
      <w:r w:rsidR="00632D56">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 xml:space="preserve">0065 ng/g TEQ). Najviše su razine zabilježene u estuarijima </w:t>
      </w:r>
      <w:proofErr w:type="spellStart"/>
      <w:r w:rsidRPr="00D84719">
        <w:rPr>
          <w:rFonts w:ascii="Times New Roman" w:eastAsia="Times New Roman" w:hAnsi="Times New Roman" w:cs="Times New Roman"/>
          <w:color w:val="000000"/>
          <w:sz w:val="24"/>
          <w:szCs w:val="24"/>
        </w:rPr>
        <w:t>Omble</w:t>
      </w:r>
      <w:proofErr w:type="spellEnd"/>
      <w:r w:rsidRPr="00D84719">
        <w:rPr>
          <w:rFonts w:ascii="Times New Roman" w:eastAsia="Times New Roman" w:hAnsi="Times New Roman" w:cs="Times New Roman"/>
          <w:color w:val="000000"/>
          <w:sz w:val="24"/>
          <w:szCs w:val="24"/>
        </w:rPr>
        <w:t xml:space="preserve"> (FP-P2; 0</w:t>
      </w:r>
      <w:r w:rsidR="00632D56">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0025 ng/g TEQ) i Krke (FP-P11; 0</w:t>
      </w:r>
      <w:r w:rsidR="00632D56">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0025 ng/g TEQ).</w:t>
      </w:r>
    </w:p>
    <w:p w14:paraId="6C3FDAFD" w14:textId="77777777" w:rsidR="00D84719" w:rsidRPr="00D84719" w:rsidRDefault="00D84719" w:rsidP="00D84719">
      <w:pPr>
        <w:keepNext/>
        <w:spacing w:before="80" w:line="276" w:lineRule="auto"/>
        <w:jc w:val="both"/>
        <w:rPr>
          <w:rFonts w:ascii="Times New Roman" w:eastAsia="Times New Roman" w:hAnsi="Times New Roman" w:cs="Times New Roman"/>
          <w:color w:val="000000"/>
          <w:szCs w:val="24"/>
        </w:rPr>
      </w:pPr>
      <w:r w:rsidRPr="00D84719">
        <w:rPr>
          <w:rFonts w:ascii="Times New Roman" w:eastAsia="Times New Roman" w:hAnsi="Times New Roman" w:cs="Times New Roman"/>
          <w:noProof/>
          <w:color w:val="000000"/>
          <w:szCs w:val="24"/>
          <w:lang w:eastAsia="hr-HR"/>
        </w:rPr>
        <w:drawing>
          <wp:inline distT="0" distB="0" distL="0" distR="0" wp14:anchorId="3A055581" wp14:editId="79AE0E47">
            <wp:extent cx="4044677" cy="2565588"/>
            <wp:effectExtent l="0" t="0" r="0" b="635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a:off x="0" y="0"/>
                      <a:ext cx="4054279" cy="2571679"/>
                    </a:xfrm>
                    <a:prstGeom prst="rect">
                      <a:avLst/>
                    </a:prstGeom>
                    <a:noFill/>
                    <a:ln w="9525">
                      <a:noFill/>
                      <a:miter lim="800000"/>
                      <a:headEnd/>
                      <a:tailEnd/>
                    </a:ln>
                  </pic:spPr>
                </pic:pic>
              </a:graphicData>
            </a:graphic>
          </wp:inline>
        </w:drawing>
      </w:r>
    </w:p>
    <w:p w14:paraId="68C10BB3" w14:textId="77777777" w:rsidR="00D84719" w:rsidRPr="00D84719" w:rsidRDefault="00D84719" w:rsidP="00D84719">
      <w:pPr>
        <w:keepNext/>
        <w:spacing w:before="80" w:after="0" w:line="276" w:lineRule="auto"/>
        <w:jc w:val="both"/>
        <w:rPr>
          <w:rFonts w:ascii="Times New Roman" w:eastAsia="Times New Roman" w:hAnsi="Times New Roman" w:cs="Times New Roman"/>
          <w:b/>
          <w:bCs/>
          <w:i/>
          <w:sz w:val="20"/>
          <w:szCs w:val="20"/>
        </w:rPr>
      </w:pPr>
      <w:r w:rsidRPr="00D84719">
        <w:rPr>
          <w:rFonts w:ascii="Times New Roman" w:eastAsia="Times New Roman" w:hAnsi="Times New Roman" w:cs="Times New Roman"/>
          <w:b/>
          <w:bCs/>
          <w:i/>
          <w:sz w:val="20"/>
          <w:szCs w:val="20"/>
        </w:rPr>
        <w:t xml:space="preserve">Slika </w:t>
      </w:r>
      <w:r w:rsidRPr="00D84719">
        <w:rPr>
          <w:rFonts w:ascii="Times New Roman" w:eastAsia="Times New Roman" w:hAnsi="Times New Roman" w:cs="Times New Roman"/>
          <w:b/>
          <w:bCs/>
          <w:i/>
          <w:sz w:val="20"/>
          <w:szCs w:val="20"/>
        </w:rPr>
        <w:fldChar w:fldCharType="begin"/>
      </w:r>
      <w:r w:rsidRPr="00D84719">
        <w:rPr>
          <w:rFonts w:ascii="Times New Roman" w:eastAsia="Times New Roman" w:hAnsi="Times New Roman" w:cs="Times New Roman"/>
          <w:b/>
          <w:bCs/>
          <w:i/>
          <w:sz w:val="20"/>
          <w:szCs w:val="20"/>
        </w:rPr>
        <w:instrText xml:space="preserve"> STYLEREF 2 \s </w:instrText>
      </w:r>
      <w:r w:rsidRPr="00D84719">
        <w:rPr>
          <w:rFonts w:ascii="Times New Roman" w:eastAsia="Times New Roman" w:hAnsi="Times New Roman" w:cs="Times New Roman"/>
          <w:b/>
          <w:bCs/>
          <w:i/>
          <w:sz w:val="20"/>
          <w:szCs w:val="20"/>
        </w:rPr>
        <w:fldChar w:fldCharType="separate"/>
      </w:r>
      <w:r w:rsidRPr="00D84719">
        <w:rPr>
          <w:rFonts w:ascii="Times New Roman" w:eastAsia="Times New Roman" w:hAnsi="Times New Roman" w:cs="Times New Roman"/>
          <w:b/>
          <w:bCs/>
          <w:i/>
          <w:sz w:val="20"/>
          <w:szCs w:val="20"/>
        </w:rPr>
        <w:t>3.7</w:t>
      </w:r>
      <w:r w:rsidRPr="00D84719">
        <w:rPr>
          <w:rFonts w:ascii="Times New Roman" w:eastAsia="Times New Roman" w:hAnsi="Times New Roman" w:cs="Times New Roman"/>
          <w:b/>
          <w:bCs/>
          <w:i/>
          <w:sz w:val="20"/>
          <w:szCs w:val="20"/>
        </w:rPr>
        <w:fldChar w:fldCharType="end"/>
      </w:r>
      <w:r w:rsidRPr="00D84719">
        <w:rPr>
          <w:rFonts w:ascii="Times New Roman" w:eastAsia="Times New Roman" w:hAnsi="Times New Roman" w:cs="Times New Roman"/>
          <w:b/>
          <w:bCs/>
          <w:i/>
          <w:sz w:val="20"/>
          <w:szCs w:val="20"/>
        </w:rPr>
        <w:noBreakHyphen/>
      </w:r>
      <w:r w:rsidRPr="00D84719">
        <w:rPr>
          <w:rFonts w:ascii="Times New Roman" w:eastAsia="Times New Roman" w:hAnsi="Times New Roman" w:cs="Times New Roman"/>
          <w:b/>
          <w:bCs/>
          <w:i/>
          <w:sz w:val="20"/>
          <w:szCs w:val="20"/>
        </w:rPr>
        <w:fldChar w:fldCharType="begin"/>
      </w:r>
      <w:r w:rsidRPr="00D84719">
        <w:rPr>
          <w:rFonts w:ascii="Times New Roman" w:eastAsia="Times New Roman" w:hAnsi="Times New Roman" w:cs="Times New Roman"/>
          <w:b/>
          <w:bCs/>
          <w:i/>
          <w:sz w:val="20"/>
          <w:szCs w:val="20"/>
        </w:rPr>
        <w:instrText xml:space="preserve"> SEQ Slika \* ARABIC \s 2 </w:instrText>
      </w:r>
      <w:r w:rsidRPr="00D84719">
        <w:rPr>
          <w:rFonts w:ascii="Times New Roman" w:eastAsia="Times New Roman" w:hAnsi="Times New Roman" w:cs="Times New Roman"/>
          <w:b/>
          <w:bCs/>
          <w:i/>
          <w:sz w:val="20"/>
          <w:szCs w:val="20"/>
        </w:rPr>
        <w:fldChar w:fldCharType="separate"/>
      </w:r>
      <w:r w:rsidRPr="00D84719">
        <w:rPr>
          <w:rFonts w:ascii="Times New Roman" w:eastAsia="Times New Roman" w:hAnsi="Times New Roman" w:cs="Times New Roman"/>
          <w:b/>
          <w:bCs/>
          <w:i/>
          <w:sz w:val="20"/>
          <w:szCs w:val="20"/>
        </w:rPr>
        <w:t>14</w:t>
      </w:r>
      <w:r w:rsidRPr="00D84719">
        <w:rPr>
          <w:rFonts w:ascii="Times New Roman" w:eastAsia="Times New Roman" w:hAnsi="Times New Roman" w:cs="Times New Roman"/>
          <w:b/>
          <w:bCs/>
          <w:i/>
          <w:sz w:val="20"/>
          <w:szCs w:val="20"/>
        </w:rPr>
        <w:fldChar w:fldCharType="end"/>
      </w:r>
      <w:r w:rsidRPr="00D84719">
        <w:rPr>
          <w:rFonts w:ascii="Times New Roman" w:eastAsia="Times New Roman" w:hAnsi="Times New Roman" w:cs="Times New Roman"/>
          <w:b/>
          <w:bCs/>
          <w:i/>
          <w:sz w:val="20"/>
          <w:szCs w:val="20"/>
        </w:rPr>
        <w:t xml:space="preserve"> Raspodjela dioksina i njima srodnih spojeva u</w:t>
      </w:r>
      <w:r w:rsidR="00612979">
        <w:rPr>
          <w:rFonts w:ascii="Times New Roman" w:eastAsia="Times New Roman" w:hAnsi="Times New Roman" w:cs="Times New Roman"/>
          <w:b/>
          <w:bCs/>
          <w:i/>
          <w:sz w:val="20"/>
          <w:szCs w:val="20"/>
        </w:rPr>
        <w:t xml:space="preserve"> </w:t>
      </w:r>
      <w:r w:rsidRPr="00D84719">
        <w:rPr>
          <w:rFonts w:ascii="Times New Roman" w:eastAsia="Times New Roman" w:hAnsi="Times New Roman" w:cs="Times New Roman"/>
          <w:b/>
          <w:bCs/>
          <w:i/>
          <w:sz w:val="20"/>
          <w:szCs w:val="20"/>
        </w:rPr>
        <w:t xml:space="preserve">ribama prijelaznih voda 2018. </w:t>
      </w:r>
    </w:p>
    <w:p w14:paraId="50EAD287" w14:textId="77777777" w:rsidR="00D84719" w:rsidRPr="00D84719" w:rsidRDefault="00D84719" w:rsidP="00D84719">
      <w:pPr>
        <w:spacing w:before="80" w:line="276" w:lineRule="auto"/>
        <w:jc w:val="both"/>
        <w:rPr>
          <w:rFonts w:ascii="Times New Roman" w:eastAsia="Times New Roman" w:hAnsi="Times New Roman" w:cs="Times New Roman"/>
          <w:color w:val="000000"/>
          <w:szCs w:val="24"/>
        </w:rPr>
      </w:pPr>
    </w:p>
    <w:p w14:paraId="5B9B7296" w14:textId="607E8F78"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PFOS su kemijski spojevi koji uz lipofilna svojstva imaju i polarni karakter te po svojim fizikalno-kemijskim značajkama pripadaju u skupinu tenzida. To svojstvo ih dosta razlikuje od ostalih tipova perzistentnih prioritetnih tvari. Njihova koncentracija u ribama kretala se u rasponu od 0</w:t>
      </w:r>
      <w:r w:rsidR="00632D56">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1 do 1 ng/g, što je dosta niže od propisanog kriterija SKVO (9</w:t>
      </w:r>
      <w:r w:rsidR="00632D56">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 xml:space="preserve">1 ng/g). Sadašnja </w:t>
      </w:r>
      <w:r w:rsidRPr="00D84719">
        <w:rPr>
          <w:rFonts w:ascii="Times New Roman" w:eastAsia="Times New Roman" w:hAnsi="Times New Roman" w:cs="Times New Roman"/>
          <w:color w:val="000000"/>
          <w:sz w:val="24"/>
          <w:szCs w:val="24"/>
        </w:rPr>
        <w:lastRenderedPageBreak/>
        <w:t>razina onečišćenja u bioti ne premašuje 10</w:t>
      </w:r>
      <w:r w:rsidR="00D4589D">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xml:space="preserve"> propisanih vrijednosti te se čini da ne postoji naglašena neposredna opasnost od njihovog prekoračenja.</w:t>
      </w:r>
    </w:p>
    <w:p w14:paraId="7587D3C2" w14:textId="77777777" w:rsidR="00D84719" w:rsidRPr="00D84719" w:rsidRDefault="00D84719" w:rsidP="00D84719">
      <w:pPr>
        <w:keepNext/>
        <w:spacing w:before="80" w:line="276" w:lineRule="auto"/>
        <w:jc w:val="both"/>
        <w:rPr>
          <w:rFonts w:ascii="Times New Roman" w:eastAsia="Times New Roman" w:hAnsi="Times New Roman" w:cs="Times New Roman"/>
          <w:color w:val="000000"/>
          <w:szCs w:val="24"/>
        </w:rPr>
      </w:pPr>
      <w:r w:rsidRPr="00D84719">
        <w:rPr>
          <w:rFonts w:ascii="Times New Roman" w:eastAsia="Times New Roman" w:hAnsi="Times New Roman" w:cs="Times New Roman"/>
          <w:noProof/>
          <w:color w:val="000000"/>
          <w:szCs w:val="24"/>
          <w:lang w:eastAsia="hr-HR"/>
        </w:rPr>
        <w:drawing>
          <wp:inline distT="0" distB="0" distL="0" distR="0" wp14:anchorId="2566A086" wp14:editId="6D28E95A">
            <wp:extent cx="4212971" cy="2892506"/>
            <wp:effectExtent l="0" t="0" r="0" b="3175"/>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srcRect/>
                    <a:stretch>
                      <a:fillRect/>
                    </a:stretch>
                  </pic:blipFill>
                  <pic:spPr bwMode="auto">
                    <a:xfrm>
                      <a:off x="0" y="0"/>
                      <a:ext cx="4218105" cy="2896031"/>
                    </a:xfrm>
                    <a:prstGeom prst="rect">
                      <a:avLst/>
                    </a:prstGeom>
                    <a:noFill/>
                    <a:ln w="9525">
                      <a:noFill/>
                      <a:miter lim="800000"/>
                      <a:headEnd/>
                      <a:tailEnd/>
                    </a:ln>
                  </pic:spPr>
                </pic:pic>
              </a:graphicData>
            </a:graphic>
          </wp:inline>
        </w:drawing>
      </w:r>
    </w:p>
    <w:p w14:paraId="76D3AF8F" w14:textId="77777777" w:rsidR="00D84719" w:rsidRPr="00D84719" w:rsidRDefault="00D84719" w:rsidP="00D84719">
      <w:pPr>
        <w:keepNext/>
        <w:spacing w:before="80" w:after="0" w:line="276" w:lineRule="auto"/>
        <w:jc w:val="both"/>
        <w:rPr>
          <w:rFonts w:ascii="Times New Roman" w:eastAsia="Times New Roman" w:hAnsi="Times New Roman" w:cs="Times New Roman"/>
          <w:b/>
          <w:bCs/>
          <w:i/>
          <w:sz w:val="20"/>
          <w:szCs w:val="20"/>
        </w:rPr>
      </w:pPr>
      <w:r w:rsidRPr="00D84719">
        <w:rPr>
          <w:rFonts w:ascii="Times New Roman" w:eastAsia="Times New Roman" w:hAnsi="Times New Roman" w:cs="Times New Roman"/>
          <w:b/>
          <w:bCs/>
          <w:i/>
          <w:sz w:val="20"/>
          <w:szCs w:val="20"/>
        </w:rPr>
        <w:t xml:space="preserve">Slika </w:t>
      </w:r>
      <w:r w:rsidRPr="00D84719">
        <w:rPr>
          <w:rFonts w:ascii="Times New Roman" w:eastAsia="Times New Roman" w:hAnsi="Times New Roman" w:cs="Times New Roman"/>
          <w:b/>
          <w:bCs/>
          <w:i/>
          <w:sz w:val="20"/>
          <w:szCs w:val="20"/>
        </w:rPr>
        <w:fldChar w:fldCharType="begin"/>
      </w:r>
      <w:r w:rsidRPr="00D84719">
        <w:rPr>
          <w:rFonts w:ascii="Times New Roman" w:eastAsia="Times New Roman" w:hAnsi="Times New Roman" w:cs="Times New Roman"/>
          <w:b/>
          <w:bCs/>
          <w:i/>
          <w:sz w:val="20"/>
          <w:szCs w:val="20"/>
        </w:rPr>
        <w:instrText xml:space="preserve"> STYLEREF 2 \s </w:instrText>
      </w:r>
      <w:r w:rsidRPr="00D84719">
        <w:rPr>
          <w:rFonts w:ascii="Times New Roman" w:eastAsia="Times New Roman" w:hAnsi="Times New Roman" w:cs="Times New Roman"/>
          <w:b/>
          <w:bCs/>
          <w:i/>
          <w:sz w:val="20"/>
          <w:szCs w:val="20"/>
        </w:rPr>
        <w:fldChar w:fldCharType="separate"/>
      </w:r>
      <w:r w:rsidRPr="00D84719">
        <w:rPr>
          <w:rFonts w:ascii="Times New Roman" w:eastAsia="Times New Roman" w:hAnsi="Times New Roman" w:cs="Times New Roman"/>
          <w:b/>
          <w:bCs/>
          <w:i/>
          <w:sz w:val="20"/>
          <w:szCs w:val="20"/>
        </w:rPr>
        <w:t>3.7</w:t>
      </w:r>
      <w:r w:rsidRPr="00D84719">
        <w:rPr>
          <w:rFonts w:ascii="Times New Roman" w:eastAsia="Times New Roman" w:hAnsi="Times New Roman" w:cs="Times New Roman"/>
          <w:b/>
          <w:bCs/>
          <w:i/>
          <w:sz w:val="20"/>
          <w:szCs w:val="20"/>
        </w:rPr>
        <w:fldChar w:fldCharType="end"/>
      </w:r>
      <w:r w:rsidRPr="00D84719">
        <w:rPr>
          <w:rFonts w:ascii="Times New Roman" w:eastAsia="Times New Roman" w:hAnsi="Times New Roman" w:cs="Times New Roman"/>
          <w:b/>
          <w:bCs/>
          <w:i/>
          <w:sz w:val="20"/>
          <w:szCs w:val="20"/>
        </w:rPr>
        <w:noBreakHyphen/>
      </w:r>
      <w:r w:rsidRPr="00D84719">
        <w:rPr>
          <w:rFonts w:ascii="Times New Roman" w:eastAsia="Times New Roman" w:hAnsi="Times New Roman" w:cs="Times New Roman"/>
          <w:b/>
          <w:bCs/>
          <w:i/>
          <w:sz w:val="20"/>
          <w:szCs w:val="20"/>
        </w:rPr>
        <w:fldChar w:fldCharType="begin"/>
      </w:r>
      <w:r w:rsidRPr="00D84719">
        <w:rPr>
          <w:rFonts w:ascii="Times New Roman" w:eastAsia="Times New Roman" w:hAnsi="Times New Roman" w:cs="Times New Roman"/>
          <w:b/>
          <w:bCs/>
          <w:i/>
          <w:sz w:val="20"/>
          <w:szCs w:val="20"/>
        </w:rPr>
        <w:instrText xml:space="preserve"> SEQ Slika \* ARABIC \s 2 </w:instrText>
      </w:r>
      <w:r w:rsidRPr="00D84719">
        <w:rPr>
          <w:rFonts w:ascii="Times New Roman" w:eastAsia="Times New Roman" w:hAnsi="Times New Roman" w:cs="Times New Roman"/>
          <w:b/>
          <w:bCs/>
          <w:i/>
          <w:sz w:val="20"/>
          <w:szCs w:val="20"/>
        </w:rPr>
        <w:fldChar w:fldCharType="separate"/>
      </w:r>
      <w:r w:rsidRPr="00D84719">
        <w:rPr>
          <w:rFonts w:ascii="Times New Roman" w:eastAsia="Times New Roman" w:hAnsi="Times New Roman" w:cs="Times New Roman"/>
          <w:b/>
          <w:bCs/>
          <w:i/>
          <w:sz w:val="20"/>
          <w:szCs w:val="20"/>
        </w:rPr>
        <w:t>15</w:t>
      </w:r>
      <w:r w:rsidRPr="00D84719">
        <w:rPr>
          <w:rFonts w:ascii="Times New Roman" w:eastAsia="Times New Roman" w:hAnsi="Times New Roman" w:cs="Times New Roman"/>
          <w:b/>
          <w:bCs/>
          <w:i/>
          <w:sz w:val="20"/>
          <w:szCs w:val="20"/>
        </w:rPr>
        <w:fldChar w:fldCharType="end"/>
      </w:r>
      <w:r w:rsidRPr="00D84719">
        <w:rPr>
          <w:rFonts w:ascii="Times New Roman" w:eastAsia="Times New Roman" w:hAnsi="Times New Roman" w:cs="Times New Roman"/>
          <w:b/>
          <w:bCs/>
          <w:i/>
          <w:sz w:val="20"/>
          <w:szCs w:val="20"/>
        </w:rPr>
        <w:t xml:space="preserve"> Raspodjela PFOS u</w:t>
      </w:r>
      <w:r w:rsidR="00612979">
        <w:rPr>
          <w:rFonts w:ascii="Times New Roman" w:eastAsia="Times New Roman" w:hAnsi="Times New Roman" w:cs="Times New Roman"/>
          <w:b/>
          <w:bCs/>
          <w:i/>
          <w:sz w:val="20"/>
          <w:szCs w:val="20"/>
        </w:rPr>
        <w:t xml:space="preserve"> </w:t>
      </w:r>
      <w:r w:rsidRPr="00D84719">
        <w:rPr>
          <w:rFonts w:ascii="Times New Roman" w:eastAsia="Times New Roman" w:hAnsi="Times New Roman" w:cs="Times New Roman"/>
          <w:b/>
          <w:bCs/>
          <w:i/>
          <w:sz w:val="20"/>
          <w:szCs w:val="20"/>
        </w:rPr>
        <w:t xml:space="preserve">ribama prijelaznih voda 2018. </w:t>
      </w:r>
    </w:p>
    <w:p w14:paraId="32030B58" w14:textId="77777777" w:rsidR="00D84719" w:rsidRPr="00D84719" w:rsidRDefault="00D84719" w:rsidP="00D84719">
      <w:pPr>
        <w:spacing w:before="80" w:line="276" w:lineRule="auto"/>
        <w:jc w:val="both"/>
        <w:rPr>
          <w:rFonts w:ascii="Times New Roman" w:eastAsia="Times New Roman" w:hAnsi="Times New Roman" w:cs="Times New Roman"/>
          <w:color w:val="000000"/>
          <w:szCs w:val="24"/>
        </w:rPr>
      </w:pPr>
    </w:p>
    <w:p w14:paraId="39D6F554" w14:textId="77777777" w:rsidR="00D84719" w:rsidRPr="00F32974" w:rsidRDefault="00D84719" w:rsidP="00D84719">
      <w:pPr>
        <w:spacing w:before="80" w:line="276" w:lineRule="auto"/>
        <w:jc w:val="both"/>
        <w:rPr>
          <w:rFonts w:ascii="Times New Roman" w:eastAsia="Times New Roman" w:hAnsi="Times New Roman" w:cs="Times New Roman"/>
          <w:b/>
          <w:bCs/>
          <w:i/>
          <w:color w:val="000000"/>
          <w:szCs w:val="24"/>
        </w:rPr>
      </w:pPr>
      <w:r w:rsidRPr="00F32974">
        <w:rPr>
          <w:rFonts w:ascii="Times New Roman" w:eastAsia="Times New Roman" w:hAnsi="Times New Roman" w:cs="Times New Roman"/>
          <w:b/>
          <w:bCs/>
          <w:i/>
          <w:color w:val="000000"/>
          <w:szCs w:val="24"/>
        </w:rPr>
        <w:t>SEDIMENT</w:t>
      </w:r>
    </w:p>
    <w:p w14:paraId="068E6080" w14:textId="77777777" w:rsidR="00D84719" w:rsidRPr="00D84719" w:rsidRDefault="00D84719" w:rsidP="00D84719">
      <w:pPr>
        <w:spacing w:before="80" w:line="276" w:lineRule="auto"/>
        <w:jc w:val="both"/>
        <w:rPr>
          <w:rFonts w:ascii="Times New Roman" w:eastAsia="Calibri" w:hAnsi="Times New Roman" w:cs="Times New Roman"/>
          <w:color w:val="000000"/>
          <w:sz w:val="24"/>
          <w:szCs w:val="24"/>
        </w:rPr>
      </w:pPr>
      <w:r w:rsidRPr="00D84719">
        <w:rPr>
          <w:rFonts w:ascii="Times New Roman" w:eastAsia="Calibri" w:hAnsi="Times New Roman" w:cs="Times New Roman"/>
          <w:color w:val="000000"/>
          <w:sz w:val="24"/>
          <w:szCs w:val="24"/>
        </w:rPr>
        <w:t xml:space="preserve">Koncentracija POPs-ova u sedimentima prijelaznih voda tijekom 2018. bila je za većinu praćenih pokazatelja relativno niska. To uključuje tipične onečišćujuće tvari za koje je poznato da se značajno akumuliraju u sedimentima kao što su organoklorovi insekticidi te dioksini i njima srodni spojevi, polibromirani difenil eteri, ali i neke manje istraživane tipove prioritetnih tvari kao što su HBCDD, kloroalkani i perfluorooktan sulfonska kiselina. Budući za kakvoću sedimenta nisu propisani jedinstveni europski kriteriji kao što je to slučaj za vodu i biotu, ocjena stanja načinjena je prema kriterijima koje su u Norveškoj predložili </w:t>
      </w:r>
      <w:proofErr w:type="spellStart"/>
      <w:r w:rsidRPr="00D84719">
        <w:rPr>
          <w:rFonts w:ascii="Times New Roman" w:eastAsia="Calibri" w:hAnsi="Times New Roman" w:cs="Times New Roman"/>
          <w:color w:val="000000"/>
          <w:sz w:val="24"/>
          <w:szCs w:val="24"/>
        </w:rPr>
        <w:t>Bakke</w:t>
      </w:r>
      <w:proofErr w:type="spellEnd"/>
      <w:r w:rsidRPr="00D84719">
        <w:rPr>
          <w:rFonts w:ascii="Times New Roman" w:eastAsia="Calibri" w:hAnsi="Times New Roman" w:cs="Times New Roman"/>
          <w:color w:val="000000"/>
          <w:sz w:val="24"/>
          <w:szCs w:val="24"/>
        </w:rPr>
        <w:t xml:space="preserve"> i suradnici (2010). Prema </w:t>
      </w:r>
      <w:proofErr w:type="spellStart"/>
      <w:r w:rsidRPr="00D84719">
        <w:rPr>
          <w:rFonts w:ascii="Times New Roman" w:eastAsia="Calibri" w:hAnsi="Times New Roman" w:cs="Times New Roman"/>
          <w:color w:val="000000"/>
          <w:sz w:val="24"/>
          <w:szCs w:val="24"/>
        </w:rPr>
        <w:t>Bakkeu</w:t>
      </w:r>
      <w:proofErr w:type="spellEnd"/>
      <w:r w:rsidRPr="00D84719">
        <w:rPr>
          <w:rFonts w:ascii="Times New Roman" w:eastAsia="Calibri" w:hAnsi="Times New Roman" w:cs="Times New Roman"/>
          <w:color w:val="000000"/>
          <w:sz w:val="24"/>
          <w:szCs w:val="24"/>
        </w:rPr>
        <w:t xml:space="preserve"> i suradnicima kakvoća sedimenata je razvrstana u pet kategorija pri čemu su prve dvije, što se tiče stanja okoliša, smatrane dobrom i/ili zadovoljavajućom, dok su III., IV. i V. smatrane nezadovoljavajućom jer se u tom rasponu koncentracija mogu očekivati toksični učinci. </w:t>
      </w:r>
    </w:p>
    <w:p w14:paraId="1F18BED5"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 xml:space="preserve">Prema </w:t>
      </w:r>
      <w:proofErr w:type="spellStart"/>
      <w:r w:rsidRPr="00D84719">
        <w:rPr>
          <w:rFonts w:ascii="Times New Roman" w:eastAsia="Times New Roman" w:hAnsi="Times New Roman" w:cs="Times New Roman"/>
          <w:color w:val="000000"/>
          <w:sz w:val="24"/>
          <w:szCs w:val="24"/>
        </w:rPr>
        <w:t>Bakkeu</w:t>
      </w:r>
      <w:proofErr w:type="spellEnd"/>
      <w:r w:rsidRPr="00D84719">
        <w:rPr>
          <w:rFonts w:ascii="Times New Roman" w:eastAsia="Times New Roman" w:hAnsi="Times New Roman" w:cs="Times New Roman"/>
          <w:color w:val="000000"/>
          <w:sz w:val="24"/>
          <w:szCs w:val="24"/>
        </w:rPr>
        <w:t xml:space="preserve"> i sur. (2010) kriterij za značajno onečišćenje sedimenta s PBDE je 62 ng/g što je u odnosu na koncentracije izmjerene u sedimentima naših prijelaznih voda vrlo visoko. Kao što se vidi na slici 3.7-16, raspon </w:t>
      </w:r>
      <w:r w:rsidR="00CD1924" w:rsidRPr="00D84719">
        <w:rPr>
          <w:rFonts w:ascii="Times New Roman" w:eastAsia="Times New Roman" w:hAnsi="Times New Roman" w:cs="Times New Roman"/>
          <w:color w:val="000000"/>
          <w:sz w:val="24"/>
          <w:szCs w:val="24"/>
        </w:rPr>
        <w:t>koncentracija</w:t>
      </w:r>
      <w:r w:rsidRPr="00D84719">
        <w:rPr>
          <w:rFonts w:ascii="Times New Roman" w:eastAsia="Times New Roman" w:hAnsi="Times New Roman" w:cs="Times New Roman"/>
          <w:color w:val="000000"/>
          <w:sz w:val="24"/>
          <w:szCs w:val="24"/>
        </w:rPr>
        <w:t xml:space="preserve"> PBDE u sedimentima bio je od &lt;0</w:t>
      </w:r>
      <w:r w:rsidR="00632D56">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02 ng/g do 0</w:t>
      </w:r>
      <w:r w:rsidR="00632D56">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5 ng/g (srednja vrijednost 0</w:t>
      </w:r>
      <w:r w:rsidR="00632D56">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 xml:space="preserve">12 ng/g) što je preko 100 puta niže od predloženog kriterija. Ovdje je odnos izmjerenih koncentracija i kriterija kakvoće okoliša potpuno obrnut od onog koji je zabilježen za biotu. Međutim, sediment treba promatrati kao važan medij za prijenos PBDE kongenera u biotu te je važno pokušati detektirati vruće točke. Pri tom je zanimljivo uočiti da ne postoji idealna korelacija opterećenja sedimenta i biote, međutim moguća razlika može biti povezana s činjenicom da se </w:t>
      </w:r>
      <w:proofErr w:type="spellStart"/>
      <w:r w:rsidRPr="00D84719">
        <w:rPr>
          <w:rFonts w:ascii="Times New Roman" w:eastAsia="Times New Roman" w:hAnsi="Times New Roman" w:cs="Times New Roman"/>
          <w:color w:val="000000"/>
          <w:sz w:val="24"/>
          <w:szCs w:val="24"/>
        </w:rPr>
        <w:t>mikrolokacija</w:t>
      </w:r>
      <w:proofErr w:type="spellEnd"/>
      <w:r w:rsidRPr="00D84719">
        <w:rPr>
          <w:rFonts w:ascii="Times New Roman" w:eastAsia="Times New Roman" w:hAnsi="Times New Roman" w:cs="Times New Roman"/>
          <w:color w:val="000000"/>
          <w:sz w:val="24"/>
          <w:szCs w:val="24"/>
        </w:rPr>
        <w:t xml:space="preserve"> uzorkovanja sedimenta i biote često ne poklapa. Najviše koncentracije PBDE tijekom 2018. izmjerene su na lokacijama u estuarijima Cetine (FP-P8), Rječine (FP-P18), Raše ((FP-P19) i Mirne (FPP-21a).</w:t>
      </w:r>
    </w:p>
    <w:p w14:paraId="135DAAED" w14:textId="77777777" w:rsidR="00D84719" w:rsidRPr="00D84719" w:rsidRDefault="00D84719" w:rsidP="00D84719">
      <w:pPr>
        <w:keepNext/>
        <w:spacing w:before="80" w:line="276" w:lineRule="auto"/>
        <w:jc w:val="both"/>
        <w:rPr>
          <w:rFonts w:ascii="Times New Roman" w:eastAsia="Times New Roman" w:hAnsi="Times New Roman" w:cs="Times New Roman"/>
          <w:color w:val="000000"/>
          <w:szCs w:val="24"/>
        </w:rPr>
      </w:pPr>
      <w:r w:rsidRPr="00D84719">
        <w:rPr>
          <w:rFonts w:ascii="Times New Roman" w:eastAsia="Times New Roman" w:hAnsi="Times New Roman" w:cs="Times New Roman"/>
          <w:noProof/>
          <w:color w:val="000000"/>
          <w:szCs w:val="24"/>
          <w:lang w:eastAsia="hr-HR"/>
        </w:rPr>
        <w:lastRenderedPageBreak/>
        <w:drawing>
          <wp:inline distT="0" distB="0" distL="0" distR="0" wp14:anchorId="558D1622" wp14:editId="2096FAAF">
            <wp:extent cx="3974767" cy="2576945"/>
            <wp:effectExtent l="0" t="0" r="6985" b="0"/>
            <wp:docPr id="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srcRect/>
                    <a:stretch>
                      <a:fillRect/>
                    </a:stretch>
                  </pic:blipFill>
                  <pic:spPr bwMode="auto">
                    <a:xfrm>
                      <a:off x="0" y="0"/>
                      <a:ext cx="3984537" cy="2583279"/>
                    </a:xfrm>
                    <a:prstGeom prst="rect">
                      <a:avLst/>
                    </a:prstGeom>
                    <a:noFill/>
                    <a:ln w="9525">
                      <a:noFill/>
                      <a:miter lim="800000"/>
                      <a:headEnd/>
                      <a:tailEnd/>
                    </a:ln>
                  </pic:spPr>
                </pic:pic>
              </a:graphicData>
            </a:graphic>
          </wp:inline>
        </w:drawing>
      </w:r>
    </w:p>
    <w:p w14:paraId="0B730CC2" w14:textId="77777777" w:rsidR="00D84719" w:rsidRPr="00D84719" w:rsidRDefault="00D84719" w:rsidP="00D84719">
      <w:pPr>
        <w:keepNext/>
        <w:spacing w:before="80" w:after="0" w:line="276" w:lineRule="auto"/>
        <w:jc w:val="both"/>
        <w:rPr>
          <w:rFonts w:ascii="Times New Roman" w:eastAsia="Times New Roman" w:hAnsi="Times New Roman" w:cs="Times New Roman"/>
          <w:b/>
          <w:bCs/>
          <w:i/>
          <w:sz w:val="20"/>
          <w:szCs w:val="20"/>
        </w:rPr>
      </w:pPr>
      <w:r w:rsidRPr="00D84719">
        <w:rPr>
          <w:rFonts w:ascii="Times New Roman" w:eastAsia="Times New Roman" w:hAnsi="Times New Roman" w:cs="Times New Roman"/>
          <w:b/>
          <w:bCs/>
          <w:i/>
          <w:sz w:val="20"/>
          <w:szCs w:val="20"/>
        </w:rPr>
        <w:t xml:space="preserve">Slika </w:t>
      </w:r>
      <w:r w:rsidRPr="00D84719">
        <w:rPr>
          <w:rFonts w:ascii="Times New Roman" w:eastAsia="Times New Roman" w:hAnsi="Times New Roman" w:cs="Times New Roman"/>
          <w:b/>
          <w:bCs/>
          <w:i/>
          <w:sz w:val="20"/>
          <w:szCs w:val="20"/>
        </w:rPr>
        <w:fldChar w:fldCharType="begin"/>
      </w:r>
      <w:r w:rsidRPr="00D84719">
        <w:rPr>
          <w:rFonts w:ascii="Times New Roman" w:eastAsia="Times New Roman" w:hAnsi="Times New Roman" w:cs="Times New Roman"/>
          <w:b/>
          <w:bCs/>
          <w:i/>
          <w:sz w:val="20"/>
          <w:szCs w:val="20"/>
        </w:rPr>
        <w:instrText xml:space="preserve"> STYLEREF 2 \s </w:instrText>
      </w:r>
      <w:r w:rsidRPr="00D84719">
        <w:rPr>
          <w:rFonts w:ascii="Times New Roman" w:eastAsia="Times New Roman" w:hAnsi="Times New Roman" w:cs="Times New Roman"/>
          <w:b/>
          <w:bCs/>
          <w:i/>
          <w:sz w:val="20"/>
          <w:szCs w:val="20"/>
        </w:rPr>
        <w:fldChar w:fldCharType="separate"/>
      </w:r>
      <w:r w:rsidRPr="00D84719">
        <w:rPr>
          <w:rFonts w:ascii="Times New Roman" w:eastAsia="Times New Roman" w:hAnsi="Times New Roman" w:cs="Times New Roman"/>
          <w:b/>
          <w:bCs/>
          <w:i/>
          <w:sz w:val="20"/>
          <w:szCs w:val="20"/>
        </w:rPr>
        <w:t>3.7</w:t>
      </w:r>
      <w:r w:rsidRPr="00D84719">
        <w:rPr>
          <w:rFonts w:ascii="Times New Roman" w:eastAsia="Times New Roman" w:hAnsi="Times New Roman" w:cs="Times New Roman"/>
          <w:b/>
          <w:bCs/>
          <w:i/>
          <w:sz w:val="20"/>
          <w:szCs w:val="20"/>
        </w:rPr>
        <w:fldChar w:fldCharType="end"/>
      </w:r>
      <w:r w:rsidRPr="00D84719">
        <w:rPr>
          <w:rFonts w:ascii="Times New Roman" w:eastAsia="Times New Roman" w:hAnsi="Times New Roman" w:cs="Times New Roman"/>
          <w:b/>
          <w:bCs/>
          <w:i/>
          <w:sz w:val="20"/>
          <w:szCs w:val="20"/>
        </w:rPr>
        <w:noBreakHyphen/>
      </w:r>
      <w:r w:rsidRPr="00D84719">
        <w:rPr>
          <w:rFonts w:ascii="Times New Roman" w:eastAsia="Times New Roman" w:hAnsi="Times New Roman" w:cs="Times New Roman"/>
          <w:b/>
          <w:bCs/>
          <w:i/>
          <w:sz w:val="20"/>
          <w:szCs w:val="20"/>
        </w:rPr>
        <w:fldChar w:fldCharType="begin"/>
      </w:r>
      <w:r w:rsidRPr="00D84719">
        <w:rPr>
          <w:rFonts w:ascii="Times New Roman" w:eastAsia="Times New Roman" w:hAnsi="Times New Roman" w:cs="Times New Roman"/>
          <w:b/>
          <w:bCs/>
          <w:i/>
          <w:sz w:val="20"/>
          <w:szCs w:val="20"/>
        </w:rPr>
        <w:instrText xml:space="preserve"> SEQ Slika \* ARABIC \s 2 </w:instrText>
      </w:r>
      <w:r w:rsidRPr="00D84719">
        <w:rPr>
          <w:rFonts w:ascii="Times New Roman" w:eastAsia="Times New Roman" w:hAnsi="Times New Roman" w:cs="Times New Roman"/>
          <w:b/>
          <w:bCs/>
          <w:i/>
          <w:sz w:val="20"/>
          <w:szCs w:val="20"/>
        </w:rPr>
        <w:fldChar w:fldCharType="separate"/>
      </w:r>
      <w:r w:rsidRPr="00D84719">
        <w:rPr>
          <w:rFonts w:ascii="Times New Roman" w:eastAsia="Times New Roman" w:hAnsi="Times New Roman" w:cs="Times New Roman"/>
          <w:b/>
          <w:bCs/>
          <w:i/>
          <w:sz w:val="20"/>
          <w:szCs w:val="20"/>
        </w:rPr>
        <w:t>16</w:t>
      </w:r>
      <w:r w:rsidRPr="00D84719">
        <w:rPr>
          <w:rFonts w:ascii="Times New Roman" w:eastAsia="Times New Roman" w:hAnsi="Times New Roman" w:cs="Times New Roman"/>
          <w:b/>
          <w:bCs/>
          <w:i/>
          <w:sz w:val="20"/>
          <w:szCs w:val="20"/>
        </w:rPr>
        <w:fldChar w:fldCharType="end"/>
      </w:r>
      <w:r w:rsidRPr="00D84719">
        <w:rPr>
          <w:rFonts w:ascii="Times New Roman" w:eastAsia="Times New Roman" w:hAnsi="Times New Roman" w:cs="Times New Roman"/>
          <w:b/>
          <w:bCs/>
          <w:i/>
          <w:sz w:val="20"/>
          <w:szCs w:val="20"/>
        </w:rPr>
        <w:t xml:space="preserve"> Raspodjela PBDE u sedimentima prijelaznih voda 2018. </w:t>
      </w:r>
    </w:p>
    <w:p w14:paraId="57BD2CF7"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p>
    <w:p w14:paraId="0F72EC4E" w14:textId="77777777" w:rsidR="00D84719" w:rsidRPr="00D84719" w:rsidRDefault="000541D8"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Koncentracija</w:t>
      </w:r>
      <w:r w:rsidR="00D84719" w:rsidRPr="00D84719">
        <w:rPr>
          <w:rFonts w:ascii="Times New Roman" w:eastAsia="Times New Roman" w:hAnsi="Times New Roman" w:cs="Times New Roman"/>
          <w:color w:val="000000"/>
          <w:sz w:val="24"/>
          <w:szCs w:val="24"/>
        </w:rPr>
        <w:t xml:space="preserve"> HBCDD u sedimentima pokazala je da su razine ovih spojeva na većini lokacija naših prijelaznih voda </w:t>
      </w:r>
      <w:proofErr w:type="spellStart"/>
      <w:r w:rsidR="00D84719" w:rsidRPr="00D84719">
        <w:rPr>
          <w:rFonts w:ascii="Times New Roman" w:eastAsia="Times New Roman" w:hAnsi="Times New Roman" w:cs="Times New Roman"/>
          <w:color w:val="000000"/>
          <w:sz w:val="24"/>
          <w:szCs w:val="24"/>
        </w:rPr>
        <w:t>srazmjerno</w:t>
      </w:r>
      <w:proofErr w:type="spellEnd"/>
      <w:r w:rsidR="00D84719" w:rsidRPr="00D84719">
        <w:rPr>
          <w:rFonts w:ascii="Times New Roman" w:eastAsia="Times New Roman" w:hAnsi="Times New Roman" w:cs="Times New Roman"/>
          <w:color w:val="000000"/>
          <w:sz w:val="24"/>
          <w:szCs w:val="24"/>
        </w:rPr>
        <w:t xml:space="preserve"> niske (&lt;1 ng/g), ali na nekoliko lokacija zabilježene su značajno povišene vrijednosti u rasponu od 1 do 8</w:t>
      </w:r>
      <w:r w:rsidR="00632D56">
        <w:rPr>
          <w:rFonts w:ascii="Times New Roman" w:eastAsia="Times New Roman" w:hAnsi="Times New Roman" w:cs="Times New Roman"/>
          <w:color w:val="000000"/>
          <w:sz w:val="24"/>
          <w:szCs w:val="24"/>
        </w:rPr>
        <w:t>,</w:t>
      </w:r>
      <w:r w:rsidR="00D84719" w:rsidRPr="00D84719">
        <w:rPr>
          <w:rFonts w:ascii="Times New Roman" w:eastAsia="Times New Roman" w:hAnsi="Times New Roman" w:cs="Times New Roman"/>
          <w:color w:val="000000"/>
          <w:sz w:val="24"/>
          <w:szCs w:val="24"/>
        </w:rPr>
        <w:t>7 ng/g.</w:t>
      </w:r>
      <w:r w:rsidR="00612979">
        <w:rPr>
          <w:rFonts w:ascii="Times New Roman" w:eastAsia="Times New Roman" w:hAnsi="Times New Roman" w:cs="Times New Roman"/>
          <w:color w:val="000000"/>
          <w:sz w:val="24"/>
          <w:szCs w:val="24"/>
        </w:rPr>
        <w:t xml:space="preserve"> </w:t>
      </w:r>
      <w:r w:rsidR="00D84719" w:rsidRPr="00D84719">
        <w:rPr>
          <w:rFonts w:ascii="Times New Roman" w:eastAsia="Times New Roman" w:hAnsi="Times New Roman" w:cs="Times New Roman"/>
          <w:color w:val="000000"/>
          <w:sz w:val="24"/>
          <w:szCs w:val="24"/>
        </w:rPr>
        <w:t xml:space="preserve">To ukazuje da na pojedinim lokacija postoje značajniji izvori HBCDD. To su prvenstveno postaje u estuarijima </w:t>
      </w:r>
      <w:proofErr w:type="spellStart"/>
      <w:r w:rsidR="00D84719" w:rsidRPr="00D84719">
        <w:rPr>
          <w:rFonts w:ascii="Times New Roman" w:eastAsia="Times New Roman" w:hAnsi="Times New Roman" w:cs="Times New Roman"/>
          <w:color w:val="000000"/>
          <w:sz w:val="24"/>
          <w:szCs w:val="24"/>
        </w:rPr>
        <w:t>Omble</w:t>
      </w:r>
      <w:proofErr w:type="spellEnd"/>
      <w:r w:rsidR="00D84719" w:rsidRPr="00D84719">
        <w:rPr>
          <w:rFonts w:ascii="Times New Roman" w:eastAsia="Times New Roman" w:hAnsi="Times New Roman" w:cs="Times New Roman"/>
          <w:color w:val="000000"/>
          <w:sz w:val="24"/>
          <w:szCs w:val="24"/>
        </w:rPr>
        <w:t xml:space="preserve"> (FP-P2; 4</w:t>
      </w:r>
      <w:r w:rsidR="00632D56">
        <w:rPr>
          <w:rFonts w:ascii="Times New Roman" w:eastAsia="Times New Roman" w:hAnsi="Times New Roman" w:cs="Times New Roman"/>
          <w:color w:val="000000"/>
          <w:sz w:val="24"/>
          <w:szCs w:val="24"/>
        </w:rPr>
        <w:t>,</w:t>
      </w:r>
      <w:r w:rsidR="00D84719" w:rsidRPr="00D84719">
        <w:rPr>
          <w:rFonts w:ascii="Times New Roman" w:eastAsia="Times New Roman" w:hAnsi="Times New Roman" w:cs="Times New Roman"/>
          <w:color w:val="000000"/>
          <w:sz w:val="24"/>
          <w:szCs w:val="24"/>
        </w:rPr>
        <w:t xml:space="preserve">7 ng/g), </w:t>
      </w:r>
      <w:proofErr w:type="spellStart"/>
      <w:r w:rsidR="00D84719" w:rsidRPr="00D84719">
        <w:rPr>
          <w:rFonts w:ascii="Times New Roman" w:eastAsia="Times New Roman" w:hAnsi="Times New Roman" w:cs="Times New Roman"/>
          <w:color w:val="000000"/>
          <w:sz w:val="24"/>
          <w:szCs w:val="24"/>
        </w:rPr>
        <w:t>Jadra</w:t>
      </w:r>
      <w:proofErr w:type="spellEnd"/>
      <w:r w:rsidR="00D84719" w:rsidRPr="00D84719">
        <w:rPr>
          <w:rFonts w:ascii="Times New Roman" w:eastAsia="Times New Roman" w:hAnsi="Times New Roman" w:cs="Times New Roman"/>
          <w:color w:val="000000"/>
          <w:sz w:val="24"/>
          <w:szCs w:val="24"/>
        </w:rPr>
        <w:t xml:space="preserve"> (FP-P9a i FP-P10; 7</w:t>
      </w:r>
      <w:r w:rsidR="00632D56">
        <w:rPr>
          <w:rFonts w:ascii="Times New Roman" w:eastAsia="Times New Roman" w:hAnsi="Times New Roman" w:cs="Times New Roman"/>
          <w:color w:val="000000"/>
          <w:sz w:val="24"/>
          <w:szCs w:val="24"/>
        </w:rPr>
        <w:t>,</w:t>
      </w:r>
      <w:r w:rsidR="00D84719" w:rsidRPr="00D84719">
        <w:rPr>
          <w:rFonts w:ascii="Times New Roman" w:eastAsia="Times New Roman" w:hAnsi="Times New Roman" w:cs="Times New Roman"/>
          <w:color w:val="000000"/>
          <w:sz w:val="24"/>
          <w:szCs w:val="24"/>
        </w:rPr>
        <w:t>4 i 8</w:t>
      </w:r>
      <w:r w:rsidR="00632D56">
        <w:rPr>
          <w:rFonts w:ascii="Times New Roman" w:eastAsia="Times New Roman" w:hAnsi="Times New Roman" w:cs="Times New Roman"/>
          <w:color w:val="000000"/>
          <w:sz w:val="24"/>
          <w:szCs w:val="24"/>
        </w:rPr>
        <w:t>,</w:t>
      </w:r>
      <w:r w:rsidR="00D84719" w:rsidRPr="00D84719">
        <w:rPr>
          <w:rFonts w:ascii="Times New Roman" w:eastAsia="Times New Roman" w:hAnsi="Times New Roman" w:cs="Times New Roman"/>
          <w:color w:val="000000"/>
          <w:sz w:val="24"/>
          <w:szCs w:val="24"/>
        </w:rPr>
        <w:t>7 ng/g) i Krke (FP-P13; 7</w:t>
      </w:r>
      <w:r w:rsidR="00632D56">
        <w:rPr>
          <w:rFonts w:ascii="Times New Roman" w:eastAsia="Times New Roman" w:hAnsi="Times New Roman" w:cs="Times New Roman"/>
          <w:color w:val="000000"/>
          <w:sz w:val="24"/>
          <w:szCs w:val="24"/>
        </w:rPr>
        <w:t>,</w:t>
      </w:r>
      <w:r w:rsidR="00D84719" w:rsidRPr="00D84719">
        <w:rPr>
          <w:rFonts w:ascii="Times New Roman" w:eastAsia="Times New Roman" w:hAnsi="Times New Roman" w:cs="Times New Roman"/>
          <w:color w:val="000000"/>
          <w:sz w:val="24"/>
          <w:szCs w:val="24"/>
        </w:rPr>
        <w:t xml:space="preserve">1 ng/g) koje općenito karakterizira povećano antropogeno opterećenje. Međutim i te povišene razine višestruko su niže od graničnog kriterija za onečišćeni sediment (86 ng/g) prema </w:t>
      </w:r>
      <w:proofErr w:type="spellStart"/>
      <w:r w:rsidR="00D84719" w:rsidRPr="00D84719">
        <w:rPr>
          <w:rFonts w:ascii="Times New Roman" w:eastAsia="Times New Roman" w:hAnsi="Times New Roman" w:cs="Times New Roman"/>
          <w:color w:val="000000"/>
          <w:sz w:val="24"/>
          <w:szCs w:val="24"/>
        </w:rPr>
        <w:t>Bakkeu</w:t>
      </w:r>
      <w:proofErr w:type="spellEnd"/>
      <w:r w:rsidR="00D84719" w:rsidRPr="00D84719">
        <w:rPr>
          <w:rFonts w:ascii="Times New Roman" w:eastAsia="Times New Roman" w:hAnsi="Times New Roman" w:cs="Times New Roman"/>
          <w:color w:val="000000"/>
          <w:sz w:val="24"/>
          <w:szCs w:val="24"/>
        </w:rPr>
        <w:t xml:space="preserve"> i sur. (2010). </w:t>
      </w:r>
    </w:p>
    <w:p w14:paraId="46E02761" w14:textId="77777777" w:rsidR="00D84719" w:rsidRPr="00D84719" w:rsidRDefault="00D84719" w:rsidP="00D84719">
      <w:pPr>
        <w:keepNext/>
        <w:spacing w:before="80" w:line="276" w:lineRule="auto"/>
        <w:jc w:val="both"/>
        <w:rPr>
          <w:rFonts w:ascii="Times New Roman" w:eastAsia="Times New Roman" w:hAnsi="Times New Roman" w:cs="Times New Roman"/>
          <w:color w:val="000000"/>
          <w:szCs w:val="24"/>
        </w:rPr>
      </w:pPr>
      <w:r w:rsidRPr="00D84719">
        <w:rPr>
          <w:rFonts w:ascii="Times New Roman" w:eastAsia="Times New Roman" w:hAnsi="Times New Roman" w:cs="Times New Roman"/>
          <w:noProof/>
          <w:color w:val="000000"/>
          <w:szCs w:val="24"/>
          <w:lang w:eastAsia="hr-HR"/>
        </w:rPr>
        <w:drawing>
          <wp:inline distT="0" distB="0" distL="0" distR="0" wp14:anchorId="5B1BC75E" wp14:editId="53BC390A">
            <wp:extent cx="4001984" cy="2766487"/>
            <wp:effectExtent l="0" t="0" r="0" b="0"/>
            <wp:docPr id="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srcRect/>
                    <a:stretch>
                      <a:fillRect/>
                    </a:stretch>
                  </pic:blipFill>
                  <pic:spPr bwMode="auto">
                    <a:xfrm>
                      <a:off x="0" y="0"/>
                      <a:ext cx="4001984" cy="2766487"/>
                    </a:xfrm>
                    <a:prstGeom prst="rect">
                      <a:avLst/>
                    </a:prstGeom>
                    <a:noFill/>
                    <a:ln w="9525">
                      <a:noFill/>
                      <a:miter lim="800000"/>
                      <a:headEnd/>
                      <a:tailEnd/>
                    </a:ln>
                  </pic:spPr>
                </pic:pic>
              </a:graphicData>
            </a:graphic>
          </wp:inline>
        </w:drawing>
      </w:r>
    </w:p>
    <w:p w14:paraId="2053932D" w14:textId="77777777" w:rsidR="00D84719" w:rsidRPr="00D84719" w:rsidRDefault="00D84719" w:rsidP="00D84719">
      <w:pPr>
        <w:keepNext/>
        <w:spacing w:before="80" w:after="0" w:line="276" w:lineRule="auto"/>
        <w:jc w:val="both"/>
        <w:rPr>
          <w:rFonts w:ascii="Times New Roman" w:eastAsia="Times New Roman" w:hAnsi="Times New Roman" w:cs="Times New Roman"/>
          <w:b/>
          <w:bCs/>
          <w:i/>
          <w:sz w:val="20"/>
          <w:szCs w:val="20"/>
        </w:rPr>
      </w:pPr>
      <w:r w:rsidRPr="00D84719">
        <w:rPr>
          <w:rFonts w:ascii="Times New Roman" w:eastAsia="Times New Roman" w:hAnsi="Times New Roman" w:cs="Times New Roman"/>
          <w:b/>
          <w:bCs/>
          <w:i/>
          <w:sz w:val="20"/>
          <w:szCs w:val="20"/>
        </w:rPr>
        <w:t xml:space="preserve">Slika </w:t>
      </w:r>
      <w:r w:rsidRPr="00D84719">
        <w:rPr>
          <w:rFonts w:ascii="Times New Roman" w:eastAsia="Times New Roman" w:hAnsi="Times New Roman" w:cs="Times New Roman"/>
          <w:b/>
          <w:bCs/>
          <w:i/>
          <w:sz w:val="20"/>
          <w:szCs w:val="20"/>
        </w:rPr>
        <w:fldChar w:fldCharType="begin"/>
      </w:r>
      <w:r w:rsidRPr="00D84719">
        <w:rPr>
          <w:rFonts w:ascii="Times New Roman" w:eastAsia="Times New Roman" w:hAnsi="Times New Roman" w:cs="Times New Roman"/>
          <w:b/>
          <w:bCs/>
          <w:i/>
          <w:sz w:val="20"/>
          <w:szCs w:val="20"/>
        </w:rPr>
        <w:instrText xml:space="preserve"> STYLEREF 2 \s </w:instrText>
      </w:r>
      <w:r w:rsidRPr="00D84719">
        <w:rPr>
          <w:rFonts w:ascii="Times New Roman" w:eastAsia="Times New Roman" w:hAnsi="Times New Roman" w:cs="Times New Roman"/>
          <w:b/>
          <w:bCs/>
          <w:i/>
          <w:sz w:val="20"/>
          <w:szCs w:val="20"/>
        </w:rPr>
        <w:fldChar w:fldCharType="separate"/>
      </w:r>
      <w:r w:rsidRPr="00D84719">
        <w:rPr>
          <w:rFonts w:ascii="Times New Roman" w:eastAsia="Times New Roman" w:hAnsi="Times New Roman" w:cs="Times New Roman"/>
          <w:b/>
          <w:bCs/>
          <w:i/>
          <w:sz w:val="20"/>
          <w:szCs w:val="20"/>
        </w:rPr>
        <w:t>3.7</w:t>
      </w:r>
      <w:r w:rsidRPr="00D84719">
        <w:rPr>
          <w:rFonts w:ascii="Times New Roman" w:eastAsia="Times New Roman" w:hAnsi="Times New Roman" w:cs="Times New Roman"/>
          <w:b/>
          <w:bCs/>
          <w:i/>
          <w:sz w:val="20"/>
          <w:szCs w:val="20"/>
        </w:rPr>
        <w:fldChar w:fldCharType="end"/>
      </w:r>
      <w:r w:rsidRPr="00D84719">
        <w:rPr>
          <w:rFonts w:ascii="Times New Roman" w:eastAsia="Times New Roman" w:hAnsi="Times New Roman" w:cs="Times New Roman"/>
          <w:b/>
          <w:bCs/>
          <w:i/>
          <w:sz w:val="20"/>
          <w:szCs w:val="20"/>
        </w:rPr>
        <w:noBreakHyphen/>
      </w:r>
      <w:r w:rsidRPr="00D84719">
        <w:rPr>
          <w:rFonts w:ascii="Times New Roman" w:eastAsia="Times New Roman" w:hAnsi="Times New Roman" w:cs="Times New Roman"/>
          <w:b/>
          <w:bCs/>
          <w:i/>
          <w:sz w:val="20"/>
          <w:szCs w:val="20"/>
        </w:rPr>
        <w:fldChar w:fldCharType="begin"/>
      </w:r>
      <w:r w:rsidRPr="00D84719">
        <w:rPr>
          <w:rFonts w:ascii="Times New Roman" w:eastAsia="Times New Roman" w:hAnsi="Times New Roman" w:cs="Times New Roman"/>
          <w:b/>
          <w:bCs/>
          <w:i/>
          <w:sz w:val="20"/>
          <w:szCs w:val="20"/>
        </w:rPr>
        <w:instrText xml:space="preserve"> SEQ Slika \* ARABIC \s 2 </w:instrText>
      </w:r>
      <w:r w:rsidRPr="00D84719">
        <w:rPr>
          <w:rFonts w:ascii="Times New Roman" w:eastAsia="Times New Roman" w:hAnsi="Times New Roman" w:cs="Times New Roman"/>
          <w:b/>
          <w:bCs/>
          <w:i/>
          <w:sz w:val="20"/>
          <w:szCs w:val="20"/>
        </w:rPr>
        <w:fldChar w:fldCharType="separate"/>
      </w:r>
      <w:r w:rsidRPr="00D84719">
        <w:rPr>
          <w:rFonts w:ascii="Times New Roman" w:eastAsia="Times New Roman" w:hAnsi="Times New Roman" w:cs="Times New Roman"/>
          <w:b/>
          <w:bCs/>
          <w:i/>
          <w:sz w:val="20"/>
          <w:szCs w:val="20"/>
        </w:rPr>
        <w:t>17</w:t>
      </w:r>
      <w:r w:rsidRPr="00D84719">
        <w:rPr>
          <w:rFonts w:ascii="Times New Roman" w:eastAsia="Times New Roman" w:hAnsi="Times New Roman" w:cs="Times New Roman"/>
          <w:b/>
          <w:bCs/>
          <w:i/>
          <w:sz w:val="20"/>
          <w:szCs w:val="20"/>
        </w:rPr>
        <w:fldChar w:fldCharType="end"/>
      </w:r>
      <w:r w:rsidRPr="00D84719">
        <w:rPr>
          <w:rFonts w:ascii="Times New Roman" w:eastAsia="Times New Roman" w:hAnsi="Times New Roman" w:cs="Times New Roman"/>
          <w:b/>
          <w:bCs/>
          <w:i/>
          <w:sz w:val="20"/>
          <w:szCs w:val="20"/>
        </w:rPr>
        <w:t xml:space="preserve"> Raspodjela HBCDD u sedimentima prijelaznih voda 2018. </w:t>
      </w:r>
    </w:p>
    <w:p w14:paraId="4141DE25"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p>
    <w:p w14:paraId="16F3FF25"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 xml:space="preserve">Klasične lipofilne prioritetne tvari kao što su HCB i dioksini i njima srodni spojevi prisutni su u sedimentima prijelaznih voda na relativno niskim razinama. Te su razine višestruko niže od kriterija za značajno onečišćeni sediment prema </w:t>
      </w:r>
      <w:proofErr w:type="spellStart"/>
      <w:r w:rsidRPr="00D84719">
        <w:rPr>
          <w:rFonts w:ascii="Times New Roman" w:eastAsia="Times New Roman" w:hAnsi="Times New Roman" w:cs="Times New Roman"/>
          <w:color w:val="000000"/>
          <w:sz w:val="24"/>
          <w:szCs w:val="24"/>
        </w:rPr>
        <w:t>Bakkeu</w:t>
      </w:r>
      <w:proofErr w:type="spellEnd"/>
      <w:r w:rsidRPr="00D84719">
        <w:rPr>
          <w:rFonts w:ascii="Times New Roman" w:eastAsia="Times New Roman" w:hAnsi="Times New Roman" w:cs="Times New Roman"/>
          <w:color w:val="000000"/>
          <w:sz w:val="24"/>
          <w:szCs w:val="24"/>
        </w:rPr>
        <w:t xml:space="preserve"> i sur. (17 ng/g za HCB i 0</w:t>
      </w:r>
      <w:r w:rsidR="00632D56">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 xml:space="preserve">03 ng/g TEQ </w:t>
      </w:r>
      <w:r w:rsidRPr="00D84719">
        <w:rPr>
          <w:rFonts w:ascii="Times New Roman" w:eastAsia="Times New Roman" w:hAnsi="Times New Roman" w:cs="Times New Roman"/>
          <w:color w:val="000000"/>
          <w:sz w:val="24"/>
          <w:szCs w:val="24"/>
        </w:rPr>
        <w:lastRenderedPageBreak/>
        <w:t>za dioksinske spojeve). To upućuje na zaključak da u našim prijelaznim vodama nema nekog jačeg specifičnog izvora HCB i dioksinskih spojeva.</w:t>
      </w:r>
    </w:p>
    <w:p w14:paraId="298FEFC8" w14:textId="77777777" w:rsidR="00D84719" w:rsidRPr="00D84719" w:rsidRDefault="00D84719" w:rsidP="00D84719">
      <w:pPr>
        <w:keepNext/>
        <w:spacing w:before="80" w:line="276" w:lineRule="auto"/>
        <w:rPr>
          <w:rFonts w:ascii="Times New Roman" w:eastAsia="Times New Roman" w:hAnsi="Times New Roman" w:cs="Times New Roman"/>
          <w:color w:val="000000"/>
          <w:szCs w:val="24"/>
        </w:rPr>
      </w:pPr>
      <w:r w:rsidRPr="00D84719">
        <w:rPr>
          <w:rFonts w:ascii="Times New Roman" w:eastAsia="Times New Roman" w:hAnsi="Times New Roman" w:cs="Times New Roman"/>
          <w:noProof/>
          <w:color w:val="000000"/>
          <w:szCs w:val="24"/>
          <w:lang w:eastAsia="hr-HR"/>
        </w:rPr>
        <w:drawing>
          <wp:inline distT="0" distB="0" distL="0" distR="0" wp14:anchorId="76E510F1" wp14:editId="4CC7E55C">
            <wp:extent cx="4680000" cy="3412079"/>
            <wp:effectExtent l="0" t="0" r="6350" b="0"/>
            <wp:docPr id="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cstate="print"/>
                    <a:srcRect/>
                    <a:stretch>
                      <a:fillRect/>
                    </a:stretch>
                  </pic:blipFill>
                  <pic:spPr bwMode="auto">
                    <a:xfrm>
                      <a:off x="0" y="0"/>
                      <a:ext cx="4680000" cy="3412079"/>
                    </a:xfrm>
                    <a:prstGeom prst="rect">
                      <a:avLst/>
                    </a:prstGeom>
                    <a:noFill/>
                    <a:ln w="9525">
                      <a:noFill/>
                      <a:miter lim="800000"/>
                      <a:headEnd/>
                      <a:tailEnd/>
                    </a:ln>
                  </pic:spPr>
                </pic:pic>
              </a:graphicData>
            </a:graphic>
          </wp:inline>
        </w:drawing>
      </w:r>
    </w:p>
    <w:p w14:paraId="11EE8E1F" w14:textId="77777777" w:rsidR="00D84719" w:rsidRPr="00D84719" w:rsidRDefault="00D84719" w:rsidP="00D84719">
      <w:pPr>
        <w:keepNext/>
        <w:spacing w:before="80" w:after="0" w:line="276" w:lineRule="auto"/>
        <w:jc w:val="both"/>
        <w:rPr>
          <w:rFonts w:ascii="Times New Roman" w:eastAsia="Times New Roman" w:hAnsi="Times New Roman" w:cs="Times New Roman"/>
          <w:b/>
          <w:bCs/>
          <w:i/>
          <w:sz w:val="20"/>
          <w:szCs w:val="20"/>
        </w:rPr>
      </w:pPr>
      <w:r w:rsidRPr="00D84719">
        <w:rPr>
          <w:rFonts w:ascii="Times New Roman" w:eastAsia="Times New Roman" w:hAnsi="Times New Roman" w:cs="Times New Roman"/>
          <w:b/>
          <w:bCs/>
          <w:i/>
          <w:sz w:val="20"/>
          <w:szCs w:val="20"/>
        </w:rPr>
        <w:t xml:space="preserve">Slika </w:t>
      </w:r>
      <w:r w:rsidRPr="00D84719">
        <w:rPr>
          <w:rFonts w:ascii="Times New Roman" w:eastAsia="Times New Roman" w:hAnsi="Times New Roman" w:cs="Times New Roman"/>
          <w:b/>
          <w:bCs/>
          <w:i/>
          <w:sz w:val="20"/>
          <w:szCs w:val="20"/>
        </w:rPr>
        <w:fldChar w:fldCharType="begin"/>
      </w:r>
      <w:r w:rsidRPr="00D84719">
        <w:rPr>
          <w:rFonts w:ascii="Times New Roman" w:eastAsia="Times New Roman" w:hAnsi="Times New Roman" w:cs="Times New Roman"/>
          <w:b/>
          <w:bCs/>
          <w:i/>
          <w:sz w:val="20"/>
          <w:szCs w:val="20"/>
        </w:rPr>
        <w:instrText xml:space="preserve"> STYLEREF 2 \s </w:instrText>
      </w:r>
      <w:r w:rsidRPr="00D84719">
        <w:rPr>
          <w:rFonts w:ascii="Times New Roman" w:eastAsia="Times New Roman" w:hAnsi="Times New Roman" w:cs="Times New Roman"/>
          <w:b/>
          <w:bCs/>
          <w:i/>
          <w:sz w:val="20"/>
          <w:szCs w:val="20"/>
        </w:rPr>
        <w:fldChar w:fldCharType="separate"/>
      </w:r>
      <w:r w:rsidRPr="00D84719">
        <w:rPr>
          <w:rFonts w:ascii="Times New Roman" w:eastAsia="Times New Roman" w:hAnsi="Times New Roman" w:cs="Times New Roman"/>
          <w:b/>
          <w:bCs/>
          <w:i/>
          <w:sz w:val="20"/>
          <w:szCs w:val="20"/>
        </w:rPr>
        <w:t>3.7</w:t>
      </w:r>
      <w:r w:rsidRPr="00D84719">
        <w:rPr>
          <w:rFonts w:ascii="Times New Roman" w:eastAsia="Times New Roman" w:hAnsi="Times New Roman" w:cs="Times New Roman"/>
          <w:b/>
          <w:bCs/>
          <w:i/>
          <w:sz w:val="20"/>
          <w:szCs w:val="20"/>
        </w:rPr>
        <w:fldChar w:fldCharType="end"/>
      </w:r>
      <w:r w:rsidRPr="00D84719">
        <w:rPr>
          <w:rFonts w:ascii="Times New Roman" w:eastAsia="Times New Roman" w:hAnsi="Times New Roman" w:cs="Times New Roman"/>
          <w:b/>
          <w:bCs/>
          <w:i/>
          <w:sz w:val="20"/>
          <w:szCs w:val="20"/>
        </w:rPr>
        <w:noBreakHyphen/>
      </w:r>
      <w:r w:rsidRPr="00D84719">
        <w:rPr>
          <w:rFonts w:ascii="Times New Roman" w:eastAsia="Times New Roman" w:hAnsi="Times New Roman" w:cs="Times New Roman"/>
          <w:b/>
          <w:bCs/>
          <w:i/>
          <w:sz w:val="20"/>
          <w:szCs w:val="20"/>
        </w:rPr>
        <w:fldChar w:fldCharType="begin"/>
      </w:r>
      <w:r w:rsidRPr="00D84719">
        <w:rPr>
          <w:rFonts w:ascii="Times New Roman" w:eastAsia="Times New Roman" w:hAnsi="Times New Roman" w:cs="Times New Roman"/>
          <w:b/>
          <w:bCs/>
          <w:i/>
          <w:sz w:val="20"/>
          <w:szCs w:val="20"/>
        </w:rPr>
        <w:instrText xml:space="preserve"> SEQ Slika \* ARABIC \s 2 </w:instrText>
      </w:r>
      <w:r w:rsidRPr="00D84719">
        <w:rPr>
          <w:rFonts w:ascii="Times New Roman" w:eastAsia="Times New Roman" w:hAnsi="Times New Roman" w:cs="Times New Roman"/>
          <w:b/>
          <w:bCs/>
          <w:i/>
          <w:sz w:val="20"/>
          <w:szCs w:val="20"/>
        </w:rPr>
        <w:fldChar w:fldCharType="separate"/>
      </w:r>
      <w:r w:rsidRPr="00D84719">
        <w:rPr>
          <w:rFonts w:ascii="Times New Roman" w:eastAsia="Times New Roman" w:hAnsi="Times New Roman" w:cs="Times New Roman"/>
          <w:b/>
          <w:bCs/>
          <w:i/>
          <w:sz w:val="20"/>
          <w:szCs w:val="20"/>
        </w:rPr>
        <w:t>18</w:t>
      </w:r>
      <w:r w:rsidRPr="00D84719">
        <w:rPr>
          <w:rFonts w:ascii="Times New Roman" w:eastAsia="Times New Roman" w:hAnsi="Times New Roman" w:cs="Times New Roman"/>
          <w:b/>
          <w:bCs/>
          <w:i/>
          <w:sz w:val="20"/>
          <w:szCs w:val="20"/>
        </w:rPr>
        <w:fldChar w:fldCharType="end"/>
      </w:r>
      <w:r w:rsidRPr="00D84719">
        <w:rPr>
          <w:rFonts w:ascii="Times New Roman" w:eastAsia="Times New Roman" w:hAnsi="Times New Roman" w:cs="Times New Roman"/>
          <w:b/>
          <w:bCs/>
          <w:i/>
          <w:sz w:val="20"/>
          <w:szCs w:val="20"/>
        </w:rPr>
        <w:t xml:space="preserve"> Raspodjela HCB u</w:t>
      </w:r>
      <w:r w:rsidR="00612979">
        <w:rPr>
          <w:rFonts w:ascii="Times New Roman" w:eastAsia="Times New Roman" w:hAnsi="Times New Roman" w:cs="Times New Roman"/>
          <w:b/>
          <w:bCs/>
          <w:i/>
          <w:sz w:val="20"/>
          <w:szCs w:val="20"/>
        </w:rPr>
        <w:t xml:space="preserve"> </w:t>
      </w:r>
      <w:r w:rsidRPr="00D84719">
        <w:rPr>
          <w:rFonts w:ascii="Times New Roman" w:eastAsia="Times New Roman" w:hAnsi="Times New Roman" w:cs="Times New Roman"/>
          <w:b/>
          <w:bCs/>
          <w:i/>
          <w:sz w:val="20"/>
          <w:szCs w:val="20"/>
        </w:rPr>
        <w:t xml:space="preserve">sedimentima prijelaznih voda 2018. </w:t>
      </w:r>
    </w:p>
    <w:p w14:paraId="07CEF329" w14:textId="77777777" w:rsidR="00D84719" w:rsidRPr="00D84719" w:rsidRDefault="00D84719" w:rsidP="00D84719">
      <w:pPr>
        <w:keepNext/>
        <w:spacing w:before="80" w:line="276" w:lineRule="auto"/>
        <w:rPr>
          <w:rFonts w:ascii="Times New Roman" w:eastAsia="Times New Roman" w:hAnsi="Times New Roman" w:cs="Times New Roman"/>
          <w:color w:val="000000"/>
          <w:szCs w:val="24"/>
        </w:rPr>
      </w:pPr>
      <w:r w:rsidRPr="00D84719">
        <w:rPr>
          <w:rFonts w:ascii="Times New Roman" w:eastAsia="Times New Roman" w:hAnsi="Times New Roman" w:cs="Times New Roman"/>
          <w:noProof/>
          <w:color w:val="000000"/>
          <w:szCs w:val="24"/>
          <w:lang w:eastAsia="hr-HR"/>
        </w:rPr>
        <w:drawing>
          <wp:inline distT="0" distB="0" distL="0" distR="0" wp14:anchorId="2BB6E559" wp14:editId="22894287">
            <wp:extent cx="4680000" cy="3347943"/>
            <wp:effectExtent l="0" t="0" r="6350" b="508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4680000" cy="3347943"/>
                    </a:xfrm>
                    <a:prstGeom prst="rect">
                      <a:avLst/>
                    </a:prstGeom>
                    <a:noFill/>
                    <a:ln w="9525">
                      <a:noFill/>
                      <a:miter lim="800000"/>
                      <a:headEnd/>
                      <a:tailEnd/>
                    </a:ln>
                  </pic:spPr>
                </pic:pic>
              </a:graphicData>
            </a:graphic>
          </wp:inline>
        </w:drawing>
      </w:r>
    </w:p>
    <w:p w14:paraId="295332B4" w14:textId="77777777" w:rsidR="00D84719" w:rsidRPr="00D84719" w:rsidRDefault="00D84719" w:rsidP="00D84719">
      <w:pPr>
        <w:keepNext/>
        <w:spacing w:before="80" w:after="0" w:line="276" w:lineRule="auto"/>
        <w:jc w:val="both"/>
        <w:rPr>
          <w:rFonts w:ascii="Times New Roman" w:eastAsia="Times New Roman" w:hAnsi="Times New Roman" w:cs="Times New Roman"/>
          <w:b/>
          <w:bCs/>
          <w:i/>
          <w:sz w:val="20"/>
          <w:szCs w:val="20"/>
        </w:rPr>
      </w:pPr>
      <w:r w:rsidRPr="00D84719">
        <w:rPr>
          <w:rFonts w:ascii="Times New Roman" w:eastAsia="Times New Roman" w:hAnsi="Times New Roman" w:cs="Times New Roman"/>
          <w:b/>
          <w:bCs/>
          <w:i/>
          <w:sz w:val="20"/>
          <w:szCs w:val="20"/>
        </w:rPr>
        <w:t xml:space="preserve">Slika </w:t>
      </w:r>
      <w:r w:rsidRPr="00D84719">
        <w:rPr>
          <w:rFonts w:ascii="Times New Roman" w:eastAsia="Times New Roman" w:hAnsi="Times New Roman" w:cs="Times New Roman"/>
          <w:b/>
          <w:bCs/>
          <w:i/>
          <w:sz w:val="20"/>
          <w:szCs w:val="20"/>
        </w:rPr>
        <w:fldChar w:fldCharType="begin"/>
      </w:r>
      <w:r w:rsidRPr="00D84719">
        <w:rPr>
          <w:rFonts w:ascii="Times New Roman" w:eastAsia="Times New Roman" w:hAnsi="Times New Roman" w:cs="Times New Roman"/>
          <w:b/>
          <w:bCs/>
          <w:i/>
          <w:sz w:val="20"/>
          <w:szCs w:val="20"/>
        </w:rPr>
        <w:instrText xml:space="preserve"> STYLEREF 2 \s </w:instrText>
      </w:r>
      <w:r w:rsidRPr="00D84719">
        <w:rPr>
          <w:rFonts w:ascii="Times New Roman" w:eastAsia="Times New Roman" w:hAnsi="Times New Roman" w:cs="Times New Roman"/>
          <w:b/>
          <w:bCs/>
          <w:i/>
          <w:sz w:val="20"/>
          <w:szCs w:val="20"/>
        </w:rPr>
        <w:fldChar w:fldCharType="separate"/>
      </w:r>
      <w:r w:rsidRPr="00D84719">
        <w:rPr>
          <w:rFonts w:ascii="Times New Roman" w:eastAsia="Times New Roman" w:hAnsi="Times New Roman" w:cs="Times New Roman"/>
          <w:b/>
          <w:bCs/>
          <w:i/>
          <w:sz w:val="20"/>
          <w:szCs w:val="20"/>
        </w:rPr>
        <w:t>3.7</w:t>
      </w:r>
      <w:r w:rsidRPr="00D84719">
        <w:rPr>
          <w:rFonts w:ascii="Times New Roman" w:eastAsia="Times New Roman" w:hAnsi="Times New Roman" w:cs="Times New Roman"/>
          <w:b/>
          <w:bCs/>
          <w:i/>
          <w:sz w:val="20"/>
          <w:szCs w:val="20"/>
        </w:rPr>
        <w:fldChar w:fldCharType="end"/>
      </w:r>
      <w:r w:rsidRPr="00D84719">
        <w:rPr>
          <w:rFonts w:ascii="Times New Roman" w:eastAsia="Times New Roman" w:hAnsi="Times New Roman" w:cs="Times New Roman"/>
          <w:b/>
          <w:bCs/>
          <w:i/>
          <w:sz w:val="20"/>
          <w:szCs w:val="20"/>
        </w:rPr>
        <w:noBreakHyphen/>
      </w:r>
      <w:r w:rsidRPr="00D84719">
        <w:rPr>
          <w:rFonts w:ascii="Times New Roman" w:eastAsia="Times New Roman" w:hAnsi="Times New Roman" w:cs="Times New Roman"/>
          <w:b/>
          <w:bCs/>
          <w:i/>
          <w:sz w:val="20"/>
          <w:szCs w:val="20"/>
        </w:rPr>
        <w:fldChar w:fldCharType="begin"/>
      </w:r>
      <w:r w:rsidRPr="00D84719">
        <w:rPr>
          <w:rFonts w:ascii="Times New Roman" w:eastAsia="Times New Roman" w:hAnsi="Times New Roman" w:cs="Times New Roman"/>
          <w:b/>
          <w:bCs/>
          <w:i/>
          <w:sz w:val="20"/>
          <w:szCs w:val="20"/>
        </w:rPr>
        <w:instrText xml:space="preserve"> SEQ Slika \* ARABIC \s 2 </w:instrText>
      </w:r>
      <w:r w:rsidRPr="00D84719">
        <w:rPr>
          <w:rFonts w:ascii="Times New Roman" w:eastAsia="Times New Roman" w:hAnsi="Times New Roman" w:cs="Times New Roman"/>
          <w:b/>
          <w:bCs/>
          <w:i/>
          <w:sz w:val="20"/>
          <w:szCs w:val="20"/>
        </w:rPr>
        <w:fldChar w:fldCharType="separate"/>
      </w:r>
      <w:r w:rsidRPr="00D84719">
        <w:rPr>
          <w:rFonts w:ascii="Times New Roman" w:eastAsia="Times New Roman" w:hAnsi="Times New Roman" w:cs="Times New Roman"/>
          <w:b/>
          <w:bCs/>
          <w:i/>
          <w:sz w:val="20"/>
          <w:szCs w:val="20"/>
        </w:rPr>
        <w:t>19</w:t>
      </w:r>
      <w:r w:rsidRPr="00D84719">
        <w:rPr>
          <w:rFonts w:ascii="Times New Roman" w:eastAsia="Times New Roman" w:hAnsi="Times New Roman" w:cs="Times New Roman"/>
          <w:b/>
          <w:bCs/>
          <w:i/>
          <w:sz w:val="20"/>
          <w:szCs w:val="20"/>
        </w:rPr>
        <w:fldChar w:fldCharType="end"/>
      </w:r>
      <w:r w:rsidRPr="00D84719">
        <w:rPr>
          <w:rFonts w:ascii="Times New Roman" w:eastAsia="Times New Roman" w:hAnsi="Times New Roman" w:cs="Times New Roman"/>
          <w:b/>
          <w:bCs/>
          <w:i/>
          <w:sz w:val="20"/>
          <w:szCs w:val="20"/>
        </w:rPr>
        <w:t xml:space="preserve"> Raspodjela dioksina i njima srodnih spojeva u</w:t>
      </w:r>
      <w:r w:rsidR="00612979">
        <w:rPr>
          <w:rFonts w:ascii="Times New Roman" w:eastAsia="Times New Roman" w:hAnsi="Times New Roman" w:cs="Times New Roman"/>
          <w:b/>
          <w:bCs/>
          <w:i/>
          <w:sz w:val="20"/>
          <w:szCs w:val="20"/>
        </w:rPr>
        <w:t xml:space="preserve"> </w:t>
      </w:r>
      <w:r w:rsidRPr="00D84719">
        <w:rPr>
          <w:rFonts w:ascii="Times New Roman" w:eastAsia="Times New Roman" w:hAnsi="Times New Roman" w:cs="Times New Roman"/>
          <w:b/>
          <w:bCs/>
          <w:i/>
          <w:sz w:val="20"/>
          <w:szCs w:val="20"/>
        </w:rPr>
        <w:t>sedimentima prijelaznih voda 2018</w:t>
      </w:r>
    </w:p>
    <w:p w14:paraId="77CCEFD0" w14:textId="77777777" w:rsidR="00D84719" w:rsidRPr="00D84719" w:rsidRDefault="00D84719" w:rsidP="00D84719">
      <w:pPr>
        <w:spacing w:before="80" w:line="276" w:lineRule="auto"/>
        <w:jc w:val="both"/>
        <w:rPr>
          <w:rFonts w:ascii="Times New Roman" w:eastAsia="Times New Roman" w:hAnsi="Times New Roman" w:cs="Times New Roman"/>
          <w:color w:val="000000"/>
          <w:szCs w:val="24"/>
        </w:rPr>
      </w:pPr>
    </w:p>
    <w:p w14:paraId="0C190942"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 xml:space="preserve">Osim kloriranih insekticida i dioksinskih spojeva, u sedimentima priobalnih voda izmjerene su i značajne koncentracije dugolančastih kloroalkana (C10-13). </w:t>
      </w:r>
    </w:p>
    <w:p w14:paraId="3784E4D8" w14:textId="77777777" w:rsidR="00D84719" w:rsidRPr="00D84719" w:rsidRDefault="00D84719" w:rsidP="00D84719">
      <w:pPr>
        <w:keepNext/>
        <w:spacing w:before="80" w:line="276" w:lineRule="auto"/>
        <w:rPr>
          <w:rFonts w:ascii="Times New Roman" w:eastAsia="Times New Roman" w:hAnsi="Times New Roman" w:cs="Times New Roman"/>
          <w:color w:val="000000"/>
          <w:szCs w:val="24"/>
        </w:rPr>
      </w:pPr>
      <w:r w:rsidRPr="00D84719">
        <w:rPr>
          <w:rFonts w:ascii="Times New Roman" w:eastAsia="Times New Roman" w:hAnsi="Times New Roman" w:cs="Times New Roman"/>
          <w:noProof/>
          <w:color w:val="000000"/>
          <w:szCs w:val="24"/>
          <w:lang w:eastAsia="hr-HR"/>
        </w:rPr>
        <w:lastRenderedPageBreak/>
        <w:drawing>
          <wp:inline distT="0" distB="0" distL="0" distR="0" wp14:anchorId="06C9FB8E" wp14:editId="0DC42725">
            <wp:extent cx="4680000" cy="3205531"/>
            <wp:effectExtent l="0" t="0" r="6350" b="0"/>
            <wp:docPr id="3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srcRect/>
                    <a:stretch>
                      <a:fillRect/>
                    </a:stretch>
                  </pic:blipFill>
                  <pic:spPr bwMode="auto">
                    <a:xfrm>
                      <a:off x="0" y="0"/>
                      <a:ext cx="4680000" cy="3205531"/>
                    </a:xfrm>
                    <a:prstGeom prst="rect">
                      <a:avLst/>
                    </a:prstGeom>
                    <a:noFill/>
                    <a:ln w="9525">
                      <a:noFill/>
                      <a:miter lim="800000"/>
                      <a:headEnd/>
                      <a:tailEnd/>
                    </a:ln>
                  </pic:spPr>
                </pic:pic>
              </a:graphicData>
            </a:graphic>
          </wp:inline>
        </w:drawing>
      </w:r>
    </w:p>
    <w:p w14:paraId="004C1155" w14:textId="77777777" w:rsidR="00D84719" w:rsidRPr="00D84719" w:rsidRDefault="00D84719" w:rsidP="00D84719">
      <w:pPr>
        <w:keepNext/>
        <w:spacing w:before="80" w:after="0" w:line="276" w:lineRule="auto"/>
        <w:jc w:val="both"/>
        <w:rPr>
          <w:rFonts w:ascii="Times New Roman" w:eastAsia="Times New Roman" w:hAnsi="Times New Roman" w:cs="Times New Roman"/>
          <w:b/>
          <w:bCs/>
          <w:i/>
          <w:sz w:val="20"/>
          <w:szCs w:val="20"/>
        </w:rPr>
      </w:pPr>
      <w:r w:rsidRPr="00D84719">
        <w:rPr>
          <w:rFonts w:ascii="Times New Roman" w:eastAsia="Times New Roman" w:hAnsi="Times New Roman" w:cs="Times New Roman"/>
          <w:b/>
          <w:bCs/>
          <w:i/>
          <w:sz w:val="20"/>
          <w:szCs w:val="20"/>
        </w:rPr>
        <w:t xml:space="preserve">Slika </w:t>
      </w:r>
      <w:r w:rsidRPr="00D84719">
        <w:rPr>
          <w:rFonts w:ascii="Times New Roman" w:eastAsia="Times New Roman" w:hAnsi="Times New Roman" w:cs="Times New Roman"/>
          <w:b/>
          <w:bCs/>
          <w:i/>
          <w:sz w:val="20"/>
          <w:szCs w:val="20"/>
        </w:rPr>
        <w:fldChar w:fldCharType="begin"/>
      </w:r>
      <w:r w:rsidRPr="00D84719">
        <w:rPr>
          <w:rFonts w:ascii="Times New Roman" w:eastAsia="Times New Roman" w:hAnsi="Times New Roman" w:cs="Times New Roman"/>
          <w:b/>
          <w:bCs/>
          <w:i/>
          <w:sz w:val="20"/>
          <w:szCs w:val="20"/>
        </w:rPr>
        <w:instrText xml:space="preserve"> STYLEREF 2 \s </w:instrText>
      </w:r>
      <w:r w:rsidRPr="00D84719">
        <w:rPr>
          <w:rFonts w:ascii="Times New Roman" w:eastAsia="Times New Roman" w:hAnsi="Times New Roman" w:cs="Times New Roman"/>
          <w:b/>
          <w:bCs/>
          <w:i/>
          <w:sz w:val="20"/>
          <w:szCs w:val="20"/>
        </w:rPr>
        <w:fldChar w:fldCharType="separate"/>
      </w:r>
      <w:r w:rsidRPr="00D84719">
        <w:rPr>
          <w:rFonts w:ascii="Times New Roman" w:eastAsia="Times New Roman" w:hAnsi="Times New Roman" w:cs="Times New Roman"/>
          <w:b/>
          <w:bCs/>
          <w:i/>
          <w:sz w:val="20"/>
          <w:szCs w:val="20"/>
        </w:rPr>
        <w:t>3.7</w:t>
      </w:r>
      <w:r w:rsidRPr="00D84719">
        <w:rPr>
          <w:rFonts w:ascii="Times New Roman" w:eastAsia="Times New Roman" w:hAnsi="Times New Roman" w:cs="Times New Roman"/>
          <w:b/>
          <w:bCs/>
          <w:i/>
          <w:sz w:val="20"/>
          <w:szCs w:val="20"/>
        </w:rPr>
        <w:fldChar w:fldCharType="end"/>
      </w:r>
      <w:r w:rsidRPr="00D84719">
        <w:rPr>
          <w:rFonts w:ascii="Times New Roman" w:eastAsia="Times New Roman" w:hAnsi="Times New Roman" w:cs="Times New Roman"/>
          <w:b/>
          <w:bCs/>
          <w:i/>
          <w:sz w:val="20"/>
          <w:szCs w:val="20"/>
        </w:rPr>
        <w:noBreakHyphen/>
      </w:r>
      <w:r w:rsidRPr="00D84719">
        <w:rPr>
          <w:rFonts w:ascii="Times New Roman" w:eastAsia="Times New Roman" w:hAnsi="Times New Roman" w:cs="Times New Roman"/>
          <w:b/>
          <w:bCs/>
          <w:i/>
          <w:sz w:val="20"/>
          <w:szCs w:val="20"/>
        </w:rPr>
        <w:fldChar w:fldCharType="begin"/>
      </w:r>
      <w:r w:rsidRPr="00D84719">
        <w:rPr>
          <w:rFonts w:ascii="Times New Roman" w:eastAsia="Times New Roman" w:hAnsi="Times New Roman" w:cs="Times New Roman"/>
          <w:b/>
          <w:bCs/>
          <w:i/>
          <w:sz w:val="20"/>
          <w:szCs w:val="20"/>
        </w:rPr>
        <w:instrText xml:space="preserve"> SEQ Slika \* ARABIC \s 2 </w:instrText>
      </w:r>
      <w:r w:rsidRPr="00D84719">
        <w:rPr>
          <w:rFonts w:ascii="Times New Roman" w:eastAsia="Times New Roman" w:hAnsi="Times New Roman" w:cs="Times New Roman"/>
          <w:b/>
          <w:bCs/>
          <w:i/>
          <w:sz w:val="20"/>
          <w:szCs w:val="20"/>
        </w:rPr>
        <w:fldChar w:fldCharType="separate"/>
      </w:r>
      <w:r w:rsidRPr="00D84719">
        <w:rPr>
          <w:rFonts w:ascii="Times New Roman" w:eastAsia="Times New Roman" w:hAnsi="Times New Roman" w:cs="Times New Roman"/>
          <w:b/>
          <w:bCs/>
          <w:i/>
          <w:sz w:val="20"/>
          <w:szCs w:val="20"/>
        </w:rPr>
        <w:t>20</w:t>
      </w:r>
      <w:r w:rsidRPr="00D84719">
        <w:rPr>
          <w:rFonts w:ascii="Times New Roman" w:eastAsia="Times New Roman" w:hAnsi="Times New Roman" w:cs="Times New Roman"/>
          <w:b/>
          <w:bCs/>
          <w:i/>
          <w:sz w:val="20"/>
          <w:szCs w:val="20"/>
        </w:rPr>
        <w:fldChar w:fldCharType="end"/>
      </w:r>
      <w:r w:rsidRPr="00D84719">
        <w:rPr>
          <w:rFonts w:ascii="Times New Roman" w:eastAsia="Times New Roman" w:hAnsi="Times New Roman" w:cs="Times New Roman"/>
          <w:b/>
          <w:bCs/>
          <w:i/>
          <w:sz w:val="20"/>
          <w:szCs w:val="20"/>
        </w:rPr>
        <w:t xml:space="preserve"> Raspodjela dugolančastih kloroalkana (C10-C13) u</w:t>
      </w:r>
      <w:r w:rsidR="00612979">
        <w:rPr>
          <w:rFonts w:ascii="Times New Roman" w:eastAsia="Times New Roman" w:hAnsi="Times New Roman" w:cs="Times New Roman"/>
          <w:b/>
          <w:bCs/>
          <w:i/>
          <w:sz w:val="20"/>
          <w:szCs w:val="20"/>
        </w:rPr>
        <w:t xml:space="preserve"> </w:t>
      </w:r>
      <w:r w:rsidRPr="00D84719">
        <w:rPr>
          <w:rFonts w:ascii="Times New Roman" w:eastAsia="Times New Roman" w:hAnsi="Times New Roman" w:cs="Times New Roman"/>
          <w:b/>
          <w:bCs/>
          <w:i/>
          <w:sz w:val="20"/>
          <w:szCs w:val="20"/>
        </w:rPr>
        <w:t xml:space="preserve">sedimentima prijelaznih voda 2018. </w:t>
      </w:r>
    </w:p>
    <w:p w14:paraId="01419BB6"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p>
    <w:p w14:paraId="4CFF4094"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 xml:space="preserve">Kako se radi o prioritetnim tvarima industrijskog porijekla, njihova prostorna raspodjela pokazuje povišene vrijednosti na karakterističnim lokacijama u estuarijima </w:t>
      </w:r>
      <w:proofErr w:type="spellStart"/>
      <w:r w:rsidRPr="00D84719">
        <w:rPr>
          <w:rFonts w:ascii="Times New Roman" w:eastAsia="Times New Roman" w:hAnsi="Times New Roman" w:cs="Times New Roman"/>
          <w:color w:val="000000"/>
          <w:sz w:val="24"/>
          <w:szCs w:val="24"/>
        </w:rPr>
        <w:t>Omble</w:t>
      </w:r>
      <w:proofErr w:type="spellEnd"/>
      <w:r w:rsidRPr="00D84719">
        <w:rPr>
          <w:rFonts w:ascii="Times New Roman" w:eastAsia="Times New Roman" w:hAnsi="Times New Roman" w:cs="Times New Roman"/>
          <w:color w:val="000000"/>
          <w:sz w:val="24"/>
          <w:szCs w:val="24"/>
        </w:rPr>
        <w:t xml:space="preserve"> (FP-P2), Neretve (FP-P5b), </w:t>
      </w:r>
      <w:proofErr w:type="spellStart"/>
      <w:r w:rsidRPr="00D84719">
        <w:rPr>
          <w:rFonts w:ascii="Times New Roman" w:eastAsia="Times New Roman" w:hAnsi="Times New Roman" w:cs="Times New Roman"/>
          <w:color w:val="000000"/>
          <w:sz w:val="24"/>
          <w:szCs w:val="24"/>
        </w:rPr>
        <w:t>Jadra</w:t>
      </w:r>
      <w:proofErr w:type="spellEnd"/>
      <w:r w:rsidRPr="00D84719">
        <w:rPr>
          <w:rFonts w:ascii="Times New Roman" w:eastAsia="Times New Roman" w:hAnsi="Times New Roman" w:cs="Times New Roman"/>
          <w:color w:val="000000"/>
          <w:sz w:val="24"/>
          <w:szCs w:val="24"/>
        </w:rPr>
        <w:t xml:space="preserve"> (FP-P10), Krke (FP-P13), Rječine (FP-P18), Raše (FP-P19) i Mirne (FP-P22) koje su imale povećane razine i nekih drugih prioritetnih tvari. Najviša razina (105 ng/g) zabilježena je u estuariju Rječine. </w:t>
      </w:r>
      <w:proofErr w:type="spellStart"/>
      <w:r w:rsidRPr="00D84719">
        <w:rPr>
          <w:rFonts w:ascii="Times New Roman" w:eastAsia="Times New Roman" w:hAnsi="Times New Roman" w:cs="Times New Roman"/>
          <w:color w:val="000000"/>
          <w:sz w:val="24"/>
          <w:szCs w:val="24"/>
        </w:rPr>
        <w:t>Bakke</w:t>
      </w:r>
      <w:proofErr w:type="spellEnd"/>
      <w:r w:rsidRPr="00D84719">
        <w:rPr>
          <w:rFonts w:ascii="Times New Roman" w:eastAsia="Times New Roman" w:hAnsi="Times New Roman" w:cs="Times New Roman"/>
          <w:color w:val="000000"/>
          <w:sz w:val="24"/>
          <w:szCs w:val="24"/>
        </w:rPr>
        <w:t xml:space="preserve"> i sur. (2010) nisu ponudili kriterij za procjenu zagađenja kloroalkanima. Međutim, prema kanadskim kriterijima (</w:t>
      </w:r>
      <w:proofErr w:type="spellStart"/>
      <w:r w:rsidRPr="00D84719">
        <w:rPr>
          <w:rFonts w:ascii="Times New Roman" w:eastAsia="Times New Roman" w:hAnsi="Times New Roman" w:cs="Times New Roman"/>
          <w:color w:val="000000"/>
          <w:sz w:val="24"/>
          <w:szCs w:val="24"/>
        </w:rPr>
        <w:t>Environment</w:t>
      </w:r>
      <w:proofErr w:type="spellEnd"/>
      <w:r w:rsidRPr="00D84719">
        <w:rPr>
          <w:rFonts w:ascii="Times New Roman" w:eastAsia="Times New Roman" w:hAnsi="Times New Roman" w:cs="Times New Roman"/>
          <w:color w:val="000000"/>
          <w:sz w:val="24"/>
          <w:szCs w:val="24"/>
        </w:rPr>
        <w:t xml:space="preserve"> Canada, 2016) te su koncentracije preko 1000 puta niže od kritičnih.</w:t>
      </w:r>
    </w:p>
    <w:p w14:paraId="775D3D19" w14:textId="39351704"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Koncentracija PFOS u sedimentima prijelaznih voda 2018</w:t>
      </w:r>
      <w:r w:rsidR="005C26BD">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 xml:space="preserve"> bila je dosta niska i kretala se u rasponu od &lt;0</w:t>
      </w:r>
      <w:r w:rsidR="00632D56">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1 do 0</w:t>
      </w:r>
      <w:r w:rsidR="00632D56">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4 ng/g. Takva situacija u skladu je s niskim razinama ovih tvari u vodenom stupcu (&lt;1 ng/l). Blago povišene vrijednosti (0</w:t>
      </w:r>
      <w:r w:rsidR="00632D56">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2 do 0</w:t>
      </w:r>
      <w:r w:rsidR="00632D56">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4 ng/g) zabilježene su u estuarijima Krke i Zrmanje. Raspodjela PFOS u sedimentima potvrđuje da u našim priobalnim vodama ne postoje neki snažniji točkasti izvori tih prioritetnih tvari. Izmjeren razine PFOS su preko 100 puta niže od kriterija za značajno onečišćeni sediment</w:t>
      </w:r>
      <w:r w:rsidR="00612979">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xml:space="preserve">(220 ng/g) prema </w:t>
      </w:r>
      <w:proofErr w:type="spellStart"/>
      <w:r w:rsidRPr="00D84719">
        <w:rPr>
          <w:rFonts w:ascii="Times New Roman" w:eastAsia="Times New Roman" w:hAnsi="Times New Roman" w:cs="Times New Roman"/>
          <w:color w:val="000000"/>
          <w:sz w:val="24"/>
          <w:szCs w:val="24"/>
        </w:rPr>
        <w:t>Bakkeu</w:t>
      </w:r>
      <w:proofErr w:type="spellEnd"/>
      <w:r w:rsidRPr="00D84719">
        <w:rPr>
          <w:rFonts w:ascii="Times New Roman" w:eastAsia="Times New Roman" w:hAnsi="Times New Roman" w:cs="Times New Roman"/>
          <w:color w:val="000000"/>
          <w:sz w:val="24"/>
          <w:szCs w:val="24"/>
        </w:rPr>
        <w:t xml:space="preserve"> i sur. (2010).</w:t>
      </w:r>
    </w:p>
    <w:p w14:paraId="4EFDEA9B" w14:textId="77777777" w:rsidR="00D84719" w:rsidRPr="00D84719" w:rsidRDefault="00D84719" w:rsidP="00D84719">
      <w:pPr>
        <w:spacing w:before="80" w:line="276" w:lineRule="auto"/>
        <w:jc w:val="both"/>
        <w:rPr>
          <w:rFonts w:ascii="Times New Roman" w:eastAsia="Times New Roman" w:hAnsi="Times New Roman" w:cs="Times New Roman"/>
          <w:color w:val="000000"/>
          <w:szCs w:val="24"/>
        </w:rPr>
      </w:pPr>
    </w:p>
    <w:p w14:paraId="7E1E2654" w14:textId="77777777" w:rsidR="00D84719" w:rsidRPr="00D84719" w:rsidRDefault="00D84719" w:rsidP="00D84719">
      <w:pPr>
        <w:keepNext/>
        <w:spacing w:before="80" w:line="276" w:lineRule="auto"/>
        <w:rPr>
          <w:rFonts w:ascii="Times New Roman" w:eastAsia="Times New Roman" w:hAnsi="Times New Roman" w:cs="Times New Roman"/>
          <w:color w:val="000000"/>
          <w:szCs w:val="24"/>
        </w:rPr>
      </w:pPr>
      <w:r w:rsidRPr="00D84719">
        <w:rPr>
          <w:rFonts w:ascii="Times New Roman" w:eastAsia="Times New Roman" w:hAnsi="Times New Roman" w:cs="Times New Roman"/>
          <w:noProof/>
          <w:color w:val="000000"/>
          <w:szCs w:val="24"/>
          <w:lang w:eastAsia="hr-HR"/>
        </w:rPr>
        <w:lastRenderedPageBreak/>
        <w:drawing>
          <wp:inline distT="0" distB="0" distL="0" distR="0" wp14:anchorId="391E5E87" wp14:editId="5D1D41B3">
            <wp:extent cx="4680000" cy="3093590"/>
            <wp:effectExtent l="0" t="0" r="6350" b="0"/>
            <wp:docPr id="3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cstate="print"/>
                    <a:srcRect/>
                    <a:stretch>
                      <a:fillRect/>
                    </a:stretch>
                  </pic:blipFill>
                  <pic:spPr bwMode="auto">
                    <a:xfrm>
                      <a:off x="0" y="0"/>
                      <a:ext cx="4680000" cy="3093590"/>
                    </a:xfrm>
                    <a:prstGeom prst="rect">
                      <a:avLst/>
                    </a:prstGeom>
                    <a:noFill/>
                    <a:ln w="9525">
                      <a:noFill/>
                      <a:miter lim="800000"/>
                      <a:headEnd/>
                      <a:tailEnd/>
                    </a:ln>
                  </pic:spPr>
                </pic:pic>
              </a:graphicData>
            </a:graphic>
          </wp:inline>
        </w:drawing>
      </w:r>
    </w:p>
    <w:p w14:paraId="65B1658A" w14:textId="77777777" w:rsidR="00D84719" w:rsidRPr="00D84719" w:rsidRDefault="00D84719" w:rsidP="00D84719">
      <w:pPr>
        <w:keepNext/>
        <w:spacing w:before="80" w:after="0" w:line="276" w:lineRule="auto"/>
        <w:jc w:val="both"/>
        <w:rPr>
          <w:rFonts w:ascii="Times New Roman" w:eastAsia="Times New Roman" w:hAnsi="Times New Roman" w:cs="Times New Roman"/>
          <w:b/>
          <w:bCs/>
          <w:i/>
          <w:sz w:val="20"/>
          <w:szCs w:val="20"/>
        </w:rPr>
      </w:pPr>
      <w:r w:rsidRPr="00D84719">
        <w:rPr>
          <w:rFonts w:ascii="Times New Roman" w:eastAsia="Times New Roman" w:hAnsi="Times New Roman" w:cs="Times New Roman"/>
          <w:b/>
          <w:bCs/>
          <w:i/>
          <w:sz w:val="20"/>
          <w:szCs w:val="20"/>
        </w:rPr>
        <w:t xml:space="preserve">Slika </w:t>
      </w:r>
      <w:r w:rsidRPr="00D84719">
        <w:rPr>
          <w:rFonts w:ascii="Times New Roman" w:eastAsia="Times New Roman" w:hAnsi="Times New Roman" w:cs="Times New Roman"/>
          <w:b/>
          <w:bCs/>
          <w:i/>
          <w:sz w:val="20"/>
          <w:szCs w:val="20"/>
        </w:rPr>
        <w:fldChar w:fldCharType="begin"/>
      </w:r>
      <w:r w:rsidRPr="00D84719">
        <w:rPr>
          <w:rFonts w:ascii="Times New Roman" w:eastAsia="Times New Roman" w:hAnsi="Times New Roman" w:cs="Times New Roman"/>
          <w:b/>
          <w:bCs/>
          <w:i/>
          <w:sz w:val="20"/>
          <w:szCs w:val="20"/>
        </w:rPr>
        <w:instrText xml:space="preserve"> STYLEREF 2 \s </w:instrText>
      </w:r>
      <w:r w:rsidRPr="00D84719">
        <w:rPr>
          <w:rFonts w:ascii="Times New Roman" w:eastAsia="Times New Roman" w:hAnsi="Times New Roman" w:cs="Times New Roman"/>
          <w:b/>
          <w:bCs/>
          <w:i/>
          <w:sz w:val="20"/>
          <w:szCs w:val="20"/>
        </w:rPr>
        <w:fldChar w:fldCharType="separate"/>
      </w:r>
      <w:r w:rsidRPr="00D84719">
        <w:rPr>
          <w:rFonts w:ascii="Times New Roman" w:eastAsia="Times New Roman" w:hAnsi="Times New Roman" w:cs="Times New Roman"/>
          <w:b/>
          <w:bCs/>
          <w:i/>
          <w:sz w:val="20"/>
          <w:szCs w:val="20"/>
        </w:rPr>
        <w:t>3.7</w:t>
      </w:r>
      <w:r w:rsidRPr="00D84719">
        <w:rPr>
          <w:rFonts w:ascii="Times New Roman" w:eastAsia="Times New Roman" w:hAnsi="Times New Roman" w:cs="Times New Roman"/>
          <w:b/>
          <w:bCs/>
          <w:i/>
          <w:sz w:val="20"/>
          <w:szCs w:val="20"/>
        </w:rPr>
        <w:fldChar w:fldCharType="end"/>
      </w:r>
      <w:r w:rsidRPr="00D84719">
        <w:rPr>
          <w:rFonts w:ascii="Times New Roman" w:eastAsia="Times New Roman" w:hAnsi="Times New Roman" w:cs="Times New Roman"/>
          <w:b/>
          <w:bCs/>
          <w:i/>
          <w:sz w:val="20"/>
          <w:szCs w:val="20"/>
        </w:rPr>
        <w:noBreakHyphen/>
      </w:r>
      <w:r w:rsidRPr="00D84719">
        <w:rPr>
          <w:rFonts w:ascii="Times New Roman" w:eastAsia="Times New Roman" w:hAnsi="Times New Roman" w:cs="Times New Roman"/>
          <w:b/>
          <w:bCs/>
          <w:i/>
          <w:sz w:val="20"/>
          <w:szCs w:val="20"/>
        </w:rPr>
        <w:fldChar w:fldCharType="begin"/>
      </w:r>
      <w:r w:rsidRPr="00D84719">
        <w:rPr>
          <w:rFonts w:ascii="Times New Roman" w:eastAsia="Times New Roman" w:hAnsi="Times New Roman" w:cs="Times New Roman"/>
          <w:b/>
          <w:bCs/>
          <w:i/>
          <w:sz w:val="20"/>
          <w:szCs w:val="20"/>
        </w:rPr>
        <w:instrText xml:space="preserve"> SEQ Slika \* ARABIC \s 2 </w:instrText>
      </w:r>
      <w:r w:rsidRPr="00D84719">
        <w:rPr>
          <w:rFonts w:ascii="Times New Roman" w:eastAsia="Times New Roman" w:hAnsi="Times New Roman" w:cs="Times New Roman"/>
          <w:b/>
          <w:bCs/>
          <w:i/>
          <w:sz w:val="20"/>
          <w:szCs w:val="20"/>
        </w:rPr>
        <w:fldChar w:fldCharType="separate"/>
      </w:r>
      <w:r w:rsidRPr="00D84719">
        <w:rPr>
          <w:rFonts w:ascii="Times New Roman" w:eastAsia="Times New Roman" w:hAnsi="Times New Roman" w:cs="Times New Roman"/>
          <w:b/>
          <w:bCs/>
          <w:i/>
          <w:sz w:val="20"/>
          <w:szCs w:val="20"/>
        </w:rPr>
        <w:t>21</w:t>
      </w:r>
      <w:r w:rsidRPr="00D84719">
        <w:rPr>
          <w:rFonts w:ascii="Times New Roman" w:eastAsia="Times New Roman" w:hAnsi="Times New Roman" w:cs="Times New Roman"/>
          <w:b/>
          <w:bCs/>
          <w:i/>
          <w:sz w:val="20"/>
          <w:szCs w:val="20"/>
        </w:rPr>
        <w:fldChar w:fldCharType="end"/>
      </w:r>
      <w:r w:rsidRPr="00D84719">
        <w:rPr>
          <w:rFonts w:ascii="Times New Roman" w:eastAsia="Times New Roman" w:hAnsi="Times New Roman" w:cs="Times New Roman"/>
          <w:b/>
          <w:bCs/>
          <w:i/>
          <w:sz w:val="20"/>
          <w:szCs w:val="20"/>
        </w:rPr>
        <w:t xml:space="preserve">: Raspodjela perfluorooktan sulfonske kiseline (PFOS) i njezinih derivata sedimentima prijelaznih voda 2018. </w:t>
      </w:r>
    </w:p>
    <w:p w14:paraId="6191573E" w14:textId="77777777" w:rsidR="00D84719" w:rsidRPr="00D84719" w:rsidRDefault="00D84719" w:rsidP="00D84719">
      <w:pPr>
        <w:spacing w:before="80" w:line="276" w:lineRule="auto"/>
        <w:jc w:val="both"/>
        <w:rPr>
          <w:rFonts w:ascii="Times New Roman" w:eastAsia="Times New Roman" w:hAnsi="Times New Roman" w:cs="Times New Roman"/>
          <w:color w:val="000000"/>
          <w:szCs w:val="24"/>
        </w:rPr>
      </w:pPr>
    </w:p>
    <w:p w14:paraId="1FCCC5E2" w14:textId="77777777" w:rsidR="00D84719" w:rsidRPr="00D84719" w:rsidRDefault="00D84719" w:rsidP="00F32974">
      <w:pPr>
        <w:pStyle w:val="Naslov3"/>
      </w:pPr>
      <w:bookmarkStart w:id="139" w:name="_Toc8637304"/>
      <w:bookmarkStart w:id="140" w:name="_Toc64460730"/>
      <w:r w:rsidRPr="00D84719">
        <w:t>MONITORING POPs-ova U TLU (POLJOPRIVREDNO ZEMLJIŠTE)</w:t>
      </w:r>
      <w:bookmarkEnd w:id="139"/>
      <w:bookmarkEnd w:id="140"/>
    </w:p>
    <w:p w14:paraId="0DD03936" w14:textId="77777777" w:rsidR="00D84719" w:rsidRPr="00D84719" w:rsidRDefault="00D84719" w:rsidP="00D84719">
      <w:pPr>
        <w:spacing w:before="80" w:line="276" w:lineRule="auto"/>
        <w:jc w:val="both"/>
        <w:rPr>
          <w:rFonts w:ascii="Times New Roman" w:eastAsia="Times New Roman" w:hAnsi="Times New Roman" w:cs="Times New Roman"/>
          <w:color w:val="231F20"/>
          <w:sz w:val="24"/>
          <w:szCs w:val="24"/>
          <w:shd w:val="clear" w:color="auto" w:fill="FFFFFF"/>
        </w:rPr>
      </w:pPr>
      <w:r w:rsidRPr="00D84719">
        <w:rPr>
          <w:rFonts w:ascii="Times New Roman" w:eastAsia="Times New Roman" w:hAnsi="Times New Roman" w:cs="Times New Roman"/>
          <w:color w:val="000000"/>
          <w:sz w:val="24"/>
          <w:szCs w:val="24"/>
        </w:rPr>
        <w:t xml:space="preserve">U ožujku 2018. stupa na snagu novi Zakon o poljoprivrednom zemljištu („Narodne novine“, broj 20/18) te Agencija za poljoprivredno zemljište prestaje s radom, a Odjel za praćenje stanja poljoprivrednog zemljišta mijenja naziv u Zavod za tlo i ponovno djeluje kao ustrojstvena jedinica Hrvatskog centra za poljoprivredu, hranu i selo (u daljnjem tekstu: HCPHS). HCPHS preuzima sve djelatnosti Zavoda za tlo. Na temelju Zakona o Hrvatskoj agenciji za poljoprivredu i hranu („Narodne novine“, broj 111/18), koji je stupio na snagu </w:t>
      </w:r>
      <w:r w:rsidRPr="00D84719">
        <w:rPr>
          <w:rFonts w:ascii="Times New Roman" w:eastAsia="Times New Roman" w:hAnsi="Times New Roman" w:cs="Times New Roman"/>
          <w:color w:val="231F20"/>
          <w:sz w:val="24"/>
          <w:szCs w:val="24"/>
          <w:shd w:val="clear" w:color="auto" w:fill="FFFFFF"/>
        </w:rPr>
        <w:t xml:space="preserve">1. siječnja 2019., članak 13. </w:t>
      </w:r>
      <w:r w:rsidR="001F458E" w:rsidRPr="00D84719">
        <w:rPr>
          <w:rFonts w:ascii="Times New Roman" w:eastAsia="Times New Roman" w:hAnsi="Times New Roman" w:cs="Times New Roman"/>
          <w:color w:val="000000"/>
          <w:sz w:val="24"/>
          <w:szCs w:val="24"/>
        </w:rPr>
        <w:t>HCPHS</w:t>
      </w:r>
      <w:r w:rsidRPr="00D84719">
        <w:rPr>
          <w:rFonts w:ascii="Times New Roman" w:eastAsia="Times New Roman" w:hAnsi="Times New Roman" w:cs="Times New Roman"/>
          <w:color w:val="231F20"/>
          <w:sz w:val="24"/>
          <w:szCs w:val="24"/>
          <w:shd w:val="clear" w:color="auto" w:fill="FFFFFF"/>
        </w:rPr>
        <w:t>, osnovan Zakonom o osnivanju Hrvatskog centra za poljoprivredu, hranu i selo („Narodne novine“, br. 25/09, 124/10 i 39/13) sa sjedištem u Zagrebu, nastavlja s radom pod nazivom: Hrvatska agencija za poljoprivredu i hranu (</w:t>
      </w:r>
      <w:r w:rsidR="001F458E">
        <w:rPr>
          <w:rFonts w:ascii="Times New Roman" w:eastAsia="Times New Roman" w:hAnsi="Times New Roman" w:cs="Times New Roman"/>
          <w:color w:val="231F20"/>
          <w:sz w:val="24"/>
          <w:szCs w:val="24"/>
          <w:shd w:val="clear" w:color="auto" w:fill="FFFFFF"/>
        </w:rPr>
        <w:t xml:space="preserve">u daljnjem tekstu: </w:t>
      </w:r>
      <w:r w:rsidRPr="00D84719">
        <w:rPr>
          <w:rFonts w:ascii="Times New Roman" w:eastAsia="Times New Roman" w:hAnsi="Times New Roman" w:cs="Times New Roman"/>
          <w:color w:val="231F20"/>
          <w:sz w:val="24"/>
          <w:szCs w:val="24"/>
          <w:shd w:val="clear" w:color="auto" w:fill="FFFFFF"/>
        </w:rPr>
        <w:t xml:space="preserve">HAPIH) sa sjedištem u Osijeku. Zavod za tlo u skladu s odredbama ovoga Zakona, članak. 4., mijenja ime u Centar za tlo sa sjedištem u Osijeku. </w:t>
      </w:r>
    </w:p>
    <w:p w14:paraId="082F7263" w14:textId="77777777" w:rsidR="00D84719" w:rsidRPr="00D84719" w:rsidRDefault="00D84719" w:rsidP="00D84719">
      <w:pPr>
        <w:spacing w:before="80" w:line="276" w:lineRule="auto"/>
        <w:jc w:val="both"/>
        <w:rPr>
          <w:rFonts w:ascii="Times New Roman" w:eastAsia="Times New Roman" w:hAnsi="Times New Roman" w:cs="Times New Roman"/>
          <w:bCs/>
          <w:color w:val="000000"/>
          <w:sz w:val="24"/>
          <w:szCs w:val="24"/>
        </w:rPr>
      </w:pPr>
      <w:r w:rsidRPr="00D84719">
        <w:rPr>
          <w:rFonts w:ascii="Times New Roman" w:eastAsia="Times New Roman" w:hAnsi="Times New Roman" w:cs="Times New Roman"/>
          <w:bCs/>
          <w:color w:val="000000"/>
          <w:sz w:val="24"/>
          <w:szCs w:val="24"/>
        </w:rPr>
        <w:t xml:space="preserve">Temeljem članka 6. Zakona o poljoprivrednom zemljištu („Narodne novine“, br. 20/18, 115/18 i 98/19), radi zaštite poljoprivrednog zemljišta od oštećenja, provodi se utvrđivanje stanja oštećenja poljoprivrednog zemljišta, provodi se trajno praćenje stanja poljoprivrednog zemljišta – monitoring – kojim se trajno prati stanje svih promjena u poljoprivrednom zemljištu (fizikalnih, kemijskih i bioloških) i vodi se informacijski sustav za zaštitu poljoprivrednog zemljišta, za koje poslove je nadležan HAPIH, Centar za tlo. </w:t>
      </w:r>
    </w:p>
    <w:p w14:paraId="1F43E20F" w14:textId="1D1C1634" w:rsidR="00D84719" w:rsidRPr="00D84719" w:rsidRDefault="00D84719" w:rsidP="00D84719">
      <w:pPr>
        <w:spacing w:before="80" w:line="276" w:lineRule="auto"/>
        <w:jc w:val="both"/>
        <w:rPr>
          <w:rFonts w:ascii="Times New Roman" w:eastAsia="Times New Roman" w:hAnsi="Times New Roman" w:cs="Times New Roman"/>
          <w:bCs/>
          <w:color w:val="000000"/>
          <w:sz w:val="24"/>
          <w:szCs w:val="24"/>
        </w:rPr>
      </w:pPr>
      <w:r w:rsidRPr="00D84719">
        <w:rPr>
          <w:rFonts w:ascii="Times New Roman" w:eastAsia="Times New Roman" w:hAnsi="Times New Roman" w:cs="Times New Roman"/>
          <w:bCs/>
          <w:color w:val="000000"/>
          <w:sz w:val="24"/>
          <w:szCs w:val="24"/>
        </w:rPr>
        <w:t>U razdoblju od 2014. do</w:t>
      </w:r>
      <w:r w:rsidR="00612979">
        <w:rPr>
          <w:rFonts w:ascii="Times New Roman" w:eastAsia="Times New Roman" w:hAnsi="Times New Roman" w:cs="Times New Roman"/>
          <w:bCs/>
          <w:color w:val="000000"/>
          <w:sz w:val="24"/>
          <w:szCs w:val="24"/>
        </w:rPr>
        <w:t xml:space="preserve"> </w:t>
      </w:r>
      <w:r w:rsidRPr="00D84719">
        <w:rPr>
          <w:rFonts w:ascii="Times New Roman" w:eastAsia="Times New Roman" w:hAnsi="Times New Roman" w:cs="Times New Roman"/>
          <w:bCs/>
          <w:color w:val="000000"/>
          <w:sz w:val="24"/>
          <w:szCs w:val="24"/>
        </w:rPr>
        <w:t>2017</w:t>
      </w:r>
      <w:r w:rsidR="005C26BD">
        <w:rPr>
          <w:rFonts w:ascii="Times New Roman" w:eastAsia="Times New Roman" w:hAnsi="Times New Roman" w:cs="Times New Roman"/>
          <w:bCs/>
          <w:color w:val="000000"/>
          <w:sz w:val="24"/>
          <w:szCs w:val="24"/>
        </w:rPr>
        <w:t>.</w:t>
      </w:r>
      <w:r w:rsidRPr="00D84719">
        <w:rPr>
          <w:rFonts w:ascii="Times New Roman" w:eastAsia="Times New Roman" w:hAnsi="Times New Roman" w:cs="Times New Roman"/>
          <w:bCs/>
          <w:color w:val="000000"/>
          <w:sz w:val="24"/>
          <w:szCs w:val="24"/>
        </w:rPr>
        <w:t xml:space="preserve">, HAOP je proveo projekt „Promjena zaliha ugljika u tlu i izračun trendova ukupnog dušika i organskog ugljika u tlu te odnosa ugljika: dušika. Izvor su bili Hrvatski geološki institut, Hrvatski šumarski institut i Agencija za poljoprivredno zemljište. Na 725 reprezentativnih lokacija provedeno je terensko i laboratorijsko istraživanje stanja tla. Prikupljeni su opći podaci o lokaciji uzorkovanja koji sadrže administrativne, lokacijske, </w:t>
      </w:r>
      <w:r w:rsidRPr="00D84719">
        <w:rPr>
          <w:rFonts w:ascii="Times New Roman" w:eastAsia="Times New Roman" w:hAnsi="Times New Roman" w:cs="Times New Roman"/>
          <w:bCs/>
          <w:color w:val="000000"/>
          <w:sz w:val="24"/>
          <w:szCs w:val="24"/>
        </w:rPr>
        <w:lastRenderedPageBreak/>
        <w:t>geografske i ostale podatke (reljef, klimatske i meteorološke podatke, detaljne podatke o korištenju zemljišta i biljnom pokrovu, opis površinskih svojstava tla). Uzorci tla su arhivirani kod izvođača te će do uspostave nacionalnog monitoringa poljoprivrednog zemljišta biti moguće naknadno analizirati i neke od organskih onečišćenja za potrebe provedbe Konvencije.</w:t>
      </w:r>
    </w:p>
    <w:p w14:paraId="0A4425BB" w14:textId="77229C30" w:rsidR="00D84719" w:rsidRPr="00D84719" w:rsidRDefault="00D84719" w:rsidP="00D84719">
      <w:pPr>
        <w:spacing w:before="80" w:line="276" w:lineRule="auto"/>
        <w:jc w:val="both"/>
        <w:rPr>
          <w:rFonts w:ascii="Times New Roman" w:eastAsia="Times New Roman" w:hAnsi="Times New Roman" w:cs="Times New Roman"/>
          <w:bCs/>
          <w:color w:val="000000"/>
          <w:sz w:val="24"/>
          <w:szCs w:val="24"/>
        </w:rPr>
      </w:pPr>
      <w:r w:rsidRPr="00D84719">
        <w:rPr>
          <w:rFonts w:ascii="Times New Roman" w:eastAsia="Times New Roman" w:hAnsi="Times New Roman" w:cs="Times New Roman"/>
          <w:bCs/>
          <w:color w:val="000000"/>
          <w:sz w:val="24"/>
          <w:szCs w:val="24"/>
        </w:rPr>
        <w:t>U periodu od siječnja 2018. do prosinca 2019</w:t>
      </w:r>
      <w:r w:rsidR="005C26BD">
        <w:rPr>
          <w:rFonts w:ascii="Times New Roman" w:eastAsia="Times New Roman" w:hAnsi="Times New Roman" w:cs="Times New Roman"/>
          <w:bCs/>
          <w:color w:val="000000"/>
          <w:sz w:val="24"/>
          <w:szCs w:val="24"/>
        </w:rPr>
        <w:t>.</w:t>
      </w:r>
      <w:r w:rsidRPr="00D84719">
        <w:rPr>
          <w:rFonts w:ascii="Times New Roman" w:eastAsia="Times New Roman" w:hAnsi="Times New Roman" w:cs="Times New Roman"/>
          <w:bCs/>
          <w:color w:val="000000"/>
          <w:sz w:val="24"/>
          <w:szCs w:val="24"/>
        </w:rPr>
        <w:t xml:space="preserve"> na području cijele Republike Hrvatske, HAPIH, Centar za tlo sukladno obvezama propisanim zakonom i podzakonskim aktima provodio je praćenje stanja poljoprivrednog zemljišta ispitivanjem plodnosti tla, </w:t>
      </w:r>
      <w:r w:rsidRPr="00D84719">
        <w:rPr>
          <w:rFonts w:ascii="Times New Roman" w:eastAsia="Times New Roman" w:hAnsi="Times New Roman" w:cs="Times New Roman"/>
          <w:color w:val="000000"/>
          <w:sz w:val="24"/>
          <w:szCs w:val="24"/>
        </w:rPr>
        <w:t>a</w:t>
      </w:r>
      <w:r w:rsidRPr="00D84719">
        <w:rPr>
          <w:rFonts w:ascii="Times New Roman" w:eastAsia="Times New Roman" w:hAnsi="Times New Roman" w:cs="Times New Roman"/>
          <w:bCs/>
          <w:color w:val="000000"/>
          <w:sz w:val="24"/>
          <w:szCs w:val="24"/>
        </w:rPr>
        <w:t xml:space="preserve"> financijska sredstva za provedbu propisanih djelatnosti trajnog praćenja stanja poljoprivrednog zemljišta (monitoringa), izradu informacijskog sustava te kontrolu provedbe u laboratoriju i na terenu nisu osigurana u navedenom vremenskom periodu.</w:t>
      </w:r>
    </w:p>
    <w:p w14:paraId="736826F6" w14:textId="77777777" w:rsidR="00D84719" w:rsidRPr="00D84719" w:rsidRDefault="00D84719" w:rsidP="00D84719">
      <w:pPr>
        <w:spacing w:before="80" w:after="120" w:line="276" w:lineRule="auto"/>
        <w:jc w:val="both"/>
        <w:rPr>
          <w:rFonts w:ascii="Times New Roman" w:eastAsia="Times New Roman" w:hAnsi="Times New Roman" w:cs="Times New Roman"/>
          <w:bCs/>
          <w:color w:val="000000"/>
          <w:sz w:val="24"/>
          <w:szCs w:val="24"/>
        </w:rPr>
      </w:pPr>
      <w:r w:rsidRPr="00D84719">
        <w:rPr>
          <w:rFonts w:ascii="Times New Roman" w:eastAsia="Times New Roman" w:hAnsi="Times New Roman" w:cs="Times New Roman"/>
          <w:color w:val="231F20"/>
          <w:sz w:val="24"/>
          <w:szCs w:val="24"/>
          <w:shd w:val="clear" w:color="auto" w:fill="FFFFFF"/>
        </w:rPr>
        <w:t xml:space="preserve">Tijekom 2019. dolazi do izmjena pratećih propisa, </w:t>
      </w:r>
      <w:r w:rsidRPr="00D84719">
        <w:rPr>
          <w:rFonts w:ascii="Times New Roman" w:eastAsia="Times New Roman" w:hAnsi="Times New Roman" w:cs="Times New Roman"/>
          <w:bCs/>
          <w:color w:val="000000"/>
          <w:sz w:val="24"/>
          <w:szCs w:val="24"/>
        </w:rPr>
        <w:t xml:space="preserve">novim Pravilnikom o metodologiji za praćenje stanja poljoprivrednog zemljišta („Narodne novine“, broj 47/19), propisana je metodologija za praćenje stanja poljoprivrednog zemljišta (monitoring i ispitivanja plodnosti tla), informacijski sustav za zaštitu poljoprivrednog zemljišta, dokumentacija i sadržaj zahtjeva te detaljni uvjeti koje moraju ispunjavati ovlašteni laboratoriji, zadaće referentnog laboratorija, kao i obveze laboratorija i institucija te način provedbe kontrole koji je propisao ministar. </w:t>
      </w:r>
    </w:p>
    <w:p w14:paraId="7DAB95C3" w14:textId="38C7B8B7" w:rsidR="00D84719" w:rsidRPr="00D84719" w:rsidRDefault="00D84719" w:rsidP="00D84719">
      <w:pPr>
        <w:spacing w:before="80" w:after="120" w:line="276" w:lineRule="auto"/>
        <w:jc w:val="both"/>
        <w:rPr>
          <w:rFonts w:ascii="Times New Roman" w:eastAsia="Times New Roman" w:hAnsi="Times New Roman" w:cs="Times New Roman"/>
          <w:bCs/>
          <w:color w:val="000000"/>
          <w:sz w:val="24"/>
          <w:szCs w:val="24"/>
        </w:rPr>
      </w:pPr>
      <w:r w:rsidRPr="00D84719">
        <w:rPr>
          <w:rFonts w:ascii="Times New Roman" w:eastAsia="Times New Roman" w:hAnsi="Times New Roman" w:cs="Times New Roman"/>
          <w:bCs/>
          <w:color w:val="000000"/>
          <w:sz w:val="24"/>
          <w:szCs w:val="24"/>
        </w:rPr>
        <w:t>U razdoblju od siječnja, 2018. do prosinca 2019</w:t>
      </w:r>
      <w:r w:rsidR="005C26BD">
        <w:rPr>
          <w:rFonts w:ascii="Times New Roman" w:eastAsia="Times New Roman" w:hAnsi="Times New Roman" w:cs="Times New Roman"/>
          <w:bCs/>
          <w:color w:val="000000"/>
          <w:sz w:val="24"/>
          <w:szCs w:val="24"/>
        </w:rPr>
        <w:t>.</w:t>
      </w:r>
      <w:r w:rsidRPr="00D84719">
        <w:rPr>
          <w:rFonts w:ascii="Times New Roman" w:eastAsia="Times New Roman" w:hAnsi="Times New Roman" w:cs="Times New Roman"/>
          <w:bCs/>
          <w:color w:val="000000"/>
          <w:sz w:val="24"/>
          <w:szCs w:val="24"/>
        </w:rPr>
        <w:t>, HAPIH, Centar za tlo u Osijeku</w:t>
      </w:r>
      <w:r w:rsidRPr="00D84719">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bCs/>
          <w:color w:val="000000"/>
          <w:sz w:val="24"/>
          <w:szCs w:val="24"/>
        </w:rPr>
        <w:t xml:space="preserve">sukladno obvezama propisanim zakonom i podzakonskim aktima provodio je praćenje stanja poljoprivrednog zemljišta ispitivanjem plodnosti tla. </w:t>
      </w:r>
    </w:p>
    <w:p w14:paraId="3A9D5758" w14:textId="59080ECB" w:rsidR="00D84719" w:rsidRPr="00D84719" w:rsidRDefault="00D84719" w:rsidP="00D84719">
      <w:pPr>
        <w:spacing w:before="80" w:after="120" w:line="276" w:lineRule="auto"/>
        <w:jc w:val="both"/>
        <w:rPr>
          <w:rFonts w:ascii="Times New Roman" w:eastAsia="Times New Roman" w:hAnsi="Times New Roman" w:cs="Times New Roman"/>
          <w:bCs/>
          <w:color w:val="000000"/>
          <w:sz w:val="24"/>
          <w:szCs w:val="24"/>
        </w:rPr>
      </w:pPr>
      <w:r w:rsidRPr="00D84719">
        <w:rPr>
          <w:rFonts w:ascii="Times New Roman" w:eastAsia="Times New Roman" w:hAnsi="Times New Roman" w:cs="Times New Roman"/>
          <w:bCs/>
          <w:color w:val="000000"/>
          <w:sz w:val="24"/>
          <w:szCs w:val="24"/>
        </w:rPr>
        <w:t>Kao referentnom laboratoriju sukladno članku 39. Pravilnika o metodologiji za praćenje stanja poljoprivrednog zemljišta („Narodne novine“, broj 47/19) svi ovlašteni laboratoriji za ispitivanje plodnosti tla dostavili su Centru za tlo u Osijeku objedinjena pisana izvješća o ispitivanju plodnosti tla u elektronskom obliku za 2019</w:t>
      </w:r>
      <w:r w:rsidR="004C449C">
        <w:rPr>
          <w:rFonts w:ascii="Times New Roman" w:eastAsia="Times New Roman" w:hAnsi="Times New Roman" w:cs="Times New Roman"/>
          <w:bCs/>
          <w:color w:val="000000"/>
          <w:sz w:val="24"/>
          <w:szCs w:val="24"/>
        </w:rPr>
        <w:t>.</w:t>
      </w:r>
      <w:r w:rsidRPr="00D84719">
        <w:rPr>
          <w:rFonts w:ascii="Times New Roman" w:eastAsia="Times New Roman" w:hAnsi="Times New Roman" w:cs="Times New Roman"/>
          <w:bCs/>
          <w:color w:val="000000"/>
          <w:sz w:val="24"/>
          <w:szCs w:val="24"/>
        </w:rPr>
        <w:t>. Objedinjena izvješća sadrže 10825 rezultata analiza tla koje su za potrebe ispitivanja plodnosti odrađene u referentnom i ovlaštenim laboratorijima metodama propisanim pravilnikom i pod istim uvjetima za sve laboratorije.</w:t>
      </w:r>
    </w:p>
    <w:p w14:paraId="412CAE66" w14:textId="77777777" w:rsidR="00D84719" w:rsidRPr="00D84719" w:rsidRDefault="00D84719" w:rsidP="00D84719">
      <w:pPr>
        <w:spacing w:before="80" w:after="120" w:line="276" w:lineRule="auto"/>
        <w:jc w:val="both"/>
        <w:rPr>
          <w:rFonts w:ascii="Times New Roman" w:eastAsia="Times New Roman" w:hAnsi="Times New Roman" w:cs="Times New Roman"/>
          <w:bCs/>
          <w:color w:val="000000"/>
          <w:sz w:val="24"/>
          <w:szCs w:val="24"/>
        </w:rPr>
      </w:pPr>
      <w:r w:rsidRPr="00D84719">
        <w:rPr>
          <w:rFonts w:ascii="Times New Roman" w:eastAsia="Times New Roman" w:hAnsi="Times New Roman" w:cs="Times New Roman"/>
          <w:bCs/>
          <w:color w:val="000000"/>
          <w:sz w:val="24"/>
          <w:szCs w:val="24"/>
        </w:rPr>
        <w:t xml:space="preserve">Prikupljeni su i opći podaci o lokacijama uzorkovanja koje sadrže administrativne, lokacijske, geografske i ostale podatke. </w:t>
      </w:r>
    </w:p>
    <w:p w14:paraId="6A2B5A51" w14:textId="77777777" w:rsidR="00D84719" w:rsidRPr="00D84719" w:rsidRDefault="00D84719" w:rsidP="00D84719">
      <w:pPr>
        <w:spacing w:before="80" w:after="120" w:line="276" w:lineRule="auto"/>
        <w:jc w:val="both"/>
        <w:rPr>
          <w:rFonts w:ascii="Times New Roman" w:eastAsia="Times New Roman" w:hAnsi="Times New Roman" w:cs="Times New Roman"/>
          <w:bCs/>
          <w:color w:val="000000"/>
          <w:sz w:val="24"/>
          <w:szCs w:val="24"/>
        </w:rPr>
      </w:pPr>
      <w:r w:rsidRPr="00D84719">
        <w:rPr>
          <w:rFonts w:ascii="Times New Roman" w:eastAsia="Times New Roman" w:hAnsi="Times New Roman" w:cs="Times New Roman"/>
          <w:bCs/>
          <w:color w:val="000000"/>
          <w:sz w:val="24"/>
          <w:szCs w:val="24"/>
        </w:rPr>
        <w:t xml:space="preserve">Lokacije uzimanja uzoraka tla korisnici obavezno geopozicioniraju uzimajući referentne točke (GPS koordinate). </w:t>
      </w:r>
    </w:p>
    <w:p w14:paraId="1C34B869" w14:textId="77777777" w:rsidR="00D84719" w:rsidRPr="00D84719" w:rsidRDefault="00D84719" w:rsidP="00D84719">
      <w:pPr>
        <w:spacing w:before="80" w:after="120" w:line="276" w:lineRule="auto"/>
        <w:jc w:val="both"/>
        <w:rPr>
          <w:rFonts w:ascii="Times New Roman" w:eastAsia="Times New Roman" w:hAnsi="Times New Roman" w:cs="Times New Roman"/>
          <w:bCs/>
          <w:color w:val="000000"/>
          <w:sz w:val="24"/>
          <w:szCs w:val="24"/>
        </w:rPr>
      </w:pPr>
      <w:r w:rsidRPr="00D84719">
        <w:rPr>
          <w:rFonts w:ascii="Times New Roman" w:eastAsia="Times New Roman" w:hAnsi="Times New Roman" w:cs="Times New Roman"/>
          <w:bCs/>
          <w:color w:val="000000"/>
          <w:sz w:val="24"/>
          <w:szCs w:val="24"/>
        </w:rPr>
        <w:t>Uzorci tla za ispitivanje plodnosti tla su arhivirani te ih je moguće do uspostave monitoringa poljoprivrednog zemljišta, analizirati na neke od POPs-ova za potrebe provedbe Konvencije.</w:t>
      </w:r>
    </w:p>
    <w:p w14:paraId="2D934599" w14:textId="77777777" w:rsidR="00D84719" w:rsidRPr="00D84719" w:rsidRDefault="00D84719" w:rsidP="00D84719">
      <w:pPr>
        <w:spacing w:before="80" w:after="120" w:line="276" w:lineRule="auto"/>
        <w:jc w:val="both"/>
        <w:rPr>
          <w:rFonts w:ascii="Times New Roman" w:eastAsia="Times New Roman" w:hAnsi="Times New Roman" w:cs="Times New Roman"/>
          <w:bCs/>
          <w:color w:val="000000"/>
          <w:szCs w:val="24"/>
        </w:rPr>
      </w:pPr>
    </w:p>
    <w:p w14:paraId="05E1D3EE" w14:textId="77777777" w:rsidR="00D84719" w:rsidRPr="00D84719" w:rsidRDefault="00D84719" w:rsidP="00F32974">
      <w:pPr>
        <w:pStyle w:val="Naslov3"/>
      </w:pPr>
      <w:bookmarkStart w:id="141" w:name="_Toc8637305"/>
      <w:bookmarkStart w:id="142" w:name="_Toc41638274"/>
      <w:bookmarkStart w:id="143" w:name="_Toc64460731"/>
      <w:r w:rsidRPr="00D84719">
        <w:t>MONITORING POPS-OVA U HRANI ZA ŽIVOTINJE</w:t>
      </w:r>
      <w:bookmarkEnd w:id="141"/>
      <w:bookmarkEnd w:id="142"/>
      <w:bookmarkEnd w:id="143"/>
    </w:p>
    <w:p w14:paraId="438C00AA" w14:textId="77777777" w:rsidR="00D84719" w:rsidRPr="00D84719" w:rsidRDefault="00D84719" w:rsidP="00D84719">
      <w:pPr>
        <w:spacing w:before="80" w:after="12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Ministarstvo poljoprivrede u sklopu službenih kontrola provodi Plan monitoringa hrane za životinje u sklopu kojega se analiziraju uzorci hrane za životinje na organoklorne pesticide (DDT, HCH, HCB i klordan) te na dioksine i dioksinima slične PCB-e.</w:t>
      </w:r>
    </w:p>
    <w:p w14:paraId="6D02643A" w14:textId="77777777" w:rsidR="00D84719" w:rsidRPr="00D84719" w:rsidRDefault="00D84719" w:rsidP="00D84719">
      <w:pPr>
        <w:spacing w:before="80" w:after="120" w:line="276" w:lineRule="auto"/>
        <w:jc w:val="both"/>
        <w:rPr>
          <w:rFonts w:ascii="Times New Roman" w:eastAsia="Times New Roman" w:hAnsi="Times New Roman" w:cs="Times New Roman"/>
          <w:color w:val="000000"/>
          <w:sz w:val="24"/>
          <w:szCs w:val="24"/>
        </w:rPr>
      </w:pPr>
    </w:p>
    <w:p w14:paraId="0FCC098C" w14:textId="77777777" w:rsidR="00D84719" w:rsidRPr="00D84719" w:rsidRDefault="00D84719" w:rsidP="00F32974">
      <w:pPr>
        <w:pStyle w:val="Naslov3"/>
      </w:pPr>
      <w:bookmarkStart w:id="144" w:name="_Toc8637306"/>
      <w:bookmarkStart w:id="145" w:name="_Toc41638275"/>
      <w:bookmarkStart w:id="146" w:name="_Toc64460732"/>
      <w:r w:rsidRPr="00D84719">
        <w:lastRenderedPageBreak/>
        <w:t>MOTRENJE ŠUMSKIH EKOSUSTAVA</w:t>
      </w:r>
      <w:bookmarkEnd w:id="144"/>
      <w:bookmarkEnd w:id="145"/>
      <w:bookmarkEnd w:id="146"/>
    </w:p>
    <w:p w14:paraId="2196F8BB" w14:textId="77777777" w:rsidR="00D84719" w:rsidRPr="00D84719" w:rsidRDefault="00D84719" w:rsidP="00D84719">
      <w:pPr>
        <w:spacing w:before="80" w:after="12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 xml:space="preserve">Zakon o šumama </w:t>
      </w:r>
      <w:r w:rsidRPr="00D84719">
        <w:rPr>
          <w:rFonts w:ascii="Times New Roman" w:eastAsia="Times New Roman" w:hAnsi="Times New Roman" w:cs="Times New Roman"/>
          <w:bCs/>
          <w:color w:val="000000"/>
          <w:sz w:val="24"/>
          <w:szCs w:val="24"/>
        </w:rPr>
        <w:t xml:space="preserve">(„Narodne novine“, br. </w:t>
      </w:r>
      <w:r w:rsidRPr="00D84719">
        <w:rPr>
          <w:rFonts w:ascii="Times New Roman" w:eastAsia="Times New Roman" w:hAnsi="Times New Roman" w:cs="Times New Roman"/>
          <w:color w:val="000000"/>
          <w:sz w:val="24"/>
          <w:szCs w:val="24"/>
        </w:rPr>
        <w:t>68/18, 115/18, 98/19, 32/20) osobito u Poglavlju VI. – Zaštita šuma, regulira obveze koje posljedično imaju stvoriti preduvjete za učinkovito poduzimanje mjera koje proizlaze iz zahtjeva Konvencije.</w:t>
      </w:r>
    </w:p>
    <w:p w14:paraId="37D0F29A" w14:textId="77777777" w:rsidR="00D84719" w:rsidRPr="00D84719" w:rsidRDefault="00D84719" w:rsidP="00D84719">
      <w:pPr>
        <w:spacing w:before="80" w:after="12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 xml:space="preserve">Shodno tim zakonskim obvezama te usklađujući iste s pravnom stečevinom Europske unije, Pravilnikom o načinu motrenja oštećenosti šumskih ekosustava </w:t>
      </w:r>
      <w:r w:rsidRPr="00D84719">
        <w:rPr>
          <w:rFonts w:ascii="Times New Roman" w:eastAsia="Times New Roman" w:hAnsi="Times New Roman" w:cs="Times New Roman"/>
          <w:bCs/>
          <w:color w:val="000000"/>
          <w:sz w:val="24"/>
          <w:szCs w:val="24"/>
        </w:rPr>
        <w:t xml:space="preserve">(„Narodne novine“, broj </w:t>
      </w:r>
      <w:r w:rsidRPr="00D84719">
        <w:rPr>
          <w:rFonts w:ascii="Times New Roman" w:eastAsia="Times New Roman" w:hAnsi="Times New Roman" w:cs="Times New Roman"/>
          <w:color w:val="000000"/>
          <w:sz w:val="24"/>
          <w:szCs w:val="24"/>
        </w:rPr>
        <w:t xml:space="preserve">54/19) propisuju se načini za sustavno i dugoročno motrenje oštećenosti šumskih ekosustava, mreža točaka, načini prikupljanja podataka, vođenje registra te uvjeti korištenja i dostave prikupljenih podataka o oštećenosti šumskih ekosustava domaćim i međunarodnim tijelima i institucijama. </w:t>
      </w:r>
    </w:p>
    <w:p w14:paraId="65F7E186" w14:textId="77777777" w:rsidR="00D84719" w:rsidRPr="00D84719" w:rsidRDefault="00D84719" w:rsidP="00D84719">
      <w:pPr>
        <w:spacing w:before="80" w:after="12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 xml:space="preserve">Motrenje oštećenosti šumskih ekosustava u Republici Hrvatskoj provodi se u okviru Međunarodnog programa za procjenu i motrenje utjecaja onečišćenja zraka na šume na mreži točaka Razine 1 i plohama Razine 2, sukladno LRTAP Konvenciji. </w:t>
      </w:r>
    </w:p>
    <w:p w14:paraId="7193BAE0" w14:textId="77777777" w:rsidR="00D84719" w:rsidRPr="00D84719" w:rsidRDefault="00D84719" w:rsidP="00D84719">
      <w:pPr>
        <w:spacing w:before="80" w:after="12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Ciljevi programa su:</w:t>
      </w:r>
    </w:p>
    <w:p w14:paraId="4B75247A" w14:textId="77777777" w:rsidR="00D84719" w:rsidRPr="00D84719" w:rsidRDefault="00D84719" w:rsidP="00F61CE7">
      <w:pPr>
        <w:numPr>
          <w:ilvl w:val="0"/>
          <w:numId w:val="18"/>
        </w:numPr>
        <w:tabs>
          <w:tab w:val="left" w:pos="1755"/>
        </w:tabs>
        <w:autoSpaceDE w:val="0"/>
        <w:autoSpaceDN w:val="0"/>
        <w:adjustRightInd w:val="0"/>
        <w:spacing w:before="80" w:after="0" w:line="240" w:lineRule="auto"/>
        <w:jc w:val="both"/>
        <w:rPr>
          <w:rFonts w:ascii="Times New Roman" w:eastAsia="Calibri" w:hAnsi="Times New Roman" w:cs="Times New Roman"/>
          <w:sz w:val="24"/>
        </w:rPr>
      </w:pPr>
      <w:r w:rsidRPr="00D84719">
        <w:rPr>
          <w:rFonts w:ascii="Times New Roman" w:eastAsia="Calibri" w:hAnsi="Times New Roman" w:cs="Times New Roman"/>
          <w:sz w:val="24"/>
        </w:rPr>
        <w:t>razvijati praćenje onečišćenja zraka i njegove učinke te motrenje drugih uzročnika i čimbenika koji imaju utjecaja na šume (biotički, abiotički i antropogeni čimbenici)</w:t>
      </w:r>
    </w:p>
    <w:p w14:paraId="680534F5" w14:textId="77777777" w:rsidR="00D84719" w:rsidRPr="00D84719" w:rsidRDefault="00D84719" w:rsidP="00F61CE7">
      <w:pPr>
        <w:numPr>
          <w:ilvl w:val="0"/>
          <w:numId w:val="18"/>
        </w:numPr>
        <w:tabs>
          <w:tab w:val="left" w:pos="1755"/>
        </w:tabs>
        <w:autoSpaceDE w:val="0"/>
        <w:autoSpaceDN w:val="0"/>
        <w:adjustRightInd w:val="0"/>
        <w:spacing w:before="80" w:after="0" w:line="240" w:lineRule="auto"/>
        <w:jc w:val="both"/>
        <w:rPr>
          <w:rFonts w:ascii="Times New Roman" w:eastAsia="Calibri" w:hAnsi="Times New Roman" w:cs="Times New Roman"/>
          <w:sz w:val="24"/>
        </w:rPr>
      </w:pPr>
      <w:r w:rsidRPr="00D84719">
        <w:rPr>
          <w:rFonts w:ascii="Times New Roman" w:eastAsia="Calibri" w:hAnsi="Times New Roman" w:cs="Times New Roman"/>
          <w:sz w:val="24"/>
        </w:rPr>
        <w:t>ocijeniti zahtjeve za motrenjem šumskih ekosustava i razvijati motrenje tala, ponora ugljika, učinaka klimatskih promjena i biološke raznolikosti te zaštitne funkcije šuma</w:t>
      </w:r>
    </w:p>
    <w:p w14:paraId="2ACD96A3" w14:textId="77777777" w:rsidR="00D84719" w:rsidRPr="00D84719" w:rsidRDefault="00D84719" w:rsidP="00F61CE7">
      <w:pPr>
        <w:numPr>
          <w:ilvl w:val="0"/>
          <w:numId w:val="18"/>
        </w:numPr>
        <w:tabs>
          <w:tab w:val="left" w:pos="1755"/>
        </w:tabs>
        <w:autoSpaceDE w:val="0"/>
        <w:autoSpaceDN w:val="0"/>
        <w:adjustRightInd w:val="0"/>
        <w:spacing w:before="80" w:after="0" w:line="240" w:lineRule="auto"/>
        <w:jc w:val="both"/>
        <w:rPr>
          <w:rFonts w:ascii="Times New Roman" w:eastAsia="Calibri" w:hAnsi="Times New Roman" w:cs="Times New Roman"/>
          <w:sz w:val="24"/>
        </w:rPr>
      </w:pPr>
      <w:r w:rsidRPr="00D84719">
        <w:rPr>
          <w:rFonts w:ascii="Times New Roman" w:eastAsia="Calibri" w:hAnsi="Times New Roman" w:cs="Times New Roman"/>
          <w:sz w:val="24"/>
        </w:rPr>
        <w:t>trajno vrednovati učinkovitost aktivnosti motrenja u procjeni stanja oštećenosti šumskih ekosustava i daljnji razvoj aktivnosti motrenja.</w:t>
      </w:r>
    </w:p>
    <w:p w14:paraId="2C18B9D1" w14:textId="77777777" w:rsidR="00D84719" w:rsidRPr="00D84719" w:rsidRDefault="00112BD8" w:rsidP="00D84719">
      <w:pPr>
        <w:spacing w:before="80" w:after="120" w:line="276" w:lineRule="auto"/>
        <w:jc w:val="both"/>
        <w:rPr>
          <w:rFonts w:ascii="Times New Roman" w:eastAsia="Times New Roman" w:hAnsi="Times New Roman" w:cs="Times New Roman"/>
          <w:color w:val="000000"/>
          <w:sz w:val="24"/>
          <w:szCs w:val="24"/>
        </w:rPr>
      </w:pPr>
      <w:r w:rsidRPr="00112BD8">
        <w:rPr>
          <w:rFonts w:ascii="Times New Roman" w:eastAsia="Times New Roman" w:hAnsi="Times New Roman" w:cs="Times New Roman"/>
          <w:color w:val="000000"/>
          <w:sz w:val="24"/>
          <w:szCs w:val="24"/>
        </w:rPr>
        <w:t>Motrenja koje se provode pri Hrvatskom šumarskom institutu (Nacionalni koordinacijski centar za procjenu i motrenje utjecaja atmosferskog onečišćenja i drugih čimbenika na šumske ekosustave), u dijelu koji se odnosi na analize sastavnica šumskog ekosustava (biljni materijal, zrak, tlo, voda u tlu) usmjerena su na analizu i utvrđivanje utjecaja kemijskih elemenata i anorganskih spojeva na šume</w:t>
      </w:r>
      <w:r w:rsidR="00791903">
        <w:rPr>
          <w:rFonts w:ascii="Times New Roman" w:eastAsia="Times New Roman" w:hAnsi="Times New Roman" w:cs="Times New Roman"/>
          <w:color w:val="000000"/>
          <w:sz w:val="24"/>
          <w:szCs w:val="24"/>
        </w:rPr>
        <w:t>.</w:t>
      </w:r>
      <w:r w:rsidR="00D84719" w:rsidRPr="00D84719">
        <w:rPr>
          <w:rFonts w:ascii="Times New Roman" w:eastAsia="Times New Roman" w:hAnsi="Times New Roman" w:cs="Times New Roman"/>
          <w:color w:val="000000"/>
          <w:sz w:val="24"/>
          <w:szCs w:val="24"/>
        </w:rPr>
        <w:t xml:space="preserve"> </w:t>
      </w:r>
    </w:p>
    <w:p w14:paraId="4B9D4F28" w14:textId="77777777" w:rsidR="00D84719" w:rsidRPr="00D84719" w:rsidRDefault="00D84719" w:rsidP="00D84719">
      <w:pPr>
        <w:spacing w:before="80" w:after="12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 xml:space="preserve">Obzirom da su Konvencijom izdvojeni POPs-ovi koji oštećuju šume ponajviše putem atmosferskog onečišćenja (PCDD i PCDF, kao uzgredni proizvodi nastali izgaranjem drvne tvari) prevencija i suzbijanje šumskih požara je izravan prilog šumarskog sektora smanjivanju štetnih emisija PCDD i PCDF u zrak. </w:t>
      </w:r>
    </w:p>
    <w:p w14:paraId="6CF28F44" w14:textId="77777777" w:rsidR="00D84719" w:rsidRPr="00D84719" w:rsidRDefault="00D84719" w:rsidP="00D84719">
      <w:pPr>
        <w:spacing w:before="80" w:after="12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 xml:space="preserve">Republika Hrvatska kontinuirano ulaže znatna financijska sredstva kako bi se štete od požara izazvane prirodnim i antropogenim utjecajem svele na najmanju moguću mjeru. </w:t>
      </w:r>
    </w:p>
    <w:p w14:paraId="306F0676" w14:textId="5E66522C" w:rsidR="00D84719" w:rsidRPr="00D84719" w:rsidRDefault="00D84719" w:rsidP="00D84719">
      <w:pPr>
        <w:spacing w:before="80" w:after="12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 xml:space="preserve">Sukladno Pravilniku o postupku za ostvarivanje prava na sredstva iz naknade za korištenje općekorisnih funkcija šuma za izvršene radove u šumama </w:t>
      </w:r>
      <w:r w:rsidRPr="00D84719">
        <w:rPr>
          <w:rFonts w:ascii="Times New Roman" w:eastAsia="Times New Roman" w:hAnsi="Times New Roman" w:cs="Times New Roman"/>
          <w:bCs/>
          <w:color w:val="000000"/>
          <w:sz w:val="24"/>
          <w:szCs w:val="24"/>
        </w:rPr>
        <w:t xml:space="preserve">(„Narodne novine“, </w:t>
      </w:r>
      <w:r w:rsidR="00FC2990" w:rsidRPr="00FC2990">
        <w:rPr>
          <w:rFonts w:ascii="Times New Roman" w:eastAsia="Times New Roman" w:hAnsi="Times New Roman" w:cs="Times New Roman"/>
          <w:bCs/>
          <w:color w:val="000000"/>
          <w:sz w:val="24"/>
          <w:szCs w:val="24"/>
        </w:rPr>
        <w:t>broj 22/15, 93/15, 57/17 i 46/18</w:t>
      </w:r>
      <w:r w:rsidRPr="00D84719">
        <w:rPr>
          <w:rFonts w:ascii="Times New Roman" w:eastAsia="Times New Roman" w:hAnsi="Times New Roman" w:cs="Times New Roman"/>
          <w:color w:val="000000"/>
          <w:sz w:val="24"/>
          <w:szCs w:val="24"/>
        </w:rPr>
        <w:t>) za opremanje i osposobljavanje vatrogasnih zajednica osigurava se 20</w:t>
      </w:r>
      <w:r w:rsidR="00D4589D">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xml:space="preserve"> sredstava naknade za općekorisne funkcije šuma, od čega je 5</w:t>
      </w:r>
      <w:r w:rsidR="00D4589D">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xml:space="preserve"> za vatrogasne zajednice sukladno posebnom propisu iz područja vatrogastva, a preostalih 15</w:t>
      </w:r>
      <w:r w:rsidR="00D4589D">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xml:space="preserve"> za vatrogasne zajednice s područja Republike Hrvatske što predstavlja značajno povećanje sredstava koja se izdvajaju za tu namjenu (s 5</w:t>
      </w:r>
      <w:r w:rsidR="00D4589D">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xml:space="preserve"> na 20</w:t>
      </w:r>
      <w:r w:rsidR="00D4589D">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w:t>
      </w:r>
    </w:p>
    <w:p w14:paraId="2E579FEE" w14:textId="72387463" w:rsidR="00D84719" w:rsidRPr="00D84719" w:rsidRDefault="00D84719" w:rsidP="00D84719">
      <w:pPr>
        <w:spacing w:before="80" w:after="12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 xml:space="preserve">Saniranje i pošumljavanje opožarenih površina uz učinkovitu protupožarnu zaštitu i operativu provode se uz koordinirane kampanje podizanja svijesti ljudi o značenju i važnosti šuma s posebnim naglaskom na prevenciju šumskih požara. Program ruralnog razvoja Republike </w:t>
      </w:r>
      <w:r w:rsidRPr="00D84719">
        <w:rPr>
          <w:rFonts w:ascii="Times New Roman" w:eastAsia="Times New Roman" w:hAnsi="Times New Roman" w:cs="Times New Roman"/>
          <w:color w:val="000000"/>
          <w:sz w:val="24"/>
          <w:szCs w:val="24"/>
        </w:rPr>
        <w:lastRenderedPageBreak/>
        <w:t>Hrvatske za razdoblje 2014.-2020</w:t>
      </w:r>
      <w:r w:rsidR="005C26BD">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 xml:space="preserve"> će kroz operacije 4.3.3. „Izgradnja šumske infrastrukture“ i 8.5.1. „Konverzija degradiranih šumskih sastojina i šumskih kultura“ omogućiti veća ulaganja u protupožarnu preventivu i zaštitu šuma povećanjem otvorenosti šumskih područja šumskim prometnicama te šumskim radovima koji održivim i stručnim gospodarenjem u degradiranim šumama i šumskim monokulturama smanjuju stupanj opasnosti od šumskih požara.</w:t>
      </w:r>
    </w:p>
    <w:p w14:paraId="729F36BD" w14:textId="77777777" w:rsidR="00D84719" w:rsidRPr="00D84719" w:rsidRDefault="00D84719" w:rsidP="00D84719">
      <w:pPr>
        <w:spacing w:before="80" w:after="12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 xml:space="preserve">Protupožarna zaštita i preventiva u šumarstvu uređena je legislativno Pravilnikom o zaštiti šuma od požara </w:t>
      </w:r>
      <w:r w:rsidRPr="00D84719">
        <w:rPr>
          <w:rFonts w:ascii="Times New Roman" w:eastAsia="Times New Roman" w:hAnsi="Times New Roman" w:cs="Times New Roman"/>
          <w:bCs/>
          <w:color w:val="000000"/>
          <w:sz w:val="24"/>
          <w:szCs w:val="24"/>
        </w:rPr>
        <w:t xml:space="preserve">(„Narodne novine“, broj </w:t>
      </w:r>
      <w:r w:rsidRPr="00D84719">
        <w:rPr>
          <w:rFonts w:ascii="Times New Roman" w:eastAsia="Times New Roman" w:hAnsi="Times New Roman" w:cs="Times New Roman"/>
          <w:color w:val="000000"/>
          <w:sz w:val="24"/>
          <w:szCs w:val="24"/>
        </w:rPr>
        <w:t xml:space="preserve">33/14) koji propisuje tehničke, preventivno-uzgojne i druge mjere zaštite šuma od požara koje su dužni provoditi vlasnici, odnosno korisnici šuma i šumskog zemljišta. </w:t>
      </w:r>
    </w:p>
    <w:p w14:paraId="6103E339" w14:textId="77777777" w:rsidR="00D84719" w:rsidRDefault="00D84719" w:rsidP="00D84719">
      <w:pPr>
        <w:spacing w:before="80" w:after="12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 xml:space="preserve">U skladu sa Zakonom o šumama od 1. siječnja 2009., započeo je s radom Registar požara (sustav dokumentacije, podataka i informacija o šumskim požarima) usklađen s bazom podataka Europskog informacijskog sustava za šumske požare (EFFIS, </w:t>
      </w:r>
      <w:proofErr w:type="spellStart"/>
      <w:r w:rsidRPr="00D84719">
        <w:rPr>
          <w:rFonts w:ascii="Times New Roman" w:eastAsia="Times New Roman" w:hAnsi="Times New Roman" w:cs="Times New Roman"/>
          <w:color w:val="000000"/>
          <w:sz w:val="24"/>
          <w:szCs w:val="24"/>
        </w:rPr>
        <w:t>eng</w:t>
      </w:r>
      <w:proofErr w:type="spellEnd"/>
      <w:r w:rsidRPr="00D84719">
        <w:rPr>
          <w:rFonts w:ascii="Times New Roman" w:eastAsia="Times New Roman" w:hAnsi="Times New Roman" w:cs="Times New Roman"/>
          <w:color w:val="000000"/>
          <w:sz w:val="24"/>
          <w:szCs w:val="24"/>
        </w:rPr>
        <w:t xml:space="preserve">. </w:t>
      </w:r>
      <w:proofErr w:type="spellStart"/>
      <w:r w:rsidRPr="00D84719">
        <w:rPr>
          <w:rFonts w:ascii="Times New Roman" w:eastAsia="Times New Roman" w:hAnsi="Times New Roman" w:cs="Times New Roman"/>
          <w:i/>
          <w:color w:val="000000"/>
          <w:sz w:val="24"/>
          <w:szCs w:val="24"/>
        </w:rPr>
        <w:t>The</w:t>
      </w:r>
      <w:proofErr w:type="spellEnd"/>
      <w:r w:rsidRPr="00D84719">
        <w:rPr>
          <w:rFonts w:ascii="Times New Roman" w:eastAsia="Times New Roman" w:hAnsi="Times New Roman" w:cs="Times New Roman"/>
          <w:i/>
          <w:color w:val="000000"/>
          <w:sz w:val="24"/>
          <w:szCs w:val="24"/>
        </w:rPr>
        <w:t xml:space="preserve"> European </w:t>
      </w:r>
      <w:proofErr w:type="spellStart"/>
      <w:r w:rsidRPr="00D84719">
        <w:rPr>
          <w:rFonts w:ascii="Times New Roman" w:eastAsia="Times New Roman" w:hAnsi="Times New Roman" w:cs="Times New Roman"/>
          <w:i/>
          <w:color w:val="000000"/>
          <w:sz w:val="24"/>
          <w:szCs w:val="24"/>
        </w:rPr>
        <w:t>Forest</w:t>
      </w:r>
      <w:proofErr w:type="spellEnd"/>
      <w:r w:rsidRPr="00D84719">
        <w:rPr>
          <w:rFonts w:ascii="Times New Roman" w:eastAsia="Times New Roman" w:hAnsi="Times New Roman" w:cs="Times New Roman"/>
          <w:i/>
          <w:color w:val="000000"/>
          <w:sz w:val="24"/>
          <w:szCs w:val="24"/>
        </w:rPr>
        <w:t xml:space="preserve"> </w:t>
      </w:r>
      <w:proofErr w:type="spellStart"/>
      <w:r w:rsidRPr="00D84719">
        <w:rPr>
          <w:rFonts w:ascii="Times New Roman" w:eastAsia="Times New Roman" w:hAnsi="Times New Roman" w:cs="Times New Roman"/>
          <w:i/>
          <w:color w:val="000000"/>
          <w:sz w:val="24"/>
          <w:szCs w:val="24"/>
        </w:rPr>
        <w:t>Fire</w:t>
      </w:r>
      <w:proofErr w:type="spellEnd"/>
      <w:r w:rsidRPr="00D84719">
        <w:rPr>
          <w:rFonts w:ascii="Times New Roman" w:eastAsia="Times New Roman" w:hAnsi="Times New Roman" w:cs="Times New Roman"/>
          <w:i/>
          <w:color w:val="000000"/>
          <w:sz w:val="24"/>
          <w:szCs w:val="24"/>
        </w:rPr>
        <w:t xml:space="preserve"> </w:t>
      </w:r>
      <w:proofErr w:type="spellStart"/>
      <w:r w:rsidRPr="00D84719">
        <w:rPr>
          <w:rFonts w:ascii="Times New Roman" w:eastAsia="Times New Roman" w:hAnsi="Times New Roman" w:cs="Times New Roman"/>
          <w:i/>
          <w:color w:val="000000"/>
          <w:sz w:val="24"/>
          <w:szCs w:val="24"/>
        </w:rPr>
        <w:t>Information</w:t>
      </w:r>
      <w:proofErr w:type="spellEnd"/>
      <w:r w:rsidRPr="00D84719">
        <w:rPr>
          <w:rFonts w:ascii="Times New Roman" w:eastAsia="Times New Roman" w:hAnsi="Times New Roman" w:cs="Times New Roman"/>
          <w:i/>
          <w:color w:val="000000"/>
          <w:sz w:val="24"/>
          <w:szCs w:val="24"/>
        </w:rPr>
        <w:t xml:space="preserve"> System</w:t>
      </w:r>
      <w:r w:rsidRPr="00D84719">
        <w:rPr>
          <w:rFonts w:ascii="Times New Roman" w:eastAsia="Times New Roman" w:hAnsi="Times New Roman" w:cs="Times New Roman"/>
          <w:color w:val="000000"/>
          <w:sz w:val="24"/>
          <w:szCs w:val="24"/>
        </w:rPr>
        <w:t xml:space="preserve">). Rad Registra propisan je Pravilnikom o načinu prikupljanja podataka, vođenju registra te uvjetima korištenja podataka o šumskim požarima </w:t>
      </w:r>
      <w:r w:rsidRPr="00D84719">
        <w:rPr>
          <w:rFonts w:ascii="Times New Roman" w:eastAsia="Times New Roman" w:hAnsi="Times New Roman" w:cs="Times New Roman"/>
          <w:bCs/>
          <w:color w:val="000000"/>
          <w:sz w:val="24"/>
          <w:szCs w:val="24"/>
        </w:rPr>
        <w:t xml:space="preserve">(„Narodne novine“, br. </w:t>
      </w:r>
      <w:r w:rsidRPr="00D84719">
        <w:rPr>
          <w:rFonts w:ascii="Times New Roman" w:eastAsia="Times New Roman" w:hAnsi="Times New Roman" w:cs="Times New Roman"/>
          <w:color w:val="000000"/>
          <w:sz w:val="24"/>
          <w:szCs w:val="24"/>
        </w:rPr>
        <w:t xml:space="preserve">75/13, 150/14 i 21/17). Isti Pravilnik propisuje i obvezu Republike Hrvatske da do 1. srpnja svake godine za potrebe EFFIS-a dostavi Zajedničkom istraživačkom centru Europske komisije sedam tipova podataka o svakom šumskom požaru koji se dogodio na području Republike Hrvatske tijekom prethodne godine. Cilj opisanih mjera je rano otkrivanje i dojava o nastanku i širenju šumskog požara te osiguravanje pravovremenog djelovanja u njegovu gašenju. </w:t>
      </w:r>
      <w:r w:rsidR="007C32C9">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Hrvatske šume” d.o.o., trgovačko društvo koje gospodari državnim šumama, posjeduje međunarodni FSC certifikat koji obvezuje da se šumom gospodari prema strogim ekološkim, socijalnim i ekonomskim standardima. Upravo strogi ekološki standardi FSC certifikata jamče da se hrvatske šume ne tretiraju ili na bilo koji drugi način kontaminiraju nekim od POPs-ova koji su uključeni u dodacima Konvencije.</w:t>
      </w:r>
    </w:p>
    <w:p w14:paraId="6D30F791" w14:textId="77777777" w:rsidR="00831239" w:rsidRPr="00D84719" w:rsidRDefault="00831239" w:rsidP="00D84719">
      <w:pPr>
        <w:spacing w:before="80" w:after="120" w:line="276" w:lineRule="auto"/>
        <w:jc w:val="both"/>
        <w:rPr>
          <w:rFonts w:ascii="Times New Roman" w:eastAsia="Times New Roman" w:hAnsi="Times New Roman" w:cs="Times New Roman"/>
          <w:color w:val="000000"/>
          <w:sz w:val="24"/>
          <w:szCs w:val="24"/>
        </w:rPr>
      </w:pPr>
    </w:p>
    <w:p w14:paraId="0A966B2B" w14:textId="77777777" w:rsidR="00D84719" w:rsidRPr="00D84719" w:rsidRDefault="00D84719" w:rsidP="00F32974">
      <w:pPr>
        <w:pStyle w:val="Naslov3"/>
      </w:pPr>
      <w:bookmarkStart w:id="147" w:name="_Toc8637308"/>
      <w:bookmarkStart w:id="148" w:name="_Toc41638277"/>
      <w:bookmarkStart w:id="149" w:name="_Toc64460733"/>
      <w:r w:rsidRPr="00D84719">
        <w:t>PRAĆENJE IMISIJA POPS-OVA U ZRAKU</w:t>
      </w:r>
      <w:bookmarkEnd w:id="147"/>
      <w:bookmarkEnd w:id="148"/>
      <w:bookmarkEnd w:id="149"/>
    </w:p>
    <w:p w14:paraId="4799FCE7" w14:textId="77777777" w:rsidR="00D84719" w:rsidRDefault="00D84719" w:rsidP="00396C40">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 xml:space="preserve">Jedna od obveza MINGOR-a je i izrada redovnih godišnjih izvješća o praćenju kvalitete zraka na području Republike Hrvatske. Izvješća se izrađuju u tekućoj godini za proteklu kalendarsku godinu te obuhvaćaju podatke o koncentracijama onečišćujućih tvari s državne mreže i lokalnih mreža za praćenje kvalitete zraka koja su ujedno javno objavljena na mrežnim stranicama </w:t>
      </w:r>
      <w:hyperlink r:id="rId45" w:history="1">
        <w:r w:rsidR="00D02EC8" w:rsidRPr="00583887">
          <w:rPr>
            <w:rStyle w:val="Hiperveza"/>
            <w:rFonts w:ascii="Times New Roman" w:eastAsia="Times New Roman" w:hAnsi="Times New Roman" w:cs="Times New Roman"/>
            <w:sz w:val="24"/>
            <w:szCs w:val="24"/>
          </w:rPr>
          <w:t>http://www.haop.hr/hr/tematska-podrucja/zrak-klima-tlo/zrak/izvjesca</w:t>
        </w:r>
      </w:hyperlink>
    </w:p>
    <w:p w14:paraId="7988112A" w14:textId="11E1FEBB" w:rsidR="00D84719" w:rsidRPr="00D84719" w:rsidRDefault="00D84719" w:rsidP="00396C40">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Na postajama državne i lokalne mreže u Republici Hrvatskoj od POPs-ova mjere se policiklički aromatski ugljikovodici (PAU): benzo(a)piren (BaP), benzo(a)antracen, benzo(b)fluoranten, benzo(j)fluoranten, benzo(k)fluoranten, indenopiren i dibenzo(a)antracen u frakcijama lebdećih čestica PM</w:t>
      </w:r>
      <w:r w:rsidRPr="00D84719">
        <w:rPr>
          <w:rFonts w:ascii="Times New Roman" w:eastAsia="Times New Roman" w:hAnsi="Times New Roman" w:cs="Times New Roman"/>
          <w:color w:val="000000"/>
          <w:sz w:val="24"/>
          <w:szCs w:val="24"/>
          <w:vertAlign w:val="subscript"/>
        </w:rPr>
        <w:t>10</w:t>
      </w:r>
      <w:r w:rsidRPr="00D84719">
        <w:rPr>
          <w:rFonts w:ascii="Times New Roman" w:eastAsia="Times New Roman" w:hAnsi="Times New Roman" w:cs="Times New Roman"/>
          <w:color w:val="000000"/>
          <w:sz w:val="24"/>
          <w:szCs w:val="24"/>
        </w:rPr>
        <w:t xml:space="preserve"> na lokacijama: mjerne postaje državne mreže u aglomeraciji Zagreb: Zagreb-1 (raskrižje </w:t>
      </w:r>
      <w:proofErr w:type="spellStart"/>
      <w:r w:rsidRPr="00D84719">
        <w:rPr>
          <w:rFonts w:ascii="Times New Roman" w:eastAsia="Times New Roman" w:hAnsi="Times New Roman" w:cs="Times New Roman"/>
          <w:color w:val="000000"/>
          <w:sz w:val="24"/>
          <w:szCs w:val="24"/>
        </w:rPr>
        <w:t>Miramarske</w:t>
      </w:r>
      <w:proofErr w:type="spellEnd"/>
      <w:r w:rsidRPr="00D84719">
        <w:rPr>
          <w:rFonts w:ascii="Times New Roman" w:eastAsia="Times New Roman" w:hAnsi="Times New Roman" w:cs="Times New Roman"/>
          <w:color w:val="000000"/>
          <w:sz w:val="24"/>
          <w:szCs w:val="24"/>
        </w:rPr>
        <w:t xml:space="preserve"> ulice i Vukovarske ulice) i Zagreb-3 (raskrižje Sarajevske ulice i </w:t>
      </w:r>
      <w:proofErr w:type="spellStart"/>
      <w:r w:rsidRPr="00D84719">
        <w:rPr>
          <w:rFonts w:ascii="Times New Roman" w:eastAsia="Times New Roman" w:hAnsi="Times New Roman" w:cs="Times New Roman"/>
          <w:color w:val="000000"/>
          <w:sz w:val="24"/>
          <w:szCs w:val="24"/>
        </w:rPr>
        <w:t>Kauzlarićevog</w:t>
      </w:r>
      <w:proofErr w:type="spellEnd"/>
      <w:r w:rsidRPr="00D84719">
        <w:rPr>
          <w:rFonts w:ascii="Times New Roman" w:eastAsia="Times New Roman" w:hAnsi="Times New Roman" w:cs="Times New Roman"/>
          <w:color w:val="000000"/>
          <w:sz w:val="24"/>
          <w:szCs w:val="24"/>
        </w:rPr>
        <w:t xml:space="preserve"> prilaza) i mjerna postaja državne mreže Sisak-1 (na lokaciji </w:t>
      </w:r>
      <w:proofErr w:type="spellStart"/>
      <w:r w:rsidRPr="00D84719">
        <w:rPr>
          <w:rFonts w:ascii="Times New Roman" w:eastAsia="Times New Roman" w:hAnsi="Times New Roman" w:cs="Times New Roman"/>
          <w:color w:val="000000"/>
          <w:sz w:val="24"/>
          <w:szCs w:val="24"/>
        </w:rPr>
        <w:t>Caprag</w:t>
      </w:r>
      <w:proofErr w:type="spellEnd"/>
      <w:r w:rsidRPr="00D84719">
        <w:rPr>
          <w:rFonts w:ascii="Times New Roman" w:eastAsia="Times New Roman" w:hAnsi="Times New Roman" w:cs="Times New Roman"/>
          <w:color w:val="000000"/>
          <w:sz w:val="24"/>
          <w:szCs w:val="24"/>
        </w:rPr>
        <w:t>) koja se nalazi u Industrijskoj zoni (HR2). Od 2018</w:t>
      </w:r>
      <w:r w:rsidR="005C26BD">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 xml:space="preserve"> u Industrijskoj zoni (HR2) POPs-ovi se mjere i na mjernoj postaji Slavonski Brod-1.</w:t>
      </w:r>
    </w:p>
    <w:p w14:paraId="740783FF" w14:textId="77777777" w:rsidR="00396C40" w:rsidRPr="00D84719" w:rsidRDefault="00D84719" w:rsidP="00396C40">
      <w:pPr>
        <w:spacing w:before="80" w:after="12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Tada važeća Uredba o razinama onečišćujućih tvari u zraku („Narodne novine“, br. 117/12 i 84/17) propisuje ciljnu vrijednost (CV) PAU BaP u PM</w:t>
      </w:r>
      <w:r w:rsidRPr="00D84719">
        <w:rPr>
          <w:rFonts w:ascii="Times New Roman" w:eastAsia="Times New Roman" w:hAnsi="Times New Roman" w:cs="Times New Roman"/>
          <w:color w:val="000000"/>
          <w:sz w:val="24"/>
          <w:szCs w:val="24"/>
          <w:vertAlign w:val="subscript"/>
        </w:rPr>
        <w:t>10</w:t>
      </w:r>
      <w:r w:rsidRPr="00D84719">
        <w:rPr>
          <w:rFonts w:ascii="Times New Roman" w:eastAsia="Times New Roman" w:hAnsi="Times New Roman" w:cs="Times New Roman"/>
          <w:color w:val="000000"/>
          <w:sz w:val="24"/>
          <w:szCs w:val="24"/>
        </w:rPr>
        <w:t xml:space="preserve"> od 1,0 ng m</w:t>
      </w:r>
      <w:r w:rsidRPr="00D84719">
        <w:rPr>
          <w:rFonts w:ascii="Times New Roman" w:eastAsia="Times New Roman" w:hAnsi="Times New Roman" w:cs="Times New Roman"/>
          <w:color w:val="000000"/>
          <w:sz w:val="24"/>
          <w:szCs w:val="24"/>
          <w:vertAlign w:val="superscript"/>
        </w:rPr>
        <w:t>-3</w:t>
      </w:r>
      <w:r w:rsidRPr="00D84719">
        <w:rPr>
          <w:rFonts w:ascii="Times New Roman" w:eastAsia="Times New Roman" w:hAnsi="Times New Roman" w:cs="Times New Roman"/>
          <w:color w:val="000000"/>
          <w:sz w:val="24"/>
          <w:szCs w:val="24"/>
        </w:rPr>
        <w:t xml:space="preserve">. </w:t>
      </w:r>
    </w:p>
    <w:p w14:paraId="5F5FC4B2" w14:textId="77777777" w:rsidR="00D84719" w:rsidRPr="00D84719" w:rsidRDefault="00D84719" w:rsidP="00396C40">
      <w:pPr>
        <w:spacing w:before="80" w:after="120" w:line="276" w:lineRule="auto"/>
        <w:jc w:val="both"/>
        <w:rPr>
          <w:rFonts w:ascii="Times New Roman" w:eastAsia="Times New Roman" w:hAnsi="Times New Roman" w:cs="Times New Roman"/>
          <w:color w:val="000000"/>
          <w:sz w:val="24"/>
          <w:szCs w:val="24"/>
        </w:rPr>
      </w:pPr>
    </w:p>
    <w:p w14:paraId="7809D2A0" w14:textId="63BDDF92" w:rsidR="00D84719" w:rsidRPr="00396C40" w:rsidRDefault="00D84719" w:rsidP="00396C40">
      <w:pPr>
        <w:pStyle w:val="Naslov4"/>
      </w:pPr>
      <w:bookmarkStart w:id="150" w:name="_Toc64460734"/>
      <w:r w:rsidRPr="00396C40">
        <w:t>Rezultati određivanja benzo(a)pirena (BaP) u česticama PM10 – 2015</w:t>
      </w:r>
      <w:r w:rsidR="004C449C">
        <w:t>.</w:t>
      </w:r>
      <w:bookmarkEnd w:id="150"/>
    </w:p>
    <w:p w14:paraId="2BE24EE5" w14:textId="77777777" w:rsidR="00396C40" w:rsidRPr="00D84719" w:rsidRDefault="00D84719" w:rsidP="00396C40">
      <w:pPr>
        <w:spacing w:before="80" w:after="12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Na osnovi analize rezultata mjerenja za 2015. ocjenjeno je da su koncentracije BaP u PM 10 bile više od propisanih ciljnih vrijednosti u aglomeraciji Zagreb na mjernim postajama Zagreb-1 i Zagreb-3 kao i u Industrijskoj zoni (HR 2) na mjern</w:t>
      </w:r>
      <w:r w:rsidR="00422B8D">
        <w:rPr>
          <w:rFonts w:ascii="Times New Roman" w:eastAsia="Times New Roman" w:hAnsi="Times New Roman" w:cs="Times New Roman"/>
          <w:color w:val="000000"/>
          <w:sz w:val="24"/>
          <w:szCs w:val="24"/>
        </w:rPr>
        <w:t>im</w:t>
      </w:r>
      <w:r w:rsidRPr="00D84719">
        <w:rPr>
          <w:rFonts w:ascii="Times New Roman" w:eastAsia="Times New Roman" w:hAnsi="Times New Roman" w:cs="Times New Roman"/>
          <w:color w:val="000000"/>
          <w:sz w:val="24"/>
          <w:szCs w:val="24"/>
        </w:rPr>
        <w:t xml:space="preserve"> postaj</w:t>
      </w:r>
      <w:r w:rsidR="00422B8D">
        <w:rPr>
          <w:rFonts w:ascii="Times New Roman" w:eastAsia="Times New Roman" w:hAnsi="Times New Roman" w:cs="Times New Roman"/>
          <w:color w:val="000000"/>
          <w:sz w:val="24"/>
          <w:szCs w:val="24"/>
        </w:rPr>
        <w:t>ama</w:t>
      </w:r>
      <w:r w:rsidRPr="00D84719">
        <w:rPr>
          <w:rFonts w:ascii="Times New Roman" w:eastAsia="Times New Roman" w:hAnsi="Times New Roman" w:cs="Times New Roman"/>
          <w:color w:val="000000"/>
          <w:sz w:val="24"/>
          <w:szCs w:val="24"/>
        </w:rPr>
        <w:t xml:space="preserve"> Sisak-1</w:t>
      </w:r>
      <w:r w:rsidR="00422B8D">
        <w:rPr>
          <w:rFonts w:ascii="Times New Roman" w:eastAsia="Times New Roman" w:hAnsi="Times New Roman" w:cs="Times New Roman"/>
          <w:color w:val="000000"/>
          <w:sz w:val="24"/>
          <w:szCs w:val="24"/>
        </w:rPr>
        <w:t xml:space="preserve"> i Slavonski Brod-1</w:t>
      </w:r>
      <w:r w:rsidRPr="00D84719">
        <w:rPr>
          <w:rFonts w:ascii="Times New Roman" w:eastAsia="Times New Roman" w:hAnsi="Times New Roman" w:cs="Times New Roman"/>
          <w:color w:val="000000"/>
          <w:sz w:val="24"/>
          <w:szCs w:val="24"/>
        </w:rPr>
        <w:t>.</w:t>
      </w:r>
      <w:r w:rsidR="00396C40" w:rsidRPr="00396C40">
        <w:rPr>
          <w:rFonts w:ascii="Times New Roman" w:eastAsia="Times New Roman" w:hAnsi="Times New Roman" w:cs="Times New Roman"/>
          <w:color w:val="000000"/>
          <w:sz w:val="24"/>
          <w:szCs w:val="24"/>
        </w:rPr>
        <w:t xml:space="preserve"> </w:t>
      </w:r>
    </w:p>
    <w:p w14:paraId="23F969F4" w14:textId="77777777" w:rsidR="00D84719" w:rsidRPr="00D84719" w:rsidRDefault="00D84719" w:rsidP="00396C40">
      <w:pPr>
        <w:spacing w:before="80" w:line="276" w:lineRule="auto"/>
        <w:jc w:val="both"/>
        <w:rPr>
          <w:rFonts w:ascii="Times New Roman" w:eastAsia="Times New Roman" w:hAnsi="Times New Roman" w:cs="Times New Roman"/>
          <w:color w:val="000000"/>
          <w:sz w:val="24"/>
          <w:szCs w:val="24"/>
        </w:rPr>
      </w:pPr>
    </w:p>
    <w:p w14:paraId="32628969" w14:textId="32837126" w:rsidR="00D84719" w:rsidRPr="00396C40" w:rsidRDefault="00D84719" w:rsidP="00396C40">
      <w:pPr>
        <w:pStyle w:val="Naslov4"/>
      </w:pPr>
      <w:bookmarkStart w:id="151" w:name="_Toc64460735"/>
      <w:r w:rsidRPr="00396C40">
        <w:t>Rezultati određivanja benzo(a)pirena (BaP) u česticama PM10 – 2016</w:t>
      </w:r>
      <w:r w:rsidR="004C449C">
        <w:t>.</w:t>
      </w:r>
      <w:bookmarkEnd w:id="151"/>
    </w:p>
    <w:p w14:paraId="093E5DD6" w14:textId="77777777" w:rsidR="00286AC3" w:rsidRPr="00D84719" w:rsidRDefault="00D84719" w:rsidP="00286AC3">
      <w:pPr>
        <w:spacing w:before="80" w:after="12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Na osnovi analize rezultata mjerenja ocjenjeno je da su koncentracije BaP u PM</w:t>
      </w:r>
      <w:r w:rsidRPr="00D84719">
        <w:rPr>
          <w:rFonts w:ascii="Times New Roman" w:eastAsia="Times New Roman" w:hAnsi="Times New Roman" w:cs="Times New Roman"/>
          <w:color w:val="000000"/>
          <w:sz w:val="24"/>
          <w:szCs w:val="24"/>
          <w:vertAlign w:val="subscript"/>
        </w:rPr>
        <w:t>10</w:t>
      </w:r>
      <w:r w:rsidRPr="00D84719">
        <w:rPr>
          <w:rFonts w:ascii="Times New Roman" w:eastAsia="Times New Roman" w:hAnsi="Times New Roman" w:cs="Times New Roman"/>
          <w:color w:val="000000"/>
          <w:sz w:val="24"/>
          <w:szCs w:val="24"/>
        </w:rPr>
        <w:t xml:space="preserve"> bile više od propisanih CV</w:t>
      </w:r>
      <w:r w:rsidR="00612979">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u aglomeraciji Zagreb na mjernoj postaji Zagreb-1 i Zagreb-3 i Industrijskoj zoni (HR 2) na mjern</w:t>
      </w:r>
      <w:r w:rsidR="00422B8D">
        <w:rPr>
          <w:rFonts w:ascii="Times New Roman" w:eastAsia="Times New Roman" w:hAnsi="Times New Roman" w:cs="Times New Roman"/>
          <w:color w:val="000000"/>
          <w:sz w:val="24"/>
          <w:szCs w:val="24"/>
        </w:rPr>
        <w:t>im</w:t>
      </w:r>
      <w:r w:rsidRPr="00D84719">
        <w:rPr>
          <w:rFonts w:ascii="Times New Roman" w:eastAsia="Times New Roman" w:hAnsi="Times New Roman" w:cs="Times New Roman"/>
          <w:color w:val="000000"/>
          <w:sz w:val="24"/>
          <w:szCs w:val="24"/>
        </w:rPr>
        <w:t xml:space="preserve"> postaj</w:t>
      </w:r>
      <w:r w:rsidR="00422B8D">
        <w:rPr>
          <w:rFonts w:ascii="Times New Roman" w:eastAsia="Times New Roman" w:hAnsi="Times New Roman" w:cs="Times New Roman"/>
          <w:color w:val="000000"/>
          <w:sz w:val="24"/>
          <w:szCs w:val="24"/>
        </w:rPr>
        <w:t>ama</w:t>
      </w:r>
      <w:r w:rsidRPr="00D84719">
        <w:rPr>
          <w:rFonts w:ascii="Times New Roman" w:eastAsia="Times New Roman" w:hAnsi="Times New Roman" w:cs="Times New Roman"/>
          <w:color w:val="000000"/>
          <w:sz w:val="24"/>
          <w:szCs w:val="24"/>
        </w:rPr>
        <w:t xml:space="preserve"> Sisak-1</w:t>
      </w:r>
      <w:r w:rsidR="00422B8D">
        <w:rPr>
          <w:rFonts w:ascii="Times New Roman" w:eastAsia="Times New Roman" w:hAnsi="Times New Roman" w:cs="Times New Roman"/>
          <w:color w:val="000000"/>
          <w:sz w:val="24"/>
          <w:szCs w:val="24"/>
        </w:rPr>
        <w:t xml:space="preserve"> i Slavonski Brod-1</w:t>
      </w:r>
      <w:r w:rsidRPr="00D84719">
        <w:rPr>
          <w:rFonts w:ascii="Times New Roman" w:eastAsia="Times New Roman" w:hAnsi="Times New Roman" w:cs="Times New Roman"/>
          <w:color w:val="000000"/>
          <w:sz w:val="24"/>
          <w:szCs w:val="24"/>
        </w:rPr>
        <w:t>.</w:t>
      </w:r>
      <w:r w:rsidR="00286AC3" w:rsidRPr="00286AC3">
        <w:rPr>
          <w:rFonts w:ascii="Times New Roman" w:eastAsia="Times New Roman" w:hAnsi="Times New Roman" w:cs="Times New Roman"/>
          <w:color w:val="000000"/>
          <w:sz w:val="24"/>
          <w:szCs w:val="24"/>
        </w:rPr>
        <w:t xml:space="preserve"> </w:t>
      </w:r>
    </w:p>
    <w:p w14:paraId="38A2824E" w14:textId="77777777" w:rsidR="00D84719" w:rsidRPr="00D84719" w:rsidRDefault="00D84719" w:rsidP="00396C40">
      <w:pPr>
        <w:spacing w:before="80" w:line="276" w:lineRule="auto"/>
        <w:jc w:val="both"/>
        <w:rPr>
          <w:rFonts w:ascii="Times New Roman" w:eastAsia="Times New Roman" w:hAnsi="Times New Roman" w:cs="Times New Roman"/>
          <w:color w:val="000000"/>
          <w:sz w:val="24"/>
          <w:szCs w:val="24"/>
        </w:rPr>
      </w:pPr>
    </w:p>
    <w:p w14:paraId="4D6DC094" w14:textId="4687EAFF" w:rsidR="00D84719" w:rsidRPr="00286AC3" w:rsidRDefault="00D84719" w:rsidP="00286AC3">
      <w:pPr>
        <w:pStyle w:val="Naslov4"/>
      </w:pPr>
      <w:bookmarkStart w:id="152" w:name="_Toc64460736"/>
      <w:r w:rsidRPr="00286AC3">
        <w:t>Rezultati određivanja benzo(a)pirena (BaP) u česticama PM10 – 2017</w:t>
      </w:r>
      <w:r w:rsidR="004C449C">
        <w:t>.</w:t>
      </w:r>
      <w:bookmarkEnd w:id="152"/>
    </w:p>
    <w:p w14:paraId="0681CA3B" w14:textId="77777777" w:rsidR="00396C40" w:rsidRPr="00D84719" w:rsidRDefault="00D84719" w:rsidP="00396C40">
      <w:pPr>
        <w:spacing w:before="80" w:after="12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lang w:bidi="en-US"/>
        </w:rPr>
        <w:t>Na osnovi analize rezultata mjerenja ocjenjeno je da su koncentracije BaP u PM</w:t>
      </w:r>
      <w:r w:rsidRPr="00D84719">
        <w:rPr>
          <w:rFonts w:ascii="Times New Roman" w:eastAsia="Times New Roman" w:hAnsi="Times New Roman" w:cs="Times New Roman"/>
          <w:color w:val="000000"/>
          <w:sz w:val="24"/>
          <w:szCs w:val="24"/>
          <w:vertAlign w:val="subscript"/>
        </w:rPr>
        <w:t>10</w:t>
      </w:r>
      <w:r w:rsidRPr="00D84719">
        <w:rPr>
          <w:rFonts w:ascii="Times New Roman" w:eastAsia="Times New Roman" w:hAnsi="Times New Roman" w:cs="Times New Roman"/>
          <w:color w:val="000000"/>
          <w:sz w:val="24"/>
          <w:szCs w:val="24"/>
          <w:lang w:bidi="en-US"/>
        </w:rPr>
        <w:t xml:space="preserve"> bile više od propisanih CV u aglomeraciji Zagreb na mjernoj postaji Zagreb-</w:t>
      </w:r>
      <w:r w:rsidR="00422B8D">
        <w:rPr>
          <w:rFonts w:ascii="Times New Roman" w:eastAsia="Times New Roman" w:hAnsi="Times New Roman" w:cs="Times New Roman"/>
          <w:color w:val="000000"/>
          <w:sz w:val="24"/>
          <w:szCs w:val="24"/>
          <w:lang w:bidi="en-US"/>
        </w:rPr>
        <w:t>3</w:t>
      </w:r>
      <w:r w:rsidRPr="00D84719">
        <w:rPr>
          <w:rFonts w:ascii="Times New Roman" w:eastAsia="Times New Roman" w:hAnsi="Times New Roman" w:cs="Times New Roman"/>
          <w:color w:val="000000"/>
          <w:sz w:val="24"/>
          <w:szCs w:val="24"/>
          <w:lang w:bidi="en-US"/>
        </w:rPr>
        <w:t xml:space="preserve"> i Industrijskoj zoni (HR 2) na mjern</w:t>
      </w:r>
      <w:r w:rsidR="00422B8D">
        <w:rPr>
          <w:rFonts w:ascii="Times New Roman" w:eastAsia="Times New Roman" w:hAnsi="Times New Roman" w:cs="Times New Roman"/>
          <w:color w:val="000000"/>
          <w:sz w:val="24"/>
          <w:szCs w:val="24"/>
          <w:lang w:bidi="en-US"/>
        </w:rPr>
        <w:t>im</w:t>
      </w:r>
      <w:r w:rsidRPr="00D84719">
        <w:rPr>
          <w:rFonts w:ascii="Times New Roman" w:eastAsia="Times New Roman" w:hAnsi="Times New Roman" w:cs="Times New Roman"/>
          <w:color w:val="000000"/>
          <w:sz w:val="24"/>
          <w:szCs w:val="24"/>
          <w:lang w:bidi="en-US"/>
        </w:rPr>
        <w:t xml:space="preserve"> postaj</w:t>
      </w:r>
      <w:r w:rsidR="00422B8D">
        <w:rPr>
          <w:rFonts w:ascii="Times New Roman" w:eastAsia="Times New Roman" w:hAnsi="Times New Roman" w:cs="Times New Roman"/>
          <w:color w:val="000000"/>
          <w:sz w:val="24"/>
          <w:szCs w:val="24"/>
          <w:lang w:bidi="en-US"/>
        </w:rPr>
        <w:t>ama</w:t>
      </w:r>
      <w:r w:rsidRPr="00D84719">
        <w:rPr>
          <w:rFonts w:ascii="Times New Roman" w:eastAsia="Times New Roman" w:hAnsi="Times New Roman" w:cs="Times New Roman"/>
          <w:color w:val="000000"/>
          <w:sz w:val="24"/>
          <w:szCs w:val="24"/>
          <w:lang w:bidi="en-US"/>
        </w:rPr>
        <w:t xml:space="preserve"> Sisak-1</w:t>
      </w:r>
      <w:r w:rsidR="00422B8D">
        <w:rPr>
          <w:rFonts w:ascii="Times New Roman" w:eastAsia="Times New Roman" w:hAnsi="Times New Roman" w:cs="Times New Roman"/>
          <w:color w:val="000000"/>
          <w:sz w:val="24"/>
          <w:szCs w:val="24"/>
          <w:lang w:bidi="en-US"/>
        </w:rPr>
        <w:t xml:space="preserve"> i  Slavonski Brod-1</w:t>
      </w:r>
      <w:r w:rsidRPr="00D84719">
        <w:rPr>
          <w:rFonts w:ascii="Times New Roman" w:eastAsia="Times New Roman" w:hAnsi="Times New Roman" w:cs="Times New Roman"/>
          <w:color w:val="000000"/>
          <w:sz w:val="24"/>
          <w:szCs w:val="24"/>
          <w:lang w:bidi="en-US"/>
        </w:rPr>
        <w:t>.</w:t>
      </w:r>
      <w:r w:rsidR="00396C40" w:rsidRPr="00396C40">
        <w:rPr>
          <w:rFonts w:ascii="Times New Roman" w:eastAsia="Times New Roman" w:hAnsi="Times New Roman" w:cs="Times New Roman"/>
          <w:color w:val="000000"/>
          <w:sz w:val="24"/>
          <w:szCs w:val="24"/>
        </w:rPr>
        <w:t xml:space="preserve"> </w:t>
      </w:r>
    </w:p>
    <w:p w14:paraId="3C37F274" w14:textId="77777777" w:rsidR="00D84719" w:rsidRPr="00D84719" w:rsidRDefault="00D84719" w:rsidP="00396C40">
      <w:pPr>
        <w:spacing w:before="80" w:line="276" w:lineRule="auto"/>
        <w:jc w:val="both"/>
        <w:rPr>
          <w:rFonts w:ascii="Times New Roman" w:eastAsia="Times New Roman" w:hAnsi="Times New Roman" w:cs="Times New Roman"/>
          <w:color w:val="000000"/>
          <w:sz w:val="24"/>
          <w:szCs w:val="24"/>
          <w:lang w:bidi="en-US"/>
        </w:rPr>
      </w:pPr>
    </w:p>
    <w:p w14:paraId="495D2EBF" w14:textId="482FF248" w:rsidR="00D84719" w:rsidRPr="00396C40" w:rsidRDefault="00D84719" w:rsidP="00396C40">
      <w:pPr>
        <w:pStyle w:val="Naslov4"/>
      </w:pPr>
      <w:bookmarkStart w:id="153" w:name="_Toc64460737"/>
      <w:r w:rsidRPr="00396C40">
        <w:t>Rezultati određivanja benzo(a)pirena (BaP) u česticama PM10 – 2018</w:t>
      </w:r>
      <w:r w:rsidR="004C449C">
        <w:t>.</w:t>
      </w:r>
      <w:bookmarkEnd w:id="153"/>
    </w:p>
    <w:p w14:paraId="16D730BA" w14:textId="0D7BCA8A" w:rsidR="00396C40" w:rsidRPr="00D84719" w:rsidRDefault="00D84719" w:rsidP="00396C40">
      <w:pPr>
        <w:spacing w:before="80" w:after="12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bCs/>
          <w:color w:val="000000"/>
          <w:sz w:val="24"/>
          <w:szCs w:val="24"/>
        </w:rPr>
        <w:t>Za 2018. obrađena su mjerenja BaP u PM</w:t>
      </w:r>
      <w:r w:rsidRPr="00D84719">
        <w:rPr>
          <w:rFonts w:ascii="Times New Roman" w:eastAsia="Times New Roman" w:hAnsi="Times New Roman" w:cs="Times New Roman"/>
          <w:bCs/>
          <w:color w:val="000000"/>
          <w:sz w:val="24"/>
          <w:szCs w:val="24"/>
          <w:vertAlign w:val="subscript"/>
        </w:rPr>
        <w:t>10</w:t>
      </w:r>
      <w:r w:rsidRPr="00D84719">
        <w:rPr>
          <w:rFonts w:ascii="Times New Roman" w:eastAsia="Times New Roman" w:hAnsi="Times New Roman" w:cs="Times New Roman"/>
          <w:bCs/>
          <w:color w:val="000000"/>
          <w:sz w:val="24"/>
          <w:szCs w:val="24"/>
        </w:rPr>
        <w:t xml:space="preserve"> s</w:t>
      </w:r>
      <w:r w:rsidR="00422B8D">
        <w:rPr>
          <w:rFonts w:ascii="Times New Roman" w:eastAsia="Times New Roman" w:hAnsi="Times New Roman" w:cs="Times New Roman"/>
          <w:bCs/>
          <w:color w:val="000000"/>
          <w:sz w:val="24"/>
          <w:szCs w:val="24"/>
        </w:rPr>
        <w:t xml:space="preserve"> četiri</w:t>
      </w:r>
      <w:r w:rsidRPr="00D84719">
        <w:rPr>
          <w:rFonts w:ascii="Times New Roman" w:eastAsia="Times New Roman" w:hAnsi="Times New Roman" w:cs="Times New Roman"/>
          <w:bCs/>
          <w:color w:val="000000"/>
          <w:sz w:val="24"/>
          <w:szCs w:val="24"/>
        </w:rPr>
        <w:t xml:space="preserve"> mjerne postaje (Izvor: Godišnje izvješće o praćenju kvalitete zraka na području Republike Hrvatske za 2018. godinu, HAOP, 2019.): Zagreb-1 i Zagreb-3 u aglomeraciji Zagreb te Sisak-1</w:t>
      </w:r>
      <w:r w:rsidR="00422B8D">
        <w:rPr>
          <w:rFonts w:ascii="Times New Roman" w:eastAsia="Times New Roman" w:hAnsi="Times New Roman" w:cs="Times New Roman"/>
          <w:bCs/>
          <w:color w:val="000000"/>
          <w:sz w:val="24"/>
          <w:szCs w:val="24"/>
        </w:rPr>
        <w:t>i Slavonski Brod-1</w:t>
      </w:r>
      <w:r w:rsidRPr="00D84719">
        <w:rPr>
          <w:rFonts w:ascii="Times New Roman" w:eastAsia="Times New Roman" w:hAnsi="Times New Roman" w:cs="Times New Roman"/>
          <w:bCs/>
          <w:color w:val="000000"/>
          <w:sz w:val="24"/>
          <w:szCs w:val="24"/>
        </w:rPr>
        <w:t xml:space="preserve"> u Industrijskoj zoni.</w:t>
      </w:r>
      <w:r w:rsidR="00612979">
        <w:rPr>
          <w:rFonts w:ascii="Times New Roman" w:eastAsia="Times New Roman" w:hAnsi="Times New Roman" w:cs="Times New Roman"/>
          <w:bCs/>
          <w:color w:val="000000"/>
          <w:sz w:val="24"/>
          <w:szCs w:val="24"/>
        </w:rPr>
        <w:t xml:space="preserve"> </w:t>
      </w:r>
      <w:r w:rsidRPr="00D84719">
        <w:rPr>
          <w:rFonts w:ascii="Times New Roman" w:eastAsia="Times New Roman" w:hAnsi="Times New Roman" w:cs="Times New Roman"/>
          <w:bCs/>
          <w:color w:val="000000"/>
          <w:sz w:val="24"/>
          <w:szCs w:val="24"/>
        </w:rPr>
        <w:t>Na osnovi analize rezultata mjerenja za 2018</w:t>
      </w:r>
      <w:r w:rsidR="004C449C">
        <w:rPr>
          <w:rFonts w:ascii="Times New Roman" w:eastAsia="Times New Roman" w:hAnsi="Times New Roman" w:cs="Times New Roman"/>
          <w:bCs/>
          <w:color w:val="000000"/>
          <w:sz w:val="24"/>
          <w:szCs w:val="24"/>
        </w:rPr>
        <w:t>.</w:t>
      </w:r>
      <w:r w:rsidRPr="00D84719">
        <w:rPr>
          <w:rFonts w:ascii="Times New Roman" w:eastAsia="Times New Roman" w:hAnsi="Times New Roman" w:cs="Times New Roman"/>
          <w:bCs/>
          <w:color w:val="000000"/>
          <w:sz w:val="24"/>
          <w:szCs w:val="24"/>
        </w:rPr>
        <w:t xml:space="preserve"> ocjenjeno je da su koncentracije BaP u PM</w:t>
      </w:r>
      <w:r w:rsidRPr="00D84719">
        <w:rPr>
          <w:rFonts w:ascii="Times New Roman" w:eastAsia="Times New Roman" w:hAnsi="Times New Roman" w:cs="Times New Roman"/>
          <w:bCs/>
          <w:color w:val="000000"/>
          <w:sz w:val="24"/>
          <w:szCs w:val="24"/>
          <w:vertAlign w:val="subscript"/>
        </w:rPr>
        <w:t>10</w:t>
      </w:r>
      <w:r w:rsidRPr="00D84719">
        <w:rPr>
          <w:rFonts w:ascii="Times New Roman" w:eastAsia="Times New Roman" w:hAnsi="Times New Roman" w:cs="Times New Roman"/>
          <w:bCs/>
          <w:color w:val="000000"/>
          <w:sz w:val="24"/>
          <w:szCs w:val="24"/>
        </w:rPr>
        <w:t xml:space="preserve"> bile više od propisanih ciljnih vrijednosti u aglomeraciji Zagreb na mjernoj postaji Zagreb-3 kao i u Industrijskoj zoni (HR 2) na mjernoj postaji Sisak-1.</w:t>
      </w:r>
      <w:r w:rsidR="00396C40" w:rsidRPr="00396C40">
        <w:rPr>
          <w:rFonts w:ascii="Times New Roman" w:eastAsia="Times New Roman" w:hAnsi="Times New Roman" w:cs="Times New Roman"/>
          <w:color w:val="000000"/>
          <w:sz w:val="24"/>
          <w:szCs w:val="24"/>
        </w:rPr>
        <w:t xml:space="preserve"> </w:t>
      </w:r>
    </w:p>
    <w:p w14:paraId="58751328" w14:textId="77777777" w:rsidR="00D84719" w:rsidRPr="00D84719" w:rsidRDefault="00D84719" w:rsidP="00396C40">
      <w:pPr>
        <w:spacing w:before="80" w:after="120" w:line="276" w:lineRule="auto"/>
        <w:jc w:val="both"/>
        <w:rPr>
          <w:rFonts w:ascii="Times New Roman" w:eastAsia="Times New Roman" w:hAnsi="Times New Roman" w:cs="Times New Roman"/>
          <w:bCs/>
          <w:color w:val="000000"/>
          <w:sz w:val="24"/>
          <w:szCs w:val="24"/>
        </w:rPr>
      </w:pPr>
    </w:p>
    <w:p w14:paraId="1E6CB93B" w14:textId="26353631" w:rsidR="00D84719" w:rsidRPr="00396C40" w:rsidRDefault="00D84719" w:rsidP="00396C40">
      <w:pPr>
        <w:pStyle w:val="Naslov4"/>
      </w:pPr>
      <w:bookmarkStart w:id="154" w:name="_Toc64460738"/>
      <w:r w:rsidRPr="00396C40">
        <w:t>Rezultati određivanja benzo(a)pirena (BaP) u česticama PM10 – 2019</w:t>
      </w:r>
      <w:r w:rsidR="004C449C">
        <w:t>.</w:t>
      </w:r>
      <w:bookmarkEnd w:id="154"/>
    </w:p>
    <w:p w14:paraId="4C0ABBCA" w14:textId="160E6379" w:rsidR="00396C40" w:rsidRPr="00D84719" w:rsidRDefault="00D84719" w:rsidP="00396C40">
      <w:pPr>
        <w:spacing w:before="80" w:after="12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bCs/>
          <w:color w:val="000000"/>
          <w:sz w:val="24"/>
          <w:szCs w:val="24"/>
        </w:rPr>
        <w:t>Za 2019. obrađena su mjerenja BaP u PM</w:t>
      </w:r>
      <w:r w:rsidRPr="00D84719">
        <w:rPr>
          <w:rFonts w:ascii="Times New Roman" w:eastAsia="Times New Roman" w:hAnsi="Times New Roman" w:cs="Times New Roman"/>
          <w:bCs/>
          <w:color w:val="000000"/>
          <w:sz w:val="24"/>
          <w:szCs w:val="24"/>
          <w:vertAlign w:val="subscript"/>
        </w:rPr>
        <w:t>10</w:t>
      </w:r>
      <w:r w:rsidRPr="00D84719">
        <w:rPr>
          <w:rFonts w:ascii="Times New Roman" w:eastAsia="Times New Roman" w:hAnsi="Times New Roman" w:cs="Times New Roman"/>
          <w:bCs/>
          <w:color w:val="000000"/>
          <w:sz w:val="24"/>
          <w:szCs w:val="24"/>
        </w:rPr>
        <w:t xml:space="preserve"> s četiri mjerne postaje (Izvor: Godišnje izvješće o praćenju kvalitete zraka na području Republike Hrvatske za 2019. godinu, MINGOR, 2020.): Zagreb-1 i Zagreb-3 u aglomeraciji Zagreb te Sisak-1 i Slavonski Brod-1 u Industrijskoj zoni. Na osnovi analize rezultata mjerenja za 2019</w:t>
      </w:r>
      <w:r w:rsidR="004C449C">
        <w:rPr>
          <w:rFonts w:ascii="Times New Roman" w:eastAsia="Times New Roman" w:hAnsi="Times New Roman" w:cs="Times New Roman"/>
          <w:bCs/>
          <w:color w:val="000000"/>
          <w:sz w:val="24"/>
          <w:szCs w:val="24"/>
        </w:rPr>
        <w:t>.</w:t>
      </w:r>
      <w:r w:rsidRPr="00D84719">
        <w:rPr>
          <w:rFonts w:ascii="Times New Roman" w:eastAsia="Times New Roman" w:hAnsi="Times New Roman" w:cs="Times New Roman"/>
          <w:bCs/>
          <w:color w:val="000000"/>
          <w:sz w:val="24"/>
          <w:szCs w:val="24"/>
        </w:rPr>
        <w:t xml:space="preserve"> ocjenjeno je da su koncentracije BaP u PM</w:t>
      </w:r>
      <w:r w:rsidRPr="00D84719">
        <w:rPr>
          <w:rFonts w:ascii="Times New Roman" w:eastAsia="Times New Roman" w:hAnsi="Times New Roman" w:cs="Times New Roman"/>
          <w:color w:val="000000"/>
          <w:sz w:val="24"/>
          <w:szCs w:val="24"/>
          <w:vertAlign w:val="subscript"/>
        </w:rPr>
        <w:t>10</w:t>
      </w:r>
      <w:r w:rsidRPr="00D84719">
        <w:rPr>
          <w:rFonts w:ascii="Times New Roman" w:eastAsia="Times New Roman" w:hAnsi="Times New Roman" w:cs="Times New Roman"/>
          <w:bCs/>
          <w:color w:val="000000"/>
          <w:sz w:val="24"/>
          <w:szCs w:val="24"/>
        </w:rPr>
        <w:t xml:space="preserve"> bile više od propisanih ciljnih vrijednosti na tri mjerne postaje, u aglomeraciji Zagreb na mjernoj postaji Zagreb-3 kao i u Industrijskoj zoni (HR 2) na mjernoj postaji Sisak-1 i Slavonski Brod-1.</w:t>
      </w:r>
      <w:r w:rsidR="00396C40" w:rsidRPr="00396C40">
        <w:rPr>
          <w:rFonts w:ascii="Times New Roman" w:eastAsia="Times New Roman" w:hAnsi="Times New Roman" w:cs="Times New Roman"/>
          <w:color w:val="000000"/>
          <w:sz w:val="24"/>
          <w:szCs w:val="24"/>
        </w:rPr>
        <w:t xml:space="preserve"> </w:t>
      </w:r>
    </w:p>
    <w:p w14:paraId="52D3066E" w14:textId="77777777" w:rsidR="00D84719" w:rsidRPr="00D84719" w:rsidRDefault="00D84719" w:rsidP="00D84719">
      <w:pPr>
        <w:spacing w:before="80" w:line="276" w:lineRule="auto"/>
        <w:jc w:val="both"/>
        <w:rPr>
          <w:rFonts w:ascii="Times New Roman" w:eastAsia="Times New Roman" w:hAnsi="Times New Roman" w:cs="Times New Roman"/>
          <w:color w:val="000000"/>
          <w:szCs w:val="24"/>
        </w:rPr>
      </w:pPr>
    </w:p>
    <w:p w14:paraId="04AA7FD5" w14:textId="77777777" w:rsidR="00D84719" w:rsidRPr="00D84719" w:rsidRDefault="00D84719" w:rsidP="00F32974">
      <w:pPr>
        <w:pStyle w:val="Naslov3"/>
      </w:pPr>
      <w:bookmarkStart w:id="155" w:name="_Toc8637310"/>
      <w:bookmarkStart w:id="156" w:name="_Toc41638278"/>
      <w:bookmarkStart w:id="157" w:name="_Toc64460739"/>
      <w:r w:rsidRPr="00D84719">
        <w:lastRenderedPageBreak/>
        <w:t>PRIJAVLJENE EMISIJE POPs-ova U BAZU REGISTAR ONEČIŠĆAVANJA OKOLIŠA (ROO) I PRIJAVLJENE KOLIČINE U BAZU REGISTAR POSTROJENJA U KOJIMA SU PRISUTNE OPASNE TVARI/OČEVIDNIK PRIJAVLJENIH VELIKIH NESREĆA (RPOT/OPVN)</w:t>
      </w:r>
      <w:bookmarkEnd w:id="155"/>
      <w:bookmarkEnd w:id="156"/>
      <w:bookmarkEnd w:id="157"/>
    </w:p>
    <w:p w14:paraId="1BF6C800" w14:textId="77777777" w:rsidR="00D84719" w:rsidRPr="00D84719" w:rsidRDefault="00D84719" w:rsidP="00D84719">
      <w:pPr>
        <w:spacing w:before="80" w:after="12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Sukladno Pravilniku o registru onečišćavanja okoliša („Narodne novine“, broj 87/15), podaci o emisijama POPs-ova u zrak, vodu i/ili more i tlo iz pojedinačnih izvora te nastanak otpada koji sadrži PCB,</w:t>
      </w:r>
      <w:r w:rsidR="00612979">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prikupljaju se u bazu ROO</w:t>
      </w:r>
      <w:r w:rsidRPr="00D84719">
        <w:rPr>
          <w:rFonts w:ascii="Times New Roman" w:eastAsia="Times New Roman" w:hAnsi="Times New Roman" w:cs="Times New Roman"/>
          <w:color w:val="000000"/>
          <w:sz w:val="24"/>
          <w:szCs w:val="24"/>
          <w:vertAlign w:val="superscript"/>
        </w:rPr>
        <w:footnoteReference w:id="8"/>
      </w:r>
      <w:r w:rsidRPr="00D84719">
        <w:rPr>
          <w:rFonts w:ascii="Times New Roman" w:eastAsia="Times New Roman" w:hAnsi="Times New Roman" w:cs="Times New Roman"/>
          <w:color w:val="000000"/>
          <w:sz w:val="24"/>
          <w:szCs w:val="24"/>
        </w:rPr>
        <w:t>.</w:t>
      </w:r>
    </w:p>
    <w:p w14:paraId="656375A0" w14:textId="4BA4C559" w:rsidR="00D84719" w:rsidRPr="00D84719" w:rsidRDefault="00D84719" w:rsidP="00D84719">
      <w:pPr>
        <w:spacing w:before="80" w:after="12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Za 2015</w:t>
      </w:r>
      <w:r w:rsidR="004C449C">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 xml:space="preserve"> u bazi ROO prikupljeni su podaci o emisijama u zrak iz nepokretnih izvora ispuštanja za PCDD+PCDF i za PAU u ukupno četiri županije. U 2016. i 2017. prikupljeni su podaci o emisijama PAU u samo jednoj županiji.</w:t>
      </w:r>
    </w:p>
    <w:p w14:paraId="33A45BDC" w14:textId="1837F96D" w:rsidR="00D84719" w:rsidRPr="00D84719" w:rsidRDefault="00D84719" w:rsidP="00D84719">
      <w:pPr>
        <w:spacing w:before="80" w:after="12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U 2015. prijavljeno je ukupno 0</w:t>
      </w:r>
      <w:r w:rsidR="00632D56">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00003555 kg PCDD+PCDF (kao TEQ) od čega je najveća količina ove onečišćujuće tvari prijavljena u Sisačko-moslavačkoj županiji (oko 81</w:t>
      </w:r>
      <w:r w:rsidR="00D4589D">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xml:space="preserve"> ukupnih ispuštanja). Za ispuštanja PAU u 2015. ukupno je prijavljeno 32</w:t>
      </w:r>
      <w:r w:rsidR="00632D56">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69 kg u Splitsko-dalmatinskoj županiji.</w:t>
      </w:r>
    </w:p>
    <w:p w14:paraId="4364CD81" w14:textId="77777777" w:rsidR="00D84719" w:rsidRPr="00D84719" w:rsidRDefault="00D84719" w:rsidP="00D84719">
      <w:pPr>
        <w:spacing w:before="80" w:after="12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U 2016. prijavljeno je ukupno 29</w:t>
      </w:r>
      <w:r w:rsidR="00632D56">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77 kg PAU dok je u 2017. ukupno prijavljeno 36</w:t>
      </w:r>
      <w:r w:rsidR="00632D56">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68 kg u Splitsko-dalmatinskoj županiji. Emisije PCDD+PCDF za 2016. i 2017. nisu prijavljene u bazi ROO.</w:t>
      </w:r>
    </w:p>
    <w:p w14:paraId="0D2CABC0" w14:textId="77777777" w:rsidR="00D84719" w:rsidRPr="00D84719" w:rsidRDefault="00D84719" w:rsidP="00D84719">
      <w:pPr>
        <w:spacing w:before="80" w:after="12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Za 2018. u bazi ROO prikupljeni su podaci o emisijama u zrak iz nepokretnih izvora ispuštanja za PCDD+PCDF i za PAU</w:t>
      </w:r>
      <w:r w:rsidR="00612979">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u ukupno dvije županije.</w:t>
      </w:r>
    </w:p>
    <w:p w14:paraId="05C5AF15" w14:textId="77777777" w:rsidR="00D84719" w:rsidRPr="00D84719" w:rsidRDefault="00D84719" w:rsidP="00D84719">
      <w:pPr>
        <w:spacing w:before="80" w:after="12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U 2018. prijavljeno je ukupno 0</w:t>
      </w:r>
      <w:r w:rsidR="00632D56">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00324 kg PCDD+PCDF (kao TEQ) u Šibensko-kninskoj županiji. Za ispuštanja PAU u 2018. ukupno je prijavljeno 37</w:t>
      </w:r>
      <w:r w:rsidR="00632D56">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39 kg u Splitsko-dalmatinskoj županiji.</w:t>
      </w:r>
    </w:p>
    <w:p w14:paraId="0BDA734D" w14:textId="77777777" w:rsidR="00D84719" w:rsidRPr="00D84719" w:rsidRDefault="00D84719" w:rsidP="00D84719">
      <w:pPr>
        <w:spacing w:before="80" w:after="120" w:line="276" w:lineRule="auto"/>
        <w:jc w:val="both"/>
        <w:rPr>
          <w:rFonts w:ascii="Times New Roman" w:eastAsia="Times New Roman" w:hAnsi="Times New Roman" w:cs="Times New Roman"/>
          <w:color w:val="000000"/>
          <w:szCs w:val="24"/>
        </w:rPr>
      </w:pPr>
    </w:p>
    <w:p w14:paraId="56860D10" w14:textId="77777777" w:rsidR="00D84719" w:rsidRPr="00D84719" w:rsidRDefault="00D84719" w:rsidP="00F32974">
      <w:pPr>
        <w:pStyle w:val="Naslov4"/>
      </w:pPr>
      <w:bookmarkStart w:id="158" w:name="_Toc8637311"/>
      <w:bookmarkStart w:id="159" w:name="_Toc41638279"/>
      <w:bookmarkStart w:id="160" w:name="_Toc64460740"/>
      <w:r w:rsidRPr="00D84719">
        <w:t xml:space="preserve">Količine POPs-ova u zrak prema podacima baze </w:t>
      </w:r>
      <w:bookmarkEnd w:id="158"/>
      <w:bookmarkEnd w:id="159"/>
      <w:r w:rsidRPr="00D84719">
        <w:t>RPOT/OPVN</w:t>
      </w:r>
      <w:bookmarkEnd w:id="160"/>
    </w:p>
    <w:p w14:paraId="6FB01293" w14:textId="069D106A" w:rsidR="00D84719" w:rsidRPr="00D84719" w:rsidRDefault="00D84719" w:rsidP="00D84719">
      <w:pPr>
        <w:spacing w:before="80" w:after="12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 xml:space="preserve">U bazi </w:t>
      </w:r>
      <w:bookmarkStart w:id="161" w:name="_Hlk52862727"/>
      <w:r w:rsidRPr="00D84719">
        <w:rPr>
          <w:rFonts w:ascii="Times New Roman" w:eastAsia="Times New Roman" w:hAnsi="Times New Roman" w:cs="Times New Roman"/>
          <w:color w:val="000000"/>
          <w:sz w:val="24"/>
          <w:szCs w:val="24"/>
        </w:rPr>
        <w:t>RPOT/OPVN</w:t>
      </w:r>
      <w:bookmarkEnd w:id="161"/>
      <w:r w:rsidRPr="00D84719">
        <w:rPr>
          <w:rFonts w:ascii="Times New Roman" w:eastAsia="Times New Roman" w:hAnsi="Times New Roman" w:cs="Times New Roman"/>
          <w:color w:val="000000"/>
          <w:sz w:val="24"/>
          <w:szCs w:val="24"/>
        </w:rPr>
        <w:t xml:space="preserve"> nema prijavljenih POPs-ova za razdoblje </w:t>
      </w:r>
      <w:r w:rsidR="00C309C2">
        <w:rPr>
          <w:rFonts w:ascii="Times New Roman" w:eastAsia="Times New Roman" w:hAnsi="Times New Roman" w:cs="Times New Roman"/>
          <w:color w:val="000000"/>
          <w:sz w:val="24"/>
          <w:szCs w:val="24"/>
        </w:rPr>
        <w:t>od</w:t>
      </w:r>
      <w:r w:rsidR="00C309C2" w:rsidRPr="00D84719">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2015. do 2019</w:t>
      </w:r>
      <w:r w:rsidR="005C26BD">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w:t>
      </w:r>
    </w:p>
    <w:p w14:paraId="50C58398" w14:textId="77777777" w:rsidR="00D84719" w:rsidRPr="00D84719" w:rsidRDefault="00D84719" w:rsidP="00D84719">
      <w:pPr>
        <w:spacing w:before="80" w:line="276" w:lineRule="auto"/>
        <w:jc w:val="both"/>
        <w:rPr>
          <w:rFonts w:ascii="Times New Roman" w:eastAsia="Times New Roman" w:hAnsi="Times New Roman" w:cs="Times New Roman"/>
          <w:color w:val="000000"/>
          <w:szCs w:val="24"/>
        </w:rPr>
      </w:pPr>
    </w:p>
    <w:p w14:paraId="4456312A" w14:textId="77777777" w:rsidR="00D84719" w:rsidRPr="00D84719" w:rsidRDefault="00D84719" w:rsidP="00F32974">
      <w:pPr>
        <w:pStyle w:val="Naslov3"/>
      </w:pPr>
      <w:bookmarkStart w:id="162" w:name="_Toc8637312"/>
      <w:bookmarkStart w:id="163" w:name="_Toc41638281"/>
      <w:bookmarkStart w:id="164" w:name="_Toc64460741"/>
      <w:r w:rsidRPr="00D84719">
        <w:t>MONITORING OSTATAKA PESTICIDA KOJI SU UJEDNO I POPS-OVI NA PROIZVODIMA BILJNOG I ŽIVOTINJSKOG PODRIJETLA</w:t>
      </w:r>
      <w:bookmarkEnd w:id="162"/>
      <w:bookmarkEnd w:id="163"/>
      <w:bookmarkEnd w:id="164"/>
    </w:p>
    <w:p w14:paraId="39A8F505" w14:textId="08EC6FFC" w:rsidR="00D84719" w:rsidRPr="00D84719" w:rsidRDefault="00D84719" w:rsidP="00D84719">
      <w:pPr>
        <w:spacing w:before="80" w:after="12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Provedba Nacionalnog programa monitoringa ostataka pesticida započela je u 2007</w:t>
      </w:r>
      <w:r w:rsidR="004C449C">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 xml:space="preserve">. Monitoring ostataka pesticida ima za cilj ustanoviti količinu ostataka pesticida u i na hrani, provjeriti sukladnost s propisanim maksimalnim razinama ostataka pesticida te na taj način steći uvid pridržavaju li se proizvođači načela dobre poljoprivredne prakse te ustanoviti u kojoj mjeri ostaci pesticida koji prelaze MDK predstavljaju rizik za ljude koji konzumiraju hranu koja sadrži tu razinu ostataka pesticida. Nacionalni program praćenja (monitoringa) ostataka pesticida sukladan je standardima za provedbu monitoringa koji se provodi u državama Europske unije. </w:t>
      </w:r>
    </w:p>
    <w:p w14:paraId="21CC95B6" w14:textId="77777777" w:rsidR="00D84719" w:rsidRPr="00D84719" w:rsidRDefault="00D84719" w:rsidP="00D84719">
      <w:pPr>
        <w:spacing w:before="80" w:after="12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lastRenderedPageBreak/>
        <w:t xml:space="preserve">Od pesticida sa svojstvima POPs-ova sustavno se provodi monitoring za aktivne tvari: aldrin, dieldrin, alfa-HCH, beta-HCH, eldrin, heptaklor, HCB, endosulfan, lindan, DDT. </w:t>
      </w:r>
    </w:p>
    <w:p w14:paraId="4098393D" w14:textId="77777777" w:rsidR="00D84719" w:rsidRPr="00D84719" w:rsidRDefault="00D84719" w:rsidP="00D84719">
      <w:pPr>
        <w:spacing w:before="80" w:after="12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U izvještajnom periodu od 2015. do 2017. u Nacionalnom programu navedene aktivne tvari nisu nađene u koncentracijama iznad maksimalnih razina ostataka pesticida (MDK).</w:t>
      </w:r>
    </w:p>
    <w:p w14:paraId="2AD8B5FF"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U izvještajnom periodu od 2018. do 2019. u Nacionalnom programu navedene aktivne tvari nisu nađene iznad granice određivanja.</w:t>
      </w:r>
    </w:p>
    <w:p w14:paraId="56CAD37F" w14:textId="77777777" w:rsidR="00D84719" w:rsidRPr="00D84719" w:rsidRDefault="00D84719" w:rsidP="00D84719">
      <w:pPr>
        <w:autoSpaceDE w:val="0"/>
        <w:autoSpaceDN w:val="0"/>
        <w:adjustRightInd w:val="0"/>
        <w:spacing w:after="120" w:line="240" w:lineRule="auto"/>
        <w:jc w:val="both"/>
        <w:rPr>
          <w:rFonts w:ascii="Times New Roman" w:eastAsia="Calibri" w:hAnsi="Times New Roman" w:cs="Times New Roman"/>
          <w:bCs/>
          <w:color w:val="000000"/>
          <w:sz w:val="24"/>
          <w:szCs w:val="24"/>
        </w:rPr>
      </w:pPr>
    </w:p>
    <w:p w14:paraId="3E20A380" w14:textId="77777777" w:rsidR="00D84719" w:rsidRPr="00D84719" w:rsidRDefault="00D84719" w:rsidP="00F32974">
      <w:pPr>
        <w:pStyle w:val="Naslov3"/>
      </w:pPr>
      <w:bookmarkStart w:id="165" w:name="_Toc8637313"/>
      <w:bookmarkStart w:id="166" w:name="_Toc41638282"/>
      <w:bookmarkStart w:id="167" w:name="_Toc64460742"/>
      <w:r w:rsidRPr="00D84719">
        <w:t>PRAĆENJE STANJA OSTATAKA PESTICIDA U I NA HRANI</w:t>
      </w:r>
      <w:bookmarkEnd w:id="165"/>
      <w:bookmarkEnd w:id="166"/>
      <w:bookmarkEnd w:id="167"/>
    </w:p>
    <w:p w14:paraId="052D42B7" w14:textId="27A732F0" w:rsidR="00D84719" w:rsidRPr="00D84719" w:rsidRDefault="00D84719" w:rsidP="00D84719">
      <w:pPr>
        <w:spacing w:before="80" w:after="120" w:line="276" w:lineRule="auto"/>
        <w:jc w:val="both"/>
        <w:rPr>
          <w:rFonts w:ascii="Times New Roman" w:eastAsia="Times New Roman" w:hAnsi="Times New Roman" w:cs="Times New Roman"/>
          <w:bCs/>
          <w:iCs/>
          <w:color w:val="000000"/>
          <w:sz w:val="24"/>
          <w:szCs w:val="24"/>
        </w:rPr>
      </w:pPr>
      <w:r w:rsidRPr="00D84719">
        <w:rPr>
          <w:rFonts w:ascii="Times New Roman" w:eastAsia="Times New Roman" w:hAnsi="Times New Roman" w:cs="Times New Roman"/>
          <w:bCs/>
          <w:iCs/>
          <w:color w:val="000000"/>
          <w:sz w:val="24"/>
          <w:szCs w:val="24"/>
        </w:rPr>
        <w:t>Nacionalni Program praćenja (monitoringa) ostataka pesticida u 2015. obuhvatio je praćenje ostataka pesticida u ukupno 16 proizvoda biljnog i životinjskog podrijetla. Analizirano je 484 uzoraka. Analiza uzoraka biljnog podrijetla provedena je na 247 aktivnih tvari dok je na uzorcima životinjskog podrijetla provedena na 57 aktivnih tvari. 348 (72</w:t>
      </w:r>
      <w:r w:rsidR="00D4589D">
        <w:rPr>
          <w:rFonts w:ascii="Times New Roman" w:eastAsia="Times New Roman" w:hAnsi="Times New Roman" w:cs="Times New Roman"/>
          <w:bCs/>
          <w:iCs/>
          <w:color w:val="000000"/>
          <w:sz w:val="24"/>
          <w:szCs w:val="24"/>
        </w:rPr>
        <w:t xml:space="preserve"> %</w:t>
      </w:r>
      <w:r w:rsidRPr="00D84719">
        <w:rPr>
          <w:rFonts w:ascii="Times New Roman" w:eastAsia="Times New Roman" w:hAnsi="Times New Roman" w:cs="Times New Roman"/>
          <w:bCs/>
          <w:iCs/>
          <w:color w:val="000000"/>
          <w:sz w:val="24"/>
          <w:szCs w:val="24"/>
        </w:rPr>
        <w:t>) uzoraka nije sadržavalo ostatke pesticida (ispod granice određivanja). Kod 134 uzoraka (28</w:t>
      </w:r>
      <w:r w:rsidR="00D4589D">
        <w:rPr>
          <w:rFonts w:ascii="Times New Roman" w:eastAsia="Times New Roman" w:hAnsi="Times New Roman" w:cs="Times New Roman"/>
          <w:bCs/>
          <w:iCs/>
          <w:color w:val="000000"/>
          <w:sz w:val="24"/>
          <w:szCs w:val="24"/>
        </w:rPr>
        <w:t xml:space="preserve"> %</w:t>
      </w:r>
      <w:r w:rsidRPr="00D84719">
        <w:rPr>
          <w:rFonts w:ascii="Times New Roman" w:eastAsia="Times New Roman" w:hAnsi="Times New Roman" w:cs="Times New Roman"/>
          <w:bCs/>
          <w:iCs/>
          <w:color w:val="000000"/>
          <w:sz w:val="24"/>
          <w:szCs w:val="24"/>
        </w:rPr>
        <w:t>) nađeni su ostaci pesticida ispod MDK, a kod jednog uzorka (0</w:t>
      </w:r>
      <w:r w:rsidR="00632D56">
        <w:rPr>
          <w:rFonts w:ascii="Times New Roman" w:eastAsia="Times New Roman" w:hAnsi="Times New Roman" w:cs="Times New Roman"/>
          <w:bCs/>
          <w:iCs/>
          <w:color w:val="000000"/>
          <w:sz w:val="24"/>
          <w:szCs w:val="24"/>
        </w:rPr>
        <w:t>,</w:t>
      </w:r>
      <w:r w:rsidRPr="00D84719">
        <w:rPr>
          <w:rFonts w:ascii="Times New Roman" w:eastAsia="Times New Roman" w:hAnsi="Times New Roman" w:cs="Times New Roman"/>
          <w:bCs/>
          <w:iCs/>
          <w:color w:val="000000"/>
          <w:sz w:val="24"/>
          <w:szCs w:val="24"/>
        </w:rPr>
        <w:t>2</w:t>
      </w:r>
      <w:r w:rsidR="00D4589D">
        <w:rPr>
          <w:rFonts w:ascii="Times New Roman" w:eastAsia="Times New Roman" w:hAnsi="Times New Roman" w:cs="Times New Roman"/>
          <w:bCs/>
          <w:iCs/>
          <w:color w:val="000000"/>
          <w:sz w:val="24"/>
          <w:szCs w:val="24"/>
        </w:rPr>
        <w:t xml:space="preserve"> %</w:t>
      </w:r>
      <w:r w:rsidRPr="00D84719">
        <w:rPr>
          <w:rFonts w:ascii="Times New Roman" w:eastAsia="Times New Roman" w:hAnsi="Times New Roman" w:cs="Times New Roman"/>
          <w:bCs/>
          <w:iCs/>
          <w:color w:val="000000"/>
          <w:sz w:val="24"/>
          <w:szCs w:val="24"/>
        </w:rPr>
        <w:t>) ostaci su prelazili MDK.</w:t>
      </w:r>
    </w:p>
    <w:p w14:paraId="34651875" w14:textId="77777777" w:rsidR="00D84719" w:rsidRPr="00D84719" w:rsidRDefault="00D84719" w:rsidP="00D84719">
      <w:pPr>
        <w:spacing w:before="80" w:after="120" w:line="276" w:lineRule="auto"/>
        <w:jc w:val="both"/>
        <w:rPr>
          <w:rFonts w:ascii="Times New Roman" w:eastAsia="Times New Roman" w:hAnsi="Times New Roman" w:cs="Times New Roman"/>
          <w:bCs/>
          <w:iCs/>
          <w:color w:val="000000"/>
          <w:sz w:val="24"/>
          <w:szCs w:val="24"/>
        </w:rPr>
      </w:pPr>
      <w:r w:rsidRPr="00D84719">
        <w:rPr>
          <w:rFonts w:ascii="Times New Roman" w:eastAsia="Times New Roman" w:hAnsi="Times New Roman" w:cs="Times New Roman"/>
          <w:bCs/>
          <w:iCs/>
          <w:color w:val="000000"/>
          <w:sz w:val="24"/>
          <w:szCs w:val="24"/>
        </w:rPr>
        <w:t xml:space="preserve">Nacionalni Program praćenja (monitoringa) ostataka pesticida u proizvodima biljnog i životinjskog podrijetla u 2016. obuhvatio je praćenje ostataka pesticida u 20 proizvoda, 16 prema Provedbenoj Uredbi Komisije 2015/595 </w:t>
      </w:r>
      <w:proofErr w:type="spellStart"/>
      <w:r w:rsidRPr="00D84719">
        <w:rPr>
          <w:rFonts w:ascii="Times New Roman" w:eastAsia="Times New Roman" w:hAnsi="Times New Roman" w:cs="Times New Roman"/>
          <w:bCs/>
          <w:iCs/>
          <w:color w:val="000000"/>
          <w:sz w:val="24"/>
          <w:szCs w:val="24"/>
        </w:rPr>
        <w:t>оd</w:t>
      </w:r>
      <w:proofErr w:type="spellEnd"/>
      <w:r w:rsidRPr="00D84719">
        <w:rPr>
          <w:rFonts w:ascii="Times New Roman" w:eastAsia="Times New Roman" w:hAnsi="Times New Roman" w:cs="Times New Roman"/>
          <w:bCs/>
          <w:iCs/>
          <w:color w:val="000000"/>
          <w:sz w:val="24"/>
          <w:szCs w:val="24"/>
        </w:rPr>
        <w:t xml:space="preserve"> 15. travnja 2015. o koordiniranom višegodišnjem programu kontrole Unije za 2016., 2017. i 2018. za osiguranje sukladnosti s maksimalnim razinama ostataka pesticida i ocjenu izloženosti potrošača ostacima pesticida u i na hrani biljnog i životinjskog podrijetla, prema kojoj su također obuhvaćeni proizvodi iz ekološkog uzgoja te dječja hrana. </w:t>
      </w:r>
    </w:p>
    <w:p w14:paraId="25682044" w14:textId="67EA37C2" w:rsidR="00D84719" w:rsidRPr="00D84719" w:rsidRDefault="00D84719" w:rsidP="00D84719">
      <w:pPr>
        <w:spacing w:before="80" w:after="120" w:line="276" w:lineRule="auto"/>
        <w:jc w:val="both"/>
        <w:rPr>
          <w:rFonts w:ascii="Times New Roman" w:eastAsia="Times New Roman" w:hAnsi="Times New Roman" w:cs="Times New Roman"/>
          <w:bCs/>
          <w:iCs/>
          <w:color w:val="000000"/>
          <w:sz w:val="24"/>
          <w:szCs w:val="24"/>
        </w:rPr>
      </w:pPr>
      <w:r w:rsidRPr="00D84719">
        <w:rPr>
          <w:rFonts w:ascii="Times New Roman" w:eastAsia="Times New Roman" w:hAnsi="Times New Roman" w:cs="Times New Roman"/>
          <w:bCs/>
          <w:iCs/>
          <w:color w:val="000000"/>
          <w:sz w:val="24"/>
          <w:szCs w:val="24"/>
        </w:rPr>
        <w:t xml:space="preserve">Osim navedenih proizvoda, obuhvaćena su i dva proizvoda koji nisu dosad uzorkovani u Programu (celer </w:t>
      </w:r>
      <w:proofErr w:type="spellStart"/>
      <w:r w:rsidRPr="00D84719">
        <w:rPr>
          <w:rFonts w:ascii="Times New Roman" w:eastAsia="Times New Roman" w:hAnsi="Times New Roman" w:cs="Times New Roman"/>
          <w:bCs/>
          <w:iCs/>
          <w:color w:val="000000"/>
          <w:sz w:val="24"/>
          <w:szCs w:val="24"/>
        </w:rPr>
        <w:t>korjenaš</w:t>
      </w:r>
      <w:proofErr w:type="spellEnd"/>
      <w:r w:rsidRPr="00D84719">
        <w:rPr>
          <w:rFonts w:ascii="Times New Roman" w:eastAsia="Times New Roman" w:hAnsi="Times New Roman" w:cs="Times New Roman"/>
          <w:bCs/>
          <w:iCs/>
          <w:color w:val="000000"/>
          <w:sz w:val="24"/>
          <w:szCs w:val="24"/>
        </w:rPr>
        <w:t xml:space="preserve"> i med) te dva proizvoda (paprika i mandarina) u kojima su u prethodnim istraživanjima utvrđena prekoračenja MDK ili nedopuštena primjena. Analizirano je 547 uzoraka. Analiza uzoraka biljnog podrijetla provedena je na 361 aktivnu tvar dok je na uzorcima životinjskog podrijetla provedena na 49 aktivnih tvari. 331 (60</w:t>
      </w:r>
      <w:r w:rsidR="00632D56">
        <w:rPr>
          <w:rFonts w:ascii="Times New Roman" w:eastAsia="Times New Roman" w:hAnsi="Times New Roman" w:cs="Times New Roman"/>
          <w:bCs/>
          <w:iCs/>
          <w:color w:val="000000"/>
          <w:sz w:val="24"/>
          <w:szCs w:val="24"/>
        </w:rPr>
        <w:t>,</w:t>
      </w:r>
      <w:r w:rsidRPr="00D84719">
        <w:rPr>
          <w:rFonts w:ascii="Times New Roman" w:eastAsia="Times New Roman" w:hAnsi="Times New Roman" w:cs="Times New Roman"/>
          <w:bCs/>
          <w:iCs/>
          <w:color w:val="000000"/>
          <w:sz w:val="24"/>
          <w:szCs w:val="24"/>
        </w:rPr>
        <w:t>51</w:t>
      </w:r>
      <w:r w:rsidR="00D4589D">
        <w:rPr>
          <w:rFonts w:ascii="Times New Roman" w:eastAsia="Times New Roman" w:hAnsi="Times New Roman" w:cs="Times New Roman"/>
          <w:bCs/>
          <w:iCs/>
          <w:color w:val="000000"/>
          <w:sz w:val="24"/>
          <w:szCs w:val="24"/>
        </w:rPr>
        <w:t xml:space="preserve"> %</w:t>
      </w:r>
      <w:r w:rsidRPr="00D84719">
        <w:rPr>
          <w:rFonts w:ascii="Times New Roman" w:eastAsia="Times New Roman" w:hAnsi="Times New Roman" w:cs="Times New Roman"/>
          <w:bCs/>
          <w:iCs/>
          <w:color w:val="000000"/>
          <w:sz w:val="24"/>
          <w:szCs w:val="24"/>
        </w:rPr>
        <w:t>) uzorak nije sadržavao ostatke pesticida (ispod granice određivanja). Kod 210 uzoraka (38</w:t>
      </w:r>
      <w:r w:rsidR="00632D56">
        <w:rPr>
          <w:rFonts w:ascii="Times New Roman" w:eastAsia="Times New Roman" w:hAnsi="Times New Roman" w:cs="Times New Roman"/>
          <w:bCs/>
          <w:iCs/>
          <w:color w:val="000000"/>
          <w:sz w:val="24"/>
          <w:szCs w:val="24"/>
        </w:rPr>
        <w:t>,</w:t>
      </w:r>
      <w:r w:rsidRPr="00D84719">
        <w:rPr>
          <w:rFonts w:ascii="Times New Roman" w:eastAsia="Times New Roman" w:hAnsi="Times New Roman" w:cs="Times New Roman"/>
          <w:bCs/>
          <w:iCs/>
          <w:color w:val="000000"/>
          <w:sz w:val="24"/>
          <w:szCs w:val="24"/>
        </w:rPr>
        <w:t>5</w:t>
      </w:r>
      <w:r w:rsidR="00D4589D">
        <w:rPr>
          <w:rFonts w:ascii="Times New Roman" w:eastAsia="Times New Roman" w:hAnsi="Times New Roman" w:cs="Times New Roman"/>
          <w:bCs/>
          <w:iCs/>
          <w:color w:val="000000"/>
          <w:sz w:val="24"/>
          <w:szCs w:val="24"/>
        </w:rPr>
        <w:t xml:space="preserve"> %</w:t>
      </w:r>
      <w:r w:rsidRPr="00D84719">
        <w:rPr>
          <w:rFonts w:ascii="Times New Roman" w:eastAsia="Times New Roman" w:hAnsi="Times New Roman" w:cs="Times New Roman"/>
          <w:bCs/>
          <w:iCs/>
          <w:color w:val="000000"/>
          <w:sz w:val="24"/>
          <w:szCs w:val="24"/>
        </w:rPr>
        <w:t>) nađeni su ostaci pesticida ispod MDK, a kod šest uzorka (1</w:t>
      </w:r>
      <w:r w:rsidR="00632D56">
        <w:rPr>
          <w:rFonts w:ascii="Times New Roman" w:eastAsia="Times New Roman" w:hAnsi="Times New Roman" w:cs="Times New Roman"/>
          <w:bCs/>
          <w:iCs/>
          <w:color w:val="000000"/>
          <w:sz w:val="24"/>
          <w:szCs w:val="24"/>
        </w:rPr>
        <w:t>,</w:t>
      </w:r>
      <w:r w:rsidRPr="00D84719">
        <w:rPr>
          <w:rFonts w:ascii="Times New Roman" w:eastAsia="Times New Roman" w:hAnsi="Times New Roman" w:cs="Times New Roman"/>
          <w:bCs/>
          <w:iCs/>
          <w:color w:val="000000"/>
          <w:sz w:val="24"/>
          <w:szCs w:val="24"/>
        </w:rPr>
        <w:t>10</w:t>
      </w:r>
      <w:r w:rsidR="00D4589D">
        <w:rPr>
          <w:rFonts w:ascii="Times New Roman" w:eastAsia="Times New Roman" w:hAnsi="Times New Roman" w:cs="Times New Roman"/>
          <w:bCs/>
          <w:iCs/>
          <w:color w:val="000000"/>
          <w:sz w:val="24"/>
          <w:szCs w:val="24"/>
        </w:rPr>
        <w:t xml:space="preserve"> %</w:t>
      </w:r>
      <w:r w:rsidRPr="00D84719">
        <w:rPr>
          <w:rFonts w:ascii="Times New Roman" w:eastAsia="Times New Roman" w:hAnsi="Times New Roman" w:cs="Times New Roman"/>
          <w:bCs/>
          <w:iCs/>
          <w:color w:val="000000"/>
          <w:sz w:val="24"/>
          <w:szCs w:val="24"/>
        </w:rPr>
        <w:t>) ostaci su prelazili MDK.</w:t>
      </w:r>
    </w:p>
    <w:p w14:paraId="26AA896D" w14:textId="24EC0F9C" w:rsidR="00D84719" w:rsidRPr="00D84719" w:rsidRDefault="00D84719" w:rsidP="00D84719">
      <w:pPr>
        <w:spacing w:before="80" w:after="120" w:line="276" w:lineRule="auto"/>
        <w:jc w:val="both"/>
        <w:rPr>
          <w:rFonts w:ascii="Times New Roman" w:eastAsia="Times New Roman" w:hAnsi="Times New Roman" w:cs="Times New Roman"/>
          <w:bCs/>
          <w:iCs/>
          <w:color w:val="000000"/>
          <w:sz w:val="24"/>
          <w:szCs w:val="24"/>
        </w:rPr>
      </w:pPr>
      <w:r w:rsidRPr="00D84719">
        <w:rPr>
          <w:rFonts w:ascii="Times New Roman" w:eastAsia="Times New Roman" w:hAnsi="Times New Roman" w:cs="Times New Roman"/>
          <w:bCs/>
          <w:iCs/>
          <w:color w:val="000000"/>
          <w:sz w:val="24"/>
          <w:szCs w:val="24"/>
        </w:rPr>
        <w:t xml:space="preserve">Nacionalni Program praćenja (monitoringa) ostataka pesticida u proizvodima biljnog i životinjskog podrijetla u 2017. obuhvatio je praćenje ostataka pesticida na ukupno 22 proizvoda biljnog i životinjskog podrijetla od kojih je 15 proizvoda odabrano prema Provedbenoj uredbi Komisije (EU) 2016/662 </w:t>
      </w:r>
      <w:proofErr w:type="spellStart"/>
      <w:r w:rsidRPr="00D84719">
        <w:rPr>
          <w:rFonts w:ascii="Times New Roman" w:eastAsia="Times New Roman" w:hAnsi="Times New Roman" w:cs="Times New Roman"/>
          <w:bCs/>
          <w:iCs/>
          <w:color w:val="000000"/>
          <w:sz w:val="24"/>
          <w:szCs w:val="24"/>
        </w:rPr>
        <w:t>оd</w:t>
      </w:r>
      <w:proofErr w:type="spellEnd"/>
      <w:r w:rsidRPr="00D84719">
        <w:rPr>
          <w:rFonts w:ascii="Times New Roman" w:eastAsia="Times New Roman" w:hAnsi="Times New Roman" w:cs="Times New Roman"/>
          <w:bCs/>
          <w:iCs/>
          <w:color w:val="000000"/>
          <w:sz w:val="24"/>
          <w:szCs w:val="24"/>
        </w:rPr>
        <w:t xml:space="preserve"> 1. travnja 2016. o koordiniranom višegodišnjem programu kontrole Unije za 2017., 2018. i 2019. za osiguranje sukladnosti s maksimalnim razinama ostataka pesticida i ocjenu izloženosti potrošača ostacima pesticida u i na hrani biljnog i životinjskog podrijetla, kojima su pridodani proizvodi za koje je u prethodnim istraživanjima utvrđeno prekoračenje MDK ili nedopuštena primjena: jabuka, rajčica, jagoda, glavati kupus, paprika, celer </w:t>
      </w:r>
      <w:proofErr w:type="spellStart"/>
      <w:r w:rsidRPr="00D84719">
        <w:rPr>
          <w:rFonts w:ascii="Times New Roman" w:eastAsia="Times New Roman" w:hAnsi="Times New Roman" w:cs="Times New Roman"/>
          <w:bCs/>
          <w:iCs/>
          <w:color w:val="000000"/>
          <w:sz w:val="24"/>
          <w:szCs w:val="24"/>
        </w:rPr>
        <w:t>korjenaš</w:t>
      </w:r>
      <w:proofErr w:type="spellEnd"/>
      <w:r w:rsidRPr="00D84719">
        <w:rPr>
          <w:rFonts w:ascii="Times New Roman" w:eastAsia="Times New Roman" w:hAnsi="Times New Roman" w:cs="Times New Roman"/>
          <w:bCs/>
          <w:iCs/>
          <w:color w:val="000000"/>
          <w:sz w:val="24"/>
          <w:szCs w:val="24"/>
        </w:rPr>
        <w:t xml:space="preserve"> i zelena salata. Analizirano je 630 uzoraka. U 418 (66,30</w:t>
      </w:r>
      <w:r w:rsidR="00D4589D">
        <w:rPr>
          <w:rFonts w:ascii="Times New Roman" w:eastAsia="Times New Roman" w:hAnsi="Times New Roman" w:cs="Times New Roman"/>
          <w:bCs/>
          <w:iCs/>
          <w:color w:val="000000"/>
          <w:sz w:val="24"/>
          <w:szCs w:val="24"/>
        </w:rPr>
        <w:t xml:space="preserve"> %</w:t>
      </w:r>
      <w:r w:rsidRPr="00D84719">
        <w:rPr>
          <w:rFonts w:ascii="Times New Roman" w:eastAsia="Times New Roman" w:hAnsi="Times New Roman" w:cs="Times New Roman"/>
          <w:bCs/>
          <w:iCs/>
          <w:color w:val="000000"/>
          <w:sz w:val="24"/>
          <w:szCs w:val="24"/>
        </w:rPr>
        <w:t>) uzoraka nisu nađeni ostaci pesticida (iznad granice određivanja), u 206 (32</w:t>
      </w:r>
      <w:r w:rsidR="00632D56">
        <w:rPr>
          <w:rFonts w:ascii="Times New Roman" w:eastAsia="Times New Roman" w:hAnsi="Times New Roman" w:cs="Times New Roman"/>
          <w:bCs/>
          <w:iCs/>
          <w:color w:val="000000"/>
          <w:sz w:val="24"/>
          <w:szCs w:val="24"/>
        </w:rPr>
        <w:t>,</w:t>
      </w:r>
      <w:r w:rsidRPr="00D84719">
        <w:rPr>
          <w:rFonts w:ascii="Times New Roman" w:eastAsia="Times New Roman" w:hAnsi="Times New Roman" w:cs="Times New Roman"/>
          <w:bCs/>
          <w:iCs/>
          <w:color w:val="000000"/>
          <w:sz w:val="24"/>
          <w:szCs w:val="24"/>
        </w:rPr>
        <w:t>70</w:t>
      </w:r>
      <w:r w:rsidR="00D4589D">
        <w:rPr>
          <w:rFonts w:ascii="Times New Roman" w:eastAsia="Times New Roman" w:hAnsi="Times New Roman" w:cs="Times New Roman"/>
          <w:bCs/>
          <w:iCs/>
          <w:color w:val="000000"/>
          <w:sz w:val="24"/>
          <w:szCs w:val="24"/>
        </w:rPr>
        <w:t xml:space="preserve"> %</w:t>
      </w:r>
      <w:r w:rsidRPr="00D84719">
        <w:rPr>
          <w:rFonts w:ascii="Times New Roman" w:eastAsia="Times New Roman" w:hAnsi="Times New Roman" w:cs="Times New Roman"/>
          <w:bCs/>
          <w:iCs/>
          <w:color w:val="000000"/>
          <w:sz w:val="24"/>
          <w:szCs w:val="24"/>
        </w:rPr>
        <w:t>) uzoraka nađeni su ostaci pesticida ispod MDK, u šest (1</w:t>
      </w:r>
      <w:r w:rsidR="00D4589D">
        <w:rPr>
          <w:rFonts w:ascii="Times New Roman" w:eastAsia="Times New Roman" w:hAnsi="Times New Roman" w:cs="Times New Roman"/>
          <w:bCs/>
          <w:iCs/>
          <w:color w:val="000000"/>
          <w:sz w:val="24"/>
          <w:szCs w:val="24"/>
        </w:rPr>
        <w:t xml:space="preserve"> %</w:t>
      </w:r>
      <w:r w:rsidRPr="00D84719">
        <w:rPr>
          <w:rFonts w:ascii="Times New Roman" w:eastAsia="Times New Roman" w:hAnsi="Times New Roman" w:cs="Times New Roman"/>
          <w:bCs/>
          <w:iCs/>
          <w:color w:val="000000"/>
          <w:sz w:val="24"/>
          <w:szCs w:val="24"/>
        </w:rPr>
        <w:t>) uzoraka nađeni su ostaci pesticida iznad MDK. Nacionalni Program praćenja (monitoringa) ostataka pesticida u proizvodima biljnog i životinjskog podrijetla u 2018</w:t>
      </w:r>
      <w:r w:rsidR="004C449C">
        <w:rPr>
          <w:rFonts w:ascii="Times New Roman" w:eastAsia="Times New Roman" w:hAnsi="Times New Roman" w:cs="Times New Roman"/>
          <w:bCs/>
          <w:iCs/>
          <w:color w:val="000000"/>
          <w:sz w:val="24"/>
          <w:szCs w:val="24"/>
        </w:rPr>
        <w:t>.</w:t>
      </w:r>
      <w:r w:rsidRPr="00D84719">
        <w:rPr>
          <w:rFonts w:ascii="Times New Roman" w:eastAsia="Times New Roman" w:hAnsi="Times New Roman" w:cs="Times New Roman"/>
          <w:bCs/>
          <w:iCs/>
          <w:color w:val="000000"/>
          <w:sz w:val="24"/>
          <w:szCs w:val="24"/>
        </w:rPr>
        <w:t xml:space="preserve"> obuhvatio je praćenje ostataka pesticida u 28 proizvoda, 13 prema Provedbenoj Uredbi </w:t>
      </w:r>
      <w:r w:rsidRPr="00D84719">
        <w:rPr>
          <w:rFonts w:ascii="Times New Roman" w:eastAsia="Times New Roman" w:hAnsi="Times New Roman" w:cs="Times New Roman"/>
          <w:bCs/>
          <w:iCs/>
          <w:color w:val="000000"/>
          <w:sz w:val="24"/>
          <w:szCs w:val="24"/>
        </w:rPr>
        <w:lastRenderedPageBreak/>
        <w:t>Komisije (EU) 2017/660 od 6. travnja 2017. vezano uz koordinirani višegodišnji program kontrole Unije za 2018., 2019. i 2020</w:t>
      </w:r>
      <w:r w:rsidR="004C449C">
        <w:rPr>
          <w:rFonts w:ascii="Times New Roman" w:eastAsia="Times New Roman" w:hAnsi="Times New Roman" w:cs="Times New Roman"/>
          <w:bCs/>
          <w:iCs/>
          <w:color w:val="000000"/>
          <w:sz w:val="24"/>
          <w:szCs w:val="24"/>
        </w:rPr>
        <w:t>.</w:t>
      </w:r>
      <w:r w:rsidRPr="00D84719">
        <w:rPr>
          <w:rFonts w:ascii="Times New Roman" w:eastAsia="Times New Roman" w:hAnsi="Times New Roman" w:cs="Times New Roman"/>
          <w:bCs/>
          <w:iCs/>
          <w:color w:val="000000"/>
          <w:sz w:val="24"/>
          <w:szCs w:val="24"/>
        </w:rPr>
        <w:t xml:space="preserve"> za osiguranje sukladnosti s maksimalnim razinama ostataka pesticida i ocjenu izloženosti potrošača ostacima pesticida u i na hrani biljnog i životinjskog podrijetla, prema kojoj su također obuhvaćeni proizvodi iz ekološkog uzgoja (za svaki od proizvoda prema spomenutoj Uredbi) te dječja hrana. Osim navedenih proizvoda, obuhvaćeno je i 13 proizvoda za koje je u prethodnim programima monitoringa utvrđeno prekoračenje MDK ili nedopuštena primjena (jabuka, rajčica, jagoda, glavati kupus, zelena salata, mrkva, naranča, kruška, celer </w:t>
      </w:r>
      <w:proofErr w:type="spellStart"/>
      <w:r w:rsidRPr="00D84719">
        <w:rPr>
          <w:rFonts w:ascii="Times New Roman" w:eastAsia="Times New Roman" w:hAnsi="Times New Roman" w:cs="Times New Roman"/>
          <w:bCs/>
          <w:iCs/>
          <w:color w:val="000000"/>
          <w:sz w:val="24"/>
          <w:szCs w:val="24"/>
        </w:rPr>
        <w:t>korjenaš</w:t>
      </w:r>
      <w:proofErr w:type="spellEnd"/>
      <w:r w:rsidRPr="00D84719">
        <w:rPr>
          <w:rFonts w:ascii="Times New Roman" w:eastAsia="Times New Roman" w:hAnsi="Times New Roman" w:cs="Times New Roman"/>
          <w:bCs/>
          <w:iCs/>
          <w:color w:val="000000"/>
          <w:sz w:val="24"/>
          <w:szCs w:val="24"/>
        </w:rPr>
        <w:t xml:space="preserve">, poriluk, luk, cvjetača i kivi) te dva proizvoda koja su također važna za prehranu stanovništva (borovnica i krastavci). Analizirano je 595 uzoraka. Analiza uzoraka biljnog podrijetla provedena je na </w:t>
      </w:r>
      <w:r w:rsidRPr="00D84719">
        <w:rPr>
          <w:rFonts w:ascii="Times New Roman" w:eastAsia="Times New Roman" w:hAnsi="Times New Roman" w:cs="Times New Roman"/>
          <w:bCs/>
          <w:iCs/>
          <w:sz w:val="24"/>
          <w:szCs w:val="24"/>
        </w:rPr>
        <w:t xml:space="preserve">337 – 455 </w:t>
      </w:r>
      <w:r w:rsidRPr="00D84719">
        <w:rPr>
          <w:rFonts w:ascii="Times New Roman" w:eastAsia="Times New Roman" w:hAnsi="Times New Roman" w:cs="Times New Roman"/>
          <w:bCs/>
          <w:iCs/>
          <w:color w:val="000000"/>
          <w:sz w:val="24"/>
          <w:szCs w:val="24"/>
        </w:rPr>
        <w:t>aktivnih tvari dok je na uzorcima životinjskog podrijetla provedena na 64 aktivnih tvari. 356 (59</w:t>
      </w:r>
      <w:r w:rsidR="00632D56">
        <w:rPr>
          <w:rFonts w:ascii="Times New Roman" w:eastAsia="Times New Roman" w:hAnsi="Times New Roman" w:cs="Times New Roman"/>
          <w:bCs/>
          <w:iCs/>
          <w:color w:val="000000"/>
          <w:sz w:val="24"/>
          <w:szCs w:val="24"/>
        </w:rPr>
        <w:t>,</w:t>
      </w:r>
      <w:r w:rsidRPr="00D84719">
        <w:rPr>
          <w:rFonts w:ascii="Times New Roman" w:eastAsia="Times New Roman" w:hAnsi="Times New Roman" w:cs="Times New Roman"/>
          <w:bCs/>
          <w:iCs/>
          <w:color w:val="000000"/>
          <w:sz w:val="24"/>
          <w:szCs w:val="24"/>
        </w:rPr>
        <w:t>83</w:t>
      </w:r>
      <w:r w:rsidR="00D4589D">
        <w:rPr>
          <w:rFonts w:ascii="Times New Roman" w:eastAsia="Times New Roman" w:hAnsi="Times New Roman" w:cs="Times New Roman"/>
          <w:bCs/>
          <w:iCs/>
          <w:color w:val="000000"/>
          <w:sz w:val="24"/>
          <w:szCs w:val="24"/>
        </w:rPr>
        <w:t xml:space="preserve"> %</w:t>
      </w:r>
      <w:r w:rsidRPr="00D84719">
        <w:rPr>
          <w:rFonts w:ascii="Times New Roman" w:eastAsia="Times New Roman" w:hAnsi="Times New Roman" w:cs="Times New Roman"/>
          <w:bCs/>
          <w:iCs/>
          <w:color w:val="000000"/>
          <w:sz w:val="24"/>
          <w:szCs w:val="24"/>
        </w:rPr>
        <w:t>) uzoraka nije sadržavalo ostatke pesticida (ispod granice određivanja). U 226 uzoraka (37</w:t>
      </w:r>
      <w:r w:rsidR="00632D56">
        <w:rPr>
          <w:rFonts w:ascii="Times New Roman" w:eastAsia="Times New Roman" w:hAnsi="Times New Roman" w:cs="Times New Roman"/>
          <w:bCs/>
          <w:iCs/>
          <w:color w:val="000000"/>
          <w:sz w:val="24"/>
          <w:szCs w:val="24"/>
        </w:rPr>
        <w:t>,</w:t>
      </w:r>
      <w:r w:rsidRPr="00D84719">
        <w:rPr>
          <w:rFonts w:ascii="Times New Roman" w:eastAsia="Times New Roman" w:hAnsi="Times New Roman" w:cs="Times New Roman"/>
          <w:bCs/>
          <w:iCs/>
          <w:color w:val="000000"/>
          <w:sz w:val="24"/>
          <w:szCs w:val="24"/>
        </w:rPr>
        <w:t>98</w:t>
      </w:r>
      <w:r w:rsidR="00D4589D">
        <w:rPr>
          <w:rFonts w:ascii="Times New Roman" w:eastAsia="Times New Roman" w:hAnsi="Times New Roman" w:cs="Times New Roman"/>
          <w:bCs/>
          <w:iCs/>
          <w:color w:val="000000"/>
          <w:sz w:val="24"/>
          <w:szCs w:val="24"/>
        </w:rPr>
        <w:t xml:space="preserve"> %</w:t>
      </w:r>
      <w:r w:rsidRPr="00D84719">
        <w:rPr>
          <w:rFonts w:ascii="Times New Roman" w:eastAsia="Times New Roman" w:hAnsi="Times New Roman" w:cs="Times New Roman"/>
          <w:bCs/>
          <w:iCs/>
          <w:color w:val="000000"/>
          <w:sz w:val="24"/>
          <w:szCs w:val="24"/>
        </w:rPr>
        <w:t>) nađeni su ostaci pesticida u dopuštenim koncentracijama (ispod MDK), kod šest uzoraka (1</w:t>
      </w:r>
      <w:r w:rsidR="00632D56">
        <w:rPr>
          <w:rFonts w:ascii="Times New Roman" w:eastAsia="Times New Roman" w:hAnsi="Times New Roman" w:cs="Times New Roman"/>
          <w:bCs/>
          <w:iCs/>
          <w:color w:val="000000"/>
          <w:sz w:val="24"/>
          <w:szCs w:val="24"/>
        </w:rPr>
        <w:t>,</w:t>
      </w:r>
      <w:r w:rsidRPr="00D84719">
        <w:rPr>
          <w:rFonts w:ascii="Times New Roman" w:eastAsia="Times New Roman" w:hAnsi="Times New Roman" w:cs="Times New Roman"/>
          <w:bCs/>
          <w:iCs/>
          <w:color w:val="000000"/>
          <w:sz w:val="24"/>
          <w:szCs w:val="24"/>
        </w:rPr>
        <w:t>27</w:t>
      </w:r>
      <w:r w:rsidR="00D4589D">
        <w:rPr>
          <w:rFonts w:ascii="Times New Roman" w:eastAsia="Times New Roman" w:hAnsi="Times New Roman" w:cs="Times New Roman"/>
          <w:bCs/>
          <w:iCs/>
          <w:color w:val="000000"/>
          <w:sz w:val="24"/>
          <w:szCs w:val="24"/>
        </w:rPr>
        <w:t xml:space="preserve"> %</w:t>
      </w:r>
      <w:r w:rsidRPr="00D84719">
        <w:rPr>
          <w:rFonts w:ascii="Times New Roman" w:eastAsia="Times New Roman" w:hAnsi="Times New Roman" w:cs="Times New Roman"/>
          <w:bCs/>
          <w:iCs/>
          <w:color w:val="000000"/>
          <w:sz w:val="24"/>
          <w:szCs w:val="24"/>
        </w:rPr>
        <w:t xml:space="preserve">) ostaci su prelazili MDK. </w:t>
      </w:r>
    </w:p>
    <w:p w14:paraId="7766E154" w14:textId="7CE02CA5" w:rsidR="00D84719" w:rsidRPr="00D84719" w:rsidRDefault="00D84719" w:rsidP="00D84719">
      <w:pPr>
        <w:spacing w:before="80" w:after="120" w:line="276" w:lineRule="auto"/>
        <w:jc w:val="both"/>
        <w:rPr>
          <w:rFonts w:ascii="Times New Roman" w:eastAsia="Times New Roman" w:hAnsi="Times New Roman" w:cs="Times New Roman"/>
          <w:bCs/>
          <w:iCs/>
          <w:color w:val="000000"/>
          <w:sz w:val="24"/>
          <w:szCs w:val="24"/>
        </w:rPr>
      </w:pPr>
      <w:r w:rsidRPr="00D84719">
        <w:rPr>
          <w:rFonts w:ascii="Times New Roman" w:eastAsia="Times New Roman" w:hAnsi="Times New Roman" w:cs="Times New Roman"/>
          <w:bCs/>
          <w:iCs/>
          <w:color w:val="000000"/>
          <w:sz w:val="24"/>
          <w:szCs w:val="24"/>
        </w:rPr>
        <w:t>Nacionalni Program praćenja (monitoringa) ostataka pesticida u proizvodima biljnog i životinjskog podrijetla u 2019</w:t>
      </w:r>
      <w:r w:rsidR="004C449C">
        <w:rPr>
          <w:rFonts w:ascii="Times New Roman" w:eastAsia="Times New Roman" w:hAnsi="Times New Roman" w:cs="Times New Roman"/>
          <w:bCs/>
          <w:iCs/>
          <w:color w:val="000000"/>
          <w:sz w:val="24"/>
          <w:szCs w:val="24"/>
        </w:rPr>
        <w:t>.</w:t>
      </w:r>
      <w:r w:rsidRPr="00D84719">
        <w:rPr>
          <w:rFonts w:ascii="Times New Roman" w:eastAsia="Times New Roman" w:hAnsi="Times New Roman" w:cs="Times New Roman"/>
          <w:bCs/>
          <w:iCs/>
          <w:color w:val="000000"/>
          <w:sz w:val="24"/>
          <w:szCs w:val="24"/>
        </w:rPr>
        <w:t xml:space="preserve"> obuhvatio je praćenje ostataka pesticida na ukupno 20 proizvoda biljnog i životinjskog podrijetla od kojih je 13 proizvoda odabrano prema Provedbenoj uredbi Komisije (EU) 2018/555 od 9. travnja 2018. vezano uz koordinirani višegodišnji program kontrole Unije za 2019., 2020. i 2021. za osiguranje sukladnosti s maksimalnim razinama ostataka pesticida i ocjenu izloženosti potrošača ostacima pesticida u i na hrani biljnog i životinjskog podrijetla, kojima su pridodani proizvodi za koje je u prethodnim programima monitoringa utvrđeno prekoračenje MDK ili nedopuštena primjena: naranča, kruška, borovnica, banane, grejp, celer i kivi. Analizirano je 290 uzoraka. U 192 (66</w:t>
      </w:r>
      <w:r w:rsidR="00632D56">
        <w:rPr>
          <w:rFonts w:ascii="Times New Roman" w:eastAsia="Times New Roman" w:hAnsi="Times New Roman" w:cs="Times New Roman"/>
          <w:bCs/>
          <w:iCs/>
          <w:color w:val="000000"/>
          <w:sz w:val="24"/>
          <w:szCs w:val="24"/>
        </w:rPr>
        <w:t>,</w:t>
      </w:r>
      <w:r w:rsidRPr="00D84719">
        <w:rPr>
          <w:rFonts w:ascii="Times New Roman" w:eastAsia="Times New Roman" w:hAnsi="Times New Roman" w:cs="Times New Roman"/>
          <w:bCs/>
          <w:iCs/>
          <w:color w:val="000000"/>
          <w:sz w:val="24"/>
          <w:szCs w:val="24"/>
        </w:rPr>
        <w:t>21</w:t>
      </w:r>
      <w:r w:rsidR="00D4589D">
        <w:rPr>
          <w:rFonts w:ascii="Times New Roman" w:eastAsia="Times New Roman" w:hAnsi="Times New Roman" w:cs="Times New Roman"/>
          <w:bCs/>
          <w:iCs/>
          <w:color w:val="000000"/>
          <w:sz w:val="24"/>
          <w:szCs w:val="24"/>
        </w:rPr>
        <w:t xml:space="preserve"> %</w:t>
      </w:r>
      <w:r w:rsidRPr="00D84719">
        <w:rPr>
          <w:rFonts w:ascii="Times New Roman" w:eastAsia="Times New Roman" w:hAnsi="Times New Roman" w:cs="Times New Roman"/>
          <w:bCs/>
          <w:iCs/>
          <w:color w:val="000000"/>
          <w:sz w:val="24"/>
          <w:szCs w:val="24"/>
        </w:rPr>
        <w:t>) uzoraka nisu nađeni ostaci pesticida (iznad granice određivanja), u 93 (32</w:t>
      </w:r>
      <w:r w:rsidR="00632D56">
        <w:rPr>
          <w:rFonts w:ascii="Times New Roman" w:eastAsia="Times New Roman" w:hAnsi="Times New Roman" w:cs="Times New Roman"/>
          <w:bCs/>
          <w:iCs/>
          <w:color w:val="000000"/>
          <w:sz w:val="24"/>
          <w:szCs w:val="24"/>
        </w:rPr>
        <w:t>,</w:t>
      </w:r>
      <w:r w:rsidRPr="00D84719">
        <w:rPr>
          <w:rFonts w:ascii="Times New Roman" w:eastAsia="Times New Roman" w:hAnsi="Times New Roman" w:cs="Times New Roman"/>
          <w:bCs/>
          <w:iCs/>
          <w:color w:val="000000"/>
          <w:sz w:val="24"/>
          <w:szCs w:val="24"/>
        </w:rPr>
        <w:t>07</w:t>
      </w:r>
      <w:r w:rsidR="00D4589D">
        <w:rPr>
          <w:rFonts w:ascii="Times New Roman" w:eastAsia="Times New Roman" w:hAnsi="Times New Roman" w:cs="Times New Roman"/>
          <w:bCs/>
          <w:iCs/>
          <w:color w:val="000000"/>
          <w:sz w:val="24"/>
          <w:szCs w:val="24"/>
        </w:rPr>
        <w:t xml:space="preserve"> %</w:t>
      </w:r>
      <w:r w:rsidRPr="00D84719">
        <w:rPr>
          <w:rFonts w:ascii="Times New Roman" w:eastAsia="Times New Roman" w:hAnsi="Times New Roman" w:cs="Times New Roman"/>
          <w:bCs/>
          <w:iCs/>
          <w:color w:val="000000"/>
          <w:sz w:val="24"/>
          <w:szCs w:val="24"/>
        </w:rPr>
        <w:t>) uzorka nađeni su ostaci pesticida ispod MDK, u šest (2</w:t>
      </w:r>
      <w:r w:rsidR="00632D56">
        <w:rPr>
          <w:rFonts w:ascii="Times New Roman" w:eastAsia="Times New Roman" w:hAnsi="Times New Roman" w:cs="Times New Roman"/>
          <w:bCs/>
          <w:iCs/>
          <w:color w:val="000000"/>
          <w:sz w:val="24"/>
          <w:szCs w:val="24"/>
        </w:rPr>
        <w:t>,</w:t>
      </w:r>
      <w:r w:rsidRPr="00D84719">
        <w:rPr>
          <w:rFonts w:ascii="Times New Roman" w:eastAsia="Times New Roman" w:hAnsi="Times New Roman" w:cs="Times New Roman"/>
          <w:bCs/>
          <w:iCs/>
          <w:color w:val="000000"/>
          <w:sz w:val="24"/>
          <w:szCs w:val="24"/>
        </w:rPr>
        <w:t>07</w:t>
      </w:r>
      <w:r w:rsidR="00D4589D">
        <w:rPr>
          <w:rFonts w:ascii="Times New Roman" w:eastAsia="Times New Roman" w:hAnsi="Times New Roman" w:cs="Times New Roman"/>
          <w:bCs/>
          <w:iCs/>
          <w:color w:val="000000"/>
          <w:sz w:val="24"/>
          <w:szCs w:val="24"/>
        </w:rPr>
        <w:t xml:space="preserve"> %</w:t>
      </w:r>
      <w:r w:rsidRPr="00D84719">
        <w:rPr>
          <w:rFonts w:ascii="Times New Roman" w:eastAsia="Times New Roman" w:hAnsi="Times New Roman" w:cs="Times New Roman"/>
          <w:bCs/>
          <w:iCs/>
          <w:color w:val="000000"/>
          <w:sz w:val="24"/>
          <w:szCs w:val="24"/>
        </w:rPr>
        <w:t xml:space="preserve">) uzoraka nađeni su ostaci pesticida iznad MDK. </w:t>
      </w:r>
    </w:p>
    <w:p w14:paraId="40DF3F56" w14:textId="77777777" w:rsidR="00D84719" w:rsidRPr="00D84719" w:rsidRDefault="00D84719" w:rsidP="00D84719">
      <w:pPr>
        <w:spacing w:before="80" w:after="120" w:line="276" w:lineRule="auto"/>
        <w:jc w:val="both"/>
        <w:rPr>
          <w:rFonts w:ascii="Times New Roman" w:eastAsia="Times New Roman" w:hAnsi="Times New Roman" w:cs="Times New Roman"/>
          <w:bCs/>
          <w:iCs/>
          <w:color w:val="000000"/>
          <w:sz w:val="24"/>
          <w:szCs w:val="24"/>
        </w:rPr>
      </w:pPr>
      <w:r w:rsidRPr="00D84719">
        <w:rPr>
          <w:rFonts w:ascii="Times New Roman" w:eastAsia="Times New Roman" w:hAnsi="Times New Roman" w:cs="Times New Roman"/>
          <w:bCs/>
          <w:iCs/>
          <w:color w:val="000000"/>
          <w:sz w:val="24"/>
          <w:szCs w:val="24"/>
        </w:rPr>
        <w:t>Nije nađeno niti jedno prekoračenje pesticida koji su ujedno i POPs-ovi.</w:t>
      </w:r>
    </w:p>
    <w:p w14:paraId="4F8DAEC4" w14:textId="77777777" w:rsidR="00D84719" w:rsidRPr="00D84719" w:rsidRDefault="00D84719" w:rsidP="00D84719">
      <w:pPr>
        <w:spacing w:before="80" w:after="120" w:line="276" w:lineRule="auto"/>
        <w:jc w:val="both"/>
        <w:rPr>
          <w:rFonts w:ascii="Times New Roman" w:eastAsia="Times New Roman" w:hAnsi="Times New Roman" w:cs="Times New Roman"/>
          <w:bCs/>
          <w:iCs/>
          <w:color w:val="000000"/>
          <w:szCs w:val="24"/>
        </w:rPr>
      </w:pPr>
    </w:p>
    <w:p w14:paraId="09767DF5" w14:textId="77777777" w:rsidR="00D84719" w:rsidRPr="00D84719" w:rsidRDefault="00D84719" w:rsidP="00F32974">
      <w:pPr>
        <w:pStyle w:val="Naslov3"/>
      </w:pPr>
      <w:bookmarkStart w:id="168" w:name="_Toc8637314"/>
      <w:bookmarkStart w:id="169" w:name="_Toc41638283"/>
      <w:bookmarkStart w:id="170" w:name="_Toc64460743"/>
      <w:r w:rsidRPr="00D84719">
        <w:t>MONITORING OSTATAKA POPS-OVA U LJUDSKOM MLIJEKU DOJILJA</w:t>
      </w:r>
      <w:bookmarkEnd w:id="168"/>
      <w:bookmarkEnd w:id="169"/>
      <w:bookmarkEnd w:id="170"/>
    </w:p>
    <w:p w14:paraId="21CAD0EF" w14:textId="77777777" w:rsidR="00D84719" w:rsidRPr="00D84719" w:rsidRDefault="00D84719" w:rsidP="00D84719">
      <w:pPr>
        <w:spacing w:before="120" w:after="12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 xml:space="preserve">Kako bi se pratila provedba, odnosno učinkovitost provođenja obvezi propisanih Konvencijom, jedan od najvažnijih mehanizama je aktivno sudjelovanje/uključivanje u međunarodni monitoring plana za praćenje učinkovitosti same Konvencije, koji između ostalog uključuje i ispitivanje POPs-ova u uzorcima mlijeka dojilja. Institucije Republike Hrvatske, u suradnji sa znanstvenim institucijama iz Republike Srbije, kontinuirano sudjeluju u istraživanjima i razvoju analiza. </w:t>
      </w:r>
    </w:p>
    <w:p w14:paraId="7CBE2BC0" w14:textId="77777777" w:rsidR="00D84719" w:rsidRPr="00D84719" w:rsidRDefault="00D84719" w:rsidP="00D84719">
      <w:pPr>
        <w:spacing w:before="120" w:after="12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Istraživane su razine i distribucija 17 kongenera polikloriranih bifenila (PCB) i organoklorovih pesticida (OCP) (HCB, α-HCH, β-HCH, γ-HCH, p, p'-DDE, p, p'-DDD i p, p'-DDT) u uzorcima placenta zdravih majki sakupljenih u razdoblju od studenog 2012. do veljače 2013. To je prvo takvo istraživanje u Hrvatskoj. Svi analizirani spojevi nađeni su u svim uzorcima, dok su genotoksična istraživanja indicirala da nema oštećenja.</w:t>
      </w:r>
    </w:p>
    <w:p w14:paraId="26A1572B" w14:textId="77777777" w:rsidR="00D84719" w:rsidRPr="00D84719" w:rsidRDefault="00D84719" w:rsidP="00D84719">
      <w:pPr>
        <w:spacing w:before="120" w:after="12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 xml:space="preserve">(autori: D. </w:t>
      </w:r>
      <w:proofErr w:type="spellStart"/>
      <w:r w:rsidRPr="00D84719">
        <w:rPr>
          <w:rFonts w:ascii="Times New Roman" w:eastAsia="Times New Roman" w:hAnsi="Times New Roman" w:cs="Times New Roman"/>
          <w:color w:val="000000"/>
          <w:sz w:val="24"/>
          <w:szCs w:val="24"/>
        </w:rPr>
        <w:t>Želježić</w:t>
      </w:r>
      <w:proofErr w:type="spellEnd"/>
      <w:r w:rsidRPr="00D84719">
        <w:rPr>
          <w:rFonts w:ascii="Times New Roman" w:eastAsia="Times New Roman" w:hAnsi="Times New Roman" w:cs="Times New Roman"/>
          <w:color w:val="000000"/>
          <w:sz w:val="24"/>
          <w:szCs w:val="24"/>
        </w:rPr>
        <w:t xml:space="preserve">, S. Herceg </w:t>
      </w:r>
      <w:proofErr w:type="spellStart"/>
      <w:r w:rsidRPr="00D84719">
        <w:rPr>
          <w:rFonts w:ascii="Times New Roman" w:eastAsia="Times New Roman" w:hAnsi="Times New Roman" w:cs="Times New Roman"/>
          <w:color w:val="000000"/>
          <w:sz w:val="24"/>
          <w:szCs w:val="24"/>
        </w:rPr>
        <w:t>Romanić</w:t>
      </w:r>
      <w:proofErr w:type="spellEnd"/>
      <w:r w:rsidRPr="00D84719">
        <w:rPr>
          <w:rFonts w:ascii="Times New Roman" w:eastAsia="Times New Roman" w:hAnsi="Times New Roman" w:cs="Times New Roman"/>
          <w:color w:val="000000"/>
          <w:sz w:val="24"/>
          <w:szCs w:val="24"/>
        </w:rPr>
        <w:t xml:space="preserve">, D. Klinčić, M. </w:t>
      </w:r>
      <w:proofErr w:type="spellStart"/>
      <w:r w:rsidRPr="00D84719">
        <w:rPr>
          <w:rFonts w:ascii="Times New Roman" w:eastAsia="Times New Roman" w:hAnsi="Times New Roman" w:cs="Times New Roman"/>
          <w:color w:val="000000"/>
          <w:sz w:val="24"/>
          <w:szCs w:val="24"/>
        </w:rPr>
        <w:t>Matek</w:t>
      </w:r>
      <w:proofErr w:type="spellEnd"/>
      <w:r w:rsidRPr="00D84719">
        <w:rPr>
          <w:rFonts w:ascii="Times New Roman" w:eastAsia="Times New Roman" w:hAnsi="Times New Roman" w:cs="Times New Roman"/>
          <w:color w:val="000000"/>
          <w:sz w:val="24"/>
          <w:szCs w:val="24"/>
        </w:rPr>
        <w:t xml:space="preserve"> </w:t>
      </w:r>
      <w:proofErr w:type="spellStart"/>
      <w:r w:rsidRPr="00D84719">
        <w:rPr>
          <w:rFonts w:ascii="Times New Roman" w:eastAsia="Times New Roman" w:hAnsi="Times New Roman" w:cs="Times New Roman"/>
          <w:color w:val="000000"/>
          <w:sz w:val="24"/>
          <w:szCs w:val="24"/>
        </w:rPr>
        <w:t>Sarić</w:t>
      </w:r>
      <w:proofErr w:type="spellEnd"/>
      <w:r w:rsidRPr="00D84719">
        <w:rPr>
          <w:rFonts w:ascii="Times New Roman" w:eastAsia="Times New Roman" w:hAnsi="Times New Roman" w:cs="Times New Roman"/>
          <w:color w:val="000000"/>
          <w:sz w:val="24"/>
          <w:szCs w:val="24"/>
        </w:rPr>
        <w:t xml:space="preserve">, J. </w:t>
      </w:r>
      <w:proofErr w:type="spellStart"/>
      <w:r w:rsidRPr="00D84719">
        <w:rPr>
          <w:rFonts w:ascii="Times New Roman" w:eastAsia="Times New Roman" w:hAnsi="Times New Roman" w:cs="Times New Roman"/>
          <w:color w:val="000000"/>
          <w:sz w:val="24"/>
          <w:szCs w:val="24"/>
        </w:rPr>
        <w:t>Grzunov</w:t>
      </w:r>
      <w:proofErr w:type="spellEnd"/>
      <w:r w:rsidRPr="00D84719">
        <w:rPr>
          <w:rFonts w:ascii="Times New Roman" w:eastAsia="Times New Roman" w:hAnsi="Times New Roman" w:cs="Times New Roman"/>
          <w:color w:val="000000"/>
          <w:sz w:val="24"/>
          <w:szCs w:val="24"/>
        </w:rPr>
        <w:t xml:space="preserve"> </w:t>
      </w:r>
      <w:proofErr w:type="spellStart"/>
      <w:r w:rsidRPr="00D84719">
        <w:rPr>
          <w:rFonts w:ascii="Times New Roman" w:eastAsia="Times New Roman" w:hAnsi="Times New Roman" w:cs="Times New Roman"/>
          <w:color w:val="000000"/>
          <w:sz w:val="24"/>
          <w:szCs w:val="24"/>
        </w:rPr>
        <w:t>Letinić</w:t>
      </w:r>
      <w:proofErr w:type="spellEnd"/>
      <w:r w:rsidRPr="00D84719">
        <w:rPr>
          <w:rFonts w:ascii="Times New Roman" w:eastAsia="Times New Roman" w:hAnsi="Times New Roman" w:cs="Times New Roman"/>
          <w:color w:val="000000"/>
          <w:sz w:val="24"/>
          <w:szCs w:val="24"/>
        </w:rPr>
        <w:t xml:space="preserve">. </w:t>
      </w:r>
      <w:r w:rsidR="007C32C9">
        <w:rPr>
          <w:rFonts w:ascii="Times New Roman" w:eastAsia="Times New Roman" w:hAnsi="Times New Roman" w:cs="Times New Roman"/>
          <w:color w:val="000000"/>
          <w:sz w:val="24"/>
          <w:szCs w:val="24"/>
        </w:rPr>
        <w:t>„</w:t>
      </w:r>
      <w:proofErr w:type="spellStart"/>
      <w:r w:rsidRPr="00D84719">
        <w:rPr>
          <w:rFonts w:ascii="Times New Roman" w:eastAsia="Times New Roman" w:hAnsi="Times New Roman" w:cs="Times New Roman"/>
          <w:color w:val="000000"/>
          <w:sz w:val="24"/>
          <w:szCs w:val="24"/>
        </w:rPr>
        <w:t>Persistent</w:t>
      </w:r>
      <w:proofErr w:type="spellEnd"/>
      <w:r w:rsidRPr="00D84719">
        <w:rPr>
          <w:rFonts w:ascii="Times New Roman" w:eastAsia="Times New Roman" w:hAnsi="Times New Roman" w:cs="Times New Roman"/>
          <w:color w:val="000000"/>
          <w:sz w:val="24"/>
          <w:szCs w:val="24"/>
        </w:rPr>
        <w:t xml:space="preserve"> </w:t>
      </w:r>
      <w:proofErr w:type="spellStart"/>
      <w:r w:rsidRPr="00D84719">
        <w:rPr>
          <w:rFonts w:ascii="Times New Roman" w:eastAsia="Times New Roman" w:hAnsi="Times New Roman" w:cs="Times New Roman"/>
          <w:color w:val="000000"/>
          <w:sz w:val="24"/>
          <w:szCs w:val="24"/>
        </w:rPr>
        <w:t>Organochlorine</w:t>
      </w:r>
      <w:proofErr w:type="spellEnd"/>
      <w:r w:rsidRPr="00D84719">
        <w:rPr>
          <w:rFonts w:ascii="Times New Roman" w:eastAsia="Times New Roman" w:hAnsi="Times New Roman" w:cs="Times New Roman"/>
          <w:color w:val="000000"/>
          <w:sz w:val="24"/>
          <w:szCs w:val="24"/>
        </w:rPr>
        <w:t xml:space="preserve"> </w:t>
      </w:r>
      <w:proofErr w:type="spellStart"/>
      <w:r w:rsidRPr="00D84719">
        <w:rPr>
          <w:rFonts w:ascii="Times New Roman" w:eastAsia="Times New Roman" w:hAnsi="Times New Roman" w:cs="Times New Roman"/>
          <w:color w:val="000000"/>
          <w:sz w:val="24"/>
          <w:szCs w:val="24"/>
        </w:rPr>
        <w:t>Pollutants</w:t>
      </w:r>
      <w:proofErr w:type="spellEnd"/>
      <w:r w:rsidRPr="00D84719">
        <w:rPr>
          <w:rFonts w:ascii="Times New Roman" w:eastAsia="Times New Roman" w:hAnsi="Times New Roman" w:cs="Times New Roman"/>
          <w:color w:val="000000"/>
          <w:sz w:val="24"/>
          <w:szCs w:val="24"/>
        </w:rPr>
        <w:t xml:space="preserve"> </w:t>
      </w:r>
      <w:proofErr w:type="spellStart"/>
      <w:r w:rsidRPr="00D84719">
        <w:rPr>
          <w:rFonts w:ascii="Times New Roman" w:eastAsia="Times New Roman" w:hAnsi="Times New Roman" w:cs="Times New Roman"/>
          <w:color w:val="000000"/>
          <w:sz w:val="24"/>
          <w:szCs w:val="24"/>
        </w:rPr>
        <w:t>in</w:t>
      </w:r>
      <w:proofErr w:type="spellEnd"/>
      <w:r w:rsidRPr="00D84719">
        <w:rPr>
          <w:rFonts w:ascii="Times New Roman" w:eastAsia="Times New Roman" w:hAnsi="Times New Roman" w:cs="Times New Roman"/>
          <w:color w:val="000000"/>
          <w:sz w:val="24"/>
          <w:szCs w:val="24"/>
        </w:rPr>
        <w:t xml:space="preserve"> </w:t>
      </w:r>
      <w:proofErr w:type="spellStart"/>
      <w:r w:rsidRPr="00D84719">
        <w:rPr>
          <w:rFonts w:ascii="Times New Roman" w:eastAsia="Times New Roman" w:hAnsi="Times New Roman" w:cs="Times New Roman"/>
          <w:color w:val="000000"/>
          <w:sz w:val="24"/>
          <w:szCs w:val="24"/>
        </w:rPr>
        <w:t>Placentas</w:t>
      </w:r>
      <w:proofErr w:type="spellEnd"/>
      <w:r w:rsidRPr="00D84719">
        <w:rPr>
          <w:rFonts w:ascii="Times New Roman" w:eastAsia="Times New Roman" w:hAnsi="Times New Roman" w:cs="Times New Roman"/>
          <w:color w:val="000000"/>
          <w:sz w:val="24"/>
          <w:szCs w:val="24"/>
        </w:rPr>
        <w:t xml:space="preserve"> </w:t>
      </w:r>
      <w:proofErr w:type="spellStart"/>
      <w:r w:rsidRPr="00D84719">
        <w:rPr>
          <w:rFonts w:ascii="Times New Roman" w:eastAsia="Times New Roman" w:hAnsi="Times New Roman" w:cs="Times New Roman"/>
          <w:color w:val="000000"/>
          <w:sz w:val="24"/>
          <w:szCs w:val="24"/>
        </w:rPr>
        <w:t>Sampled</w:t>
      </w:r>
      <w:proofErr w:type="spellEnd"/>
      <w:r w:rsidRPr="00D84719">
        <w:rPr>
          <w:rFonts w:ascii="Times New Roman" w:eastAsia="Times New Roman" w:hAnsi="Times New Roman" w:cs="Times New Roman"/>
          <w:color w:val="000000"/>
          <w:sz w:val="24"/>
          <w:szCs w:val="24"/>
        </w:rPr>
        <w:t xml:space="preserve"> </w:t>
      </w:r>
      <w:proofErr w:type="spellStart"/>
      <w:r w:rsidRPr="00D84719">
        <w:rPr>
          <w:rFonts w:ascii="Times New Roman" w:eastAsia="Times New Roman" w:hAnsi="Times New Roman" w:cs="Times New Roman"/>
          <w:color w:val="000000"/>
          <w:sz w:val="24"/>
          <w:szCs w:val="24"/>
        </w:rPr>
        <w:t>from</w:t>
      </w:r>
      <w:proofErr w:type="spellEnd"/>
      <w:r w:rsidRPr="00D84719">
        <w:rPr>
          <w:rFonts w:ascii="Times New Roman" w:eastAsia="Times New Roman" w:hAnsi="Times New Roman" w:cs="Times New Roman"/>
          <w:color w:val="000000"/>
          <w:sz w:val="24"/>
          <w:szCs w:val="24"/>
        </w:rPr>
        <w:t xml:space="preserve"> </w:t>
      </w:r>
      <w:proofErr w:type="spellStart"/>
      <w:r w:rsidRPr="00D84719">
        <w:rPr>
          <w:rFonts w:ascii="Times New Roman" w:eastAsia="Times New Roman" w:hAnsi="Times New Roman" w:cs="Times New Roman"/>
          <w:color w:val="000000"/>
          <w:sz w:val="24"/>
          <w:szCs w:val="24"/>
        </w:rPr>
        <w:t>Women</w:t>
      </w:r>
      <w:proofErr w:type="spellEnd"/>
      <w:r w:rsidRPr="00D84719">
        <w:rPr>
          <w:rFonts w:ascii="Times New Roman" w:eastAsia="Times New Roman" w:hAnsi="Times New Roman" w:cs="Times New Roman"/>
          <w:color w:val="000000"/>
          <w:sz w:val="24"/>
          <w:szCs w:val="24"/>
        </w:rPr>
        <w:t xml:space="preserve"> </w:t>
      </w:r>
      <w:proofErr w:type="spellStart"/>
      <w:r w:rsidRPr="00D84719">
        <w:rPr>
          <w:rFonts w:ascii="Times New Roman" w:eastAsia="Times New Roman" w:hAnsi="Times New Roman" w:cs="Times New Roman"/>
          <w:color w:val="000000"/>
          <w:sz w:val="24"/>
          <w:szCs w:val="24"/>
        </w:rPr>
        <w:t>in</w:t>
      </w:r>
      <w:proofErr w:type="spellEnd"/>
      <w:r w:rsidRPr="00D84719">
        <w:rPr>
          <w:rFonts w:ascii="Times New Roman" w:eastAsia="Times New Roman" w:hAnsi="Times New Roman" w:cs="Times New Roman"/>
          <w:color w:val="000000"/>
          <w:sz w:val="24"/>
          <w:szCs w:val="24"/>
        </w:rPr>
        <w:t xml:space="preserve"> Croatia </w:t>
      </w:r>
      <w:proofErr w:type="spellStart"/>
      <w:r w:rsidRPr="00D84719">
        <w:rPr>
          <w:rFonts w:ascii="Times New Roman" w:eastAsia="Times New Roman" w:hAnsi="Times New Roman" w:cs="Times New Roman"/>
          <w:color w:val="000000"/>
          <w:sz w:val="24"/>
          <w:szCs w:val="24"/>
        </w:rPr>
        <w:t>and</w:t>
      </w:r>
      <w:proofErr w:type="spellEnd"/>
      <w:r w:rsidRPr="00D84719">
        <w:rPr>
          <w:rFonts w:ascii="Times New Roman" w:eastAsia="Times New Roman" w:hAnsi="Times New Roman" w:cs="Times New Roman"/>
          <w:color w:val="000000"/>
          <w:sz w:val="24"/>
          <w:szCs w:val="24"/>
        </w:rPr>
        <w:t xml:space="preserve"> </w:t>
      </w:r>
      <w:proofErr w:type="spellStart"/>
      <w:r w:rsidRPr="00D84719">
        <w:rPr>
          <w:rFonts w:ascii="Times New Roman" w:eastAsia="Times New Roman" w:hAnsi="Times New Roman" w:cs="Times New Roman"/>
          <w:color w:val="000000"/>
          <w:sz w:val="24"/>
          <w:szCs w:val="24"/>
        </w:rPr>
        <w:t>an</w:t>
      </w:r>
      <w:proofErr w:type="spellEnd"/>
      <w:r w:rsidRPr="00D84719">
        <w:rPr>
          <w:rFonts w:ascii="Times New Roman" w:eastAsia="Times New Roman" w:hAnsi="Times New Roman" w:cs="Times New Roman"/>
          <w:color w:val="000000"/>
          <w:sz w:val="24"/>
          <w:szCs w:val="24"/>
        </w:rPr>
        <w:t xml:space="preserve"> </w:t>
      </w:r>
      <w:proofErr w:type="spellStart"/>
      <w:r w:rsidRPr="00D84719">
        <w:rPr>
          <w:rFonts w:ascii="Times New Roman" w:eastAsia="Times New Roman" w:hAnsi="Times New Roman" w:cs="Times New Roman"/>
          <w:color w:val="000000"/>
          <w:sz w:val="24"/>
          <w:szCs w:val="24"/>
        </w:rPr>
        <w:lastRenderedPageBreak/>
        <w:t>Evaluation</w:t>
      </w:r>
      <w:proofErr w:type="spellEnd"/>
      <w:r w:rsidRPr="00D84719">
        <w:rPr>
          <w:rFonts w:ascii="Times New Roman" w:eastAsia="Times New Roman" w:hAnsi="Times New Roman" w:cs="Times New Roman"/>
          <w:color w:val="000000"/>
          <w:sz w:val="24"/>
          <w:szCs w:val="24"/>
        </w:rPr>
        <w:t xml:space="preserve"> </w:t>
      </w:r>
      <w:proofErr w:type="spellStart"/>
      <w:r w:rsidRPr="00D84719">
        <w:rPr>
          <w:rFonts w:ascii="Times New Roman" w:eastAsia="Times New Roman" w:hAnsi="Times New Roman" w:cs="Times New Roman"/>
          <w:color w:val="000000"/>
          <w:sz w:val="24"/>
          <w:szCs w:val="24"/>
        </w:rPr>
        <w:t>of</w:t>
      </w:r>
      <w:proofErr w:type="spellEnd"/>
      <w:r w:rsidRPr="00D84719">
        <w:rPr>
          <w:rFonts w:ascii="Times New Roman" w:eastAsia="Times New Roman" w:hAnsi="Times New Roman" w:cs="Times New Roman"/>
          <w:color w:val="000000"/>
          <w:sz w:val="24"/>
          <w:szCs w:val="24"/>
        </w:rPr>
        <w:t xml:space="preserve"> </w:t>
      </w:r>
      <w:proofErr w:type="spellStart"/>
      <w:r w:rsidRPr="00D84719">
        <w:rPr>
          <w:rFonts w:ascii="Times New Roman" w:eastAsia="Times New Roman" w:hAnsi="Times New Roman" w:cs="Times New Roman"/>
          <w:color w:val="000000"/>
          <w:sz w:val="24"/>
          <w:szCs w:val="24"/>
        </w:rPr>
        <w:t>Their</w:t>
      </w:r>
      <w:proofErr w:type="spellEnd"/>
      <w:r w:rsidRPr="00D84719">
        <w:rPr>
          <w:rFonts w:ascii="Times New Roman" w:eastAsia="Times New Roman" w:hAnsi="Times New Roman" w:cs="Times New Roman"/>
          <w:color w:val="000000"/>
          <w:sz w:val="24"/>
          <w:szCs w:val="24"/>
        </w:rPr>
        <w:t xml:space="preserve"> DNA </w:t>
      </w:r>
      <w:proofErr w:type="spellStart"/>
      <w:r w:rsidRPr="00D84719">
        <w:rPr>
          <w:rFonts w:ascii="Times New Roman" w:eastAsia="Times New Roman" w:hAnsi="Times New Roman" w:cs="Times New Roman"/>
          <w:color w:val="000000"/>
          <w:sz w:val="24"/>
          <w:szCs w:val="24"/>
        </w:rPr>
        <w:t>Damaging</w:t>
      </w:r>
      <w:proofErr w:type="spellEnd"/>
      <w:r w:rsidRPr="00D84719">
        <w:rPr>
          <w:rFonts w:ascii="Times New Roman" w:eastAsia="Times New Roman" w:hAnsi="Times New Roman" w:cs="Times New Roman"/>
          <w:color w:val="000000"/>
          <w:sz w:val="24"/>
          <w:szCs w:val="24"/>
        </w:rPr>
        <w:t xml:space="preserve"> </w:t>
      </w:r>
      <w:proofErr w:type="spellStart"/>
      <w:r w:rsidRPr="00D84719">
        <w:rPr>
          <w:rFonts w:ascii="Times New Roman" w:eastAsia="Times New Roman" w:hAnsi="Times New Roman" w:cs="Times New Roman"/>
          <w:color w:val="000000"/>
          <w:sz w:val="24"/>
          <w:szCs w:val="24"/>
        </w:rPr>
        <w:t>Potential</w:t>
      </w:r>
      <w:proofErr w:type="spellEnd"/>
      <w:r w:rsidRPr="00D84719">
        <w:rPr>
          <w:rFonts w:ascii="Times New Roman" w:eastAsia="Times New Roman" w:hAnsi="Times New Roman" w:cs="Times New Roman"/>
          <w:color w:val="000000"/>
          <w:sz w:val="24"/>
          <w:szCs w:val="24"/>
        </w:rPr>
        <w:t xml:space="preserve"> In </w:t>
      </w:r>
      <w:proofErr w:type="spellStart"/>
      <w:r w:rsidRPr="00D84719">
        <w:rPr>
          <w:rFonts w:ascii="Times New Roman" w:eastAsia="Times New Roman" w:hAnsi="Times New Roman" w:cs="Times New Roman"/>
          <w:color w:val="000000"/>
          <w:sz w:val="24"/>
          <w:szCs w:val="24"/>
        </w:rPr>
        <w:t>Vitro</w:t>
      </w:r>
      <w:proofErr w:type="spellEnd"/>
      <w:r w:rsidRPr="00D84719">
        <w:rPr>
          <w:rFonts w:ascii="Times New Roman" w:eastAsia="Times New Roman" w:hAnsi="Times New Roman" w:cs="Times New Roman"/>
          <w:color w:val="000000"/>
          <w:sz w:val="24"/>
          <w:szCs w:val="24"/>
        </w:rPr>
        <w:t xml:space="preserve"> </w:t>
      </w:r>
      <w:proofErr w:type="spellStart"/>
      <w:r w:rsidRPr="00D84719">
        <w:rPr>
          <w:rFonts w:ascii="Times New Roman" w:eastAsia="Times New Roman" w:hAnsi="Times New Roman" w:cs="Times New Roman"/>
          <w:color w:val="000000"/>
          <w:sz w:val="24"/>
          <w:szCs w:val="24"/>
        </w:rPr>
        <w:t>Toxicology</w:t>
      </w:r>
      <w:proofErr w:type="spellEnd"/>
      <w:r w:rsidRPr="00D84719">
        <w:rPr>
          <w:rFonts w:ascii="Times New Roman" w:eastAsia="Times New Roman" w:hAnsi="Times New Roman" w:cs="Times New Roman"/>
          <w:color w:val="000000"/>
          <w:sz w:val="24"/>
          <w:szCs w:val="24"/>
        </w:rPr>
        <w:t>” publicirano u:</w:t>
      </w:r>
      <w:r w:rsidR="00612979">
        <w:rPr>
          <w:rFonts w:ascii="Times New Roman" w:eastAsia="Times New Roman" w:hAnsi="Times New Roman" w:cs="Times New Roman"/>
          <w:color w:val="000000"/>
          <w:sz w:val="24"/>
          <w:szCs w:val="24"/>
        </w:rPr>
        <w:t xml:space="preserve"> </w:t>
      </w:r>
      <w:proofErr w:type="spellStart"/>
      <w:r w:rsidRPr="00D84719">
        <w:rPr>
          <w:rFonts w:ascii="Times New Roman" w:eastAsia="Times New Roman" w:hAnsi="Times New Roman" w:cs="Times New Roman"/>
          <w:color w:val="000000"/>
          <w:sz w:val="24"/>
          <w:szCs w:val="24"/>
        </w:rPr>
        <w:t>Archives</w:t>
      </w:r>
      <w:proofErr w:type="spellEnd"/>
      <w:r w:rsidRPr="00D84719">
        <w:rPr>
          <w:rFonts w:ascii="Times New Roman" w:eastAsia="Times New Roman" w:hAnsi="Times New Roman" w:cs="Times New Roman"/>
          <w:color w:val="000000"/>
          <w:sz w:val="24"/>
          <w:szCs w:val="24"/>
        </w:rPr>
        <w:t xml:space="preserve"> </w:t>
      </w:r>
      <w:proofErr w:type="spellStart"/>
      <w:r w:rsidRPr="00D84719">
        <w:rPr>
          <w:rFonts w:ascii="Times New Roman" w:eastAsia="Times New Roman" w:hAnsi="Times New Roman" w:cs="Times New Roman"/>
          <w:color w:val="000000"/>
          <w:sz w:val="24"/>
          <w:szCs w:val="24"/>
        </w:rPr>
        <w:t>of</w:t>
      </w:r>
      <w:proofErr w:type="spellEnd"/>
      <w:r w:rsidRPr="00D84719">
        <w:rPr>
          <w:rFonts w:ascii="Times New Roman" w:eastAsia="Times New Roman" w:hAnsi="Times New Roman" w:cs="Times New Roman"/>
          <w:color w:val="000000"/>
          <w:sz w:val="24"/>
          <w:szCs w:val="24"/>
        </w:rPr>
        <w:t xml:space="preserve"> </w:t>
      </w:r>
      <w:proofErr w:type="spellStart"/>
      <w:r w:rsidRPr="00D84719">
        <w:rPr>
          <w:rFonts w:ascii="Times New Roman" w:eastAsia="Times New Roman" w:hAnsi="Times New Roman" w:cs="Times New Roman"/>
          <w:color w:val="000000"/>
          <w:sz w:val="24"/>
          <w:szCs w:val="24"/>
        </w:rPr>
        <w:t>Environmental</w:t>
      </w:r>
      <w:proofErr w:type="spellEnd"/>
      <w:r w:rsidRPr="00D84719">
        <w:rPr>
          <w:rFonts w:ascii="Times New Roman" w:eastAsia="Times New Roman" w:hAnsi="Times New Roman" w:cs="Times New Roman"/>
          <w:color w:val="000000"/>
          <w:sz w:val="24"/>
          <w:szCs w:val="24"/>
        </w:rPr>
        <w:t xml:space="preserve"> </w:t>
      </w:r>
      <w:proofErr w:type="spellStart"/>
      <w:r w:rsidRPr="00D84719">
        <w:rPr>
          <w:rFonts w:ascii="Times New Roman" w:eastAsia="Times New Roman" w:hAnsi="Times New Roman" w:cs="Times New Roman"/>
          <w:color w:val="000000"/>
          <w:sz w:val="24"/>
          <w:szCs w:val="24"/>
        </w:rPr>
        <w:t>Contamination</w:t>
      </w:r>
      <w:proofErr w:type="spellEnd"/>
      <w:r w:rsidRPr="00D84719">
        <w:rPr>
          <w:rFonts w:ascii="Times New Roman" w:eastAsia="Times New Roman" w:hAnsi="Times New Roman" w:cs="Times New Roman"/>
          <w:color w:val="000000"/>
          <w:sz w:val="24"/>
          <w:szCs w:val="24"/>
        </w:rPr>
        <w:t xml:space="preserve"> </w:t>
      </w:r>
      <w:proofErr w:type="spellStart"/>
      <w:r w:rsidRPr="00D84719">
        <w:rPr>
          <w:rFonts w:ascii="Times New Roman" w:eastAsia="Times New Roman" w:hAnsi="Times New Roman" w:cs="Times New Roman"/>
          <w:color w:val="000000"/>
          <w:sz w:val="24"/>
          <w:szCs w:val="24"/>
        </w:rPr>
        <w:t>and</w:t>
      </w:r>
      <w:proofErr w:type="spellEnd"/>
      <w:r w:rsidRPr="00D84719">
        <w:rPr>
          <w:rFonts w:ascii="Times New Roman" w:eastAsia="Times New Roman" w:hAnsi="Times New Roman" w:cs="Times New Roman"/>
          <w:color w:val="000000"/>
          <w:sz w:val="24"/>
          <w:szCs w:val="24"/>
        </w:rPr>
        <w:t xml:space="preserve"> </w:t>
      </w:r>
      <w:proofErr w:type="spellStart"/>
      <w:r w:rsidRPr="00D84719">
        <w:rPr>
          <w:rFonts w:ascii="Times New Roman" w:eastAsia="Times New Roman" w:hAnsi="Times New Roman" w:cs="Times New Roman"/>
          <w:color w:val="000000"/>
          <w:sz w:val="24"/>
          <w:szCs w:val="24"/>
        </w:rPr>
        <w:t>Toxicology</w:t>
      </w:r>
      <w:proofErr w:type="spellEnd"/>
      <w:r w:rsidRPr="00D84719">
        <w:rPr>
          <w:rFonts w:ascii="Times New Roman" w:eastAsia="Times New Roman" w:hAnsi="Times New Roman" w:cs="Times New Roman"/>
          <w:color w:val="000000"/>
          <w:sz w:val="24"/>
          <w:szCs w:val="24"/>
        </w:rPr>
        <w:t>. (2018) 74:284–291)</w:t>
      </w:r>
    </w:p>
    <w:p w14:paraId="1699CE30" w14:textId="77777777" w:rsidR="00D84719" w:rsidRPr="00D84719" w:rsidRDefault="00D84719" w:rsidP="00D84719">
      <w:pPr>
        <w:spacing w:before="120" w:after="12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Sa svrhom boljeg razumijevanja odnosa i raspodjele 17 kongenera PCB-a i gore navedenih OCP-a u majčinom mlijeku, primijenjene su sofisticirane metode poput numeričkog i statističkog modeliranja, ali i uporabe algoritama tzv. strojnog učenja u obradi rezultata analize majčinog mlijeka te su objavljeni</w:t>
      </w:r>
      <w:r w:rsidR="00612979">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preliminarni podaci.</w:t>
      </w:r>
    </w:p>
    <w:p w14:paraId="2587B871" w14:textId="77777777" w:rsidR="00D84719" w:rsidRPr="00D84719" w:rsidRDefault="00D84719" w:rsidP="00D84719">
      <w:pPr>
        <w:spacing w:before="120" w:after="12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 xml:space="preserve">(autori: G. Jovanović, S. Herceg </w:t>
      </w:r>
      <w:proofErr w:type="spellStart"/>
      <w:r w:rsidRPr="00D84719">
        <w:rPr>
          <w:rFonts w:ascii="Times New Roman" w:eastAsia="Times New Roman" w:hAnsi="Times New Roman" w:cs="Times New Roman"/>
          <w:color w:val="000000"/>
          <w:sz w:val="24"/>
          <w:szCs w:val="24"/>
        </w:rPr>
        <w:t>Romanić</w:t>
      </w:r>
      <w:proofErr w:type="spellEnd"/>
      <w:r w:rsidRPr="00D84719">
        <w:rPr>
          <w:rFonts w:ascii="Times New Roman" w:eastAsia="Times New Roman" w:hAnsi="Times New Roman" w:cs="Times New Roman"/>
          <w:color w:val="000000"/>
          <w:sz w:val="24"/>
          <w:szCs w:val="24"/>
        </w:rPr>
        <w:t xml:space="preserve">, A. </w:t>
      </w:r>
      <w:proofErr w:type="spellStart"/>
      <w:r w:rsidRPr="00D84719">
        <w:rPr>
          <w:rFonts w:ascii="Times New Roman" w:eastAsia="Times New Roman" w:hAnsi="Times New Roman" w:cs="Times New Roman"/>
          <w:color w:val="000000"/>
          <w:sz w:val="24"/>
          <w:szCs w:val="24"/>
        </w:rPr>
        <w:t>Stojić</w:t>
      </w:r>
      <w:proofErr w:type="spellEnd"/>
      <w:r w:rsidRPr="00D84719">
        <w:rPr>
          <w:rFonts w:ascii="Times New Roman" w:eastAsia="Times New Roman" w:hAnsi="Times New Roman" w:cs="Times New Roman"/>
          <w:color w:val="000000"/>
          <w:sz w:val="24"/>
          <w:szCs w:val="24"/>
        </w:rPr>
        <w:t xml:space="preserve">, D. Klinčić, M. </w:t>
      </w:r>
      <w:proofErr w:type="spellStart"/>
      <w:r w:rsidRPr="00D84719">
        <w:rPr>
          <w:rFonts w:ascii="Times New Roman" w:eastAsia="Times New Roman" w:hAnsi="Times New Roman" w:cs="Times New Roman"/>
          <w:color w:val="000000"/>
          <w:sz w:val="24"/>
          <w:szCs w:val="24"/>
        </w:rPr>
        <w:t>Matek</w:t>
      </w:r>
      <w:proofErr w:type="spellEnd"/>
      <w:r w:rsidRPr="00D84719">
        <w:rPr>
          <w:rFonts w:ascii="Times New Roman" w:eastAsia="Times New Roman" w:hAnsi="Times New Roman" w:cs="Times New Roman"/>
          <w:color w:val="000000"/>
          <w:sz w:val="24"/>
          <w:szCs w:val="24"/>
        </w:rPr>
        <w:t xml:space="preserve"> </w:t>
      </w:r>
      <w:proofErr w:type="spellStart"/>
      <w:r w:rsidRPr="00D84719">
        <w:rPr>
          <w:rFonts w:ascii="Times New Roman" w:eastAsia="Times New Roman" w:hAnsi="Times New Roman" w:cs="Times New Roman"/>
          <w:color w:val="000000"/>
          <w:sz w:val="24"/>
          <w:szCs w:val="24"/>
        </w:rPr>
        <w:t>Sarić</w:t>
      </w:r>
      <w:proofErr w:type="spellEnd"/>
      <w:r w:rsidRPr="00D84719">
        <w:rPr>
          <w:rFonts w:ascii="Times New Roman" w:eastAsia="Times New Roman" w:hAnsi="Times New Roman" w:cs="Times New Roman"/>
          <w:color w:val="000000"/>
          <w:sz w:val="24"/>
          <w:szCs w:val="24"/>
        </w:rPr>
        <w:t xml:space="preserve">, J. </w:t>
      </w:r>
      <w:proofErr w:type="spellStart"/>
      <w:r w:rsidRPr="00D84719">
        <w:rPr>
          <w:rFonts w:ascii="Times New Roman" w:eastAsia="Times New Roman" w:hAnsi="Times New Roman" w:cs="Times New Roman"/>
          <w:color w:val="000000"/>
          <w:sz w:val="24"/>
          <w:szCs w:val="24"/>
        </w:rPr>
        <w:t>Grzunov</w:t>
      </w:r>
      <w:proofErr w:type="spellEnd"/>
      <w:r w:rsidRPr="00D84719">
        <w:rPr>
          <w:rFonts w:ascii="Times New Roman" w:eastAsia="Times New Roman" w:hAnsi="Times New Roman" w:cs="Times New Roman"/>
          <w:color w:val="000000"/>
          <w:sz w:val="24"/>
          <w:szCs w:val="24"/>
        </w:rPr>
        <w:t xml:space="preserve"> </w:t>
      </w:r>
      <w:proofErr w:type="spellStart"/>
      <w:r w:rsidRPr="00D84719">
        <w:rPr>
          <w:rFonts w:ascii="Times New Roman" w:eastAsia="Times New Roman" w:hAnsi="Times New Roman" w:cs="Times New Roman"/>
          <w:color w:val="000000"/>
          <w:sz w:val="24"/>
          <w:szCs w:val="24"/>
        </w:rPr>
        <w:t>Letinić</w:t>
      </w:r>
      <w:proofErr w:type="spellEnd"/>
      <w:r w:rsidRPr="00D84719">
        <w:rPr>
          <w:rFonts w:ascii="Times New Roman" w:eastAsia="Times New Roman" w:hAnsi="Times New Roman" w:cs="Times New Roman"/>
          <w:color w:val="000000"/>
          <w:sz w:val="24"/>
          <w:szCs w:val="24"/>
        </w:rPr>
        <w:t xml:space="preserve">, A. Popović. </w:t>
      </w:r>
      <w:r w:rsidR="007C32C9">
        <w:rPr>
          <w:rFonts w:ascii="Times New Roman" w:eastAsia="Times New Roman" w:hAnsi="Times New Roman" w:cs="Times New Roman"/>
          <w:color w:val="000000"/>
          <w:sz w:val="24"/>
          <w:szCs w:val="24"/>
        </w:rPr>
        <w:t>„</w:t>
      </w:r>
      <w:proofErr w:type="spellStart"/>
      <w:r w:rsidRPr="00D84719">
        <w:rPr>
          <w:rFonts w:ascii="Times New Roman" w:eastAsia="Times New Roman" w:hAnsi="Times New Roman" w:cs="Times New Roman"/>
          <w:color w:val="000000"/>
          <w:sz w:val="24"/>
          <w:szCs w:val="24"/>
        </w:rPr>
        <w:t>Introducing</w:t>
      </w:r>
      <w:proofErr w:type="spellEnd"/>
      <w:r w:rsidRPr="00D84719">
        <w:rPr>
          <w:rFonts w:ascii="Times New Roman" w:eastAsia="Times New Roman" w:hAnsi="Times New Roman" w:cs="Times New Roman"/>
          <w:color w:val="000000"/>
          <w:sz w:val="24"/>
          <w:szCs w:val="24"/>
        </w:rPr>
        <w:t xml:space="preserve"> </w:t>
      </w:r>
      <w:proofErr w:type="spellStart"/>
      <w:r w:rsidRPr="00D84719">
        <w:rPr>
          <w:rFonts w:ascii="Times New Roman" w:eastAsia="Times New Roman" w:hAnsi="Times New Roman" w:cs="Times New Roman"/>
          <w:color w:val="000000"/>
          <w:sz w:val="24"/>
          <w:szCs w:val="24"/>
        </w:rPr>
        <w:t>of</w:t>
      </w:r>
      <w:proofErr w:type="spellEnd"/>
      <w:r w:rsidRPr="00D84719">
        <w:rPr>
          <w:rFonts w:ascii="Times New Roman" w:eastAsia="Times New Roman" w:hAnsi="Times New Roman" w:cs="Times New Roman"/>
          <w:color w:val="000000"/>
          <w:sz w:val="24"/>
          <w:szCs w:val="24"/>
        </w:rPr>
        <w:t xml:space="preserve"> </w:t>
      </w:r>
      <w:proofErr w:type="spellStart"/>
      <w:r w:rsidRPr="00D84719">
        <w:rPr>
          <w:rFonts w:ascii="Times New Roman" w:eastAsia="Times New Roman" w:hAnsi="Times New Roman" w:cs="Times New Roman"/>
          <w:color w:val="000000"/>
          <w:sz w:val="24"/>
          <w:szCs w:val="24"/>
        </w:rPr>
        <w:t>modeling</w:t>
      </w:r>
      <w:proofErr w:type="spellEnd"/>
      <w:r w:rsidRPr="00D84719">
        <w:rPr>
          <w:rFonts w:ascii="Times New Roman" w:eastAsia="Times New Roman" w:hAnsi="Times New Roman" w:cs="Times New Roman"/>
          <w:color w:val="000000"/>
          <w:sz w:val="24"/>
          <w:szCs w:val="24"/>
        </w:rPr>
        <w:t xml:space="preserve"> </w:t>
      </w:r>
      <w:proofErr w:type="spellStart"/>
      <w:r w:rsidRPr="00D84719">
        <w:rPr>
          <w:rFonts w:ascii="Times New Roman" w:eastAsia="Times New Roman" w:hAnsi="Times New Roman" w:cs="Times New Roman"/>
          <w:color w:val="000000"/>
          <w:sz w:val="24"/>
          <w:szCs w:val="24"/>
        </w:rPr>
        <w:t>techniques</w:t>
      </w:r>
      <w:proofErr w:type="spellEnd"/>
      <w:r w:rsidRPr="00D84719">
        <w:rPr>
          <w:rFonts w:ascii="Times New Roman" w:eastAsia="Times New Roman" w:hAnsi="Times New Roman" w:cs="Times New Roman"/>
          <w:color w:val="000000"/>
          <w:sz w:val="24"/>
          <w:szCs w:val="24"/>
        </w:rPr>
        <w:t xml:space="preserve"> </w:t>
      </w:r>
      <w:proofErr w:type="spellStart"/>
      <w:r w:rsidRPr="00D84719">
        <w:rPr>
          <w:rFonts w:ascii="Times New Roman" w:eastAsia="Times New Roman" w:hAnsi="Times New Roman" w:cs="Times New Roman"/>
          <w:color w:val="000000"/>
          <w:sz w:val="24"/>
          <w:szCs w:val="24"/>
        </w:rPr>
        <w:t>in</w:t>
      </w:r>
      <w:proofErr w:type="spellEnd"/>
      <w:r w:rsidRPr="00D84719">
        <w:rPr>
          <w:rFonts w:ascii="Times New Roman" w:eastAsia="Times New Roman" w:hAnsi="Times New Roman" w:cs="Times New Roman"/>
          <w:color w:val="000000"/>
          <w:sz w:val="24"/>
          <w:szCs w:val="24"/>
        </w:rPr>
        <w:t xml:space="preserve"> </w:t>
      </w:r>
      <w:proofErr w:type="spellStart"/>
      <w:r w:rsidRPr="00D84719">
        <w:rPr>
          <w:rFonts w:ascii="Times New Roman" w:eastAsia="Times New Roman" w:hAnsi="Times New Roman" w:cs="Times New Roman"/>
          <w:color w:val="000000"/>
          <w:sz w:val="24"/>
          <w:szCs w:val="24"/>
        </w:rPr>
        <w:t>the</w:t>
      </w:r>
      <w:proofErr w:type="spellEnd"/>
      <w:r w:rsidRPr="00D84719">
        <w:rPr>
          <w:rFonts w:ascii="Times New Roman" w:eastAsia="Times New Roman" w:hAnsi="Times New Roman" w:cs="Times New Roman"/>
          <w:color w:val="000000"/>
          <w:sz w:val="24"/>
          <w:szCs w:val="24"/>
        </w:rPr>
        <w:t xml:space="preserve"> </w:t>
      </w:r>
      <w:proofErr w:type="spellStart"/>
      <w:r w:rsidRPr="00D84719">
        <w:rPr>
          <w:rFonts w:ascii="Times New Roman" w:eastAsia="Times New Roman" w:hAnsi="Times New Roman" w:cs="Times New Roman"/>
          <w:color w:val="000000"/>
          <w:sz w:val="24"/>
          <w:szCs w:val="24"/>
        </w:rPr>
        <w:t>research</w:t>
      </w:r>
      <w:proofErr w:type="spellEnd"/>
      <w:r w:rsidRPr="00D84719">
        <w:rPr>
          <w:rFonts w:ascii="Times New Roman" w:eastAsia="Times New Roman" w:hAnsi="Times New Roman" w:cs="Times New Roman"/>
          <w:color w:val="000000"/>
          <w:sz w:val="24"/>
          <w:szCs w:val="24"/>
        </w:rPr>
        <w:t xml:space="preserve"> </w:t>
      </w:r>
      <w:proofErr w:type="spellStart"/>
      <w:r w:rsidRPr="00D84719">
        <w:rPr>
          <w:rFonts w:ascii="Times New Roman" w:eastAsia="Times New Roman" w:hAnsi="Times New Roman" w:cs="Times New Roman"/>
          <w:color w:val="000000"/>
          <w:sz w:val="24"/>
          <w:szCs w:val="24"/>
        </w:rPr>
        <w:t>of</w:t>
      </w:r>
      <w:proofErr w:type="spellEnd"/>
      <w:r w:rsidRPr="00D84719">
        <w:rPr>
          <w:rFonts w:ascii="Times New Roman" w:eastAsia="Times New Roman" w:hAnsi="Times New Roman" w:cs="Times New Roman"/>
          <w:color w:val="000000"/>
          <w:sz w:val="24"/>
          <w:szCs w:val="24"/>
        </w:rPr>
        <w:t xml:space="preserve"> POPs </w:t>
      </w:r>
      <w:proofErr w:type="spellStart"/>
      <w:r w:rsidRPr="00D84719">
        <w:rPr>
          <w:rFonts w:ascii="Times New Roman" w:eastAsia="Times New Roman" w:hAnsi="Times New Roman" w:cs="Times New Roman"/>
          <w:color w:val="000000"/>
          <w:sz w:val="24"/>
          <w:szCs w:val="24"/>
        </w:rPr>
        <w:t>in</w:t>
      </w:r>
      <w:proofErr w:type="spellEnd"/>
      <w:r w:rsidRPr="00D84719">
        <w:rPr>
          <w:rFonts w:ascii="Times New Roman" w:eastAsia="Times New Roman" w:hAnsi="Times New Roman" w:cs="Times New Roman"/>
          <w:color w:val="000000"/>
          <w:sz w:val="24"/>
          <w:szCs w:val="24"/>
        </w:rPr>
        <w:t xml:space="preserve"> </w:t>
      </w:r>
      <w:proofErr w:type="spellStart"/>
      <w:r w:rsidRPr="00D84719">
        <w:rPr>
          <w:rFonts w:ascii="Times New Roman" w:eastAsia="Times New Roman" w:hAnsi="Times New Roman" w:cs="Times New Roman"/>
          <w:color w:val="000000"/>
          <w:sz w:val="24"/>
          <w:szCs w:val="24"/>
        </w:rPr>
        <w:t>breast</w:t>
      </w:r>
      <w:proofErr w:type="spellEnd"/>
      <w:r w:rsidRPr="00D84719">
        <w:rPr>
          <w:rFonts w:ascii="Times New Roman" w:eastAsia="Times New Roman" w:hAnsi="Times New Roman" w:cs="Times New Roman"/>
          <w:color w:val="000000"/>
          <w:sz w:val="24"/>
          <w:szCs w:val="24"/>
        </w:rPr>
        <w:t xml:space="preserve"> </w:t>
      </w:r>
      <w:proofErr w:type="spellStart"/>
      <w:r w:rsidRPr="00D84719">
        <w:rPr>
          <w:rFonts w:ascii="Times New Roman" w:eastAsia="Times New Roman" w:hAnsi="Times New Roman" w:cs="Times New Roman"/>
          <w:color w:val="000000"/>
          <w:sz w:val="24"/>
          <w:szCs w:val="24"/>
        </w:rPr>
        <w:t>milk</w:t>
      </w:r>
      <w:proofErr w:type="spellEnd"/>
      <w:r w:rsidRPr="00D84719">
        <w:rPr>
          <w:rFonts w:ascii="Times New Roman" w:eastAsia="Times New Roman" w:hAnsi="Times New Roman" w:cs="Times New Roman"/>
          <w:color w:val="000000"/>
          <w:sz w:val="24"/>
          <w:szCs w:val="24"/>
        </w:rPr>
        <w:t xml:space="preserve"> –A pilot </w:t>
      </w:r>
      <w:proofErr w:type="spellStart"/>
      <w:r w:rsidRPr="00D84719">
        <w:rPr>
          <w:rFonts w:ascii="Times New Roman" w:eastAsia="Times New Roman" w:hAnsi="Times New Roman" w:cs="Times New Roman"/>
          <w:color w:val="000000"/>
          <w:sz w:val="24"/>
          <w:szCs w:val="24"/>
        </w:rPr>
        <w:t>study</w:t>
      </w:r>
      <w:proofErr w:type="spellEnd"/>
      <w:r w:rsidRPr="00D84719">
        <w:rPr>
          <w:rFonts w:ascii="Times New Roman" w:eastAsia="Times New Roman" w:hAnsi="Times New Roman" w:cs="Times New Roman"/>
          <w:color w:val="000000"/>
          <w:sz w:val="24"/>
          <w:szCs w:val="24"/>
        </w:rPr>
        <w:t xml:space="preserve">” publicirano u: </w:t>
      </w:r>
      <w:proofErr w:type="spellStart"/>
      <w:r w:rsidRPr="00D84719">
        <w:rPr>
          <w:rFonts w:ascii="Times New Roman" w:eastAsia="Times New Roman" w:hAnsi="Times New Roman" w:cs="Times New Roman"/>
          <w:color w:val="000000"/>
          <w:sz w:val="24"/>
          <w:szCs w:val="24"/>
        </w:rPr>
        <w:t>Ecotoxicology</w:t>
      </w:r>
      <w:proofErr w:type="spellEnd"/>
      <w:r w:rsidRPr="00D84719">
        <w:rPr>
          <w:rFonts w:ascii="Times New Roman" w:eastAsia="Times New Roman" w:hAnsi="Times New Roman" w:cs="Times New Roman"/>
          <w:color w:val="000000"/>
          <w:sz w:val="24"/>
          <w:szCs w:val="24"/>
        </w:rPr>
        <w:t xml:space="preserve"> </w:t>
      </w:r>
      <w:proofErr w:type="spellStart"/>
      <w:r w:rsidRPr="00D84719">
        <w:rPr>
          <w:rFonts w:ascii="Times New Roman" w:eastAsia="Times New Roman" w:hAnsi="Times New Roman" w:cs="Times New Roman"/>
          <w:color w:val="000000"/>
          <w:sz w:val="24"/>
          <w:szCs w:val="24"/>
        </w:rPr>
        <w:t>and</w:t>
      </w:r>
      <w:proofErr w:type="spellEnd"/>
      <w:r w:rsidRPr="00D84719">
        <w:rPr>
          <w:rFonts w:ascii="Times New Roman" w:eastAsia="Times New Roman" w:hAnsi="Times New Roman" w:cs="Times New Roman"/>
          <w:color w:val="000000"/>
          <w:sz w:val="24"/>
          <w:szCs w:val="24"/>
        </w:rPr>
        <w:t xml:space="preserve"> </w:t>
      </w:r>
      <w:proofErr w:type="spellStart"/>
      <w:r w:rsidRPr="00D84719">
        <w:rPr>
          <w:rFonts w:ascii="Times New Roman" w:eastAsia="Times New Roman" w:hAnsi="Times New Roman" w:cs="Times New Roman"/>
          <w:color w:val="000000"/>
          <w:sz w:val="24"/>
          <w:szCs w:val="24"/>
        </w:rPr>
        <w:t>Environmental</w:t>
      </w:r>
      <w:proofErr w:type="spellEnd"/>
      <w:r w:rsidRPr="00D84719">
        <w:rPr>
          <w:rFonts w:ascii="Times New Roman" w:eastAsia="Times New Roman" w:hAnsi="Times New Roman" w:cs="Times New Roman"/>
          <w:color w:val="000000"/>
          <w:sz w:val="24"/>
          <w:szCs w:val="24"/>
        </w:rPr>
        <w:t xml:space="preserve"> </w:t>
      </w:r>
      <w:proofErr w:type="spellStart"/>
      <w:r w:rsidRPr="00D84719">
        <w:rPr>
          <w:rFonts w:ascii="Times New Roman" w:eastAsia="Times New Roman" w:hAnsi="Times New Roman" w:cs="Times New Roman"/>
          <w:color w:val="000000"/>
          <w:sz w:val="24"/>
          <w:szCs w:val="24"/>
        </w:rPr>
        <w:t>Safety</w:t>
      </w:r>
      <w:proofErr w:type="spellEnd"/>
      <w:r w:rsidRPr="00D84719">
        <w:rPr>
          <w:rFonts w:ascii="Times New Roman" w:eastAsia="Times New Roman" w:hAnsi="Times New Roman" w:cs="Times New Roman"/>
          <w:color w:val="000000"/>
          <w:sz w:val="24"/>
          <w:szCs w:val="24"/>
        </w:rPr>
        <w:t xml:space="preserve"> 172 (2019) 341–347)</w:t>
      </w:r>
    </w:p>
    <w:p w14:paraId="62BB98F2" w14:textId="77777777" w:rsidR="00D84719" w:rsidRPr="00D84719" w:rsidRDefault="00D84719" w:rsidP="00D84719">
      <w:pPr>
        <w:spacing w:before="120" w:after="12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 xml:space="preserve">Prema iznesenim rezultatima, populacija u Republici Hrvatskoj nije značajno ugrožena onečišćenjem organoklornim spojevima. Ipak, potrebno je pratiti razine organoklornih spojeva kako u ljudima tako i ekosustavima u područjima sa sekundarnim izvorima onečišćenja. </w:t>
      </w:r>
    </w:p>
    <w:p w14:paraId="51E76A35" w14:textId="77777777" w:rsidR="00D84719" w:rsidRPr="00D84719" w:rsidRDefault="00D84719" w:rsidP="00D84719">
      <w:pPr>
        <w:spacing w:before="120" w:after="120" w:line="276" w:lineRule="auto"/>
        <w:jc w:val="both"/>
        <w:rPr>
          <w:rFonts w:ascii="Times New Roman" w:eastAsia="Times New Roman" w:hAnsi="Times New Roman" w:cs="Times New Roman"/>
          <w:color w:val="000000"/>
          <w:szCs w:val="24"/>
        </w:rPr>
      </w:pPr>
    </w:p>
    <w:p w14:paraId="35E25B7B" w14:textId="77777777" w:rsidR="00D84719" w:rsidRPr="00D84719" w:rsidRDefault="00D84719" w:rsidP="00F32974">
      <w:pPr>
        <w:pStyle w:val="Naslov3"/>
      </w:pPr>
      <w:bookmarkStart w:id="171" w:name="_Toc8637315"/>
      <w:bookmarkStart w:id="172" w:name="_Toc41638284"/>
      <w:bookmarkStart w:id="173" w:name="_Toc64460744"/>
      <w:r w:rsidRPr="00D84719">
        <w:t>MONITORING REZIDUA – OSTALI IZVORI</w:t>
      </w:r>
      <w:bookmarkEnd w:id="171"/>
      <w:bookmarkEnd w:id="172"/>
      <w:bookmarkEnd w:id="173"/>
    </w:p>
    <w:p w14:paraId="47DC4A8F" w14:textId="77777777" w:rsidR="00D84719" w:rsidRPr="00D84719" w:rsidRDefault="00D84719" w:rsidP="00FF4C25">
      <w:pPr>
        <w:spacing w:before="120" w:after="12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Zakonom o veterinarstvu („Narodne novine“, br. 82/13,148/13 i 115/18) u članku 93., definiran je monitoring program sustavnoga praćenja rezidua i drugih za ljudsko zdravlje škodljivih onečišćivača, u proizvodima životinjskoga podrijetla koji su namijenjeni prehrani ljudi. Državnim programom monitoringa rezidua (DPMR) kontroliraju se uzorci goveda, svinja, peradi, ovaca, koza, konja, slatkovodne i morske ribe, meda, mlijeka i jaja na organoklorne tvari (pesticide – koji su i POPs-ovi) te na dioksine i dioksinima slične PCB-e.</w:t>
      </w:r>
    </w:p>
    <w:p w14:paraId="692537B9" w14:textId="77777777" w:rsidR="00D84719" w:rsidRPr="00FF4C25" w:rsidRDefault="00D84719" w:rsidP="00FF4C25">
      <w:pPr>
        <w:spacing w:before="120" w:after="120" w:line="276" w:lineRule="auto"/>
        <w:jc w:val="both"/>
        <w:rPr>
          <w:rFonts w:ascii="Times New Roman" w:eastAsia="Times New Roman" w:hAnsi="Times New Roman" w:cs="Times New Roman"/>
          <w:color w:val="000000"/>
          <w:sz w:val="24"/>
          <w:szCs w:val="24"/>
        </w:rPr>
      </w:pPr>
    </w:p>
    <w:p w14:paraId="53D7A400" w14:textId="77777777" w:rsidR="00D84719" w:rsidRPr="00D84719" w:rsidRDefault="00D84719" w:rsidP="00F32974">
      <w:pPr>
        <w:pStyle w:val="Naslov3"/>
      </w:pPr>
      <w:bookmarkStart w:id="174" w:name="_Toc8637316"/>
      <w:bookmarkStart w:id="175" w:name="_Toc41638285"/>
      <w:bookmarkStart w:id="176" w:name="_Toc64460745"/>
      <w:r w:rsidRPr="00D84719">
        <w:t>IZVJEŠTAJI IZ OVLAŠTENIH LABORATORIJA</w:t>
      </w:r>
      <w:bookmarkEnd w:id="174"/>
      <w:bookmarkEnd w:id="175"/>
      <w:bookmarkEnd w:id="176"/>
    </w:p>
    <w:p w14:paraId="12BB6E24" w14:textId="77777777" w:rsidR="00D84719" w:rsidRPr="00D84719" w:rsidRDefault="00D84719" w:rsidP="00D84719">
      <w:pPr>
        <w:spacing w:before="80" w:line="252" w:lineRule="auto"/>
        <w:jc w:val="both"/>
        <w:rPr>
          <w:rFonts w:ascii="Times New Roman" w:eastAsia="Calibri" w:hAnsi="Times New Roman" w:cs="Times New Roman"/>
          <w:color w:val="000000"/>
          <w:sz w:val="24"/>
        </w:rPr>
      </w:pPr>
      <w:r w:rsidRPr="00D84719">
        <w:rPr>
          <w:rFonts w:ascii="Times New Roman" w:eastAsia="Calibri" w:hAnsi="Times New Roman" w:cs="Times New Roman"/>
          <w:color w:val="000000"/>
          <w:sz w:val="24"/>
        </w:rPr>
        <w:t xml:space="preserve">Laboratoriji </w:t>
      </w:r>
      <w:r w:rsidRPr="00D84719">
        <w:rPr>
          <w:rFonts w:ascii="Times New Roman" w:eastAsia="Calibri" w:hAnsi="Times New Roman" w:cs="Times New Roman"/>
          <w:i/>
          <w:color w:val="000000"/>
          <w:sz w:val="24"/>
          <w:szCs w:val="24"/>
        </w:rPr>
        <w:t>Službe za zaštitu okoliša i zdravstvenu ekologiju Nastavnog zavoda za javno zdravstvo „Dr. Andrija Štampar“, Zagreb</w:t>
      </w:r>
      <w:r w:rsidR="00612979">
        <w:rPr>
          <w:rFonts w:ascii="Times New Roman" w:eastAsia="Calibri" w:hAnsi="Times New Roman" w:cs="Times New Roman"/>
          <w:color w:val="000000"/>
          <w:sz w:val="24"/>
        </w:rPr>
        <w:t xml:space="preserve"> </w:t>
      </w:r>
      <w:r w:rsidRPr="00D84719">
        <w:rPr>
          <w:rFonts w:ascii="Times New Roman" w:eastAsia="Calibri" w:hAnsi="Times New Roman" w:cs="Times New Roman"/>
          <w:color w:val="000000"/>
          <w:sz w:val="24"/>
        </w:rPr>
        <w:t>ovlašteni su od strane nadležnih ministarstava između ostalih u područjima vezano specifično za monitoring i ispitivanja tvari uključenih na popis postojanih organskih onečišćujućih tvari sukladno Zakonu o potvrđivanju Stockholmske konvencije o postojanim organskim onečišćujućim tvarima („Narodne novine – Međunarodni ugovori“, broj 11/06) i Nacionalnom planu za provedbu Stockholmske konvencije o postojanim organskim onečišćujućim tvarima.</w:t>
      </w:r>
    </w:p>
    <w:p w14:paraId="3B7D2243"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Tijekom razdoblja siječanj 2015. do</w:t>
      </w:r>
      <w:r w:rsidR="00612979">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xml:space="preserve">prosinac 2017., u Službi provedene su analize slijedećih parametara/tvari: aldrin, dieldrin, endosulfan, endrin, heksaklorobenzen (HCB), heptaklor, klordan, lindan, pentaklorobenzen, PCB-i i PCDD/PCDF. </w:t>
      </w:r>
    </w:p>
    <w:p w14:paraId="4A982D3F"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U ukupno 1157 uzoraka voda (uključivo vode za ljudsku potrošnju, površinske, podzemne ili otpadne vode) analizirano je ukupno 11755 parametara (tvari uključenih u popis POPs-ova u Republici Hrvatskoj).</w:t>
      </w:r>
    </w:p>
    <w:p w14:paraId="4B0C999C" w14:textId="77777777" w:rsidR="00D84719" w:rsidRPr="00FF4C25" w:rsidRDefault="00D84719" w:rsidP="00FF4C25">
      <w:pPr>
        <w:pStyle w:val="Odlomakpopisa"/>
        <w:numPr>
          <w:ilvl w:val="0"/>
          <w:numId w:val="38"/>
        </w:numPr>
        <w:spacing w:before="80" w:line="276" w:lineRule="auto"/>
        <w:jc w:val="both"/>
        <w:rPr>
          <w:rFonts w:ascii="Times New Roman" w:eastAsia="Times New Roman" w:hAnsi="Times New Roman" w:cs="Times New Roman"/>
          <w:color w:val="000000"/>
          <w:sz w:val="24"/>
          <w:szCs w:val="24"/>
        </w:rPr>
      </w:pPr>
      <w:r w:rsidRPr="00FF4C25">
        <w:rPr>
          <w:rFonts w:ascii="Times New Roman" w:eastAsia="Times New Roman" w:hAnsi="Times New Roman" w:cs="Times New Roman"/>
          <w:color w:val="000000"/>
          <w:sz w:val="24"/>
          <w:szCs w:val="24"/>
        </w:rPr>
        <w:t xml:space="preserve">Ukupno je 479 uzoraka voda ocijenjeno kao ispravno, jedan kao neispravan te je 97 rezultata ocijenjeno kao neutvrđeno radi nepropisane maksimalno dozvoljene koncentracije u predmetnoj vrsti analiziranog uzorka. </w:t>
      </w:r>
    </w:p>
    <w:p w14:paraId="3D6DD9B4" w14:textId="77777777" w:rsidR="00D84719" w:rsidRPr="00FF4C25" w:rsidRDefault="00D84719" w:rsidP="00FF4C25">
      <w:pPr>
        <w:pStyle w:val="Odlomakpopisa"/>
        <w:numPr>
          <w:ilvl w:val="0"/>
          <w:numId w:val="38"/>
        </w:numPr>
        <w:spacing w:before="80" w:line="276" w:lineRule="auto"/>
        <w:jc w:val="both"/>
        <w:rPr>
          <w:rFonts w:ascii="Times New Roman" w:eastAsia="Calibri" w:hAnsi="Times New Roman" w:cs="Times New Roman"/>
          <w:color w:val="000000"/>
          <w:sz w:val="24"/>
        </w:rPr>
      </w:pPr>
      <w:r w:rsidRPr="00FF4C25">
        <w:rPr>
          <w:rFonts w:ascii="Times New Roman" w:eastAsia="Times New Roman" w:hAnsi="Times New Roman" w:cs="Times New Roman"/>
          <w:color w:val="000000"/>
          <w:sz w:val="24"/>
          <w:szCs w:val="24"/>
        </w:rPr>
        <w:lastRenderedPageBreak/>
        <w:t>Ukupno je 3238 parametara analiziranih u vodi ocijenjeno kao ispravno, jedan kao neispravan te je 701 rezultata ocijenjeno kao neutvrđeno radi nepropisane maksimalno dozvoljene koncentracije u predmetnoj vrsti analiziranog uzorka.</w:t>
      </w:r>
    </w:p>
    <w:p w14:paraId="3A4594AD" w14:textId="77777777" w:rsidR="00D84719" w:rsidRPr="00FF4C25" w:rsidRDefault="00D84719" w:rsidP="00FF4C25">
      <w:pPr>
        <w:pStyle w:val="Odlomakpopisa"/>
        <w:numPr>
          <w:ilvl w:val="0"/>
          <w:numId w:val="38"/>
        </w:numPr>
        <w:spacing w:before="80" w:after="120" w:line="252" w:lineRule="auto"/>
        <w:jc w:val="both"/>
        <w:rPr>
          <w:rFonts w:ascii="Times New Roman" w:eastAsia="Calibri" w:hAnsi="Times New Roman" w:cs="Times New Roman"/>
          <w:color w:val="000000"/>
          <w:sz w:val="24"/>
        </w:rPr>
      </w:pPr>
      <w:r w:rsidRPr="00FF4C25">
        <w:rPr>
          <w:rFonts w:ascii="Times New Roman" w:eastAsia="Calibri" w:hAnsi="Times New Roman" w:cs="Times New Roman"/>
          <w:color w:val="000000"/>
          <w:sz w:val="24"/>
        </w:rPr>
        <w:t>U ukupno 4788 uzoraka hrane (uzorci masne hrane, voće, povrće i proizvodi) analizirano je ukupno 34157 parametara (tvari uključenih u popis postojanih organskih onečišćujućih tvari u Republici Hrvatskoj).</w:t>
      </w:r>
    </w:p>
    <w:p w14:paraId="1A6572DD" w14:textId="77777777" w:rsidR="00D84719" w:rsidRPr="00FF4C25" w:rsidRDefault="00D84719" w:rsidP="00FF4C25">
      <w:pPr>
        <w:pStyle w:val="Odlomakpopisa"/>
        <w:numPr>
          <w:ilvl w:val="0"/>
          <w:numId w:val="38"/>
        </w:numPr>
        <w:spacing w:before="80" w:line="276" w:lineRule="auto"/>
        <w:jc w:val="both"/>
        <w:rPr>
          <w:rFonts w:ascii="Times New Roman" w:eastAsia="Calibri" w:hAnsi="Times New Roman" w:cs="Times New Roman"/>
          <w:color w:val="000000"/>
          <w:sz w:val="24"/>
          <w:szCs w:val="24"/>
        </w:rPr>
      </w:pPr>
      <w:r w:rsidRPr="00FF4C25">
        <w:rPr>
          <w:rFonts w:ascii="Times New Roman" w:eastAsia="Calibri" w:hAnsi="Times New Roman" w:cs="Times New Roman"/>
          <w:color w:val="000000"/>
          <w:sz w:val="24"/>
          <w:szCs w:val="24"/>
        </w:rPr>
        <w:t>Ukupno je 4623 uzoraka hrane ocijenjeno kao ispravno, nula kao neispravan te je 165 rezultata ocijenjeno kao neutvrđeno radi nepropisane maksimalno dozvoljene koncentracije u predmetnoj vrsti analiziranog uzorka.</w:t>
      </w:r>
    </w:p>
    <w:p w14:paraId="40F43CBC" w14:textId="77777777" w:rsidR="00D84719" w:rsidRPr="00FF4C25" w:rsidRDefault="00D84719" w:rsidP="00FF4C25">
      <w:pPr>
        <w:pStyle w:val="Odlomakpopisa"/>
        <w:numPr>
          <w:ilvl w:val="0"/>
          <w:numId w:val="38"/>
        </w:numPr>
        <w:spacing w:before="80" w:line="276" w:lineRule="auto"/>
        <w:jc w:val="both"/>
        <w:rPr>
          <w:rFonts w:ascii="Times New Roman" w:eastAsia="Calibri" w:hAnsi="Times New Roman" w:cs="Times New Roman"/>
          <w:color w:val="000000"/>
          <w:sz w:val="24"/>
          <w:szCs w:val="24"/>
        </w:rPr>
      </w:pPr>
      <w:r w:rsidRPr="00FF4C25">
        <w:rPr>
          <w:rFonts w:ascii="Times New Roman" w:eastAsia="Calibri" w:hAnsi="Times New Roman" w:cs="Times New Roman"/>
          <w:color w:val="000000"/>
          <w:sz w:val="24"/>
          <w:szCs w:val="24"/>
        </w:rPr>
        <w:t>Ukupno je 33026 parametara analiziranih u hrani ocijenjeno kao ispravno, nula kao neispravan te je 1131 rezultata ocijenjeno kao neutvrđeno radi nepropisane maksimalno dozvoljene koncentracije u predmetnoj vrsti analiziranog uzorka.</w:t>
      </w:r>
    </w:p>
    <w:p w14:paraId="74CAD7D4" w14:textId="77777777" w:rsidR="00D84719" w:rsidRPr="00FF4C25" w:rsidRDefault="00D84719" w:rsidP="00FF4C25">
      <w:pPr>
        <w:pStyle w:val="Odlomakpopisa"/>
        <w:numPr>
          <w:ilvl w:val="0"/>
          <w:numId w:val="38"/>
        </w:numPr>
        <w:spacing w:before="80" w:line="276" w:lineRule="auto"/>
        <w:jc w:val="both"/>
        <w:rPr>
          <w:rFonts w:ascii="Times New Roman" w:eastAsia="Times New Roman" w:hAnsi="Times New Roman" w:cs="Times New Roman"/>
          <w:color w:val="000000"/>
          <w:sz w:val="24"/>
          <w:szCs w:val="24"/>
        </w:rPr>
      </w:pPr>
      <w:r w:rsidRPr="00FF4C25">
        <w:rPr>
          <w:rFonts w:ascii="Times New Roman" w:eastAsia="Times New Roman" w:hAnsi="Times New Roman" w:cs="Times New Roman"/>
          <w:color w:val="000000"/>
          <w:sz w:val="24"/>
          <w:szCs w:val="24"/>
        </w:rPr>
        <w:t xml:space="preserve">U ukupno 1659 uzoraka tla, otpada i muljeva analizirano je ukupno 2211 parametara (tvari uključenih u popis postojanih organskih onečišćujućih tvari u Republici Hrvatskoj). </w:t>
      </w:r>
    </w:p>
    <w:p w14:paraId="24C6D08F" w14:textId="77777777" w:rsidR="00D84719" w:rsidRPr="00FF4C25" w:rsidRDefault="00D84719" w:rsidP="00FF4C25">
      <w:pPr>
        <w:pStyle w:val="Odlomakpopisa"/>
        <w:numPr>
          <w:ilvl w:val="0"/>
          <w:numId w:val="38"/>
        </w:numPr>
        <w:spacing w:before="80" w:line="276" w:lineRule="auto"/>
        <w:jc w:val="both"/>
        <w:rPr>
          <w:rFonts w:ascii="Times New Roman" w:eastAsia="Times New Roman" w:hAnsi="Times New Roman" w:cs="Times New Roman"/>
          <w:color w:val="000000"/>
          <w:sz w:val="24"/>
          <w:szCs w:val="24"/>
        </w:rPr>
      </w:pPr>
      <w:r w:rsidRPr="00FF4C25">
        <w:rPr>
          <w:rFonts w:ascii="Times New Roman" w:eastAsia="Times New Roman" w:hAnsi="Times New Roman" w:cs="Times New Roman"/>
          <w:color w:val="000000"/>
          <w:sz w:val="24"/>
          <w:szCs w:val="24"/>
        </w:rPr>
        <w:t>Ukupno je 828 uzoraka tla, otpada ili muljeva ocijenjeno kao ispravno, nula kao neispravan te je 831 rezultata ocijenjeno kao neutvrđeno radi nepropisane maksimalno dozvoljene koncentracije u predmetnoj vrsti analiziranog uzorka.</w:t>
      </w:r>
    </w:p>
    <w:p w14:paraId="7A3BD131" w14:textId="77777777" w:rsidR="00D84719" w:rsidRPr="00FF4C25" w:rsidRDefault="00D84719" w:rsidP="00FF4C25">
      <w:pPr>
        <w:pStyle w:val="Odlomakpopisa"/>
        <w:numPr>
          <w:ilvl w:val="0"/>
          <w:numId w:val="38"/>
        </w:numPr>
        <w:spacing w:before="80" w:line="276" w:lineRule="auto"/>
        <w:jc w:val="both"/>
        <w:rPr>
          <w:rFonts w:ascii="Times New Roman" w:eastAsia="Calibri" w:hAnsi="Times New Roman" w:cs="Times New Roman"/>
          <w:color w:val="000000"/>
          <w:sz w:val="24"/>
          <w:szCs w:val="24"/>
        </w:rPr>
      </w:pPr>
      <w:r w:rsidRPr="00FF4C25">
        <w:rPr>
          <w:rFonts w:ascii="Times New Roman" w:eastAsia="Times New Roman" w:hAnsi="Times New Roman" w:cs="Times New Roman"/>
          <w:color w:val="000000"/>
          <w:sz w:val="24"/>
          <w:szCs w:val="24"/>
        </w:rPr>
        <w:t>Ukupno je 1031 parametara analiziranih u uzorcima tla, otpada ili muljeva ocijenjeno kao ispravno, nula kao neispravan te 1180 rezultata ocijenjeno kao neutvrđeno radi nepropisane maksimalno dozvoljene koncentracije u predmetnoj vrsti analiziranog.</w:t>
      </w:r>
    </w:p>
    <w:p w14:paraId="63D53D6F" w14:textId="77777777" w:rsidR="00D84719" w:rsidRPr="00FF4C25" w:rsidRDefault="00D84719" w:rsidP="00FF4C25">
      <w:pPr>
        <w:pStyle w:val="Odlomakpopisa"/>
        <w:numPr>
          <w:ilvl w:val="0"/>
          <w:numId w:val="38"/>
        </w:numPr>
        <w:spacing w:before="80"/>
        <w:jc w:val="both"/>
        <w:rPr>
          <w:rFonts w:ascii="Times New Roman" w:eastAsia="Calibri" w:hAnsi="Times New Roman" w:cs="Times New Roman"/>
          <w:color w:val="000000"/>
          <w:sz w:val="24"/>
        </w:rPr>
      </w:pPr>
      <w:r w:rsidRPr="00FF4C25">
        <w:rPr>
          <w:rFonts w:ascii="Times New Roman" w:eastAsia="Calibri" w:hAnsi="Times New Roman" w:cs="Times New Roman"/>
          <w:color w:val="000000"/>
          <w:sz w:val="24"/>
        </w:rPr>
        <w:t>Tijekom razdoblja siječanj 2018. do prosinac 2019., u Službi provedene su analize slijedećih parametara/tvari: aldrin, dieldrin, endosulfan, endrin, heksaklorobenzen (HCB), heptaklor, klordan, lindan, pentaklorobenzen, pentaklorofenol, PCB-i te organoklorirani dioksini i furani te njima slični poliklorirani bifenili.</w:t>
      </w:r>
    </w:p>
    <w:p w14:paraId="06A2B640" w14:textId="77777777" w:rsidR="00D84719" w:rsidRPr="00FF4C25" w:rsidRDefault="00D84719" w:rsidP="00FF4C25">
      <w:pPr>
        <w:pStyle w:val="Odlomakpopisa"/>
        <w:numPr>
          <w:ilvl w:val="0"/>
          <w:numId w:val="38"/>
        </w:numPr>
        <w:spacing w:before="80"/>
        <w:jc w:val="both"/>
        <w:rPr>
          <w:rFonts w:ascii="Times New Roman" w:eastAsia="Calibri" w:hAnsi="Times New Roman" w:cs="Times New Roman"/>
          <w:color w:val="000000"/>
          <w:sz w:val="24"/>
        </w:rPr>
      </w:pPr>
      <w:r w:rsidRPr="00FF4C25">
        <w:rPr>
          <w:rFonts w:ascii="Times New Roman" w:eastAsia="Calibri" w:hAnsi="Times New Roman" w:cs="Times New Roman"/>
          <w:color w:val="000000"/>
          <w:sz w:val="24"/>
        </w:rPr>
        <w:t>U ukupno 1041 uzoraka voda (uključivo vode za ljudsku potrošnju, površinske, podzemne ili otpadne vode) analizirano je ukupno 12492 parametara (tvari uključenih u popis POPs-ova u Republici Hrvatskoj).</w:t>
      </w:r>
    </w:p>
    <w:p w14:paraId="2B367072" w14:textId="77777777" w:rsidR="00D84719" w:rsidRPr="00FF4C25" w:rsidRDefault="00D84719" w:rsidP="00FF4C25">
      <w:pPr>
        <w:pStyle w:val="Odlomakpopisa"/>
        <w:numPr>
          <w:ilvl w:val="0"/>
          <w:numId w:val="38"/>
        </w:numPr>
        <w:spacing w:before="80"/>
        <w:jc w:val="both"/>
        <w:rPr>
          <w:rFonts w:ascii="Times New Roman" w:eastAsia="Calibri" w:hAnsi="Times New Roman" w:cs="Times New Roman"/>
          <w:color w:val="000000"/>
          <w:sz w:val="24"/>
        </w:rPr>
      </w:pPr>
      <w:r w:rsidRPr="00FF4C25">
        <w:rPr>
          <w:rFonts w:ascii="Times New Roman" w:eastAsia="Calibri" w:hAnsi="Times New Roman" w:cs="Times New Roman"/>
          <w:color w:val="000000"/>
          <w:sz w:val="24"/>
        </w:rPr>
        <w:t>Ukupno je 498 uzoraka voda ocijenjeno kao ispravno, nula kao neispravan te je 543 rezultata ocijenjeno kao neutvrđeno radi nepropisane maksimalno dozvoljene koncentracije u predmetnoj vrsti analiziranog uzorka.</w:t>
      </w:r>
    </w:p>
    <w:p w14:paraId="62848BEB" w14:textId="77777777" w:rsidR="00D84719" w:rsidRPr="00FF4C25" w:rsidRDefault="00D84719" w:rsidP="00FF4C25">
      <w:pPr>
        <w:pStyle w:val="Odlomakpopisa"/>
        <w:numPr>
          <w:ilvl w:val="0"/>
          <w:numId w:val="38"/>
        </w:numPr>
        <w:spacing w:before="80"/>
        <w:jc w:val="both"/>
        <w:rPr>
          <w:rFonts w:ascii="Times New Roman" w:eastAsia="Calibri" w:hAnsi="Times New Roman" w:cs="Times New Roman"/>
          <w:color w:val="000000"/>
          <w:sz w:val="24"/>
        </w:rPr>
      </w:pPr>
      <w:r w:rsidRPr="00FF4C25">
        <w:rPr>
          <w:rFonts w:ascii="Times New Roman" w:eastAsia="Calibri" w:hAnsi="Times New Roman" w:cs="Times New Roman"/>
          <w:color w:val="000000"/>
          <w:sz w:val="24"/>
        </w:rPr>
        <w:t>Ukupno je 5976 parametara analiziranih u vodi ocijenjeno kao ispravno, nula kao neispravan te je 6516 rezultata ocijenjeno kao neutvrđeno radi nepropisane maksimalno dozvoljene koncentracije u predmetnoj vrsti analiziranog uzorka.</w:t>
      </w:r>
    </w:p>
    <w:p w14:paraId="11F8B3A8" w14:textId="77777777" w:rsidR="00D84719" w:rsidRPr="00FF4C25" w:rsidRDefault="00D84719" w:rsidP="00FF4C25">
      <w:pPr>
        <w:pStyle w:val="Odlomakpopisa"/>
        <w:numPr>
          <w:ilvl w:val="0"/>
          <w:numId w:val="38"/>
        </w:numPr>
        <w:spacing w:before="80"/>
        <w:jc w:val="both"/>
        <w:rPr>
          <w:rFonts w:ascii="Times New Roman" w:eastAsia="Calibri" w:hAnsi="Times New Roman" w:cs="Times New Roman"/>
          <w:color w:val="000000"/>
          <w:sz w:val="24"/>
        </w:rPr>
      </w:pPr>
      <w:r w:rsidRPr="00FF4C25">
        <w:rPr>
          <w:rFonts w:ascii="Times New Roman" w:eastAsia="Calibri" w:hAnsi="Times New Roman" w:cs="Times New Roman"/>
          <w:color w:val="000000"/>
          <w:sz w:val="24"/>
        </w:rPr>
        <w:t>U ukupno 2300 uzoraka hrane (uzorci masne hrane, voće, povrće i proizvodi) analizirano je ukupno 20151 parametara (tvari uključenih u popis postojanih organskih onečišćujućih tvari u Republici Hrvatskoj).</w:t>
      </w:r>
    </w:p>
    <w:p w14:paraId="0D10DC1F" w14:textId="77777777" w:rsidR="00D84719" w:rsidRPr="00FF4C25" w:rsidRDefault="00D84719" w:rsidP="00FF4C25">
      <w:pPr>
        <w:pStyle w:val="Odlomakpopisa"/>
        <w:numPr>
          <w:ilvl w:val="0"/>
          <w:numId w:val="38"/>
        </w:numPr>
        <w:spacing w:before="80"/>
        <w:jc w:val="both"/>
        <w:rPr>
          <w:rFonts w:ascii="Times New Roman" w:eastAsia="Calibri" w:hAnsi="Times New Roman" w:cs="Times New Roman"/>
          <w:color w:val="000000"/>
          <w:sz w:val="24"/>
        </w:rPr>
      </w:pPr>
      <w:r w:rsidRPr="00FF4C25">
        <w:rPr>
          <w:rFonts w:ascii="Times New Roman" w:eastAsia="Calibri" w:hAnsi="Times New Roman" w:cs="Times New Roman"/>
          <w:color w:val="000000"/>
          <w:sz w:val="24"/>
        </w:rPr>
        <w:t>Ukupno je 2300 uzoraka hrane ocijenjeno kao ispravno, nula kao neispravno.</w:t>
      </w:r>
    </w:p>
    <w:p w14:paraId="5AD94B8E" w14:textId="77777777" w:rsidR="00D84719" w:rsidRPr="00FF4C25" w:rsidRDefault="00D84719" w:rsidP="00FF4C25">
      <w:pPr>
        <w:pStyle w:val="Odlomakpopisa"/>
        <w:numPr>
          <w:ilvl w:val="0"/>
          <w:numId w:val="38"/>
        </w:numPr>
        <w:spacing w:before="80"/>
        <w:jc w:val="both"/>
        <w:rPr>
          <w:rFonts w:ascii="Times New Roman" w:eastAsia="Calibri" w:hAnsi="Times New Roman" w:cs="Times New Roman"/>
          <w:color w:val="000000"/>
          <w:sz w:val="24"/>
        </w:rPr>
      </w:pPr>
      <w:r w:rsidRPr="00FF4C25">
        <w:rPr>
          <w:rFonts w:ascii="Times New Roman" w:eastAsia="Calibri" w:hAnsi="Times New Roman" w:cs="Times New Roman"/>
          <w:color w:val="000000"/>
          <w:sz w:val="24"/>
        </w:rPr>
        <w:t>Ukupno je 20151 parametara analiziranih u hrani ocijenjeno kao ispravno, nula kao neispravno.</w:t>
      </w:r>
    </w:p>
    <w:p w14:paraId="5D346C90" w14:textId="77777777" w:rsidR="00D84719" w:rsidRPr="00D84719" w:rsidRDefault="00D84719" w:rsidP="00D84719">
      <w:pPr>
        <w:spacing w:before="80"/>
        <w:jc w:val="both"/>
        <w:rPr>
          <w:rFonts w:ascii="Times New Roman" w:eastAsia="Calibri" w:hAnsi="Times New Roman" w:cs="Times New Roman"/>
          <w:color w:val="000000"/>
          <w:sz w:val="24"/>
        </w:rPr>
      </w:pPr>
      <w:r w:rsidRPr="00D84719">
        <w:rPr>
          <w:rFonts w:ascii="Times New Roman" w:eastAsia="Calibri" w:hAnsi="Times New Roman" w:cs="Times New Roman"/>
          <w:color w:val="000000"/>
          <w:sz w:val="24"/>
        </w:rPr>
        <w:t>U ukupno 118 uzoraka tla, otpada i muljeva analizirano je ukupno 1154 parametara (tvari uključenih u popis POPs-ova u Republici Hrvatskoj).</w:t>
      </w:r>
    </w:p>
    <w:p w14:paraId="3F35B252" w14:textId="77777777" w:rsidR="00D84719" w:rsidRPr="00D84719" w:rsidRDefault="00D84719" w:rsidP="00D84719">
      <w:pPr>
        <w:spacing w:before="80"/>
        <w:jc w:val="both"/>
        <w:rPr>
          <w:rFonts w:ascii="Times New Roman" w:eastAsia="Calibri" w:hAnsi="Times New Roman" w:cs="Times New Roman"/>
          <w:color w:val="000000"/>
          <w:sz w:val="24"/>
        </w:rPr>
      </w:pPr>
      <w:r w:rsidRPr="00D84719">
        <w:rPr>
          <w:rFonts w:ascii="Times New Roman" w:eastAsia="Calibri" w:hAnsi="Times New Roman" w:cs="Times New Roman"/>
          <w:color w:val="000000"/>
          <w:sz w:val="24"/>
        </w:rPr>
        <w:lastRenderedPageBreak/>
        <w:t>Ukupno je 283 parametara analiziranih u uzorcima tla, otpada ili muljeva ocijenjeno kao ispravno, nula kao neispravan te 871 rezultat ocijenjeno kao neutvrđeno radi nepropisane maksimalno dozvoljene koncentracije u predmetnoj vrsti analiziranog.</w:t>
      </w:r>
    </w:p>
    <w:p w14:paraId="0A06BDBF" w14:textId="77777777" w:rsidR="00D84719" w:rsidRPr="00D84719" w:rsidRDefault="00D84719" w:rsidP="00D84719">
      <w:pPr>
        <w:spacing w:before="80"/>
        <w:jc w:val="both"/>
        <w:rPr>
          <w:rFonts w:ascii="Times New Roman" w:eastAsia="Calibri" w:hAnsi="Times New Roman" w:cs="Times New Roman"/>
          <w:color w:val="000000"/>
          <w:sz w:val="24"/>
          <w:szCs w:val="24"/>
        </w:rPr>
      </w:pPr>
      <w:r w:rsidRPr="00D84719">
        <w:rPr>
          <w:rFonts w:ascii="Times New Roman" w:eastAsia="Calibri" w:hAnsi="Times New Roman" w:cs="Times New Roman"/>
          <w:color w:val="000000"/>
          <w:sz w:val="24"/>
          <w:szCs w:val="24"/>
        </w:rPr>
        <w:t xml:space="preserve">Laboratorij </w:t>
      </w:r>
      <w:r w:rsidRPr="00D84719">
        <w:rPr>
          <w:rFonts w:ascii="Times New Roman" w:eastAsia="Calibri" w:hAnsi="Times New Roman" w:cs="Times New Roman"/>
          <w:i/>
          <w:color w:val="000000"/>
          <w:sz w:val="24"/>
          <w:szCs w:val="24"/>
        </w:rPr>
        <w:t>Službe za</w:t>
      </w:r>
      <w:r w:rsidR="00612979">
        <w:rPr>
          <w:rFonts w:ascii="Times New Roman" w:eastAsia="Calibri" w:hAnsi="Times New Roman" w:cs="Times New Roman"/>
          <w:i/>
          <w:color w:val="000000"/>
          <w:sz w:val="24"/>
          <w:szCs w:val="24"/>
        </w:rPr>
        <w:t xml:space="preserve"> </w:t>
      </w:r>
      <w:r w:rsidRPr="00D84719">
        <w:rPr>
          <w:rFonts w:ascii="Times New Roman" w:eastAsia="Calibri" w:hAnsi="Times New Roman" w:cs="Times New Roman"/>
          <w:i/>
          <w:color w:val="000000"/>
          <w:sz w:val="24"/>
          <w:szCs w:val="24"/>
        </w:rPr>
        <w:t xml:space="preserve">zdravstvenu ekologiju, Odsjeka za pesticide, Hrvatskog zavoda za javno zdravstvo, Zagreb </w:t>
      </w:r>
      <w:r w:rsidRPr="00D84719">
        <w:rPr>
          <w:rFonts w:ascii="Times New Roman" w:eastAsia="Calibri" w:hAnsi="Times New Roman" w:cs="Times New Roman"/>
          <w:color w:val="000000"/>
          <w:sz w:val="24"/>
          <w:szCs w:val="24"/>
        </w:rPr>
        <w:t>ovlašten je od strane nadležnih ministarstava između ostalih u područjima vezano specifično za monitoring i ispitivanja tvari uključenih na popis postojanih organskih onečišćujućih tvari sukladno Zakonu o potvrđivanju Stockholmske konvencije o postojanim organskim onečišćujućim tvarima („Narodne novine – Međunarodni ugovori“, broj 11/06) i Nacionalnom planu za provedbu Stockholmske konvencije o postojanim organskim onečišćujućim tvarima.</w:t>
      </w:r>
    </w:p>
    <w:p w14:paraId="3FAA0694" w14:textId="77777777" w:rsidR="00D84719" w:rsidRPr="00D84719" w:rsidRDefault="00D84719" w:rsidP="00D84719">
      <w:pPr>
        <w:spacing w:before="80"/>
        <w:jc w:val="both"/>
        <w:rPr>
          <w:rFonts w:ascii="Times New Roman" w:eastAsia="Calibri" w:hAnsi="Times New Roman" w:cs="Times New Roman"/>
          <w:color w:val="000000"/>
          <w:sz w:val="24"/>
          <w:szCs w:val="24"/>
        </w:rPr>
      </w:pPr>
      <w:r w:rsidRPr="00D84719">
        <w:rPr>
          <w:rFonts w:ascii="Times New Roman" w:eastAsia="Times New Roman" w:hAnsi="Times New Roman" w:cs="Times New Roman"/>
          <w:color w:val="000000"/>
          <w:sz w:val="24"/>
          <w:szCs w:val="24"/>
        </w:rPr>
        <w:t>Tijekom razdoblja siječanj 2015. do prosinac 2017. u Odsjeku za pesticide provedene su analize slijedećih parametara/tvari: aldrin, dieldrin, endosulfan, endrin, heksaklor</w:t>
      </w:r>
      <w:r w:rsidR="00FD23AC">
        <w:rPr>
          <w:rFonts w:ascii="Times New Roman" w:eastAsia="Times New Roman" w:hAnsi="Times New Roman" w:cs="Times New Roman"/>
          <w:color w:val="000000"/>
          <w:sz w:val="24"/>
          <w:szCs w:val="24"/>
        </w:rPr>
        <w:t>o</w:t>
      </w:r>
      <w:r w:rsidRPr="00D84719">
        <w:rPr>
          <w:rFonts w:ascii="Times New Roman" w:eastAsia="Times New Roman" w:hAnsi="Times New Roman" w:cs="Times New Roman"/>
          <w:color w:val="000000"/>
          <w:sz w:val="24"/>
          <w:szCs w:val="24"/>
        </w:rPr>
        <w:t>benzen (HCB), heptaklor, klordan, lindan, diklor-difenil-triklor</w:t>
      </w:r>
      <w:r w:rsidR="00FD23AC">
        <w:rPr>
          <w:rFonts w:ascii="Times New Roman" w:eastAsia="Times New Roman" w:hAnsi="Times New Roman" w:cs="Times New Roman"/>
          <w:color w:val="000000"/>
          <w:sz w:val="24"/>
          <w:szCs w:val="24"/>
        </w:rPr>
        <w:t>o</w:t>
      </w:r>
      <w:r w:rsidRPr="00D84719">
        <w:rPr>
          <w:rFonts w:ascii="Times New Roman" w:eastAsia="Times New Roman" w:hAnsi="Times New Roman" w:cs="Times New Roman"/>
          <w:color w:val="000000"/>
          <w:sz w:val="24"/>
          <w:szCs w:val="24"/>
        </w:rPr>
        <w:t>etan i poliklorirani bifenili (PCB).</w:t>
      </w:r>
    </w:p>
    <w:p w14:paraId="78CB2C76" w14:textId="77777777" w:rsidR="00D84719" w:rsidRPr="00D84719" w:rsidRDefault="00D84719" w:rsidP="00D84719">
      <w:pPr>
        <w:spacing w:before="80"/>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 xml:space="preserve">U ukupno 3295 uzoraka voda (uključivo vode za ljudsku potrošnju, površinske i podzemne) analizirano je ukupno 36245 parametara (tvari uključenih u popis POPs-ova u Republici Hrvatskoj). </w:t>
      </w:r>
    </w:p>
    <w:p w14:paraId="25759CC3" w14:textId="77777777" w:rsidR="00D84719" w:rsidRPr="00692606" w:rsidRDefault="00D84719" w:rsidP="00692606">
      <w:pPr>
        <w:pStyle w:val="Odlomakpopisa"/>
        <w:numPr>
          <w:ilvl w:val="0"/>
          <w:numId w:val="39"/>
        </w:numPr>
        <w:spacing w:before="80"/>
        <w:jc w:val="both"/>
        <w:rPr>
          <w:rFonts w:ascii="Times New Roman" w:eastAsia="Times New Roman" w:hAnsi="Times New Roman" w:cs="Times New Roman"/>
          <w:color w:val="000000"/>
          <w:sz w:val="24"/>
          <w:szCs w:val="24"/>
        </w:rPr>
      </w:pPr>
      <w:r w:rsidRPr="00692606">
        <w:rPr>
          <w:rFonts w:ascii="Times New Roman" w:eastAsia="Times New Roman" w:hAnsi="Times New Roman" w:cs="Times New Roman"/>
          <w:color w:val="000000"/>
          <w:sz w:val="24"/>
          <w:szCs w:val="24"/>
        </w:rPr>
        <w:t>Ukupno je 2172 uzoraka voda ocijenjeno kao ispravno, 1121 kao neispravan te su dva rezultata ocijenjena kao neutvrđena radi nepropisane maksimalno dozvoljene koncentracije u predmetnoj vrsti analiziranog uzorka.</w:t>
      </w:r>
    </w:p>
    <w:p w14:paraId="2C0B9BEA" w14:textId="77777777" w:rsidR="00D84719" w:rsidRPr="00692606" w:rsidRDefault="00D84719" w:rsidP="00692606">
      <w:pPr>
        <w:pStyle w:val="Odlomakpopisa"/>
        <w:numPr>
          <w:ilvl w:val="0"/>
          <w:numId w:val="39"/>
        </w:numPr>
        <w:spacing w:before="80"/>
        <w:jc w:val="both"/>
        <w:rPr>
          <w:rFonts w:ascii="Times New Roman" w:eastAsia="Times New Roman" w:hAnsi="Times New Roman" w:cs="Times New Roman"/>
          <w:color w:val="000000"/>
          <w:sz w:val="24"/>
          <w:szCs w:val="24"/>
        </w:rPr>
      </w:pPr>
      <w:r w:rsidRPr="00692606">
        <w:rPr>
          <w:rFonts w:ascii="Times New Roman" w:eastAsia="Times New Roman" w:hAnsi="Times New Roman" w:cs="Times New Roman"/>
          <w:color w:val="000000"/>
          <w:sz w:val="24"/>
          <w:szCs w:val="24"/>
        </w:rPr>
        <w:t xml:space="preserve">U ukupno 933 uzoraka hrane (uzorci voća i povrća, žitarica te konditorski proizvodi) analizirano je ukupno 10263 parametara (tvari uključenih u popis POPs-ova u Republici Hrvatskoj). </w:t>
      </w:r>
    </w:p>
    <w:p w14:paraId="546926E4" w14:textId="77777777" w:rsidR="00D84719" w:rsidRPr="00692606" w:rsidRDefault="00D84719" w:rsidP="00692606">
      <w:pPr>
        <w:pStyle w:val="Odlomakpopisa"/>
        <w:numPr>
          <w:ilvl w:val="0"/>
          <w:numId w:val="39"/>
        </w:numPr>
        <w:spacing w:before="80"/>
        <w:jc w:val="both"/>
        <w:rPr>
          <w:rFonts w:ascii="Times New Roman" w:eastAsia="Calibri" w:hAnsi="Times New Roman" w:cs="Times New Roman"/>
          <w:color w:val="000000"/>
          <w:sz w:val="24"/>
          <w:szCs w:val="24"/>
        </w:rPr>
      </w:pPr>
      <w:r w:rsidRPr="00692606">
        <w:rPr>
          <w:rFonts w:ascii="Times New Roman" w:eastAsia="Times New Roman" w:hAnsi="Times New Roman" w:cs="Times New Roman"/>
          <w:color w:val="000000"/>
          <w:sz w:val="24"/>
          <w:szCs w:val="24"/>
        </w:rPr>
        <w:t>Ukupno je 722 uzoraka hrane ocijenjeno kao ispravno, 44 kao neispravan te je 167 rezultata ocijenjeno kao neutvrđeno radi nepropisane maksimalno dozvoljene koncentracije u predmetnoj vrsti analiziranog uzorka.</w:t>
      </w:r>
    </w:p>
    <w:p w14:paraId="6105CC39" w14:textId="77777777" w:rsidR="00D84719" w:rsidRPr="00692606" w:rsidRDefault="00D84719" w:rsidP="00692606">
      <w:pPr>
        <w:pStyle w:val="Odlomakpopisa"/>
        <w:numPr>
          <w:ilvl w:val="0"/>
          <w:numId w:val="39"/>
        </w:numPr>
        <w:spacing w:before="80"/>
        <w:jc w:val="both"/>
        <w:rPr>
          <w:rFonts w:ascii="Times New Roman" w:eastAsia="Calibri" w:hAnsi="Times New Roman" w:cs="Times New Roman"/>
          <w:color w:val="000000"/>
          <w:sz w:val="24"/>
          <w:szCs w:val="24"/>
        </w:rPr>
      </w:pPr>
      <w:r w:rsidRPr="00692606">
        <w:rPr>
          <w:rFonts w:ascii="Times New Roman" w:eastAsia="Calibri" w:hAnsi="Times New Roman" w:cs="Times New Roman"/>
          <w:color w:val="000000"/>
          <w:sz w:val="24"/>
          <w:szCs w:val="24"/>
        </w:rPr>
        <w:t>Tijekom razdoblja siječanj 2018. do prosinac 2019., u Odsjeku za pesticide provedene su analize slijedećih parametara/tvari: aldrin, dieldrin, endosulfan, endrin, heksaklorobenzen (HCB), heptaklor, klordan, lindan, diklor-difenil-trikloroetan i poliklorirani bifenili (PCB).</w:t>
      </w:r>
    </w:p>
    <w:p w14:paraId="367886EA" w14:textId="77777777" w:rsidR="00D84719" w:rsidRPr="00692606" w:rsidRDefault="00D84719" w:rsidP="00692606">
      <w:pPr>
        <w:pStyle w:val="Odlomakpopisa"/>
        <w:numPr>
          <w:ilvl w:val="0"/>
          <w:numId w:val="39"/>
        </w:numPr>
        <w:spacing w:before="80"/>
        <w:jc w:val="both"/>
        <w:rPr>
          <w:rFonts w:ascii="Times New Roman" w:eastAsia="Calibri" w:hAnsi="Times New Roman" w:cs="Times New Roman"/>
          <w:color w:val="000000"/>
          <w:sz w:val="24"/>
          <w:szCs w:val="24"/>
        </w:rPr>
      </w:pPr>
      <w:r w:rsidRPr="00692606">
        <w:rPr>
          <w:rFonts w:ascii="Times New Roman" w:eastAsia="Calibri" w:hAnsi="Times New Roman" w:cs="Times New Roman"/>
          <w:color w:val="000000"/>
          <w:sz w:val="24"/>
          <w:szCs w:val="24"/>
        </w:rPr>
        <w:t>U ukupno 1464 uzoraka voda (uključivo vode za ljudsku potrošnju, površinske i podzemne) analizirano je ukupno 36245 parametara (tvari uključenih u popis POPs-ova u Republici Hrvatskoj).</w:t>
      </w:r>
    </w:p>
    <w:p w14:paraId="48DCA18A" w14:textId="77777777" w:rsidR="00D84719" w:rsidRPr="00692606" w:rsidRDefault="00D84719" w:rsidP="00692606">
      <w:pPr>
        <w:pStyle w:val="Odlomakpopisa"/>
        <w:numPr>
          <w:ilvl w:val="0"/>
          <w:numId w:val="39"/>
        </w:numPr>
        <w:spacing w:before="80"/>
        <w:jc w:val="both"/>
        <w:rPr>
          <w:rFonts w:ascii="Times New Roman" w:eastAsia="Calibri" w:hAnsi="Times New Roman" w:cs="Times New Roman"/>
          <w:color w:val="000000"/>
          <w:sz w:val="24"/>
          <w:szCs w:val="24"/>
        </w:rPr>
      </w:pPr>
      <w:r w:rsidRPr="00692606">
        <w:rPr>
          <w:rFonts w:ascii="Times New Roman" w:eastAsia="Calibri" w:hAnsi="Times New Roman" w:cs="Times New Roman"/>
          <w:color w:val="000000"/>
          <w:sz w:val="24"/>
          <w:szCs w:val="24"/>
        </w:rPr>
        <w:t>Ukupno je 1366 uzoraka voda ocijenjeno kao ispravno, 97 kao neispravan te je jedan rezultat ocijenjen kao neutvrđen radi nepropisane maksimalno dozvoljene koncentracije u predmetnoj vrsti analiziranog uzorka.</w:t>
      </w:r>
    </w:p>
    <w:p w14:paraId="532DFF80" w14:textId="77777777" w:rsidR="00D84719" w:rsidRPr="00692606" w:rsidRDefault="00D84719" w:rsidP="00692606">
      <w:pPr>
        <w:pStyle w:val="Odlomakpopisa"/>
        <w:numPr>
          <w:ilvl w:val="0"/>
          <w:numId w:val="39"/>
        </w:numPr>
        <w:spacing w:before="80"/>
        <w:jc w:val="both"/>
        <w:rPr>
          <w:rFonts w:ascii="Times New Roman" w:eastAsia="Calibri" w:hAnsi="Times New Roman" w:cs="Times New Roman"/>
          <w:color w:val="000000"/>
          <w:sz w:val="24"/>
          <w:szCs w:val="24"/>
        </w:rPr>
      </w:pPr>
      <w:r w:rsidRPr="00692606">
        <w:rPr>
          <w:rFonts w:ascii="Times New Roman" w:eastAsia="Calibri" w:hAnsi="Times New Roman" w:cs="Times New Roman"/>
          <w:color w:val="000000"/>
          <w:sz w:val="24"/>
          <w:szCs w:val="24"/>
        </w:rPr>
        <w:t>U ukupno 244 uzoraka hrane (uzorci voća i povrća, žitarica te konditorski proizvodi) analizirano je ukupno 10 263 parametara (tvari uključenih u popis POPs-ova u Republici Hrvatskoj).</w:t>
      </w:r>
    </w:p>
    <w:p w14:paraId="26AFBF92" w14:textId="77777777" w:rsidR="00D84719" w:rsidRPr="00692606" w:rsidRDefault="00D84719" w:rsidP="00692606">
      <w:pPr>
        <w:pStyle w:val="Odlomakpopisa"/>
        <w:numPr>
          <w:ilvl w:val="0"/>
          <w:numId w:val="39"/>
        </w:numPr>
        <w:spacing w:before="80"/>
        <w:jc w:val="both"/>
        <w:rPr>
          <w:rFonts w:ascii="Times New Roman" w:eastAsia="Calibri" w:hAnsi="Times New Roman" w:cs="Times New Roman"/>
          <w:color w:val="000000"/>
          <w:sz w:val="24"/>
          <w:szCs w:val="24"/>
        </w:rPr>
      </w:pPr>
      <w:r w:rsidRPr="00692606">
        <w:rPr>
          <w:rFonts w:ascii="Times New Roman" w:eastAsia="Calibri" w:hAnsi="Times New Roman" w:cs="Times New Roman"/>
          <w:color w:val="000000"/>
          <w:sz w:val="24"/>
          <w:szCs w:val="24"/>
        </w:rPr>
        <w:t>Ukupno je 88 uzoraka hrane ocijenjeno kao ispravno, pet kao neispravno te je 151 rezultat ocijenjen kao neutvrđen radi nepropisane maksimalno dozvoljene koncentracije u predmetnoj vrsti analiziranog uzorka.</w:t>
      </w:r>
    </w:p>
    <w:p w14:paraId="3F55175C" w14:textId="77777777" w:rsidR="00D84719" w:rsidRPr="00D84719" w:rsidRDefault="00D84719" w:rsidP="00D84719">
      <w:pPr>
        <w:spacing w:before="80"/>
        <w:jc w:val="both"/>
        <w:rPr>
          <w:rFonts w:ascii="Times New Roman" w:eastAsia="Calibri" w:hAnsi="Times New Roman" w:cs="Times New Roman"/>
          <w:color w:val="000000"/>
          <w:szCs w:val="24"/>
        </w:rPr>
      </w:pPr>
    </w:p>
    <w:p w14:paraId="3E6DFDA9" w14:textId="77777777" w:rsidR="00D84719" w:rsidRPr="00D84719" w:rsidRDefault="00D84719" w:rsidP="00F32974">
      <w:pPr>
        <w:pStyle w:val="Naslov3"/>
      </w:pPr>
      <w:bookmarkStart w:id="177" w:name="_Toc64460746"/>
      <w:r w:rsidRPr="00D84719">
        <w:lastRenderedPageBreak/>
        <w:t>MEĐUNARODNI PLAN PRAĆENJA STANJA POPS-OVA</w:t>
      </w:r>
      <w:bookmarkEnd w:id="177"/>
    </w:p>
    <w:p w14:paraId="1CA9230C" w14:textId="3FF234E5"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Međunarodni plan praćenja stanja (</w:t>
      </w:r>
      <w:r w:rsidRPr="00D84719">
        <w:rPr>
          <w:rFonts w:ascii="Times New Roman" w:eastAsia="Times New Roman" w:hAnsi="Times New Roman" w:cs="Times New Roman"/>
          <w:i/>
          <w:color w:val="000000"/>
          <w:sz w:val="24"/>
          <w:szCs w:val="24"/>
        </w:rPr>
        <w:t>GMP-Global Monitoring Plan</w:t>
      </w:r>
      <w:r w:rsidRPr="00D84719">
        <w:rPr>
          <w:rFonts w:ascii="Times New Roman" w:eastAsia="Times New Roman" w:hAnsi="Times New Roman" w:cs="Times New Roman"/>
          <w:color w:val="000000"/>
          <w:sz w:val="24"/>
          <w:szCs w:val="24"/>
        </w:rPr>
        <w:t>) Međunarodni plan praćenja stanja (GMP) POPs-ova je važna komponenta procijene učinkovitosti provedbe Stockholmske konvencije. Međunarodni plan praćenja stanja osigurava usklađeni organizacijski okvir za prikupljanje usporedivih podataka praćenja prisutnosti POPs-ova u svim regijama, kako bi se utvrdio trend njihovih koncentracija te regionalni i međunarodni prijenos u okolišu. Prva faza GMP-a je završena 2009</w:t>
      </w:r>
      <w:r w:rsidR="005C26BD">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 xml:space="preserve"> kada su bili predani prvi regionalni izvještaji/rezultati praćenja na četvrtoj konferenciji stranaka. Izvještaji uključuju nulto stanje koncentracija POPs-ova u ključnim matricama na temelju kojih se mogu pratiti promjene kroz određeni vremenski period/trend. Nadalje, također je dostupan Vodič za GMP koji podržava usporedivosti i dosljednosti rezultata praćenja koji uključuje smjernice za prikupljanje, analizu i podnošenje izvještaja za informacije i podatke. Vodič uključuje i informacije o prikupljanju i analizi novih POPs-ova na popisu i, zajedno s planom provedbe, postavlja temelje za provedbu usklađenih aktivnosti praćenja u okviru međunarodnog plana praćenja.</w:t>
      </w:r>
    </w:p>
    <w:p w14:paraId="1FB2575B"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p>
    <w:p w14:paraId="17CE094A" w14:textId="77777777" w:rsidR="00D84719" w:rsidRPr="00D84719" w:rsidRDefault="00D84719" w:rsidP="00F32974">
      <w:pPr>
        <w:pStyle w:val="Naslov2"/>
      </w:pPr>
      <w:bookmarkStart w:id="178" w:name="_Toc41638286"/>
      <w:bookmarkStart w:id="179" w:name="_Toc64460747"/>
      <w:r w:rsidRPr="00D84719">
        <w:t>Trenutna razina informacija, stanje svijesti i edukacija javnosti</w:t>
      </w:r>
      <w:bookmarkEnd w:id="178"/>
      <w:bookmarkEnd w:id="179"/>
      <w:r w:rsidRPr="00D84719">
        <w:t xml:space="preserve"> </w:t>
      </w:r>
    </w:p>
    <w:p w14:paraId="56471D72" w14:textId="77777777" w:rsid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Informacije o POPs-ovima i o njihovom negativnom utjecaju na ljude i okoliš nisu dovoljno zastupljene u prosječnoj hrvatskoj populaciji. Problematika POPs-ova u Republici Hrvatskoj nije dovoljno zastupljena niti u programima osnovnih i srednjih škola. Zadovoljavajuća razina tih informacija je prisutna jedino u znanstvenim i stručnim krugovima čija je djelatnost vezana uz tu problematiku te u programima na fakultetima gdje se POPs-ovima i njihovoj problematici pristupa kroz postojeće nastavne programe i kolegije</w:t>
      </w:r>
      <w:r w:rsidR="000338C5">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 xml:space="preserve"> a ne kao zasebnoj cjelini.</w:t>
      </w:r>
    </w:p>
    <w:p w14:paraId="014175C9" w14:textId="77777777" w:rsidR="00A21507" w:rsidRDefault="00A21507" w:rsidP="00D84719">
      <w:pPr>
        <w:spacing w:before="8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Važno je osigurati i </w:t>
      </w:r>
      <w:r w:rsidRPr="00A21507">
        <w:rPr>
          <w:rFonts w:ascii="Times New Roman" w:eastAsia="Times New Roman" w:hAnsi="Times New Roman" w:cs="Times New Roman"/>
          <w:color w:val="000000"/>
          <w:sz w:val="24"/>
          <w:szCs w:val="24"/>
        </w:rPr>
        <w:t>pružanje dostatnih informacija nositeljima provođenja aktivnosti sustava civilne zaštite na lokalnoj, područnoj (regionalnoj) i državnoj razini radi planiranja primjene mjera u planovima djelovanja civilne zaštite.</w:t>
      </w:r>
    </w:p>
    <w:p w14:paraId="47504B8E" w14:textId="77777777" w:rsidR="00BD3BB4" w:rsidRPr="00BD3BB4" w:rsidRDefault="00BD3BB4" w:rsidP="00BD3BB4">
      <w:pPr>
        <w:spacing w:before="8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Hrvatska je stranka</w:t>
      </w:r>
      <w:r w:rsidRPr="00D84719">
        <w:rPr>
          <w:rFonts w:ascii="Times New Roman" w:eastAsia="Times New Roman" w:hAnsi="Times New Roman" w:cs="Times New Roman"/>
          <w:color w:val="000000"/>
          <w:sz w:val="24"/>
          <w:szCs w:val="24"/>
        </w:rPr>
        <w:t xml:space="preserve"> UNECE Konvencij</w:t>
      </w:r>
      <w:r>
        <w:rPr>
          <w:rFonts w:ascii="Times New Roman" w:eastAsia="Times New Roman" w:hAnsi="Times New Roman" w:cs="Times New Roman"/>
          <w:color w:val="000000"/>
          <w:sz w:val="24"/>
          <w:szCs w:val="24"/>
        </w:rPr>
        <w:t>e</w:t>
      </w:r>
      <w:r w:rsidRPr="00D84719">
        <w:rPr>
          <w:rFonts w:ascii="Times New Roman" w:eastAsia="Times New Roman" w:hAnsi="Times New Roman" w:cs="Times New Roman"/>
          <w:color w:val="000000"/>
          <w:sz w:val="24"/>
          <w:szCs w:val="24"/>
        </w:rPr>
        <w:t xml:space="preserve"> o pristupu informacijama, sudjelovanju javnosti u odlučivanju i pristupu pravosuđu u pitanjima okoliša (</w:t>
      </w:r>
      <w:proofErr w:type="spellStart"/>
      <w:r w:rsidRPr="00D84719">
        <w:rPr>
          <w:rFonts w:ascii="Times New Roman" w:eastAsia="Times New Roman" w:hAnsi="Times New Roman" w:cs="Times New Roman"/>
          <w:color w:val="000000"/>
          <w:sz w:val="24"/>
          <w:szCs w:val="24"/>
        </w:rPr>
        <w:t>Arhuška</w:t>
      </w:r>
      <w:proofErr w:type="spellEnd"/>
      <w:r w:rsidRPr="00D84719">
        <w:rPr>
          <w:rFonts w:ascii="Times New Roman" w:eastAsia="Times New Roman" w:hAnsi="Times New Roman" w:cs="Times New Roman"/>
          <w:color w:val="000000"/>
          <w:sz w:val="24"/>
          <w:szCs w:val="24"/>
        </w:rPr>
        <w:t xml:space="preserve"> konvencija)</w:t>
      </w:r>
      <w:r>
        <w:rPr>
          <w:rFonts w:ascii="Times New Roman" w:eastAsia="Times New Roman" w:hAnsi="Times New Roman" w:cs="Times New Roman"/>
          <w:color w:val="000000"/>
          <w:sz w:val="24"/>
          <w:szCs w:val="24"/>
        </w:rPr>
        <w:t xml:space="preserve"> i P</w:t>
      </w:r>
      <w:r w:rsidRPr="002066C1">
        <w:rPr>
          <w:rFonts w:ascii="Times New Roman" w:eastAsia="Times New Roman" w:hAnsi="Times New Roman" w:cs="Times New Roman"/>
          <w:color w:val="000000"/>
          <w:sz w:val="24"/>
          <w:szCs w:val="24"/>
        </w:rPr>
        <w:t>rotokol</w:t>
      </w:r>
      <w:r>
        <w:rPr>
          <w:rFonts w:ascii="Times New Roman" w:eastAsia="Times New Roman" w:hAnsi="Times New Roman" w:cs="Times New Roman"/>
          <w:color w:val="000000"/>
          <w:sz w:val="24"/>
          <w:szCs w:val="24"/>
        </w:rPr>
        <w:t>a</w:t>
      </w:r>
      <w:r w:rsidRPr="002066C1">
        <w:rPr>
          <w:rFonts w:ascii="Times New Roman" w:eastAsia="Times New Roman" w:hAnsi="Times New Roman" w:cs="Times New Roman"/>
          <w:color w:val="000000"/>
          <w:sz w:val="24"/>
          <w:szCs w:val="24"/>
        </w:rPr>
        <w:t xml:space="preserve"> o registrima ispuštanja i prijenosa onečišćujućih tvar</w:t>
      </w:r>
      <w:r>
        <w:rPr>
          <w:rFonts w:ascii="Times New Roman" w:eastAsia="Times New Roman" w:hAnsi="Times New Roman" w:cs="Times New Roman"/>
          <w:color w:val="000000"/>
          <w:sz w:val="24"/>
          <w:szCs w:val="24"/>
        </w:rPr>
        <w:t xml:space="preserve">i (PRTR) uz </w:t>
      </w:r>
      <w:proofErr w:type="spellStart"/>
      <w:r>
        <w:rPr>
          <w:rFonts w:ascii="Times New Roman" w:eastAsia="Times New Roman" w:hAnsi="Times New Roman" w:cs="Times New Roman"/>
          <w:color w:val="000000"/>
          <w:sz w:val="24"/>
          <w:szCs w:val="24"/>
        </w:rPr>
        <w:t>Aarhušku</w:t>
      </w:r>
      <w:proofErr w:type="spellEnd"/>
      <w:r>
        <w:rPr>
          <w:rFonts w:ascii="Times New Roman" w:eastAsia="Times New Roman" w:hAnsi="Times New Roman" w:cs="Times New Roman"/>
          <w:color w:val="000000"/>
          <w:sz w:val="24"/>
          <w:szCs w:val="24"/>
        </w:rPr>
        <w:t xml:space="preserve"> konvenciju te u periodičnim nacionalnim izvješćima daje informaciju o provedbi ovih međunarodnih sporazuma u Hrvatskoj </w:t>
      </w:r>
      <w:r w:rsidRPr="00BD3BB4">
        <w:rPr>
          <w:rFonts w:ascii="Times New Roman" w:eastAsia="Times New Roman" w:hAnsi="Times New Roman" w:cs="Times New Roman"/>
          <w:color w:val="000000"/>
          <w:sz w:val="24"/>
          <w:szCs w:val="24"/>
        </w:rPr>
        <w:t>(</w:t>
      </w:r>
      <w:hyperlink r:id="rId46" w:history="1">
        <w:r w:rsidR="00E85CFB" w:rsidRPr="007B1A5F">
          <w:rPr>
            <w:rStyle w:val="Hiperveza"/>
            <w:rFonts w:ascii="Times New Roman" w:hAnsi="Times New Roman" w:cs="Times New Roman"/>
            <w:sz w:val="24"/>
            <w:szCs w:val="24"/>
          </w:rPr>
          <w:t>https://mingor.gov.hr/o-ministarstvu-1065/djelokrug-4925/medjunarodna-suradnja/multilateralni-medjunarodni-sporazumi-1138/1138</w:t>
        </w:r>
      </w:hyperlink>
      <w:r w:rsidRPr="00BD3BB4">
        <w:rPr>
          <w:rFonts w:ascii="Times New Roman" w:hAnsi="Times New Roman" w:cs="Times New Roman"/>
          <w:sz w:val="24"/>
          <w:szCs w:val="24"/>
        </w:rPr>
        <w:t>)</w:t>
      </w:r>
      <w:r w:rsidRPr="00BD3BB4">
        <w:rPr>
          <w:rFonts w:ascii="Times New Roman" w:eastAsia="Times New Roman" w:hAnsi="Times New Roman" w:cs="Times New Roman"/>
          <w:sz w:val="24"/>
          <w:szCs w:val="24"/>
        </w:rPr>
        <w:t>.</w:t>
      </w:r>
    </w:p>
    <w:p w14:paraId="6E6F4E84" w14:textId="77777777" w:rsidR="00BD3BB4" w:rsidRPr="00D84719" w:rsidRDefault="00BD3BB4" w:rsidP="00BD3BB4">
      <w:pPr>
        <w:spacing w:before="8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Slijedom toga a u skladu s zakonodavstvom EU-a, razvio se zakonodavni okvir koji je doprinio transparentnosti i </w:t>
      </w:r>
      <w:proofErr w:type="spellStart"/>
      <w:r>
        <w:rPr>
          <w:rFonts w:ascii="Times New Roman" w:eastAsia="Times New Roman" w:hAnsi="Times New Roman" w:cs="Times New Roman"/>
          <w:color w:val="000000"/>
          <w:sz w:val="24"/>
          <w:szCs w:val="24"/>
        </w:rPr>
        <w:t>uključivosti</w:t>
      </w:r>
      <w:proofErr w:type="spellEnd"/>
      <w:r>
        <w:rPr>
          <w:rFonts w:ascii="Times New Roman" w:eastAsia="Times New Roman" w:hAnsi="Times New Roman" w:cs="Times New Roman"/>
          <w:color w:val="000000"/>
          <w:sz w:val="24"/>
          <w:szCs w:val="24"/>
        </w:rPr>
        <w:t xml:space="preserve"> građana u politike zaštite okoliša. Razvile su se različite baze i preglednici koji daju informacije o onečišćujućim tvarima i stanju okoliša u Hrvatskoj a koje su na jednostavan način dostupne javnosti. Razvijen je sustav koji omogućuje sudjelovanje javnosti u odlučivanju pri donošenju odluka koje utječu na okoliš te je omogućen pristup pravosuđu bez posebnog troška radi preispitivanja odluka. </w:t>
      </w:r>
      <w:r w:rsidRPr="00D84719">
        <w:rPr>
          <w:rFonts w:ascii="Times New Roman" w:eastAsia="Times New Roman" w:hAnsi="Times New Roman" w:cs="Times New Roman"/>
          <w:color w:val="000000"/>
          <w:sz w:val="24"/>
          <w:szCs w:val="24"/>
        </w:rPr>
        <w:t>Kodeks savjetovanja sa zainteresiranom javnošću u postupcima donošenja zakona, drugih propisa i akata</w:t>
      </w:r>
      <w:r>
        <w:rPr>
          <w:rFonts w:ascii="Times New Roman" w:eastAsia="Times New Roman" w:hAnsi="Times New Roman" w:cs="Times New Roman"/>
          <w:color w:val="000000"/>
          <w:sz w:val="24"/>
          <w:szCs w:val="24"/>
        </w:rPr>
        <w:t xml:space="preserve"> kojeg je donijela </w:t>
      </w:r>
      <w:r w:rsidRPr="00D84719">
        <w:rPr>
          <w:rFonts w:ascii="Times New Roman" w:eastAsia="Times New Roman" w:hAnsi="Times New Roman" w:cs="Times New Roman"/>
          <w:color w:val="000000"/>
          <w:sz w:val="24"/>
          <w:szCs w:val="24"/>
        </w:rPr>
        <w:t xml:space="preserve"> Vlada Republike Hrvatske </w:t>
      </w:r>
      <w:r>
        <w:rPr>
          <w:rFonts w:ascii="Times New Roman" w:eastAsia="Times New Roman" w:hAnsi="Times New Roman" w:cs="Times New Roman"/>
          <w:color w:val="000000"/>
          <w:sz w:val="24"/>
          <w:szCs w:val="24"/>
        </w:rPr>
        <w:t xml:space="preserve">daje upute o savjetovanju, </w:t>
      </w:r>
      <w:r w:rsidRPr="00D8471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odnosno </w:t>
      </w:r>
      <w:r w:rsidRPr="00D84719">
        <w:rPr>
          <w:rFonts w:ascii="Times New Roman" w:eastAsia="Times New Roman" w:hAnsi="Times New Roman" w:cs="Times New Roman"/>
          <w:color w:val="000000"/>
          <w:sz w:val="24"/>
          <w:szCs w:val="24"/>
        </w:rPr>
        <w:t xml:space="preserve"> utvrđuj</w:t>
      </w:r>
      <w:r>
        <w:rPr>
          <w:rFonts w:ascii="Times New Roman" w:eastAsia="Times New Roman" w:hAnsi="Times New Roman" w:cs="Times New Roman"/>
          <w:color w:val="000000"/>
          <w:sz w:val="24"/>
          <w:szCs w:val="24"/>
        </w:rPr>
        <w:t>e</w:t>
      </w:r>
      <w:r w:rsidRPr="00D84719">
        <w:rPr>
          <w:rFonts w:ascii="Times New Roman" w:eastAsia="Times New Roman" w:hAnsi="Times New Roman" w:cs="Times New Roman"/>
          <w:color w:val="000000"/>
          <w:sz w:val="24"/>
          <w:szCs w:val="24"/>
        </w:rPr>
        <w:t xml:space="preserve"> opća načela, standard</w:t>
      </w:r>
      <w:r>
        <w:rPr>
          <w:rFonts w:ascii="Times New Roman" w:eastAsia="Times New Roman" w:hAnsi="Times New Roman" w:cs="Times New Roman"/>
          <w:color w:val="000000"/>
          <w:sz w:val="24"/>
          <w:szCs w:val="24"/>
        </w:rPr>
        <w:t>e</w:t>
      </w:r>
      <w:r w:rsidRPr="00D84719">
        <w:rPr>
          <w:rFonts w:ascii="Times New Roman" w:eastAsia="Times New Roman" w:hAnsi="Times New Roman" w:cs="Times New Roman"/>
          <w:color w:val="000000"/>
          <w:sz w:val="24"/>
          <w:szCs w:val="24"/>
        </w:rPr>
        <w:t xml:space="preserve"> i mjere za savjetovanje sa zainteresiranom javnošću u postupcima donošenja zakona, </w:t>
      </w:r>
      <w:r w:rsidRPr="00D84719">
        <w:rPr>
          <w:rFonts w:ascii="Times New Roman" w:eastAsia="Times New Roman" w:hAnsi="Times New Roman" w:cs="Times New Roman"/>
          <w:color w:val="000000"/>
          <w:sz w:val="24"/>
          <w:szCs w:val="24"/>
        </w:rPr>
        <w:lastRenderedPageBreak/>
        <w:t>drugih propisa i akata tijela državne uprave, kojima se uređuju pitanja i zauzimaju stavovi od interesa za opću dobrobit (zaštita i promicanje ljudskih prava, javne službe, pravosuđe, zaštita okoliša i drugo)</w:t>
      </w:r>
      <w:r w:rsidRPr="003239A4">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(„Narodne novine“, broj 140/09).</w:t>
      </w:r>
    </w:p>
    <w:p w14:paraId="3F2411A5" w14:textId="77777777" w:rsidR="00D84719" w:rsidRPr="00D84719" w:rsidRDefault="00D84719" w:rsidP="00D84719">
      <w:pPr>
        <w:spacing w:before="80" w:line="276" w:lineRule="auto"/>
        <w:jc w:val="both"/>
        <w:rPr>
          <w:rFonts w:ascii="Times New Roman" w:eastAsia="Times New Roman" w:hAnsi="Times New Roman" w:cs="Times New Roman"/>
          <w:color w:val="000000"/>
          <w:szCs w:val="24"/>
        </w:rPr>
      </w:pPr>
    </w:p>
    <w:p w14:paraId="65C5ABCC" w14:textId="77777777" w:rsidR="00D84719" w:rsidRPr="00D84719" w:rsidRDefault="00D84719" w:rsidP="00F32974">
      <w:pPr>
        <w:pStyle w:val="Naslov2"/>
      </w:pPr>
      <w:bookmarkStart w:id="180" w:name="_Toc41638287"/>
      <w:bookmarkStart w:id="181" w:name="_Toc64460748"/>
      <w:r w:rsidRPr="00D84719">
        <w:t>Mehanizmi izvješćivanja u skladu s člankom 15. Stockholmske konvencije o poduzetim mjerama i razmjeni informacija među strankama</w:t>
      </w:r>
      <w:bookmarkEnd w:id="180"/>
      <w:bookmarkEnd w:id="181"/>
      <w:r w:rsidRPr="00D84719">
        <w:t xml:space="preserve"> </w:t>
      </w:r>
    </w:p>
    <w:p w14:paraId="6B5CAE89" w14:textId="2707025D"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 xml:space="preserve">Zbog multidisciplinarnog pristupa u regulaciji POPs-ova osnovana je radna skupina za praćenje ispunjavanja obveza iz NIP-a, koju čine predstavnici svih tijela </w:t>
      </w:r>
      <w:r w:rsidRPr="00D84719">
        <w:rPr>
          <w:rFonts w:ascii="Times New Roman" w:eastAsia="Times New Roman" w:hAnsi="Times New Roman" w:cs="Times New Roman"/>
          <w:color w:val="000000"/>
          <w:sz w:val="24"/>
          <w:szCs w:val="24"/>
        </w:rPr>
        <w:t xml:space="preserve">državne uprave </w:t>
      </w:r>
      <w:r w:rsidRPr="00D84719">
        <w:rPr>
          <w:rFonts w:ascii="Times New Roman" w:eastAsia="Times New Roman" w:hAnsi="Times New Roman" w:cs="Times New Roman"/>
          <w:color w:val="000000"/>
          <w:sz w:val="24"/>
          <w:szCs w:val="24"/>
          <w:lang w:bidi="en-US"/>
        </w:rPr>
        <w:t>nadležnih za provedbu Stockholmske konvencije. MINGOR je imenovan nacionalnom kontaktnom točkom za razmjenu informacija s Tajništvom Stockholmske konvencije, kao i strankama Stockholmske konvencije. Ministarstvo redovito razmjenjuje i dostavlja informacije Tajništvu Stockholmske konvencije koje prikuplja od strane nadležnih institucija pa je tako između ostalog dostavilo 2008</w:t>
      </w:r>
      <w:r w:rsidR="005C26BD">
        <w:rPr>
          <w:rFonts w:ascii="Times New Roman" w:eastAsia="Times New Roman" w:hAnsi="Times New Roman" w:cs="Times New Roman"/>
          <w:color w:val="000000"/>
          <w:sz w:val="24"/>
          <w:szCs w:val="24"/>
          <w:lang w:bidi="en-US"/>
        </w:rPr>
        <w:t>.</w:t>
      </w:r>
      <w:r w:rsidRPr="00D84719">
        <w:rPr>
          <w:rFonts w:ascii="Times New Roman" w:eastAsia="Times New Roman" w:hAnsi="Times New Roman" w:cs="Times New Roman"/>
          <w:color w:val="000000"/>
          <w:sz w:val="24"/>
          <w:szCs w:val="24"/>
          <w:lang w:bidi="en-US"/>
        </w:rPr>
        <w:t xml:space="preserve"> prvo, 2010</w:t>
      </w:r>
      <w:r w:rsidR="005C26BD">
        <w:rPr>
          <w:rFonts w:ascii="Times New Roman" w:eastAsia="Times New Roman" w:hAnsi="Times New Roman" w:cs="Times New Roman"/>
          <w:color w:val="000000"/>
          <w:sz w:val="24"/>
          <w:szCs w:val="24"/>
          <w:lang w:bidi="en-US"/>
        </w:rPr>
        <w:t>.</w:t>
      </w:r>
      <w:r w:rsidRPr="00D84719">
        <w:rPr>
          <w:rFonts w:ascii="Times New Roman" w:eastAsia="Times New Roman" w:hAnsi="Times New Roman" w:cs="Times New Roman"/>
          <w:color w:val="000000"/>
          <w:sz w:val="24"/>
          <w:szCs w:val="24"/>
          <w:lang w:bidi="en-US"/>
        </w:rPr>
        <w:t xml:space="preserve"> drugo, 2014</w:t>
      </w:r>
      <w:r w:rsidR="005C26BD">
        <w:rPr>
          <w:rFonts w:ascii="Times New Roman" w:eastAsia="Times New Roman" w:hAnsi="Times New Roman" w:cs="Times New Roman"/>
          <w:color w:val="000000"/>
          <w:sz w:val="24"/>
          <w:szCs w:val="24"/>
          <w:lang w:bidi="en-US"/>
        </w:rPr>
        <w:t>.</w:t>
      </w:r>
      <w:r w:rsidRPr="00D84719">
        <w:rPr>
          <w:rFonts w:ascii="Times New Roman" w:eastAsia="Times New Roman" w:hAnsi="Times New Roman" w:cs="Times New Roman"/>
          <w:color w:val="000000"/>
          <w:sz w:val="24"/>
          <w:szCs w:val="24"/>
          <w:lang w:bidi="en-US"/>
        </w:rPr>
        <w:t xml:space="preserve"> treće te 2018</w:t>
      </w:r>
      <w:r w:rsidR="005C26BD">
        <w:rPr>
          <w:rFonts w:ascii="Times New Roman" w:eastAsia="Times New Roman" w:hAnsi="Times New Roman" w:cs="Times New Roman"/>
          <w:color w:val="000000"/>
          <w:sz w:val="24"/>
          <w:szCs w:val="24"/>
          <w:lang w:bidi="en-US"/>
        </w:rPr>
        <w:t>.</w:t>
      </w:r>
      <w:r w:rsidRPr="00D84719">
        <w:rPr>
          <w:rFonts w:ascii="Times New Roman" w:eastAsia="Times New Roman" w:hAnsi="Times New Roman" w:cs="Times New Roman"/>
          <w:color w:val="000000"/>
          <w:sz w:val="24"/>
          <w:szCs w:val="24"/>
          <w:lang w:bidi="en-US"/>
        </w:rPr>
        <w:t xml:space="preserve"> četvrto Izvješće o provedbi Stockholmske konvencije o postojanim organskim onečišćujućim tvarima u Republici Hrvatskoj temeljem članka 15. Stockholmske konvencije.</w:t>
      </w:r>
    </w:p>
    <w:p w14:paraId="5DA0C085" w14:textId="77777777" w:rsidR="00D84719" w:rsidRPr="00D84719" w:rsidRDefault="00D84719" w:rsidP="00D84719">
      <w:pPr>
        <w:spacing w:before="80" w:line="276" w:lineRule="auto"/>
        <w:jc w:val="both"/>
        <w:rPr>
          <w:rFonts w:ascii="Times New Roman" w:eastAsia="Times New Roman" w:hAnsi="Times New Roman" w:cs="Times New Roman"/>
          <w:color w:val="000000"/>
          <w:szCs w:val="24"/>
        </w:rPr>
      </w:pPr>
    </w:p>
    <w:p w14:paraId="7B0686CE" w14:textId="77777777" w:rsidR="00D84719" w:rsidRPr="00D84719" w:rsidRDefault="00D84719" w:rsidP="00F32974">
      <w:pPr>
        <w:pStyle w:val="Naslov2"/>
      </w:pPr>
      <w:bookmarkStart w:id="182" w:name="_Toc41638288"/>
      <w:bookmarkStart w:id="183" w:name="_Toc64460749"/>
      <w:r w:rsidRPr="00D84719">
        <w:t>Aktivnosti i rad nevladinih organizacija/udruga</w:t>
      </w:r>
      <w:bookmarkEnd w:id="182"/>
      <w:bookmarkEnd w:id="183"/>
      <w:r w:rsidRPr="00D84719">
        <w:t xml:space="preserve"> </w:t>
      </w:r>
    </w:p>
    <w:p w14:paraId="446E7A88" w14:textId="01085CD2"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U području vezanom uz POPs-ove u Republici Hrvatskoj može se konstatirati da trenutno postoji nekoliko udruga koje se u području zaštite zraka, voda i pitanja gospodarenja otpadom posredno bave i problematikom POPs-ova. U srpnju 2014</w:t>
      </w:r>
      <w:r w:rsidR="005C26BD">
        <w:rPr>
          <w:rFonts w:ascii="Times New Roman" w:eastAsia="Times New Roman" w:hAnsi="Times New Roman" w:cs="Times New Roman"/>
          <w:color w:val="000000"/>
          <w:sz w:val="24"/>
          <w:szCs w:val="24"/>
          <w:lang w:bidi="en-US"/>
        </w:rPr>
        <w:t>.</w:t>
      </w:r>
      <w:r w:rsidRPr="00D84719">
        <w:rPr>
          <w:rFonts w:ascii="Times New Roman" w:eastAsia="Times New Roman" w:hAnsi="Times New Roman" w:cs="Times New Roman"/>
          <w:color w:val="000000"/>
          <w:sz w:val="24"/>
          <w:szCs w:val="24"/>
          <w:lang w:bidi="en-US"/>
        </w:rPr>
        <w:t xml:space="preserve"> osnovano je Povjerenstvo za praćenje provedbe Projekta revizije NIP-a u koje su također bili imenovani i aktivno uključeni svi potencijalni dionici, uključujući i predstavnike nekih nevladinih udruženja/organizacija, a </w:t>
      </w:r>
      <w:r w:rsidRPr="00D84719">
        <w:rPr>
          <w:rFonts w:ascii="Times New Roman" w:eastAsia="Times New Roman" w:hAnsi="Times New Roman" w:cs="Times New Roman"/>
          <w:color w:val="000000"/>
          <w:sz w:val="24"/>
          <w:szCs w:val="24"/>
        </w:rPr>
        <w:t>u srpnju</w:t>
      </w:r>
      <w:r w:rsidR="001B5C46">
        <w:rPr>
          <w:rFonts w:ascii="Times New Roman" w:eastAsia="Times New Roman" w:hAnsi="Times New Roman" w:cs="Times New Roman"/>
          <w:color w:val="000000"/>
          <w:sz w:val="24"/>
          <w:szCs w:val="24"/>
        </w:rPr>
        <w:t xml:space="preserve"> 20</w:t>
      </w:r>
      <w:r w:rsidRPr="00D84719">
        <w:rPr>
          <w:rFonts w:ascii="Times New Roman" w:eastAsia="Times New Roman" w:hAnsi="Times New Roman" w:cs="Times New Roman"/>
          <w:color w:val="000000"/>
          <w:sz w:val="24"/>
          <w:szCs w:val="24"/>
        </w:rPr>
        <w:t>17</w:t>
      </w:r>
      <w:r w:rsidR="005C26BD">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 xml:space="preserve"> osnovana je Radna skupina za praćenje ispunjavanja obveza na temelju Odluke o prihvaćanju Drugog NIP-a).</w:t>
      </w:r>
    </w:p>
    <w:p w14:paraId="5D5F8A3F"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p>
    <w:p w14:paraId="354780BC" w14:textId="77777777" w:rsidR="00D84719" w:rsidRPr="00D84719" w:rsidRDefault="00D84719" w:rsidP="00F32974">
      <w:pPr>
        <w:pStyle w:val="Naslov2"/>
      </w:pPr>
      <w:bookmarkStart w:id="184" w:name="_Toc41638289"/>
      <w:bookmarkStart w:id="185" w:name="_Toc64460750"/>
      <w:r w:rsidRPr="00D84719">
        <w:t>Pregled tehničke infrastrukture za procjenu POPs-ova, mjerenje, analiza, alternativne i preventivne mjere, upravljanje, istraživanje i razvoj</w:t>
      </w:r>
      <w:bookmarkEnd w:id="184"/>
      <w:bookmarkEnd w:id="185"/>
      <w:r w:rsidRPr="00D84719">
        <w:t xml:space="preserve"> </w:t>
      </w:r>
    </w:p>
    <w:p w14:paraId="13226AB7" w14:textId="77777777" w:rsidR="00D84719" w:rsidRPr="00D84719" w:rsidRDefault="00D84719" w:rsidP="00F32974">
      <w:pPr>
        <w:pStyle w:val="Naslov3"/>
      </w:pPr>
      <w:bookmarkStart w:id="186" w:name="_Toc41639435"/>
      <w:bookmarkStart w:id="187" w:name="_Toc41639564"/>
      <w:bookmarkStart w:id="188" w:name="_Toc41648387"/>
      <w:bookmarkStart w:id="189" w:name="_Toc41651043"/>
      <w:bookmarkStart w:id="190" w:name="_Toc41651180"/>
      <w:bookmarkStart w:id="191" w:name="_Toc41639436"/>
      <w:bookmarkStart w:id="192" w:name="_Toc41639565"/>
      <w:bookmarkStart w:id="193" w:name="_Toc41648388"/>
      <w:bookmarkStart w:id="194" w:name="_Toc41651044"/>
      <w:bookmarkStart w:id="195" w:name="_Toc41651181"/>
      <w:bookmarkStart w:id="196" w:name="_Toc41639437"/>
      <w:bookmarkStart w:id="197" w:name="_Toc41639566"/>
      <w:bookmarkStart w:id="198" w:name="_Toc41648389"/>
      <w:bookmarkStart w:id="199" w:name="_Toc41651045"/>
      <w:bookmarkStart w:id="200" w:name="_Toc41651182"/>
      <w:bookmarkStart w:id="201" w:name="_Toc41639438"/>
      <w:bookmarkStart w:id="202" w:name="_Toc41639567"/>
      <w:bookmarkStart w:id="203" w:name="_Toc41648390"/>
      <w:bookmarkStart w:id="204" w:name="_Toc41651046"/>
      <w:bookmarkStart w:id="205" w:name="_Toc41651183"/>
      <w:bookmarkStart w:id="206" w:name="_Toc41639439"/>
      <w:bookmarkStart w:id="207" w:name="_Toc41639568"/>
      <w:bookmarkStart w:id="208" w:name="_Toc41648391"/>
      <w:bookmarkStart w:id="209" w:name="_Toc41651047"/>
      <w:bookmarkStart w:id="210" w:name="_Toc41651184"/>
      <w:bookmarkStart w:id="211" w:name="_Toc41639440"/>
      <w:bookmarkStart w:id="212" w:name="_Toc41639569"/>
      <w:bookmarkStart w:id="213" w:name="_Toc41648392"/>
      <w:bookmarkStart w:id="214" w:name="_Toc41651048"/>
      <w:bookmarkStart w:id="215" w:name="_Toc41651185"/>
      <w:bookmarkStart w:id="216" w:name="_Toc41639441"/>
      <w:bookmarkStart w:id="217" w:name="_Toc41639570"/>
      <w:bookmarkStart w:id="218" w:name="_Toc41648393"/>
      <w:bookmarkStart w:id="219" w:name="_Toc41651049"/>
      <w:bookmarkStart w:id="220" w:name="_Toc41651186"/>
      <w:bookmarkStart w:id="221" w:name="_Toc41639442"/>
      <w:bookmarkStart w:id="222" w:name="_Toc41639571"/>
      <w:bookmarkStart w:id="223" w:name="_Toc41648394"/>
      <w:bookmarkStart w:id="224" w:name="_Toc41651050"/>
      <w:bookmarkStart w:id="225" w:name="_Toc41651187"/>
      <w:bookmarkStart w:id="226" w:name="_Toc41639443"/>
      <w:bookmarkStart w:id="227" w:name="_Toc41639572"/>
      <w:bookmarkStart w:id="228" w:name="_Toc41648395"/>
      <w:bookmarkStart w:id="229" w:name="_Toc41651051"/>
      <w:bookmarkStart w:id="230" w:name="_Toc41651188"/>
      <w:bookmarkStart w:id="231" w:name="_Toc41639444"/>
      <w:bookmarkStart w:id="232" w:name="_Toc41639573"/>
      <w:bookmarkStart w:id="233" w:name="_Toc41648396"/>
      <w:bookmarkStart w:id="234" w:name="_Toc41651052"/>
      <w:bookmarkStart w:id="235" w:name="_Toc41651189"/>
      <w:bookmarkStart w:id="236" w:name="_Toc41639445"/>
      <w:bookmarkStart w:id="237" w:name="_Toc41639574"/>
      <w:bookmarkStart w:id="238" w:name="_Toc41648397"/>
      <w:bookmarkStart w:id="239" w:name="_Toc41651053"/>
      <w:bookmarkStart w:id="240" w:name="_Toc41651190"/>
      <w:bookmarkStart w:id="241" w:name="_Toc50713897"/>
      <w:bookmarkStart w:id="242" w:name="_Toc41638290"/>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r w:rsidRPr="00D84719">
        <w:t xml:space="preserve"> </w:t>
      </w:r>
      <w:bookmarkStart w:id="243" w:name="_Toc64460751"/>
      <w:r w:rsidRPr="00D84719">
        <w:t>NACIONALNI KAPACITETI PRAĆENJA ISPUŠTANJA POPs-ova U OKOLIŠU</w:t>
      </w:r>
      <w:bookmarkEnd w:id="242"/>
      <w:bookmarkEnd w:id="243"/>
    </w:p>
    <w:p w14:paraId="2A64ADB9"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 xml:space="preserve">U Republici Hrvatskoj postoje laboratoriji koji raspolažu opremom za određivanje organoklornih pesticida i PCB-a te po najnovijim podacima i opremom za praćenje razina PCDD/PCDF-a. U suradnji s međunarodno provjerenim stranim ustanovama takva su mjerenja također provediva. Praćenje emisija PCDD/PCDF-a u zrak iz nepokretnih izvora može obavljati manji broj pravnih osoba u Republici Hrvatskoj koje su ishodile dozvole ministarstva nadležnog za zaštitu okoliša. Opremu i znanje za određivanje ostalih POPs-ova imaju Hrvatski zavod za javno zdravstvo, Hrvatski veterinarski institut, Nastavni zavod za javno zdravstvo „Dr. Andrija </w:t>
      </w:r>
      <w:r w:rsidRPr="00D84719">
        <w:rPr>
          <w:rFonts w:ascii="Times New Roman" w:eastAsia="Times New Roman" w:hAnsi="Times New Roman" w:cs="Times New Roman"/>
          <w:color w:val="000000"/>
          <w:sz w:val="24"/>
          <w:szCs w:val="24"/>
          <w:lang w:bidi="en-US"/>
        </w:rPr>
        <w:lastRenderedPageBreak/>
        <w:t>Štampar“ te parcijalno i neki županijski zavodi za javno zdravstvo. Tu se također treba napomenuti da su javni znanstveni instituti Institut Ruđer Bošković i Institut za medicinska istraživanja i medicinu rada, opremljeni odgovarajućom opremom i imaju visokoškolovani kadar na tom području te su u mogućnosti provoditi takva mjerenja što se do sada dokazalo brojnim rezultatima istraživanja. No, potrebno je detaljnije istraživanje i informiranje te jačanje kapaciteta znanstveno-istraživačkih institucija vezano uz istraživanja i metodologiju analiza tzv. novih POPs-ova.</w:t>
      </w:r>
    </w:p>
    <w:p w14:paraId="7369515E" w14:textId="77777777" w:rsidR="00D84719" w:rsidRPr="00D84719" w:rsidRDefault="00D84719" w:rsidP="00D84719">
      <w:pPr>
        <w:spacing w:before="80" w:line="276" w:lineRule="auto"/>
        <w:jc w:val="both"/>
        <w:rPr>
          <w:rFonts w:ascii="Times New Roman" w:eastAsia="Times New Roman" w:hAnsi="Times New Roman" w:cs="Times New Roman"/>
          <w:color w:val="000000"/>
          <w:szCs w:val="24"/>
          <w:lang w:bidi="en-US"/>
        </w:rPr>
      </w:pPr>
    </w:p>
    <w:p w14:paraId="2A638813" w14:textId="77777777" w:rsidR="00D84719" w:rsidRPr="00D84719" w:rsidRDefault="00D84719" w:rsidP="00F32974">
      <w:pPr>
        <w:pStyle w:val="Naslov3"/>
      </w:pPr>
      <w:bookmarkStart w:id="244" w:name="_Toc41638291"/>
      <w:bookmarkStart w:id="245" w:name="_Toc64460752"/>
      <w:r w:rsidRPr="00D84719">
        <w:t>NACIONALNI KAPACITETI ZA PRAĆENJE UTJECAJA NA LJUDSKO ZDRAVLJE</w:t>
      </w:r>
      <w:bookmarkEnd w:id="244"/>
      <w:bookmarkEnd w:id="245"/>
    </w:p>
    <w:p w14:paraId="4767FD5F"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Mjerenja koncentracija organoklornih pesticida i PCB-a u krvi i mlijeku ljudi provode se u Republici Hrvatskoj, dok su se analize koncentracija PCDD/PCDF-a uglavnom provodile do nedugo u suradnji s inozemnim ustanovama, no iste će biti moguće provoditi i u Republici Hrvatskoj. U Republici Hrvatskoj dovoljan je potencijal liječnika i specijalista medicine rada koji bi po obrazovanju trebali prepoznati zdravstvene promjene uzrokovane organoklornim spojevima.</w:t>
      </w:r>
    </w:p>
    <w:p w14:paraId="7B6FEF63" w14:textId="77777777" w:rsid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U sustavu zdravstva nema organizirane mreže za prikupljanje podataka s obzirom na izloženost i zdravstvene probleme uzrokovane POPs-ovima, već se radi uglavnom u okviru određenih projekata.</w:t>
      </w:r>
    </w:p>
    <w:p w14:paraId="103FACEB" w14:textId="77777777" w:rsidR="00AD681E" w:rsidRPr="00A166B2" w:rsidRDefault="00AD681E" w:rsidP="00AD681E">
      <w:pPr>
        <w:spacing w:before="80" w:line="276" w:lineRule="auto"/>
        <w:jc w:val="both"/>
        <w:rPr>
          <w:rFonts w:ascii="Times New Roman" w:hAnsi="Times New Roman" w:cs="Times New Roman"/>
          <w:sz w:val="24"/>
          <w:szCs w:val="24"/>
        </w:rPr>
      </w:pPr>
      <w:r w:rsidRPr="00012077">
        <w:rPr>
          <w:rFonts w:ascii="Times New Roman" w:hAnsi="Times New Roman" w:cs="Times New Roman"/>
          <w:sz w:val="24"/>
          <w:szCs w:val="24"/>
        </w:rPr>
        <w:t xml:space="preserve">Europska inicijativa za humani </w:t>
      </w:r>
      <w:proofErr w:type="spellStart"/>
      <w:r w:rsidRPr="00012077">
        <w:rPr>
          <w:rFonts w:ascii="Times New Roman" w:hAnsi="Times New Roman" w:cs="Times New Roman"/>
          <w:sz w:val="24"/>
          <w:szCs w:val="24"/>
        </w:rPr>
        <w:t>biomonitoring</w:t>
      </w:r>
      <w:proofErr w:type="spellEnd"/>
      <w:r w:rsidRPr="00012077">
        <w:rPr>
          <w:rFonts w:ascii="Times New Roman" w:hAnsi="Times New Roman" w:cs="Times New Roman"/>
          <w:sz w:val="24"/>
          <w:szCs w:val="24"/>
        </w:rPr>
        <w:t xml:space="preserve"> (HBM4EU) projekt je koji djeluje unutar programa HORIZON2020. Radi se o zajedničkom projektu država članica </w:t>
      </w:r>
      <w:proofErr w:type="spellStart"/>
      <w:r w:rsidRPr="00012077">
        <w:rPr>
          <w:rFonts w:ascii="Times New Roman" w:hAnsi="Times New Roman" w:cs="Times New Roman"/>
          <w:sz w:val="24"/>
          <w:szCs w:val="24"/>
        </w:rPr>
        <w:t>Euroske</w:t>
      </w:r>
      <w:proofErr w:type="spellEnd"/>
      <w:r w:rsidRPr="00012077">
        <w:rPr>
          <w:rFonts w:ascii="Times New Roman" w:hAnsi="Times New Roman" w:cs="Times New Roman"/>
          <w:sz w:val="24"/>
          <w:szCs w:val="24"/>
        </w:rPr>
        <w:t xml:space="preserve"> unije i Europske komisije kojemu je glavni cilj koordinacija i unapređenje humanog </w:t>
      </w:r>
      <w:proofErr w:type="spellStart"/>
      <w:r w:rsidRPr="00012077">
        <w:rPr>
          <w:rFonts w:ascii="Times New Roman" w:hAnsi="Times New Roman" w:cs="Times New Roman"/>
          <w:sz w:val="24"/>
          <w:szCs w:val="24"/>
        </w:rPr>
        <w:t>biomonitoringa</w:t>
      </w:r>
      <w:proofErr w:type="spellEnd"/>
      <w:r w:rsidRPr="00012077">
        <w:rPr>
          <w:rFonts w:ascii="Times New Roman" w:hAnsi="Times New Roman" w:cs="Times New Roman"/>
          <w:sz w:val="24"/>
          <w:szCs w:val="24"/>
        </w:rPr>
        <w:t xml:space="preserve"> u Europi. Provodit će se pet godina s ciljem da uspostavljanjem platforme postojećeg znanja, istraživanja i izgradnje novih kapaciteta osigura dokaze o izloženosti građana kemikalijama i mogućim učincima na zdravlje. HBM4EU izravno pridonosi poboljšanju zdravlja, dobrobiti populacije i uspostavi pozitivnih politika.</w:t>
      </w:r>
      <w:r w:rsidRPr="00A166B2">
        <w:rPr>
          <w:rFonts w:ascii="Times New Roman" w:hAnsi="Times New Roman" w:cs="Times New Roman"/>
          <w:sz w:val="24"/>
          <w:szCs w:val="24"/>
        </w:rPr>
        <w:t xml:space="preserve"> Službeni početak projekta bio je 1. siječnja 2017.. </w:t>
      </w:r>
    </w:p>
    <w:p w14:paraId="75D961E6" w14:textId="77777777" w:rsidR="00DA1CB8" w:rsidRPr="00D84719" w:rsidRDefault="00AD681E" w:rsidP="00DA1CB8">
      <w:pPr>
        <w:spacing w:before="80" w:line="276" w:lineRule="auto"/>
        <w:jc w:val="both"/>
        <w:rPr>
          <w:rFonts w:ascii="Times New Roman" w:eastAsia="Times New Roman" w:hAnsi="Times New Roman" w:cs="Times New Roman"/>
          <w:color w:val="000000"/>
          <w:sz w:val="24"/>
          <w:szCs w:val="24"/>
          <w:lang w:bidi="en-US"/>
        </w:rPr>
      </w:pPr>
      <w:r w:rsidRPr="00A166B2">
        <w:rPr>
          <w:rFonts w:ascii="Times New Roman" w:hAnsi="Times New Roman" w:cs="Times New Roman"/>
          <w:sz w:val="24"/>
          <w:szCs w:val="24"/>
        </w:rPr>
        <w:t>U sklopu projekta formiran je i Nacionalni tim Republike Hrvatske za koordinaciju provedbe projekta HBM4EU čiji su članovi</w:t>
      </w:r>
      <w:r w:rsidR="009E2446">
        <w:rPr>
          <w:rFonts w:ascii="Times New Roman" w:hAnsi="Times New Roman" w:cs="Times New Roman"/>
          <w:sz w:val="24"/>
          <w:szCs w:val="24"/>
        </w:rPr>
        <w:t xml:space="preserve"> </w:t>
      </w:r>
      <w:r w:rsidR="00886F10" w:rsidRPr="00A166B2">
        <w:rPr>
          <w:rFonts w:ascii="Times New Roman" w:hAnsi="Times New Roman" w:cs="Times New Roman"/>
          <w:sz w:val="24"/>
          <w:szCs w:val="24"/>
        </w:rPr>
        <w:t>Hrvatsk</w:t>
      </w:r>
      <w:r w:rsidR="00886F10">
        <w:rPr>
          <w:rFonts w:ascii="Times New Roman" w:hAnsi="Times New Roman" w:cs="Times New Roman"/>
          <w:sz w:val="24"/>
          <w:szCs w:val="24"/>
        </w:rPr>
        <w:t>i</w:t>
      </w:r>
      <w:r w:rsidR="00886F10" w:rsidRPr="00A166B2">
        <w:rPr>
          <w:rFonts w:ascii="Times New Roman" w:hAnsi="Times New Roman" w:cs="Times New Roman"/>
          <w:sz w:val="24"/>
          <w:szCs w:val="24"/>
        </w:rPr>
        <w:t xml:space="preserve"> </w:t>
      </w:r>
      <w:r w:rsidRPr="00A166B2">
        <w:rPr>
          <w:rFonts w:ascii="Times New Roman" w:hAnsi="Times New Roman" w:cs="Times New Roman"/>
          <w:sz w:val="24"/>
          <w:szCs w:val="24"/>
        </w:rPr>
        <w:t>zavod za javno zdravstvo</w:t>
      </w:r>
      <w:r w:rsidR="009E2446">
        <w:rPr>
          <w:rFonts w:ascii="Times New Roman" w:hAnsi="Times New Roman" w:cs="Times New Roman"/>
          <w:sz w:val="24"/>
          <w:szCs w:val="24"/>
        </w:rPr>
        <w:t xml:space="preserve">, </w:t>
      </w:r>
      <w:r w:rsidRPr="00A166B2">
        <w:rPr>
          <w:rFonts w:ascii="Times New Roman" w:hAnsi="Times New Roman" w:cs="Times New Roman"/>
          <w:sz w:val="24"/>
          <w:szCs w:val="24"/>
        </w:rPr>
        <w:t>Institut za medicinska istraživanja i medicinu rada</w:t>
      </w:r>
      <w:r w:rsidR="00886F10">
        <w:rPr>
          <w:rFonts w:ascii="Times New Roman" w:hAnsi="Times New Roman" w:cs="Times New Roman"/>
          <w:sz w:val="24"/>
          <w:szCs w:val="24"/>
        </w:rPr>
        <w:t xml:space="preserve"> i </w:t>
      </w:r>
      <w:r w:rsidR="00886F10" w:rsidRPr="00A166B2">
        <w:rPr>
          <w:rFonts w:ascii="Times New Roman" w:hAnsi="Times New Roman" w:cs="Times New Roman"/>
          <w:sz w:val="24"/>
          <w:szCs w:val="24"/>
        </w:rPr>
        <w:t>Ministarstv</w:t>
      </w:r>
      <w:r w:rsidR="00886F10">
        <w:rPr>
          <w:rFonts w:ascii="Times New Roman" w:hAnsi="Times New Roman" w:cs="Times New Roman"/>
          <w:sz w:val="24"/>
          <w:szCs w:val="24"/>
        </w:rPr>
        <w:t>o</w:t>
      </w:r>
      <w:r w:rsidR="00886F10" w:rsidRPr="00A166B2">
        <w:rPr>
          <w:rFonts w:ascii="Times New Roman" w:hAnsi="Times New Roman" w:cs="Times New Roman"/>
          <w:sz w:val="24"/>
          <w:szCs w:val="24"/>
        </w:rPr>
        <w:t xml:space="preserve"> </w:t>
      </w:r>
      <w:r w:rsidRPr="00A166B2">
        <w:rPr>
          <w:rFonts w:ascii="Times New Roman" w:hAnsi="Times New Roman" w:cs="Times New Roman"/>
          <w:sz w:val="24"/>
          <w:szCs w:val="24"/>
        </w:rPr>
        <w:t xml:space="preserve">zdravstva. Više informacija o projektu dostupno je na slijedećim poveznicama: </w:t>
      </w:r>
      <w:hyperlink r:id="rId47" w:history="1">
        <w:r w:rsidRPr="00A166B2">
          <w:rPr>
            <w:rStyle w:val="Hiperveza"/>
            <w:rFonts w:ascii="Times New Roman" w:hAnsi="Times New Roman" w:cs="Times New Roman"/>
            <w:sz w:val="24"/>
            <w:szCs w:val="24"/>
          </w:rPr>
          <w:t>https://www.hzjz.hr/medunarodna-istrazivanja/europska-inicijativa-za-humani-biomonitoring-hbm4eu/</w:t>
        </w:r>
      </w:hyperlink>
      <w:r w:rsidRPr="00012077">
        <w:rPr>
          <w:rFonts w:ascii="Times New Roman" w:hAnsi="Times New Roman" w:cs="Times New Roman"/>
          <w:color w:val="333333"/>
          <w:sz w:val="24"/>
          <w:szCs w:val="24"/>
        </w:rPr>
        <w:t xml:space="preserve"> i </w:t>
      </w:r>
      <w:hyperlink r:id="rId48" w:history="1">
        <w:r w:rsidR="000562A3" w:rsidRPr="00BB4A14">
          <w:rPr>
            <w:rStyle w:val="Hiperveza"/>
            <w:rFonts w:ascii="Times New Roman" w:hAnsi="Times New Roman" w:cs="Times New Roman"/>
            <w:sz w:val="24"/>
            <w:szCs w:val="24"/>
          </w:rPr>
          <w:t>https://www.hbm4eu.eu/</w:t>
        </w:r>
      </w:hyperlink>
      <w:r w:rsidRPr="00012077">
        <w:rPr>
          <w:rFonts w:ascii="Times New Roman" w:hAnsi="Times New Roman" w:cs="Times New Roman"/>
          <w:color w:val="333333"/>
          <w:sz w:val="24"/>
          <w:szCs w:val="24"/>
        </w:rPr>
        <w:t>.</w:t>
      </w:r>
      <w:r w:rsidR="000562A3">
        <w:rPr>
          <w:rFonts w:ascii="Times New Roman" w:hAnsi="Times New Roman" w:cs="Times New Roman"/>
          <w:color w:val="333333"/>
          <w:sz w:val="24"/>
          <w:szCs w:val="24"/>
        </w:rPr>
        <w:t xml:space="preserve"> </w:t>
      </w:r>
      <w:r w:rsidRPr="00012077">
        <w:rPr>
          <w:rFonts w:ascii="Times New Roman" w:hAnsi="Times New Roman" w:cs="Times New Roman"/>
          <w:color w:val="333333"/>
          <w:sz w:val="24"/>
          <w:szCs w:val="24"/>
        </w:rPr>
        <w:t xml:space="preserve"> </w:t>
      </w:r>
      <w:r w:rsidR="00514AEA" w:rsidRPr="007451FB">
        <w:rPr>
          <w:rFonts w:ascii="Times New Roman" w:hAnsi="Times New Roman" w:cs="Times New Roman"/>
          <w:sz w:val="24"/>
          <w:szCs w:val="24"/>
        </w:rPr>
        <w:t>Prioritetne tvari</w:t>
      </w:r>
      <w:r w:rsidR="00E55CDC" w:rsidRPr="007451FB">
        <w:rPr>
          <w:rFonts w:ascii="Times New Roman" w:hAnsi="Times New Roman" w:cs="Times New Roman"/>
          <w:sz w:val="24"/>
          <w:szCs w:val="24"/>
        </w:rPr>
        <w:t xml:space="preserve"> prvoga kruga (2016)</w:t>
      </w:r>
      <w:r w:rsidR="00514AEA" w:rsidRPr="007451FB">
        <w:rPr>
          <w:rFonts w:ascii="Times New Roman" w:hAnsi="Times New Roman" w:cs="Times New Roman"/>
          <w:sz w:val="24"/>
          <w:szCs w:val="24"/>
        </w:rPr>
        <w:t xml:space="preserve"> u okviru Projekta između ostalih jesu: PAH-ov</w:t>
      </w:r>
      <w:r w:rsidR="00E55CDC" w:rsidRPr="007451FB">
        <w:rPr>
          <w:rFonts w:ascii="Times New Roman" w:hAnsi="Times New Roman" w:cs="Times New Roman"/>
          <w:sz w:val="24"/>
          <w:szCs w:val="24"/>
        </w:rPr>
        <w:t xml:space="preserve">i, </w:t>
      </w:r>
      <w:proofErr w:type="spellStart"/>
      <w:r w:rsidR="00E55CDC" w:rsidRPr="007451FB">
        <w:rPr>
          <w:rFonts w:ascii="Times New Roman" w:hAnsi="Times New Roman" w:cs="Times New Roman"/>
          <w:sz w:val="24"/>
          <w:szCs w:val="24"/>
        </w:rPr>
        <w:t>per</w:t>
      </w:r>
      <w:proofErr w:type="spellEnd"/>
      <w:r w:rsidR="00E55CDC" w:rsidRPr="007451FB">
        <w:rPr>
          <w:rFonts w:ascii="Times New Roman" w:hAnsi="Times New Roman" w:cs="Times New Roman"/>
          <w:sz w:val="24"/>
          <w:szCs w:val="24"/>
        </w:rPr>
        <w:t>- i poli- fluorirani spojevi (PFAS)  i usporivači plamena</w:t>
      </w:r>
      <w:r w:rsidR="00514AEA" w:rsidRPr="007451FB">
        <w:rPr>
          <w:rFonts w:ascii="Times New Roman" w:hAnsi="Times New Roman" w:cs="Times New Roman"/>
          <w:sz w:val="24"/>
          <w:szCs w:val="24"/>
        </w:rPr>
        <w:t xml:space="preserve"> (</w:t>
      </w:r>
      <w:r w:rsidR="00E55CDC" w:rsidRPr="007451FB">
        <w:rPr>
          <w:rFonts w:ascii="Times New Roman" w:hAnsi="Times New Roman" w:cs="Times New Roman"/>
          <w:sz w:val="24"/>
          <w:szCs w:val="24"/>
        </w:rPr>
        <w:t>uključujući</w:t>
      </w:r>
      <w:r w:rsidR="00514AEA" w:rsidRPr="007451FB">
        <w:rPr>
          <w:rFonts w:ascii="Times New Roman" w:hAnsi="Times New Roman" w:cs="Times New Roman"/>
          <w:sz w:val="24"/>
          <w:szCs w:val="24"/>
        </w:rPr>
        <w:t xml:space="preserve"> POP</w:t>
      </w:r>
      <w:r w:rsidR="00E55CDC" w:rsidRPr="007451FB">
        <w:rPr>
          <w:rFonts w:ascii="Times New Roman" w:hAnsi="Times New Roman" w:cs="Times New Roman"/>
          <w:sz w:val="24"/>
          <w:szCs w:val="24"/>
        </w:rPr>
        <w:t>s</w:t>
      </w:r>
      <w:r w:rsidR="00514AEA" w:rsidRPr="007451FB">
        <w:rPr>
          <w:rFonts w:ascii="Times New Roman" w:hAnsi="Times New Roman" w:cs="Times New Roman"/>
          <w:sz w:val="24"/>
          <w:szCs w:val="24"/>
        </w:rPr>
        <w:t xml:space="preserve"> </w:t>
      </w:r>
      <w:r w:rsidR="00E55CDC" w:rsidRPr="007451FB">
        <w:rPr>
          <w:rFonts w:ascii="Times New Roman" w:hAnsi="Times New Roman" w:cs="Times New Roman"/>
          <w:sz w:val="24"/>
          <w:szCs w:val="24"/>
        </w:rPr>
        <w:t>usporivače plamena</w:t>
      </w:r>
      <w:r w:rsidR="00514AEA" w:rsidRPr="007451FB">
        <w:rPr>
          <w:rFonts w:ascii="Times New Roman" w:hAnsi="Times New Roman" w:cs="Times New Roman"/>
          <w:sz w:val="24"/>
          <w:szCs w:val="24"/>
        </w:rPr>
        <w:t>)</w:t>
      </w:r>
      <w:r w:rsidR="00E55CDC" w:rsidRPr="007451FB">
        <w:rPr>
          <w:rFonts w:ascii="Times New Roman" w:hAnsi="Times New Roman" w:cs="Times New Roman"/>
          <w:sz w:val="24"/>
          <w:szCs w:val="24"/>
        </w:rPr>
        <w:t xml:space="preserve">, a </w:t>
      </w:r>
      <w:r w:rsidR="00514AEA" w:rsidRPr="007451FB">
        <w:rPr>
          <w:rFonts w:ascii="Times New Roman" w:hAnsi="Times New Roman" w:cs="Times New Roman"/>
          <w:sz w:val="24"/>
          <w:szCs w:val="24"/>
        </w:rPr>
        <w:t xml:space="preserve"> </w:t>
      </w:r>
      <w:r w:rsidR="00E55CDC" w:rsidRPr="007451FB">
        <w:rPr>
          <w:rFonts w:ascii="Times New Roman" w:hAnsi="Times New Roman" w:cs="Times New Roman"/>
          <w:sz w:val="24"/>
          <w:szCs w:val="24"/>
        </w:rPr>
        <w:t>2017. su uključeni i pesticidi kao grupa spojeva.</w:t>
      </w:r>
      <w:r w:rsidR="00DA1CB8" w:rsidRPr="00DA1CB8">
        <w:rPr>
          <w:rFonts w:ascii="Times New Roman" w:eastAsia="Times New Roman" w:hAnsi="Times New Roman" w:cs="Times New Roman"/>
          <w:color w:val="000000"/>
          <w:sz w:val="24"/>
          <w:szCs w:val="24"/>
          <w:lang w:bidi="en-US"/>
        </w:rPr>
        <w:t xml:space="preserve"> </w:t>
      </w:r>
    </w:p>
    <w:p w14:paraId="2F8DAD0A" w14:textId="77777777" w:rsidR="00DA1CB8" w:rsidRPr="00D84719" w:rsidRDefault="00DA1CB8" w:rsidP="00DA1CB8">
      <w:pPr>
        <w:spacing w:before="80" w:line="276" w:lineRule="auto"/>
        <w:jc w:val="both"/>
        <w:rPr>
          <w:rFonts w:ascii="Times New Roman" w:eastAsia="Times New Roman" w:hAnsi="Times New Roman" w:cs="Times New Roman"/>
          <w:color w:val="000000"/>
          <w:szCs w:val="24"/>
          <w:lang w:bidi="en-US"/>
        </w:rPr>
      </w:pPr>
    </w:p>
    <w:p w14:paraId="69343577" w14:textId="77777777" w:rsidR="00D84719" w:rsidRPr="007451FB" w:rsidRDefault="00E55CDC" w:rsidP="00D84719">
      <w:pPr>
        <w:spacing w:before="80" w:line="276" w:lineRule="auto"/>
        <w:jc w:val="both"/>
        <w:rPr>
          <w:rFonts w:ascii="Times New Roman" w:eastAsia="Times New Roman" w:hAnsi="Times New Roman" w:cs="Times New Roman"/>
          <w:szCs w:val="24"/>
          <w:lang w:bidi="en-US"/>
        </w:rPr>
      </w:pPr>
      <w:r w:rsidRPr="007451FB">
        <w:rPr>
          <w:rFonts w:ascii="Times New Roman" w:hAnsi="Times New Roman" w:cs="Times New Roman"/>
          <w:sz w:val="24"/>
          <w:szCs w:val="24"/>
        </w:rPr>
        <w:t xml:space="preserve"> </w:t>
      </w:r>
    </w:p>
    <w:p w14:paraId="12F41875" w14:textId="77777777" w:rsidR="00D84719" w:rsidRPr="00D84719" w:rsidRDefault="00D84719" w:rsidP="00F32974">
      <w:pPr>
        <w:pStyle w:val="Naslov3"/>
      </w:pPr>
      <w:r w:rsidRPr="00D84719">
        <w:t xml:space="preserve"> </w:t>
      </w:r>
      <w:bookmarkStart w:id="246" w:name="_Toc41638292"/>
      <w:bookmarkStart w:id="247" w:name="_Toc64460753"/>
      <w:r w:rsidRPr="00D84719">
        <w:t>PRIJEDLOG UNAPRJEĐENJA POSTOJEĆE PRAKSE</w:t>
      </w:r>
      <w:bookmarkEnd w:id="246"/>
      <w:bookmarkEnd w:id="247"/>
    </w:p>
    <w:p w14:paraId="395B0E81"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 xml:space="preserve">Iako podataka o ovim spojevima u ljudima ima, istraživanja nisu obuhvatila sve regije u Republici Hrvatskoj. U svrhu procjene razine opterećenosti naše populacije, istraživanja bi </w:t>
      </w:r>
      <w:r w:rsidRPr="00D84719">
        <w:rPr>
          <w:rFonts w:ascii="Times New Roman" w:eastAsia="Times New Roman" w:hAnsi="Times New Roman" w:cs="Times New Roman"/>
          <w:color w:val="000000"/>
          <w:sz w:val="24"/>
          <w:szCs w:val="24"/>
          <w:lang w:bidi="en-US"/>
        </w:rPr>
        <w:lastRenderedPageBreak/>
        <w:t xml:space="preserve">trebalo proširiti na više regija vodeći računa o načinu života, prije svega prehrane. Od interesa bi bilo pratiti grupe stanovnika koje žive na područjima u blizini razorenih industrijskih postrojenja gdje se zna da je došlo do onečišćenja PCB-om. Isto tako, trebalo bi pratiti stanovništvo u blizini izvora onečišćenja posebno PCDD/PCDF-a kao što su okoline industrijskih postrojenja (metalurška i metaloprerađivačka postrojenja, cementare, toplane, odlagališta otpada) kao i profesionalno izložene osobe (vatrogasci, radnici </w:t>
      </w:r>
      <w:proofErr w:type="spellStart"/>
      <w:r w:rsidRPr="00D84719">
        <w:rPr>
          <w:rFonts w:ascii="Times New Roman" w:eastAsia="Times New Roman" w:hAnsi="Times New Roman" w:cs="Times New Roman"/>
          <w:color w:val="000000"/>
          <w:sz w:val="24"/>
          <w:szCs w:val="24"/>
          <w:lang w:bidi="en-US"/>
        </w:rPr>
        <w:t>trafo</w:t>
      </w:r>
      <w:proofErr w:type="spellEnd"/>
      <w:r w:rsidRPr="00D84719">
        <w:rPr>
          <w:rFonts w:ascii="Times New Roman" w:eastAsia="Times New Roman" w:hAnsi="Times New Roman" w:cs="Times New Roman"/>
          <w:color w:val="000000"/>
          <w:sz w:val="24"/>
          <w:szCs w:val="24"/>
          <w:lang w:bidi="en-US"/>
        </w:rPr>
        <w:t>-radionica, radnici koji rukuju PCB opremom).</w:t>
      </w:r>
    </w:p>
    <w:p w14:paraId="75484812"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Od POPs-ova koji su predmet Prvog, Drugog i Trećeg NIP-a, najmanje je rezultata prikupljeno za PCDD/PCDF u bilo kojem mediju. Iz tog razloga bi daljnja mjerenja trebala biti prije svega usmjerena na evaluaciju tih spojeva kao i novih POPs-ova u uzorcima iz okoliša kao i u ljudima, vodeći računa o regionalnoj distribuciji.</w:t>
      </w:r>
    </w:p>
    <w:p w14:paraId="7101D93D"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Posebnu pažnju treba posvetiti detaljnijoj analizi mogućnosti ispitivanja tzv. novih POPs-ova, kao i onih koji su u procesu razmatranja (POPRC) u svim sastavnicama okoliša i matricama, određenim usporedivim metodologijama. Dobiveni rezultati predstavljali bi stručnu podlogu za prijedlog novih mjera/aktivnosti. Predlaže se jačanje suradnje znanstveno-istraživačkih institucija i donosioca političkih odluka, aktivnije sudjelovanje i razmjena informacija u pomoćnim tijelima Stockholmske konvencije.</w:t>
      </w:r>
    </w:p>
    <w:p w14:paraId="6EF7FF5B"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p>
    <w:p w14:paraId="3B0C2C30" w14:textId="77777777" w:rsidR="00D84719" w:rsidRPr="00D84719" w:rsidRDefault="00D84719" w:rsidP="00F32974">
      <w:pPr>
        <w:pStyle w:val="Naslov2"/>
      </w:pPr>
      <w:bookmarkStart w:id="248" w:name="_Toc41638293"/>
      <w:bookmarkStart w:id="249" w:name="_Toc64460754"/>
      <w:r w:rsidRPr="00D84719">
        <w:t>Identifikacija dijela populacije ili okoliša na kojem je utvrđen negativan utjecaj uzrokovan POPs-ovima</w:t>
      </w:r>
      <w:bookmarkEnd w:id="248"/>
      <w:bookmarkEnd w:id="249"/>
    </w:p>
    <w:p w14:paraId="5D07F717"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Analizirajući postojeće rezultate istraživanja u Republici Hrvatskoj, nema egzaktnog pokazatelja da u skupini osoba profesionalno izloženih POPs-ovima postoje jasno izražene rizične skupine. Kako se pesticidi koji sadrže POPs-ove u Republici Hrvatskoj više ne koriste, za očekivati je da nema profesionalno izloženih osoba pesticidima koji ih sadrže.</w:t>
      </w:r>
    </w:p>
    <w:p w14:paraId="159F1C67"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 xml:space="preserve">S obzirom na posao koji obavljaju, PCB-u su izloženi radnici </w:t>
      </w:r>
      <w:proofErr w:type="spellStart"/>
      <w:r w:rsidRPr="00D84719">
        <w:rPr>
          <w:rFonts w:ascii="Times New Roman" w:eastAsia="Times New Roman" w:hAnsi="Times New Roman" w:cs="Times New Roman"/>
          <w:color w:val="000000"/>
          <w:sz w:val="24"/>
          <w:szCs w:val="24"/>
        </w:rPr>
        <w:t>trafo</w:t>
      </w:r>
      <w:proofErr w:type="spellEnd"/>
      <w:r w:rsidRPr="00D84719">
        <w:rPr>
          <w:rFonts w:ascii="Times New Roman" w:eastAsia="Times New Roman" w:hAnsi="Times New Roman" w:cs="Times New Roman"/>
          <w:color w:val="000000"/>
          <w:sz w:val="24"/>
          <w:szCs w:val="24"/>
        </w:rPr>
        <w:t>-radionica, odnosno oni koji rade i popravljaju transformatore i kondenzatore koji su punjeni PCB-om. Za očekivati je da će tijekom eventualnih akcidenata s transformatorima i kondenzatorima koji su punjeni PCB-om, doći do lokalnog onečišćenja čiji je opseg teško predvidjeti. U takvim akcidentima obično dolazi i do akcidentalne izloženosti izvjesnog dijela populacije, a svakako su rizična grupa oni koji rukuju s takvom opremom, kao i vatrogasci i osobe koje provode sanaciju. Vatrogasci su rizična skupina s obzirom na izloženost PCDD/PCDF-u. Poznato je da pri požarima bilo koje vrste nastaju PCDD i PCDF, a s obzirom na vrstu posla vatrogasci su osobe koje su najviše izložene dimu nakon požara.</w:t>
      </w:r>
      <w:r w:rsidR="002C6468">
        <w:rPr>
          <w:rFonts w:ascii="Times New Roman" w:eastAsia="Times New Roman" w:hAnsi="Times New Roman" w:cs="Times New Roman"/>
          <w:color w:val="000000"/>
          <w:sz w:val="24"/>
          <w:szCs w:val="24"/>
        </w:rPr>
        <w:t xml:space="preserve"> Uz vatrogasce u odgovoru na razne akcidentne situacije sudjeluju i osobe iz sustava civilne zaštite te stoga i on spadaju među rizične skupine. </w:t>
      </w:r>
      <w:r w:rsidRPr="00D84719">
        <w:rPr>
          <w:rFonts w:ascii="Times New Roman" w:eastAsia="Times New Roman" w:hAnsi="Times New Roman" w:cs="Times New Roman"/>
          <w:color w:val="000000"/>
          <w:sz w:val="24"/>
          <w:szCs w:val="24"/>
        </w:rPr>
        <w:t xml:space="preserve"> Nadalje, izloženi POPs-ovima mogu biti i djelatnici u gospodarenju otpadom, osobito oni koji se bave gospodarenjem onih vrsta otpada koje dokazano ili potencijalno sadrže POPs-ove, npr. djelatnici koji rade na dekontaminaciji opreme koja sadrži PCB, oporabi EEE, otpadnih vozila i slično. U Republici Hrvatskoj nema podataka o koncentracijama PCDD-a i PCDF-a u krvi vatrogasaca, a takvi su podaci manjkavi i u svijetu.</w:t>
      </w:r>
    </w:p>
    <w:p w14:paraId="1411563D"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lastRenderedPageBreak/>
        <w:t>Kako je već ranije navedeno, iz istraživanja u skupinama opće populacije vidljivo je da je unos POPs-ova najviši u dojenčadi koja se smatra osjetljivom skupinom. Dnevni unosi u organizam dojenčadi putem majčina mlijeka se smanjuju i sve rjeđe premašuju prihvatljive dnevne unose predložene od međunarodnih organizacija. Smatra se, međutim, da taj unos nije opasan čak ako i premašuje prihvatljive dnevne unose, obzirom da je razdoblje dojenja relativno kratko u odnosu na ukupni životni vijek.</w:t>
      </w:r>
    </w:p>
    <w:p w14:paraId="78262C30" w14:textId="77777777" w:rsidR="00D84719" w:rsidRPr="00D84719" w:rsidRDefault="00D84719" w:rsidP="00D84719">
      <w:pPr>
        <w:spacing w:before="80" w:line="276" w:lineRule="auto"/>
        <w:jc w:val="both"/>
        <w:rPr>
          <w:rFonts w:ascii="Times New Roman" w:eastAsia="Times New Roman" w:hAnsi="Times New Roman" w:cs="Times New Roman"/>
          <w:color w:val="000000"/>
          <w:szCs w:val="24"/>
        </w:rPr>
      </w:pPr>
    </w:p>
    <w:p w14:paraId="6B7A18F5" w14:textId="77777777" w:rsidR="00D84719" w:rsidRPr="00D84719" w:rsidRDefault="00D84719" w:rsidP="00F32974">
      <w:pPr>
        <w:pStyle w:val="Naslov2"/>
      </w:pPr>
      <w:bookmarkStart w:id="250" w:name="_Toc41638294"/>
      <w:bookmarkStart w:id="251" w:name="_Toc64460755"/>
      <w:r w:rsidRPr="00D84719">
        <w:t>Relevantni mehanizmi za gospodarenje kemikalijama na tržištu i novim kemikalijama uključujući cjeloživotni sustav upravljanja kemikalijama i otpadom i kružno gospodarstvo te razvoj i preporuke sinergijskih mehanizama za ostale međunarodne ugovore</w:t>
      </w:r>
      <w:bookmarkEnd w:id="250"/>
      <w:bookmarkEnd w:id="251"/>
    </w:p>
    <w:p w14:paraId="461C6205" w14:textId="77777777" w:rsidR="00B271C0" w:rsidRDefault="007539DD" w:rsidP="00D84719">
      <w:pPr>
        <w:spacing w:before="80" w:line="276" w:lineRule="auto"/>
        <w:jc w:val="both"/>
        <w:rPr>
          <w:rFonts w:ascii="Times New Roman" w:eastAsia="Times New Roman" w:hAnsi="Times New Roman" w:cs="Times New Roman"/>
          <w:color w:val="000000"/>
          <w:sz w:val="24"/>
          <w:szCs w:val="24"/>
        </w:rPr>
      </w:pPr>
      <w:r w:rsidRPr="00B271C0">
        <w:rPr>
          <w:rFonts w:ascii="Times New Roman" w:eastAsia="Times New Roman" w:hAnsi="Times New Roman" w:cs="Times New Roman"/>
          <w:color w:val="000000"/>
          <w:sz w:val="24"/>
          <w:szCs w:val="24"/>
        </w:rPr>
        <w:t>Već ranije je spomenuto kako je zakonodavstvom regulirano stavljanje na tržište</w:t>
      </w:r>
      <w:r>
        <w:rPr>
          <w:rFonts w:ascii="Times New Roman" w:eastAsia="Times New Roman" w:hAnsi="Times New Roman" w:cs="Times New Roman"/>
          <w:color w:val="000000"/>
          <w:sz w:val="24"/>
          <w:szCs w:val="24"/>
        </w:rPr>
        <w:t xml:space="preserve"> kemikalija</w:t>
      </w:r>
      <w:r w:rsidRPr="00B271C0">
        <w:rPr>
          <w:rFonts w:ascii="Times New Roman" w:eastAsia="Times New Roman" w:hAnsi="Times New Roman" w:cs="Times New Roman"/>
          <w:color w:val="000000"/>
          <w:sz w:val="24"/>
          <w:szCs w:val="24"/>
        </w:rPr>
        <w:t>, primjena/uporaba te proizvodnja</w:t>
      </w:r>
      <w:r>
        <w:rPr>
          <w:rFonts w:ascii="Times New Roman" w:eastAsia="Times New Roman" w:hAnsi="Times New Roman" w:cs="Times New Roman"/>
          <w:color w:val="000000"/>
          <w:sz w:val="24"/>
          <w:szCs w:val="24"/>
        </w:rPr>
        <w:t xml:space="preserve"> proizvoda koje sadrže </w:t>
      </w:r>
      <w:proofErr w:type="spellStart"/>
      <w:r w:rsidRPr="00B271C0">
        <w:rPr>
          <w:rFonts w:ascii="Times New Roman" w:eastAsia="Times New Roman" w:hAnsi="Times New Roman" w:cs="Times New Roman"/>
          <w:color w:val="000000"/>
          <w:sz w:val="24"/>
          <w:szCs w:val="24"/>
        </w:rPr>
        <w:t>kemikalij</w:t>
      </w:r>
      <w:r>
        <w:rPr>
          <w:rFonts w:ascii="Times New Roman" w:eastAsia="Times New Roman" w:hAnsi="Times New Roman" w:cs="Times New Roman"/>
          <w:color w:val="000000"/>
          <w:sz w:val="24"/>
          <w:szCs w:val="24"/>
        </w:rPr>
        <w:t>e</w:t>
      </w:r>
      <w:r w:rsidRPr="00B271C0" w:rsidDel="00F308DE">
        <w:rPr>
          <w:rFonts w:ascii="Times New Roman" w:eastAsia="Times New Roman" w:hAnsi="Times New Roman" w:cs="Times New Roman"/>
          <w:color w:val="000000"/>
          <w:sz w:val="24"/>
          <w:szCs w:val="24"/>
        </w:rPr>
        <w:t>a</w:t>
      </w:r>
      <w:proofErr w:type="spellEnd"/>
      <w:r w:rsidRPr="00B271C0">
        <w:rPr>
          <w:rFonts w:ascii="Times New Roman" w:eastAsia="Times New Roman" w:hAnsi="Times New Roman" w:cs="Times New Roman"/>
          <w:color w:val="000000"/>
          <w:sz w:val="24"/>
          <w:szCs w:val="24"/>
        </w:rPr>
        <w:t xml:space="preserve">/tvari </w:t>
      </w:r>
      <w:r>
        <w:rPr>
          <w:rFonts w:ascii="Times New Roman" w:eastAsia="Times New Roman" w:hAnsi="Times New Roman" w:cs="Times New Roman"/>
          <w:color w:val="000000"/>
          <w:sz w:val="24"/>
          <w:szCs w:val="24"/>
        </w:rPr>
        <w:t xml:space="preserve">  </w:t>
      </w:r>
      <w:r w:rsidRPr="00B271C0">
        <w:rPr>
          <w:rFonts w:ascii="Times New Roman" w:eastAsia="Times New Roman" w:hAnsi="Times New Roman" w:cs="Times New Roman"/>
          <w:color w:val="000000"/>
          <w:sz w:val="24"/>
          <w:szCs w:val="24"/>
        </w:rPr>
        <w:t>kao što su:</w:t>
      </w:r>
    </w:p>
    <w:p w14:paraId="49E92CC3" w14:textId="77777777" w:rsidR="00D84719" w:rsidRPr="00E20E6C" w:rsidRDefault="00D84719" w:rsidP="00E20E6C">
      <w:pPr>
        <w:pStyle w:val="Odlomakpopisa"/>
        <w:numPr>
          <w:ilvl w:val="0"/>
          <w:numId w:val="40"/>
        </w:numPr>
        <w:spacing w:before="80" w:line="276" w:lineRule="auto"/>
        <w:jc w:val="both"/>
        <w:rPr>
          <w:rFonts w:ascii="Times New Roman" w:eastAsia="Times New Roman" w:hAnsi="Times New Roman" w:cs="Times New Roman"/>
          <w:color w:val="000000"/>
          <w:sz w:val="24"/>
          <w:szCs w:val="24"/>
        </w:rPr>
      </w:pPr>
      <w:r w:rsidRPr="00E20E6C">
        <w:rPr>
          <w:rFonts w:ascii="Times New Roman" w:eastAsia="Times New Roman" w:hAnsi="Times New Roman" w:cs="Times New Roman"/>
          <w:color w:val="000000"/>
          <w:sz w:val="24"/>
          <w:szCs w:val="24"/>
        </w:rPr>
        <w:t>lijekovi za humanu i veterinarsku uporabu</w:t>
      </w:r>
    </w:p>
    <w:p w14:paraId="1167119B" w14:textId="77777777" w:rsidR="00D84719" w:rsidRPr="00E20E6C" w:rsidRDefault="00D84719" w:rsidP="00E20E6C">
      <w:pPr>
        <w:pStyle w:val="Odlomakpopisa"/>
        <w:numPr>
          <w:ilvl w:val="0"/>
          <w:numId w:val="40"/>
        </w:numPr>
        <w:spacing w:before="80" w:line="276" w:lineRule="auto"/>
        <w:jc w:val="both"/>
        <w:rPr>
          <w:rFonts w:ascii="Times New Roman" w:eastAsia="Times New Roman" w:hAnsi="Times New Roman" w:cs="Times New Roman"/>
          <w:color w:val="000000"/>
          <w:sz w:val="24"/>
          <w:szCs w:val="24"/>
        </w:rPr>
      </w:pPr>
      <w:r w:rsidRPr="00E20E6C">
        <w:rPr>
          <w:rFonts w:ascii="Times New Roman" w:eastAsia="Times New Roman" w:hAnsi="Times New Roman" w:cs="Times New Roman"/>
          <w:color w:val="000000"/>
          <w:sz w:val="24"/>
          <w:szCs w:val="24"/>
        </w:rPr>
        <w:t>namirnice i predmeti opće uporabe te tvari koje dolaze u izravni doticaj s namirnicama,</w:t>
      </w:r>
    </w:p>
    <w:p w14:paraId="3A1B15D7" w14:textId="77777777" w:rsidR="00D84719" w:rsidRPr="00E20E6C" w:rsidRDefault="00D84719" w:rsidP="00E20E6C">
      <w:pPr>
        <w:pStyle w:val="Odlomakpopisa"/>
        <w:numPr>
          <w:ilvl w:val="0"/>
          <w:numId w:val="40"/>
        </w:numPr>
        <w:spacing w:before="80" w:line="276" w:lineRule="auto"/>
        <w:jc w:val="both"/>
        <w:rPr>
          <w:rFonts w:ascii="Times New Roman" w:eastAsia="Times New Roman" w:hAnsi="Times New Roman" w:cs="Times New Roman"/>
          <w:color w:val="000000"/>
          <w:sz w:val="24"/>
          <w:szCs w:val="24"/>
        </w:rPr>
      </w:pPr>
      <w:r w:rsidRPr="00E20E6C">
        <w:rPr>
          <w:rFonts w:ascii="Times New Roman" w:eastAsia="Times New Roman" w:hAnsi="Times New Roman" w:cs="Times New Roman"/>
          <w:color w:val="000000"/>
          <w:sz w:val="24"/>
          <w:szCs w:val="24"/>
        </w:rPr>
        <w:t>kozmetički proizvodi</w:t>
      </w:r>
    </w:p>
    <w:p w14:paraId="3C21AB3A" w14:textId="77777777" w:rsidR="00D84719" w:rsidRPr="00E20E6C" w:rsidRDefault="00D84719" w:rsidP="00E20E6C">
      <w:pPr>
        <w:pStyle w:val="Odlomakpopisa"/>
        <w:numPr>
          <w:ilvl w:val="0"/>
          <w:numId w:val="40"/>
        </w:numPr>
        <w:spacing w:before="80" w:line="276" w:lineRule="auto"/>
        <w:jc w:val="both"/>
        <w:rPr>
          <w:rFonts w:ascii="Times New Roman" w:eastAsia="Times New Roman" w:hAnsi="Times New Roman" w:cs="Times New Roman"/>
          <w:color w:val="000000"/>
          <w:sz w:val="24"/>
          <w:szCs w:val="24"/>
        </w:rPr>
      </w:pPr>
      <w:r w:rsidRPr="00E20E6C">
        <w:rPr>
          <w:rFonts w:ascii="Times New Roman" w:eastAsia="Times New Roman" w:hAnsi="Times New Roman" w:cs="Times New Roman"/>
          <w:color w:val="000000"/>
          <w:sz w:val="24"/>
          <w:szCs w:val="24"/>
        </w:rPr>
        <w:t>sredstva za zaštitu bilja</w:t>
      </w:r>
    </w:p>
    <w:p w14:paraId="72B2ACE7" w14:textId="77777777" w:rsidR="00D84719" w:rsidRDefault="00D84719" w:rsidP="00E20E6C">
      <w:pPr>
        <w:pStyle w:val="Odlomakpopisa"/>
        <w:numPr>
          <w:ilvl w:val="0"/>
          <w:numId w:val="40"/>
        </w:numPr>
        <w:spacing w:before="80" w:line="276" w:lineRule="auto"/>
        <w:jc w:val="both"/>
        <w:rPr>
          <w:rFonts w:ascii="Times New Roman" w:eastAsia="Times New Roman" w:hAnsi="Times New Roman" w:cs="Times New Roman"/>
          <w:color w:val="000000"/>
          <w:sz w:val="24"/>
          <w:szCs w:val="24"/>
        </w:rPr>
      </w:pPr>
      <w:r w:rsidRPr="00E20E6C">
        <w:rPr>
          <w:rFonts w:ascii="Times New Roman" w:eastAsia="Times New Roman" w:hAnsi="Times New Roman" w:cs="Times New Roman"/>
          <w:color w:val="000000"/>
          <w:sz w:val="24"/>
          <w:szCs w:val="24"/>
        </w:rPr>
        <w:t>opasne kemikalije i dr.</w:t>
      </w:r>
    </w:p>
    <w:p w14:paraId="4BA01C25" w14:textId="77777777" w:rsidR="00E20E6C" w:rsidRPr="00E20E6C" w:rsidRDefault="00E20E6C" w:rsidP="00E20E6C">
      <w:pPr>
        <w:pStyle w:val="Odlomakpopisa"/>
        <w:spacing w:before="80" w:line="276" w:lineRule="auto"/>
        <w:jc w:val="both"/>
        <w:rPr>
          <w:rFonts w:ascii="Times New Roman" w:eastAsia="Times New Roman" w:hAnsi="Times New Roman" w:cs="Times New Roman"/>
          <w:color w:val="000000"/>
          <w:sz w:val="24"/>
          <w:szCs w:val="24"/>
        </w:rPr>
      </w:pPr>
    </w:p>
    <w:p w14:paraId="58648597"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Nadležna tijela državne uprave za upravljanje i kontrolu kemikalija u Republici Hrvatskoj su:</w:t>
      </w:r>
    </w:p>
    <w:p w14:paraId="2365DD01" w14:textId="77777777" w:rsidR="00D84719" w:rsidRPr="00E20E6C" w:rsidRDefault="00D84719" w:rsidP="00E20E6C">
      <w:pPr>
        <w:pStyle w:val="Odlomakpopisa"/>
        <w:numPr>
          <w:ilvl w:val="0"/>
          <w:numId w:val="41"/>
        </w:numPr>
        <w:spacing w:before="80" w:line="276" w:lineRule="auto"/>
        <w:jc w:val="both"/>
        <w:rPr>
          <w:rFonts w:ascii="Times New Roman" w:eastAsia="Times New Roman" w:hAnsi="Times New Roman" w:cs="Times New Roman"/>
          <w:color w:val="000000"/>
          <w:sz w:val="24"/>
          <w:szCs w:val="24"/>
        </w:rPr>
      </w:pPr>
      <w:r w:rsidRPr="00E20E6C">
        <w:rPr>
          <w:rFonts w:ascii="Times New Roman" w:eastAsia="Times New Roman" w:hAnsi="Times New Roman" w:cs="Times New Roman"/>
          <w:color w:val="000000"/>
          <w:sz w:val="24"/>
          <w:szCs w:val="24"/>
        </w:rPr>
        <w:t>Ministarstvo nadležno za poslove zdravstva (registracija, autorizacija, evaluacija i zabrane/ograničenja kemikalija, razvrstavanje, označivanje i pakiranje kemikalija, izvoz i uvoz zabranjenih odnosno strogo ograničenih kemikalija, biocidni proizvodi, deterdženti, Roterdamska i Minamatska konvencija)</w:t>
      </w:r>
    </w:p>
    <w:p w14:paraId="15DC3F77" w14:textId="77777777" w:rsidR="00D84719" w:rsidRPr="00E20E6C" w:rsidRDefault="00D84719" w:rsidP="00E20E6C">
      <w:pPr>
        <w:pStyle w:val="Odlomakpopisa"/>
        <w:numPr>
          <w:ilvl w:val="0"/>
          <w:numId w:val="41"/>
        </w:numPr>
        <w:spacing w:before="80" w:line="276" w:lineRule="auto"/>
        <w:jc w:val="both"/>
        <w:rPr>
          <w:rFonts w:ascii="Times New Roman" w:eastAsia="Times New Roman" w:hAnsi="Times New Roman" w:cs="Times New Roman"/>
          <w:color w:val="000000"/>
          <w:sz w:val="24"/>
          <w:szCs w:val="24"/>
        </w:rPr>
      </w:pPr>
      <w:r w:rsidRPr="00E20E6C">
        <w:rPr>
          <w:rFonts w:ascii="Times New Roman" w:eastAsia="Times New Roman" w:hAnsi="Times New Roman" w:cs="Times New Roman"/>
          <w:color w:val="000000"/>
          <w:sz w:val="24"/>
          <w:szCs w:val="24"/>
        </w:rPr>
        <w:t>Ministarstvo nadležno za poslove zaštite okoliša</w:t>
      </w:r>
      <w:r w:rsidR="000B6CBB" w:rsidRPr="00E20E6C">
        <w:rPr>
          <w:rFonts w:ascii="Times New Roman" w:eastAsia="Times New Roman" w:hAnsi="Times New Roman" w:cs="Times New Roman"/>
          <w:color w:val="000000"/>
          <w:sz w:val="24"/>
          <w:szCs w:val="24"/>
        </w:rPr>
        <w:t xml:space="preserve"> i poslove gospodarstva</w:t>
      </w:r>
      <w:r w:rsidRPr="00E20E6C">
        <w:rPr>
          <w:rFonts w:ascii="Times New Roman" w:eastAsia="Times New Roman" w:hAnsi="Times New Roman" w:cs="Times New Roman"/>
          <w:color w:val="000000"/>
          <w:sz w:val="24"/>
          <w:szCs w:val="24"/>
        </w:rPr>
        <w:t xml:space="preserve"> (Stockholmska i Baselska konvencija, LRTAP Konvencija, Aarhuška konvencija te PRTR </w:t>
      </w:r>
      <w:proofErr w:type="spellStart"/>
      <w:r w:rsidRPr="00E20E6C">
        <w:rPr>
          <w:rFonts w:ascii="Times New Roman" w:eastAsia="Times New Roman" w:hAnsi="Times New Roman" w:cs="Times New Roman"/>
          <w:color w:val="000000"/>
          <w:sz w:val="24"/>
          <w:szCs w:val="24"/>
        </w:rPr>
        <w:t>Protocol</w:t>
      </w:r>
      <w:proofErr w:type="spellEnd"/>
      <w:r w:rsidRPr="00E20E6C">
        <w:rPr>
          <w:rFonts w:ascii="Times New Roman" w:eastAsia="Times New Roman" w:hAnsi="Times New Roman" w:cs="Times New Roman"/>
          <w:color w:val="000000"/>
          <w:sz w:val="24"/>
          <w:szCs w:val="24"/>
        </w:rPr>
        <w:t>, ESPOO Konvencija</w:t>
      </w:r>
      <w:r w:rsidR="00B271C0" w:rsidRPr="00E20E6C">
        <w:rPr>
          <w:rFonts w:ascii="Times New Roman" w:eastAsia="Times New Roman" w:hAnsi="Times New Roman" w:cs="Times New Roman"/>
          <w:color w:val="000000"/>
          <w:sz w:val="24"/>
          <w:szCs w:val="24"/>
        </w:rPr>
        <w:t>, UNEP kontakt točka</w:t>
      </w:r>
      <w:r w:rsidR="000B6CBB" w:rsidRPr="00E20E6C">
        <w:rPr>
          <w:rFonts w:ascii="Times New Roman" w:eastAsia="Times New Roman" w:hAnsi="Times New Roman" w:cs="Times New Roman"/>
          <w:color w:val="000000"/>
          <w:sz w:val="24"/>
          <w:szCs w:val="24"/>
        </w:rPr>
        <w:t>; kemijsko oružje, EEE proizvodi</w:t>
      </w:r>
      <w:r w:rsidR="00B271C0" w:rsidRPr="00E20E6C">
        <w:rPr>
          <w:rFonts w:ascii="Times New Roman" w:eastAsia="Times New Roman" w:hAnsi="Times New Roman" w:cs="Times New Roman"/>
          <w:color w:val="000000"/>
          <w:sz w:val="24"/>
          <w:szCs w:val="24"/>
        </w:rPr>
        <w:t>)</w:t>
      </w:r>
    </w:p>
    <w:p w14:paraId="3D7B7260" w14:textId="77777777" w:rsidR="00D84719" w:rsidRPr="00E20E6C" w:rsidRDefault="00D84719" w:rsidP="00E20E6C">
      <w:pPr>
        <w:pStyle w:val="Odlomakpopisa"/>
        <w:numPr>
          <w:ilvl w:val="0"/>
          <w:numId w:val="41"/>
        </w:numPr>
        <w:spacing w:before="80" w:line="276" w:lineRule="auto"/>
        <w:jc w:val="both"/>
        <w:rPr>
          <w:rFonts w:ascii="Times New Roman" w:eastAsia="Times New Roman" w:hAnsi="Times New Roman" w:cs="Times New Roman"/>
          <w:color w:val="000000"/>
          <w:sz w:val="24"/>
          <w:szCs w:val="24"/>
        </w:rPr>
      </w:pPr>
      <w:r w:rsidRPr="00E20E6C">
        <w:rPr>
          <w:rFonts w:ascii="Times New Roman" w:eastAsia="Times New Roman" w:hAnsi="Times New Roman" w:cs="Times New Roman"/>
          <w:color w:val="000000"/>
          <w:sz w:val="24"/>
          <w:szCs w:val="24"/>
        </w:rPr>
        <w:t>Ministarstvo nadležno za poslove poljoprivrede (SZB)</w:t>
      </w:r>
    </w:p>
    <w:p w14:paraId="43DFA4EA" w14:textId="77777777" w:rsidR="00D84719" w:rsidRPr="00E20E6C" w:rsidRDefault="00D84719" w:rsidP="00E20E6C">
      <w:pPr>
        <w:pStyle w:val="Odlomakpopisa"/>
        <w:numPr>
          <w:ilvl w:val="0"/>
          <w:numId w:val="41"/>
        </w:numPr>
        <w:spacing w:before="80" w:line="276" w:lineRule="auto"/>
        <w:jc w:val="both"/>
        <w:rPr>
          <w:rFonts w:ascii="Times New Roman" w:eastAsia="Times New Roman" w:hAnsi="Times New Roman" w:cs="Times New Roman"/>
          <w:color w:val="000000"/>
          <w:sz w:val="24"/>
          <w:szCs w:val="24"/>
        </w:rPr>
      </w:pPr>
      <w:r w:rsidRPr="00E20E6C">
        <w:rPr>
          <w:rFonts w:ascii="Times New Roman" w:eastAsia="Times New Roman" w:hAnsi="Times New Roman" w:cs="Times New Roman"/>
          <w:color w:val="000000"/>
          <w:sz w:val="24"/>
          <w:szCs w:val="24"/>
        </w:rPr>
        <w:t>Ministarstvo nadležno za poslove zaštite na radu (zaštita na radu)</w:t>
      </w:r>
    </w:p>
    <w:p w14:paraId="75C68F41" w14:textId="77777777" w:rsidR="00D84719" w:rsidRDefault="00D84719" w:rsidP="00E20E6C">
      <w:pPr>
        <w:pStyle w:val="Odlomakpopisa"/>
        <w:numPr>
          <w:ilvl w:val="0"/>
          <w:numId w:val="41"/>
        </w:numPr>
        <w:spacing w:before="80" w:line="276" w:lineRule="auto"/>
        <w:jc w:val="both"/>
        <w:rPr>
          <w:rFonts w:ascii="Times New Roman" w:eastAsia="Times New Roman" w:hAnsi="Times New Roman" w:cs="Times New Roman"/>
          <w:color w:val="000000"/>
          <w:sz w:val="24"/>
          <w:szCs w:val="24"/>
        </w:rPr>
      </w:pPr>
      <w:r w:rsidRPr="00E20E6C">
        <w:rPr>
          <w:rFonts w:ascii="Times New Roman" w:eastAsia="Times New Roman" w:hAnsi="Times New Roman" w:cs="Times New Roman"/>
          <w:color w:val="000000"/>
          <w:sz w:val="24"/>
          <w:szCs w:val="24"/>
        </w:rPr>
        <w:t>Ministarstvo nadležno za poslove financija – Carinska uprava (izvoz i uvoz kemikalija, suradnja s MIZ)</w:t>
      </w:r>
    </w:p>
    <w:p w14:paraId="5D72A02E" w14:textId="77777777" w:rsidR="00E20E6C" w:rsidRPr="00E20E6C" w:rsidRDefault="00E20E6C" w:rsidP="00E20E6C">
      <w:pPr>
        <w:pStyle w:val="Odlomakpopisa"/>
        <w:spacing w:before="80" w:line="276" w:lineRule="auto"/>
        <w:jc w:val="both"/>
        <w:rPr>
          <w:rFonts w:ascii="Times New Roman" w:eastAsia="Times New Roman" w:hAnsi="Times New Roman" w:cs="Times New Roman"/>
          <w:color w:val="000000"/>
          <w:sz w:val="24"/>
          <w:szCs w:val="24"/>
        </w:rPr>
      </w:pPr>
    </w:p>
    <w:p w14:paraId="1177F063"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Ministarstvo nadležno za poslove zdravstva nadležno je za izvršavanje stručnih poslova procjene rizika, evaluacije tvari, prijedloga ograničenja i zabrana, a u izvršavanju ovih poslova surađuje s ovlaštenim stručnim ustanovama kao što su Hrvatski zavod za javno zdravstvo i Institut za medicinska istraživanja i medicinu rada te drugima.</w:t>
      </w:r>
    </w:p>
    <w:p w14:paraId="414DBA1D"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lastRenderedPageBreak/>
        <w:t>Pravilnik o načinu vođenja očevidnika o kemikalijama te o načinu i rokovima dostave podataka iz očevidnika propisuje način vođenja očevidnika o kemikalijama koje se proizvode i uvoze, odnosno unose na teritorij Republike Hrvatske.</w:t>
      </w:r>
    </w:p>
    <w:p w14:paraId="5DE9D48F" w14:textId="77777777" w:rsid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 xml:space="preserve">Inspekcijski nadzor nad provedbom </w:t>
      </w:r>
      <w:r w:rsidR="000860FC">
        <w:rPr>
          <w:rFonts w:ascii="Times New Roman" w:eastAsia="Times New Roman" w:hAnsi="Times New Roman" w:cs="Times New Roman"/>
          <w:sz w:val="24"/>
          <w:szCs w:val="24"/>
        </w:rPr>
        <w:t>POPs Uredbe</w:t>
      </w:r>
      <w:r w:rsidR="00B271C0">
        <w:rPr>
          <w:rFonts w:ascii="Times New Roman" w:eastAsia="Times New Roman" w:hAnsi="Times New Roman" w:cs="Times New Roman"/>
          <w:color w:val="000000"/>
          <w:sz w:val="24"/>
          <w:szCs w:val="24"/>
        </w:rPr>
        <w:t>,</w:t>
      </w:r>
      <w:r w:rsidRPr="00D84719">
        <w:rPr>
          <w:rFonts w:ascii="Times New Roman" w:eastAsia="Times New Roman" w:hAnsi="Times New Roman" w:cs="Times New Roman"/>
          <w:color w:val="000000"/>
          <w:sz w:val="24"/>
          <w:szCs w:val="24"/>
        </w:rPr>
        <w:t xml:space="preserve"> </w:t>
      </w:r>
      <w:r w:rsidR="00B271C0">
        <w:rPr>
          <w:rFonts w:ascii="Times New Roman" w:eastAsia="Times New Roman" w:hAnsi="Times New Roman" w:cs="Times New Roman"/>
          <w:color w:val="000000"/>
          <w:sz w:val="24"/>
          <w:szCs w:val="24"/>
        </w:rPr>
        <w:t>a prema</w:t>
      </w:r>
      <w:r w:rsidR="00B271C0" w:rsidRPr="00D84719">
        <w:rPr>
          <w:rFonts w:ascii="Times New Roman" w:eastAsia="Times New Roman" w:hAnsi="Times New Roman" w:cs="Times New Roman"/>
          <w:color w:val="000000"/>
          <w:sz w:val="24"/>
          <w:szCs w:val="24"/>
        </w:rPr>
        <w:t xml:space="preserve"> </w:t>
      </w:r>
      <w:r w:rsidR="000860FC">
        <w:rPr>
          <w:rFonts w:ascii="Times New Roman" w:eastAsia="Times New Roman" w:hAnsi="Times New Roman" w:cs="Times New Roman"/>
          <w:sz w:val="24"/>
          <w:szCs w:val="24"/>
        </w:rPr>
        <w:t>Zakonu o provedbi POPs Uredbe,</w:t>
      </w:r>
      <w:r w:rsidRPr="00D84719">
        <w:rPr>
          <w:rFonts w:ascii="Times New Roman" w:eastAsia="Times New Roman" w:hAnsi="Times New Roman" w:cs="Times New Roman"/>
          <w:color w:val="000000"/>
          <w:sz w:val="24"/>
          <w:szCs w:val="24"/>
        </w:rPr>
        <w:t xml:space="preserve"> obavljaju sanitarni inspektori, veterinarski inspektori, vodopravni inspektori, poljoprivredni inspektori i inspektori zaštite okoliša Državnog inspektorata, sukladno propisima kojima su uređeni djelokrug i ovlasti pojedine inspekcije.</w:t>
      </w:r>
    </w:p>
    <w:p w14:paraId="6E8C4C9C" w14:textId="77777777" w:rsidR="00F32974" w:rsidRPr="00D84719" w:rsidRDefault="00F32974" w:rsidP="00D84719">
      <w:pPr>
        <w:spacing w:before="80" w:line="276" w:lineRule="auto"/>
        <w:jc w:val="both"/>
        <w:rPr>
          <w:rFonts w:ascii="Times New Roman" w:eastAsia="Times New Roman" w:hAnsi="Times New Roman" w:cs="Times New Roman"/>
          <w:color w:val="000000"/>
          <w:sz w:val="24"/>
          <w:szCs w:val="24"/>
        </w:rPr>
      </w:pPr>
    </w:p>
    <w:p w14:paraId="1763F4A3" w14:textId="77777777" w:rsidR="00D84719" w:rsidRPr="00D84719" w:rsidRDefault="00D84719" w:rsidP="00F32974">
      <w:pPr>
        <w:pStyle w:val="Naslov1"/>
      </w:pPr>
      <w:bookmarkStart w:id="252" w:name="_Toc40439450"/>
      <w:bookmarkStart w:id="253" w:name="_Toc50635620"/>
      <w:bookmarkStart w:id="254" w:name="_Toc64460756"/>
      <w:bookmarkStart w:id="255" w:name="_Toc41638324"/>
      <w:bookmarkStart w:id="256" w:name="_Toc50713932"/>
      <w:r w:rsidRPr="00D84719">
        <w:lastRenderedPageBreak/>
        <w:t>STRATEGIJE I AKCIJSKI PLANOVI</w:t>
      </w:r>
      <w:bookmarkEnd w:id="252"/>
      <w:bookmarkEnd w:id="253"/>
      <w:bookmarkEnd w:id="254"/>
    </w:p>
    <w:p w14:paraId="70ACBD58" w14:textId="77777777" w:rsidR="00D84719" w:rsidRPr="00D84719" w:rsidRDefault="00D84719" w:rsidP="009C1360">
      <w:pPr>
        <w:pStyle w:val="Naslov2"/>
      </w:pPr>
      <w:bookmarkStart w:id="257" w:name="_Toc40439451"/>
      <w:bookmarkStart w:id="258" w:name="_Toc50635621"/>
      <w:bookmarkStart w:id="259" w:name="_Toc64460757"/>
      <w:r w:rsidRPr="00D84719">
        <w:t xml:space="preserve">Politika Vlade </w:t>
      </w:r>
      <w:r w:rsidRPr="00D84719">
        <w:rPr>
          <w:lang w:bidi="en-US"/>
        </w:rPr>
        <w:t>Republike Hrvatske</w:t>
      </w:r>
      <w:r w:rsidRPr="00D84719">
        <w:t xml:space="preserve"> i strategija primjene NIP-a</w:t>
      </w:r>
      <w:bookmarkEnd w:id="257"/>
      <w:bookmarkEnd w:id="258"/>
      <w:bookmarkEnd w:id="259"/>
    </w:p>
    <w:p w14:paraId="2DE8D8A6" w14:textId="77777777" w:rsidR="00604F2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Zakonom o potvrđivanju Stockholmske konvencije o postojanim organskim onečišćujućim tvarima definirana je podjela nadležnosti između tijela državne uprave nadležnih za poslove zaštite okoliša, poljoprivrede, šumarstva i vodnog gospodarstva, zdravstva te gospodarstva, rada i poduzetništva.</w:t>
      </w:r>
    </w:p>
    <w:p w14:paraId="58CC1F8F"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 xml:space="preserve">Ministarstvo nadležno za poslove zaštite okoliša </w:t>
      </w:r>
      <w:r w:rsidR="00604F29">
        <w:rPr>
          <w:rFonts w:ascii="Times New Roman" w:eastAsia="Times New Roman" w:hAnsi="Times New Roman" w:cs="Times New Roman"/>
          <w:color w:val="000000"/>
          <w:sz w:val="24"/>
          <w:szCs w:val="24"/>
        </w:rPr>
        <w:t>bilo je zaduženo</w:t>
      </w:r>
      <w:r w:rsidRPr="00D84719">
        <w:rPr>
          <w:rFonts w:ascii="Times New Roman" w:eastAsia="Times New Roman" w:hAnsi="Times New Roman" w:cs="Times New Roman"/>
          <w:color w:val="000000"/>
          <w:sz w:val="24"/>
          <w:szCs w:val="24"/>
        </w:rPr>
        <w:t xml:space="preserve"> da temeljem točke II. Odluke o prihvaćanju Nacionalnog plana za provedbu Stockholmske konvencije o postojanim organskim onečišćujućim tvarima i Odluke o prihvaćanju Drugog Nacionalnog plana za provedbu Stockholmske konvencije o postojanim organskim onečišćujućim tvarima u suradnji s ostalim nadležnim tijelima izrađuje i dostavlja dvogodišnje izvješće o ispunjavanju obveza Vladi Republike Hrvatske.</w:t>
      </w:r>
    </w:p>
    <w:p w14:paraId="29E3A730"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Do sada su izrađena sljedeća izvješća o provedbi:</w:t>
      </w:r>
    </w:p>
    <w:p w14:paraId="1D91A80B" w14:textId="77777777" w:rsidR="00D84719" w:rsidRP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rPr>
      </w:pPr>
      <w:r w:rsidRPr="00D84719">
        <w:rPr>
          <w:rFonts w:ascii="Times New Roman" w:eastAsia="Calibri" w:hAnsi="Times New Roman" w:cs="Times New Roman"/>
          <w:sz w:val="24"/>
        </w:rPr>
        <w:t xml:space="preserve">Prvo izvješće, za razdoblje siječanj 2009. – prosinac 2010. </w:t>
      </w:r>
    </w:p>
    <w:p w14:paraId="77E86C09" w14:textId="77777777" w:rsidR="00D84719" w:rsidRP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rPr>
      </w:pPr>
      <w:r w:rsidRPr="00D84719">
        <w:rPr>
          <w:rFonts w:ascii="Times New Roman" w:eastAsia="Calibri" w:hAnsi="Times New Roman" w:cs="Times New Roman"/>
          <w:sz w:val="24"/>
        </w:rPr>
        <w:t xml:space="preserve">Drugo izvješće, za razdoblje siječanj 2011. – prosinac 2012. </w:t>
      </w:r>
    </w:p>
    <w:p w14:paraId="2A857E65" w14:textId="77777777" w:rsidR="00D84719" w:rsidRP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rPr>
      </w:pPr>
      <w:r w:rsidRPr="00D84719">
        <w:rPr>
          <w:rFonts w:ascii="Times New Roman" w:eastAsia="Calibri" w:hAnsi="Times New Roman" w:cs="Times New Roman"/>
          <w:sz w:val="24"/>
        </w:rPr>
        <w:t xml:space="preserve">Treće izvješće, za razdoblje siječanj 2013. – prosinac 2014. </w:t>
      </w:r>
    </w:p>
    <w:p w14:paraId="5E4EBC89" w14:textId="77777777" w:rsidR="00D84719" w:rsidRP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rPr>
      </w:pPr>
      <w:r w:rsidRPr="00D84719">
        <w:rPr>
          <w:rFonts w:ascii="Times New Roman" w:eastAsia="Calibri" w:hAnsi="Times New Roman" w:cs="Times New Roman"/>
          <w:sz w:val="24"/>
        </w:rPr>
        <w:t xml:space="preserve">Četvrto izvješće, za razdoblje siječanj 2015. – prosinac 2017. </w:t>
      </w:r>
    </w:p>
    <w:p w14:paraId="0DA3B76D" w14:textId="77777777" w:rsid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rPr>
      </w:pPr>
      <w:r w:rsidRPr="00D84719">
        <w:rPr>
          <w:rFonts w:ascii="Times New Roman" w:eastAsia="Calibri" w:hAnsi="Times New Roman" w:cs="Times New Roman"/>
          <w:sz w:val="24"/>
        </w:rPr>
        <w:t>Peto izvješće, za razdoblje siječanj 2018. – prosinac 2019..</w:t>
      </w:r>
    </w:p>
    <w:p w14:paraId="5CC09A67" w14:textId="77777777" w:rsidR="00605EA4" w:rsidRPr="00D84719" w:rsidRDefault="00605EA4" w:rsidP="00605EA4">
      <w:pPr>
        <w:tabs>
          <w:tab w:val="left" w:pos="1755"/>
        </w:tabs>
        <w:autoSpaceDE w:val="0"/>
        <w:autoSpaceDN w:val="0"/>
        <w:adjustRightInd w:val="0"/>
        <w:spacing w:before="80" w:after="0" w:line="240" w:lineRule="auto"/>
        <w:ind w:left="720"/>
        <w:jc w:val="both"/>
        <w:rPr>
          <w:rFonts w:ascii="Times New Roman" w:eastAsia="Calibri" w:hAnsi="Times New Roman" w:cs="Times New Roman"/>
          <w:sz w:val="24"/>
        </w:rPr>
      </w:pPr>
    </w:p>
    <w:p w14:paraId="63F03809" w14:textId="77777777" w:rsid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 xml:space="preserve">Izvješća su dostupna javnosti na mrežnim stranicama ministarstva nadležnog za </w:t>
      </w:r>
      <w:r w:rsidR="00604F29">
        <w:rPr>
          <w:rFonts w:ascii="Times New Roman" w:eastAsia="Times New Roman" w:hAnsi="Times New Roman" w:cs="Times New Roman"/>
          <w:color w:val="000000"/>
          <w:sz w:val="24"/>
          <w:szCs w:val="24"/>
        </w:rPr>
        <w:t xml:space="preserve">poslove </w:t>
      </w:r>
      <w:r w:rsidR="00604F29" w:rsidRPr="00D84719">
        <w:rPr>
          <w:rFonts w:ascii="Times New Roman" w:eastAsia="Times New Roman" w:hAnsi="Times New Roman" w:cs="Times New Roman"/>
          <w:color w:val="000000"/>
          <w:sz w:val="24"/>
          <w:szCs w:val="24"/>
        </w:rPr>
        <w:t>zaštit</w:t>
      </w:r>
      <w:r w:rsidR="00604F29">
        <w:rPr>
          <w:rFonts w:ascii="Times New Roman" w:eastAsia="Times New Roman" w:hAnsi="Times New Roman" w:cs="Times New Roman"/>
          <w:color w:val="000000"/>
          <w:sz w:val="24"/>
          <w:szCs w:val="24"/>
        </w:rPr>
        <w:t>e</w:t>
      </w:r>
      <w:r w:rsidR="00604F29" w:rsidRPr="00D84719">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okoliša.</w:t>
      </w:r>
    </w:p>
    <w:p w14:paraId="11A28A36" w14:textId="77777777" w:rsidR="00604F29" w:rsidRPr="00D84719" w:rsidRDefault="00604F29" w:rsidP="00604F29">
      <w:pPr>
        <w:spacing w:before="8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Prema zaključku iz Drugog NIP-a</w:t>
      </w:r>
      <w:r w:rsidRPr="00D84719">
        <w:rPr>
          <w:rFonts w:ascii="Times New Roman" w:eastAsia="Times New Roman" w:hAnsi="Times New Roman" w:cs="Times New Roman"/>
          <w:color w:val="000000"/>
          <w:sz w:val="24"/>
          <w:szCs w:val="24"/>
        </w:rPr>
        <w:t xml:space="preserve"> proširena</w:t>
      </w:r>
      <w:r>
        <w:rPr>
          <w:rFonts w:ascii="Times New Roman" w:eastAsia="Times New Roman" w:hAnsi="Times New Roman" w:cs="Times New Roman"/>
          <w:color w:val="000000"/>
          <w:sz w:val="24"/>
          <w:szCs w:val="24"/>
        </w:rPr>
        <w:t xml:space="preserve"> je</w:t>
      </w:r>
      <w:r w:rsidRPr="00D84719">
        <w:rPr>
          <w:rFonts w:ascii="Times New Roman" w:eastAsia="Times New Roman" w:hAnsi="Times New Roman" w:cs="Times New Roman"/>
          <w:color w:val="000000"/>
          <w:sz w:val="24"/>
          <w:szCs w:val="24"/>
        </w:rPr>
        <w:t xml:space="preserve"> radna skupina </w:t>
      </w:r>
      <w:r>
        <w:rPr>
          <w:rFonts w:ascii="Times New Roman" w:eastAsia="Times New Roman" w:hAnsi="Times New Roman" w:cs="Times New Roman"/>
          <w:color w:val="000000"/>
          <w:sz w:val="24"/>
          <w:szCs w:val="24"/>
        </w:rPr>
        <w:t>u čiji rad su uključeni</w:t>
      </w:r>
      <w:r w:rsidRPr="00D84719">
        <w:rPr>
          <w:rFonts w:ascii="Times New Roman" w:eastAsia="Times New Roman" w:hAnsi="Times New Roman" w:cs="Times New Roman"/>
          <w:color w:val="000000"/>
          <w:sz w:val="24"/>
          <w:szCs w:val="24"/>
        </w:rPr>
        <w:t xml:space="preserve"> ministarstvo nadležno za znanost, ministarstvo nadležno za obranu, ministarstvo nadležno za zaštitu na radu, Carinska uprava te predstavnici znanstveno-istraživačkih institucija s ciljem učinkovitije koordinacije i razmjene informacija.</w:t>
      </w:r>
    </w:p>
    <w:p w14:paraId="239D0466"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 xml:space="preserve">Ministarstvo nadležno za poslove zaštite okoliša zaduženo je i za dostavu </w:t>
      </w:r>
      <w:r w:rsidR="00604F29" w:rsidRPr="00604F29">
        <w:rPr>
          <w:rFonts w:ascii="Times New Roman" w:eastAsia="Times New Roman" w:hAnsi="Times New Roman" w:cs="Times New Roman"/>
          <w:color w:val="000000"/>
          <w:sz w:val="24"/>
          <w:szCs w:val="24"/>
        </w:rPr>
        <w:t>revidiranog /Trećeg NIP-a</w:t>
      </w:r>
      <w:r w:rsidRPr="00D84719">
        <w:rPr>
          <w:rFonts w:ascii="Times New Roman" w:eastAsia="Times New Roman" w:hAnsi="Times New Roman" w:cs="Times New Roman"/>
          <w:color w:val="000000"/>
          <w:sz w:val="24"/>
          <w:szCs w:val="24"/>
        </w:rPr>
        <w:t xml:space="preserve"> Tajništvu Stockholmske konvencije. Temeljem navedenoga, zadužuje se ministarstvo nadležno za</w:t>
      </w:r>
      <w:r w:rsidR="00604F29">
        <w:rPr>
          <w:rFonts w:ascii="Times New Roman" w:eastAsia="Times New Roman" w:hAnsi="Times New Roman" w:cs="Times New Roman"/>
          <w:color w:val="000000"/>
          <w:sz w:val="24"/>
          <w:szCs w:val="24"/>
        </w:rPr>
        <w:t xml:space="preserve"> poslove</w:t>
      </w:r>
      <w:r w:rsidRPr="00D84719">
        <w:rPr>
          <w:rFonts w:ascii="Times New Roman" w:eastAsia="Times New Roman" w:hAnsi="Times New Roman" w:cs="Times New Roman"/>
          <w:color w:val="000000"/>
          <w:sz w:val="24"/>
          <w:szCs w:val="24"/>
        </w:rPr>
        <w:t xml:space="preserve"> </w:t>
      </w:r>
      <w:r w:rsidR="00604F29" w:rsidRPr="00D84719">
        <w:rPr>
          <w:rFonts w:ascii="Times New Roman" w:eastAsia="Times New Roman" w:hAnsi="Times New Roman" w:cs="Times New Roman"/>
          <w:color w:val="000000"/>
          <w:sz w:val="24"/>
          <w:szCs w:val="24"/>
        </w:rPr>
        <w:t>zaštit</w:t>
      </w:r>
      <w:r w:rsidR="00604F29">
        <w:rPr>
          <w:rFonts w:ascii="Times New Roman" w:eastAsia="Times New Roman" w:hAnsi="Times New Roman" w:cs="Times New Roman"/>
          <w:color w:val="000000"/>
          <w:sz w:val="24"/>
          <w:szCs w:val="24"/>
        </w:rPr>
        <w:t>e</w:t>
      </w:r>
      <w:r w:rsidR="00604F29" w:rsidRPr="00D84719">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xml:space="preserve">okoliša da u suradnji sa svim dionicima uključenima i zaduženima za provedbu aktivnosti iz </w:t>
      </w:r>
      <w:r w:rsidR="00604F29" w:rsidRPr="00604F29">
        <w:rPr>
          <w:rFonts w:ascii="Times New Roman" w:eastAsia="Times New Roman" w:hAnsi="Times New Roman" w:cs="Times New Roman"/>
          <w:color w:val="000000"/>
          <w:sz w:val="24"/>
          <w:szCs w:val="24"/>
        </w:rPr>
        <w:t>revidiranog /Trećeg NIP-a</w:t>
      </w:r>
      <w:r w:rsidR="00604F29" w:rsidRPr="00604F29" w:rsidDel="00604F29">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i dalje na dvogodišnjoj osnovi izvještava Vladu Republike Hrvatske o njegovoj provedbi.</w:t>
      </w:r>
    </w:p>
    <w:p w14:paraId="59BE7B2B"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Osim obveze gospodarenja POPs-ovima u cilju zaštite ljudi i okoliša na svojem teritoriju, kao članica međunarodne zajednice, Vlada Republike Hrvatske poduzima i mjere u cilju zaštite okoliša susjednih zemalja od posljedica prijenosa POPs-ova na velike udaljenosti.</w:t>
      </w:r>
    </w:p>
    <w:p w14:paraId="7B8810B6"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 xml:space="preserve">Obavješćivanje i aktivno uključivanje javnosti, potencijalno ugroženih grupa i stručnjaka u rješavanju problema vezanih uz POPs-ove dio je već postojećih politika Vlade Republike Hrvatske. Iz tog razloga je gospodarenje kemikalijama kroz cjeloživotni ciklus u obliku aktivne tvari/proizvoda, sve dok isti ne postane otpad, usmjereno na širenje spoznaja o opasnostima </w:t>
      </w:r>
      <w:r w:rsidRPr="00D84719">
        <w:rPr>
          <w:rFonts w:ascii="Times New Roman" w:eastAsia="Times New Roman" w:hAnsi="Times New Roman" w:cs="Times New Roman"/>
          <w:color w:val="000000"/>
          <w:sz w:val="24"/>
          <w:szCs w:val="24"/>
        </w:rPr>
        <w:lastRenderedPageBreak/>
        <w:t>koje proizlaze iz lošeg i nekontroliranog gospodarenja POPs-ovima ili djelatnostima u kojima POPs-ovi nastaju kao nusprodukti.</w:t>
      </w:r>
    </w:p>
    <w:p w14:paraId="2DF60C21"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Stockholmska konvencija je stupila na snagu u Republici Hrvatskoj 30. travnja 2007. te je time potvrđeno opredjeljenje države za usvajanje obveza koje proizlaze iz nje. Osnovni cilj NIP-a, kao i same Stockholmske konvencije, je zaštita ljudi i okoliša od negativnog utjecaja POPs-ova.</w:t>
      </w:r>
    </w:p>
    <w:p w14:paraId="533C2B20"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Najvažniji prioritetni ciljevi koji se žele postići provedbom NIP-a su:</w:t>
      </w:r>
    </w:p>
    <w:p w14:paraId="464F3BFF" w14:textId="77777777" w:rsidR="00D84719" w:rsidRP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rPr>
      </w:pPr>
      <w:r w:rsidRPr="00D84719">
        <w:rPr>
          <w:rFonts w:ascii="Times New Roman" w:eastAsia="Calibri" w:hAnsi="Times New Roman" w:cs="Times New Roman"/>
          <w:sz w:val="24"/>
        </w:rPr>
        <w:t>isključivanje iz uporabe svih potencijalnih izvora PCB-a u okoliš, kao i ostalih tzv. novih POPs-ova</w:t>
      </w:r>
    </w:p>
    <w:p w14:paraId="68BD8984" w14:textId="77777777" w:rsidR="00D84719" w:rsidRP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rPr>
      </w:pPr>
      <w:r w:rsidRPr="00D84719">
        <w:rPr>
          <w:rFonts w:ascii="Times New Roman" w:eastAsia="Calibri" w:hAnsi="Times New Roman" w:cs="Times New Roman"/>
          <w:sz w:val="24"/>
        </w:rPr>
        <w:t>sustavna kontrola POPs-ova u svim sastavnicama okoliša</w:t>
      </w:r>
    </w:p>
    <w:p w14:paraId="4A516BAA" w14:textId="77777777" w:rsidR="00D84719" w:rsidRP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rPr>
      </w:pPr>
      <w:r w:rsidRPr="00D84719">
        <w:rPr>
          <w:rFonts w:ascii="Times New Roman" w:eastAsia="Calibri" w:hAnsi="Times New Roman" w:cs="Times New Roman"/>
          <w:sz w:val="24"/>
        </w:rPr>
        <w:t xml:space="preserve">ograničavanje i kontrola emisija </w:t>
      </w:r>
      <w:r w:rsidR="00604F29">
        <w:rPr>
          <w:rFonts w:ascii="Times New Roman" w:eastAsia="Calibri" w:hAnsi="Times New Roman" w:cs="Times New Roman"/>
          <w:sz w:val="24"/>
        </w:rPr>
        <w:t>POPs-ova</w:t>
      </w:r>
      <w:r w:rsidRPr="00D84719">
        <w:rPr>
          <w:rFonts w:ascii="Times New Roman" w:eastAsia="Calibri" w:hAnsi="Times New Roman" w:cs="Times New Roman"/>
          <w:sz w:val="24"/>
        </w:rPr>
        <w:t xml:space="preserve"> iz nenamjernog ispuštanja/proizvodnje, poticanje primjene najboljih raspoloživih tehnoloških rješenja koja utječu na smanjenje ili prestanak ispuštanja POPs-ova iz nepokretnih izvora i</w:t>
      </w:r>
    </w:p>
    <w:p w14:paraId="309C2303" w14:textId="77777777" w:rsidR="00D84719" w:rsidRDefault="00D84719" w:rsidP="00B62344">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rPr>
      </w:pPr>
      <w:r w:rsidRPr="00D84719">
        <w:rPr>
          <w:rFonts w:ascii="Times New Roman" w:eastAsia="Calibri" w:hAnsi="Times New Roman" w:cs="Times New Roman"/>
          <w:sz w:val="24"/>
        </w:rPr>
        <w:t>širenje informacija i upoznavanje šire javnosti o utjecaju POPs-ova na ljudsko zdravlje i okoliš, potencijalnim izvorima osobito tzv. novih POPs-ova, putevima njihova unosa u ljudski organizam i mjerama koje treba poduzeti za sprječavanje njihovog unosa</w:t>
      </w:r>
      <w:r w:rsidR="00B62344">
        <w:rPr>
          <w:rFonts w:ascii="Times New Roman" w:eastAsia="Calibri" w:hAnsi="Times New Roman" w:cs="Times New Roman"/>
          <w:sz w:val="24"/>
        </w:rPr>
        <w:t xml:space="preserve"> i </w:t>
      </w:r>
      <w:r w:rsidR="00B62344" w:rsidRPr="00B62344">
        <w:rPr>
          <w:rFonts w:ascii="Times New Roman" w:eastAsia="Calibri" w:hAnsi="Times New Roman" w:cs="Times New Roman"/>
          <w:sz w:val="24"/>
        </w:rPr>
        <w:t>postupcima koje treba poduzeti za slučaj akcidenata</w:t>
      </w:r>
      <w:r w:rsidRPr="00D84719">
        <w:rPr>
          <w:rFonts w:ascii="Times New Roman" w:eastAsia="Calibri" w:hAnsi="Times New Roman" w:cs="Times New Roman"/>
          <w:sz w:val="24"/>
        </w:rPr>
        <w:t xml:space="preserve"> te okolišno prihvatljivo gospodarenjem otpadom.</w:t>
      </w:r>
    </w:p>
    <w:p w14:paraId="70F80427" w14:textId="77777777" w:rsidR="00B62344" w:rsidRDefault="00B62344" w:rsidP="00B62344">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rPr>
      </w:pPr>
      <w:r w:rsidRPr="00B62344">
        <w:rPr>
          <w:rFonts w:ascii="Times New Roman" w:eastAsia="Calibri" w:hAnsi="Times New Roman" w:cs="Times New Roman"/>
          <w:sz w:val="24"/>
        </w:rPr>
        <w:t>obavješćivanj</w:t>
      </w:r>
      <w:r>
        <w:rPr>
          <w:rFonts w:ascii="Times New Roman" w:eastAsia="Calibri" w:hAnsi="Times New Roman" w:cs="Times New Roman"/>
          <w:sz w:val="24"/>
        </w:rPr>
        <w:t xml:space="preserve">e </w:t>
      </w:r>
      <w:r w:rsidRPr="00B62344">
        <w:rPr>
          <w:rFonts w:ascii="Times New Roman" w:eastAsia="Calibri" w:hAnsi="Times New Roman" w:cs="Times New Roman"/>
          <w:sz w:val="24"/>
        </w:rPr>
        <w:t>jedinic</w:t>
      </w:r>
      <w:r>
        <w:rPr>
          <w:rFonts w:ascii="Times New Roman" w:eastAsia="Calibri" w:hAnsi="Times New Roman" w:cs="Times New Roman"/>
          <w:sz w:val="24"/>
        </w:rPr>
        <w:t>a</w:t>
      </w:r>
      <w:r w:rsidRPr="00B62344">
        <w:rPr>
          <w:rFonts w:ascii="Times New Roman" w:eastAsia="Calibri" w:hAnsi="Times New Roman" w:cs="Times New Roman"/>
          <w:sz w:val="24"/>
        </w:rPr>
        <w:t xml:space="preserve"> lokalne i područne (regionalne) samouprave na čijem se području nadležnosti nalaze lokacije s POPs-ovima</w:t>
      </w:r>
    </w:p>
    <w:p w14:paraId="75C432BE" w14:textId="77777777" w:rsidR="00605EA4" w:rsidRPr="00D84719" w:rsidRDefault="00605EA4" w:rsidP="00605EA4">
      <w:pPr>
        <w:tabs>
          <w:tab w:val="left" w:pos="1755"/>
        </w:tabs>
        <w:autoSpaceDE w:val="0"/>
        <w:autoSpaceDN w:val="0"/>
        <w:adjustRightInd w:val="0"/>
        <w:spacing w:before="80" w:after="0" w:line="240" w:lineRule="auto"/>
        <w:ind w:left="720"/>
        <w:jc w:val="both"/>
        <w:rPr>
          <w:rFonts w:ascii="Times New Roman" w:eastAsia="Calibri" w:hAnsi="Times New Roman" w:cs="Times New Roman"/>
          <w:sz w:val="24"/>
        </w:rPr>
      </w:pPr>
    </w:p>
    <w:p w14:paraId="02DB967E"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NIP doprinosi provedbi strateških i planskih dokumenata zaštite okoliša (Nacionalni plan djelovanja na okoliš, Strategija održivog razvitka Republike Hrvatske).</w:t>
      </w:r>
    </w:p>
    <w:p w14:paraId="3D290FCE"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 xml:space="preserve">Planirano postupno smanjivanje POPs-ova u okolišu pretpostavlja aktivno sudjelovanje javnosti i svih dionika, koji će sudjelovati u širenju informacija o djelovanju POPs-ova i potrebi smanjivanja njihove uporabe kao i kontrole nenamjerne proizvodnje. Edukacija javnosti nezaobilazan je dio aktivnosti, a ostvarit će se putem sredstava javnog informiranja, organizacije radionica/seminara, stručnih tribina, izradom raznih publikacija (brošura/letaka/smjernica) te distribucijom ciljanim i osjetljivim skupinama itd. Već tijekom procesa revizije NIP-a uz pomoć UNEP-a izradila se brošura s osnovnim informacijama o </w:t>
      </w:r>
      <w:proofErr w:type="spellStart"/>
      <w:r w:rsidRPr="00D84719">
        <w:rPr>
          <w:rFonts w:ascii="Times New Roman" w:eastAsia="Times New Roman" w:hAnsi="Times New Roman" w:cs="Times New Roman"/>
          <w:color w:val="000000"/>
          <w:sz w:val="24"/>
          <w:szCs w:val="24"/>
        </w:rPr>
        <w:t>Stockholmskoj</w:t>
      </w:r>
      <w:proofErr w:type="spellEnd"/>
      <w:r w:rsidRPr="00D84719">
        <w:rPr>
          <w:rFonts w:ascii="Times New Roman" w:eastAsia="Times New Roman" w:hAnsi="Times New Roman" w:cs="Times New Roman"/>
          <w:color w:val="000000"/>
          <w:sz w:val="24"/>
          <w:szCs w:val="24"/>
        </w:rPr>
        <w:t xml:space="preserve"> konvenciji i tzv. novim POPs-ovima.</w:t>
      </w:r>
    </w:p>
    <w:p w14:paraId="6B5015DF"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Rezultati praćenja koncentracija POPs-ova u okolišu bit će/jesu dostupni javnosti putem sredstava priopćavanja MINGOR (mrežne stranice, publikacije, izvješća za Vladu Republike Hrvatske, odnosno stručnih izvješća nadležnih tijela državne uprave) sukladno važećem zakonodavstvu vezano uz međunarodne i nacionalne obveze te informiranju javnosti.</w:t>
      </w:r>
    </w:p>
    <w:p w14:paraId="7A63FA27"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Osnovni pristup koji će se koristiti tijekom provedbe NIP-a je zajednička i usporedna provedba svih mjera i aktivnosti, s ciljem osiguravanja odgovarajuće provedbe te izbjegavanja preklapanja i neusklađenosti u aktivnostima provedbe.</w:t>
      </w:r>
    </w:p>
    <w:p w14:paraId="6880AAF8" w14:textId="77777777" w:rsidR="00D84719" w:rsidRPr="00D84719" w:rsidRDefault="00D84719" w:rsidP="00434F1B">
      <w:pPr>
        <w:spacing w:before="80" w:line="276" w:lineRule="auto"/>
        <w:jc w:val="both"/>
        <w:rPr>
          <w:rFonts w:ascii="Times New Roman" w:eastAsia="Times New Roman" w:hAnsi="Times New Roman" w:cs="Times New Roman"/>
          <w:color w:val="000000"/>
          <w:szCs w:val="24"/>
        </w:rPr>
      </w:pPr>
      <w:r w:rsidRPr="00D84719">
        <w:rPr>
          <w:rFonts w:ascii="Times New Roman" w:eastAsia="Times New Roman" w:hAnsi="Times New Roman" w:cs="Times New Roman"/>
          <w:color w:val="000000"/>
          <w:sz w:val="24"/>
          <w:szCs w:val="24"/>
        </w:rPr>
        <w:t xml:space="preserve">Tijekom provedbe </w:t>
      </w:r>
      <w:r w:rsidR="00604F29">
        <w:rPr>
          <w:rFonts w:ascii="Times New Roman" w:eastAsia="Times New Roman" w:hAnsi="Times New Roman" w:cs="Times New Roman"/>
          <w:color w:val="000000"/>
          <w:sz w:val="24"/>
          <w:szCs w:val="24"/>
        </w:rPr>
        <w:t xml:space="preserve">revidiranog /Trećeg </w:t>
      </w:r>
      <w:r w:rsidRPr="00D84719">
        <w:rPr>
          <w:rFonts w:ascii="Times New Roman" w:eastAsia="Times New Roman" w:hAnsi="Times New Roman" w:cs="Times New Roman"/>
          <w:color w:val="000000"/>
          <w:sz w:val="24"/>
          <w:szCs w:val="24"/>
        </w:rPr>
        <w:t xml:space="preserve">NIP-a, svaka institucija/tijelo/organizacija će periodično na godišnjoj osnovi izvještavati o provedenim mjerama/aktivnostima iz NIP-a u okvirima svoje nadležnosti, odnosno napretku provedbe aktivnosti u predloženom vremenskom okviru, kako </w:t>
      </w:r>
      <w:r w:rsidRPr="00D84719">
        <w:rPr>
          <w:rFonts w:ascii="Times New Roman" w:eastAsia="Times New Roman" w:hAnsi="Times New Roman" w:cs="Times New Roman"/>
          <w:color w:val="000000"/>
          <w:sz w:val="24"/>
          <w:szCs w:val="24"/>
        </w:rPr>
        <w:lastRenderedPageBreak/>
        <w:t xml:space="preserve">bi ministarstvo nadležno za </w:t>
      </w:r>
      <w:r w:rsidR="00604F29">
        <w:rPr>
          <w:rFonts w:ascii="Times New Roman" w:eastAsia="Times New Roman" w:hAnsi="Times New Roman" w:cs="Times New Roman"/>
          <w:color w:val="000000"/>
          <w:sz w:val="24"/>
          <w:szCs w:val="24"/>
        </w:rPr>
        <w:t xml:space="preserve">poslove </w:t>
      </w:r>
      <w:r w:rsidR="00604F29" w:rsidRPr="00D84719">
        <w:rPr>
          <w:rFonts w:ascii="Times New Roman" w:eastAsia="Times New Roman" w:hAnsi="Times New Roman" w:cs="Times New Roman"/>
          <w:color w:val="000000"/>
          <w:sz w:val="24"/>
          <w:szCs w:val="24"/>
        </w:rPr>
        <w:t>zaštit</w:t>
      </w:r>
      <w:r w:rsidR="00604F29">
        <w:rPr>
          <w:rFonts w:ascii="Times New Roman" w:eastAsia="Times New Roman" w:hAnsi="Times New Roman" w:cs="Times New Roman"/>
          <w:color w:val="000000"/>
          <w:sz w:val="24"/>
          <w:szCs w:val="24"/>
        </w:rPr>
        <w:t>e</w:t>
      </w:r>
      <w:r w:rsidR="00604F29" w:rsidRPr="00D84719">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okoliša izradilo dvogodišnje Izvješće o provedbi i izvijestilo Vladu Republike Hrvatske o istom.</w:t>
      </w:r>
    </w:p>
    <w:p w14:paraId="2B2BCF3A"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p>
    <w:p w14:paraId="4AB9A376" w14:textId="77777777" w:rsidR="00D84719" w:rsidRPr="00D84719" w:rsidRDefault="00D84719" w:rsidP="009C1360">
      <w:pPr>
        <w:pStyle w:val="Naslov2"/>
      </w:pPr>
      <w:bookmarkStart w:id="260" w:name="_Toc50635623"/>
      <w:bookmarkStart w:id="261" w:name="_Toc64460758"/>
      <w:r w:rsidRPr="00D84719">
        <w:t>Aktivnosti, strategije i akcijski planovi</w:t>
      </w:r>
      <w:bookmarkEnd w:id="260"/>
      <w:bookmarkEnd w:id="261"/>
    </w:p>
    <w:p w14:paraId="4EC0B2F8"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Osnovna ograničenja u definiranju pojedinih aktivnosti, strategija i akcijskih planova odnose se na sljedeće:</w:t>
      </w:r>
    </w:p>
    <w:p w14:paraId="519EAA69" w14:textId="77777777" w:rsidR="00D84719" w:rsidRP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rPr>
      </w:pPr>
      <w:r w:rsidRPr="00D84719">
        <w:rPr>
          <w:rFonts w:ascii="Times New Roman" w:eastAsia="Calibri" w:hAnsi="Times New Roman" w:cs="Times New Roman"/>
          <w:sz w:val="24"/>
        </w:rPr>
        <w:t>nadležnosti pojedinih tijela državne uprave i javnih ustanova ne mogu se definirati akcijskim planom već se mogu samo predložiti, a neizvjesno je koje će nadležnosti pojedine ustanove imati</w:t>
      </w:r>
    </w:p>
    <w:p w14:paraId="4EFC6193" w14:textId="77777777" w:rsidR="00D84719" w:rsidRP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rPr>
      </w:pPr>
      <w:r w:rsidRPr="00D84719">
        <w:rPr>
          <w:rFonts w:ascii="Times New Roman" w:eastAsia="Calibri" w:hAnsi="Times New Roman" w:cs="Times New Roman"/>
          <w:sz w:val="24"/>
        </w:rPr>
        <w:t>dinamika financiranja ovisna je o proračunu države, ali i o financijskim sredstvima lokalnih samouprava te o prioritetima koji se daju pri raspodjeli i</w:t>
      </w:r>
    </w:p>
    <w:p w14:paraId="43381FAA" w14:textId="77777777" w:rsid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rPr>
      </w:pPr>
      <w:r w:rsidRPr="00D84719">
        <w:rPr>
          <w:rFonts w:ascii="Times New Roman" w:eastAsia="Calibri" w:hAnsi="Times New Roman" w:cs="Times New Roman"/>
          <w:sz w:val="24"/>
        </w:rPr>
        <w:t>financiranje provođenja akcijskog plana ovisno je i o volji međunarodne zajednice za financijsku pomoć pri provođenju pojedinih aktivnosti, odnosno mogućnosti financiranja od strane ostalih izvora financiranja.</w:t>
      </w:r>
    </w:p>
    <w:p w14:paraId="5B239FBD" w14:textId="77777777" w:rsidR="00605EA4" w:rsidRPr="00D84719" w:rsidRDefault="00605EA4" w:rsidP="00605EA4">
      <w:pPr>
        <w:tabs>
          <w:tab w:val="left" w:pos="1755"/>
        </w:tabs>
        <w:autoSpaceDE w:val="0"/>
        <w:autoSpaceDN w:val="0"/>
        <w:adjustRightInd w:val="0"/>
        <w:spacing w:before="80" w:after="0" w:line="240" w:lineRule="auto"/>
        <w:ind w:left="720"/>
        <w:jc w:val="both"/>
        <w:rPr>
          <w:rFonts w:ascii="Times New Roman" w:eastAsia="Calibri" w:hAnsi="Times New Roman" w:cs="Times New Roman"/>
          <w:sz w:val="24"/>
        </w:rPr>
      </w:pPr>
    </w:p>
    <w:p w14:paraId="00B3ED7B" w14:textId="77777777" w:rsidR="00D84719" w:rsidRPr="00D84719" w:rsidRDefault="00D84719" w:rsidP="00D84719">
      <w:pPr>
        <w:spacing w:before="80" w:line="276" w:lineRule="auto"/>
        <w:jc w:val="both"/>
        <w:rPr>
          <w:rFonts w:ascii="Times New Roman" w:eastAsia="Times New Roman" w:hAnsi="Times New Roman" w:cs="Times New Roman"/>
          <w:color w:val="000000"/>
          <w:szCs w:val="24"/>
        </w:rPr>
      </w:pPr>
      <w:r w:rsidRPr="00D84719">
        <w:rPr>
          <w:rFonts w:ascii="Times New Roman" w:eastAsia="Times New Roman" w:hAnsi="Times New Roman" w:cs="Times New Roman"/>
          <w:color w:val="000000"/>
          <w:sz w:val="24"/>
          <w:szCs w:val="24"/>
        </w:rPr>
        <w:t>Jedno od ključnih metodoloških pitanja u postupku procjene troškova za pojedine aktivnosti za provedbu Trećeg NIP-a jest odvajanje ovih troškova od ostalih troškova zaštite okoliša. Vrlo se često utjecaji koji se odnose na POPs-ove manifestiraju zajedno s utjecajima drugih tvari te se stoga mjere i instrumenti za njihovo sprječavanje ili ublažavanje primjenjuju istovremeno. Uzimajući u obzir navedeno, u nastavku su dani prijedlozi mjera za nastavak provedbe obveza Stockholmske konvencije, po pojedinim aktivnostima, uz definiranje nositelja s obzirom na nadležnost, uz stručnu i tehničku podršku, rokovi i okvirne procjene potrebnih financijskih sredstava.</w:t>
      </w:r>
    </w:p>
    <w:p w14:paraId="11AA36AB" w14:textId="77777777" w:rsidR="00D84719" w:rsidRPr="00D84719" w:rsidRDefault="00D84719" w:rsidP="004727DB">
      <w:pPr>
        <w:pStyle w:val="Naslov3"/>
      </w:pPr>
      <w:bookmarkStart w:id="262" w:name="_Toc40439455"/>
      <w:bookmarkStart w:id="263" w:name="_Toc50635624"/>
      <w:bookmarkStart w:id="264" w:name="_Toc64460759"/>
      <w:r w:rsidRPr="00D84719">
        <w:t>Aktivnost: Proizvodnja, uvoz i izvoz, uporaba, zalihe i otpad POPs pesticida (Dodatak A, dio I.)</w:t>
      </w:r>
      <w:bookmarkEnd w:id="262"/>
      <w:bookmarkEnd w:id="263"/>
      <w:bookmarkEnd w:id="264"/>
    </w:p>
    <w:p w14:paraId="49FFED54"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Kako je već navedeno, u Republici Hrvatskoj se ne proizvode pesticidi koji sadrže POPs-ove niti se uvoze aktivne tvari od kojih bi se proizvodile gotove formulacije za promet. Danas su u Republici Hrvatskoj registrirani brojni pripravci koji su postupno zamijenili toksikološki nepovoljne pesticide, među kojima su i POPs-ovi. Buduća proizvodnja se ne predviđa niti je moguća jer je proizvodnja pesticida koji sadrže POPs-ove zabranjena u Republici Hrvatskoj.</w:t>
      </w:r>
    </w:p>
    <w:p w14:paraId="7A407F20"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S obzirom na činjenicu da postojeće stanje odgovara zahtjevima Stockholmske konvencije, nisu predložene dodatne aktivnosti niti postoje potrebe poboljšanja trenutne prakse i regulatornog okvira gospodarenja i postupanja s pesticidima.</w:t>
      </w:r>
    </w:p>
    <w:p w14:paraId="1759DB6C"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Jedino područje za koje se predlaže poboljšanje je sustavno praćenje pesticida koji sadrže POPs-ove u okolišu (uključujući i identifikaciju onečišćenih lokacija), kako bi se utvrdile koncentracije ovih spojeva te time potvrdio zaključak najnovijeg inventara da pesticidi koji sadrže POPs-ove s aspekta utjecaja na zdravlje ljudi i stanje okoliša ne predstavljaju stvaran/značajan problem/rizik u Republici Hrvatskoj.</w:t>
      </w:r>
    </w:p>
    <w:p w14:paraId="6D438E2E"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lastRenderedPageBreak/>
        <w:t>Zavod za zaštitu bilja Hrvatskog centra za poljoprivredu, hranu i selo (danas Centar za zaštitu bilja, Hrvatska agencija za poljoprivredu i hranu) izradio je stručnu podlogu „Izvješće o korištenju lindana i endosulfana na području Republike Hrvatske“ u kojem je utvrđeno kako su najveće količine lindana primijenjene u Osječko-baranjskoj i Vukovarsko-srijemskoj županiji, dok se endosulfan učestalo koristio u vinogradarskim područjima Republike Hrvatske. U navedenom izvješću zaključno je utvrđena potreba za obavljanjem opširnijih istraživanja kojima bi se moglo pronaći i ostatke u tlu, što znatno ovisi o kakvoći tla i kulturama koje su se kasnije uzgajale. Ostaci endosulfana mogli bi se pronaći na vazdazelenim biljkama u blizini mjesta tretiranja. Temeljem navedenoga, zadužuje se „Centar za zaštitu bilja, HAPIH“</w:t>
      </w:r>
      <w:r w:rsidR="00C8656F">
        <w:rPr>
          <w:rFonts w:ascii="Times New Roman" w:eastAsia="Times New Roman" w:hAnsi="Times New Roman" w:cs="Times New Roman"/>
          <w:color w:val="000000"/>
          <w:sz w:val="24"/>
          <w:szCs w:val="24"/>
          <w:lang w:bidi="en-US"/>
        </w:rPr>
        <w:t xml:space="preserve"> da</w:t>
      </w:r>
      <w:r w:rsidRPr="00D84719">
        <w:rPr>
          <w:rFonts w:ascii="Times New Roman" w:eastAsia="Times New Roman" w:hAnsi="Times New Roman" w:cs="Times New Roman"/>
          <w:color w:val="000000"/>
          <w:sz w:val="24"/>
          <w:szCs w:val="24"/>
          <w:lang w:bidi="en-US"/>
        </w:rPr>
        <w:t xml:space="preserve"> </w:t>
      </w:r>
      <w:r w:rsidR="00C8656F">
        <w:rPr>
          <w:rFonts w:ascii="Times New Roman" w:eastAsia="Times New Roman" w:hAnsi="Times New Roman" w:cs="Times New Roman"/>
          <w:color w:val="000000"/>
          <w:sz w:val="24"/>
          <w:szCs w:val="24"/>
          <w:lang w:bidi="en-US"/>
        </w:rPr>
        <w:t>s</w:t>
      </w:r>
      <w:r w:rsidR="00C8656F" w:rsidRPr="00D84719">
        <w:rPr>
          <w:rFonts w:ascii="Times New Roman" w:eastAsia="Times New Roman" w:hAnsi="Times New Roman" w:cs="Times New Roman"/>
          <w:color w:val="000000"/>
          <w:sz w:val="24"/>
          <w:szCs w:val="24"/>
          <w:lang w:bidi="en-US"/>
        </w:rPr>
        <w:t xml:space="preserve"> </w:t>
      </w:r>
      <w:r w:rsidRPr="00D84719">
        <w:rPr>
          <w:rFonts w:ascii="Times New Roman" w:eastAsia="Times New Roman" w:hAnsi="Times New Roman" w:cs="Times New Roman"/>
          <w:color w:val="000000"/>
          <w:sz w:val="24"/>
          <w:szCs w:val="24"/>
          <w:lang w:bidi="en-US"/>
        </w:rPr>
        <w:t xml:space="preserve">ostalim nadležnim tijelima/institucijama </w:t>
      </w:r>
      <w:r w:rsidR="00534842">
        <w:rPr>
          <w:rFonts w:ascii="Times New Roman" w:eastAsia="Times New Roman" w:hAnsi="Times New Roman" w:cs="Times New Roman"/>
          <w:sz w:val="24"/>
          <w:szCs w:val="24"/>
          <w:lang w:bidi="en-US"/>
        </w:rPr>
        <w:t xml:space="preserve">izradi </w:t>
      </w:r>
      <w:r w:rsidR="00534842" w:rsidRPr="00534842">
        <w:rPr>
          <w:rFonts w:ascii="Times New Roman" w:eastAsia="Times New Roman" w:hAnsi="Times New Roman" w:cs="Times New Roman"/>
          <w:sz w:val="24"/>
          <w:szCs w:val="24"/>
          <w:lang w:bidi="en-US"/>
        </w:rPr>
        <w:t>Program praćenja tvari lindana i endosulfana i osnovnih parametara u tlu s popisom aktivnosti, a vezano uz uzorkovanja tala u 12 hrvatskih županija, uz razmatranje potrebe eventualnog proširenja na ostale županije. Cilj navedenog programa</w:t>
      </w:r>
      <w:r w:rsidR="00612979">
        <w:rPr>
          <w:rFonts w:ascii="Times New Roman" w:eastAsia="Times New Roman" w:hAnsi="Times New Roman" w:cs="Times New Roman"/>
          <w:sz w:val="24"/>
          <w:szCs w:val="24"/>
          <w:lang w:bidi="en-US"/>
        </w:rPr>
        <w:t xml:space="preserve"> </w:t>
      </w:r>
      <w:r w:rsidR="00534842" w:rsidRPr="00534842">
        <w:rPr>
          <w:rFonts w:ascii="Times New Roman" w:eastAsia="Times New Roman" w:hAnsi="Times New Roman" w:cs="Times New Roman"/>
          <w:sz w:val="24"/>
          <w:szCs w:val="24"/>
          <w:lang w:bidi="en-US"/>
        </w:rPr>
        <w:t>bio bi izrada trenda prisutnosti lindana i endosulfana ili utvrđivanja potrebe daljnjeg praćenja s obzirom na stupanj potencijalne opasnosti za ljudsko zdravlje i okoliš. U prethodnom razdoblju prikupljeni su uzorci tla koji su predviđeni za praćenje navedenih tvari</w:t>
      </w:r>
      <w:r w:rsidR="00531B6E">
        <w:rPr>
          <w:rFonts w:ascii="Times New Roman" w:eastAsia="Times New Roman" w:hAnsi="Times New Roman" w:cs="Times New Roman"/>
          <w:sz w:val="24"/>
          <w:szCs w:val="24"/>
          <w:lang w:bidi="en-US"/>
        </w:rPr>
        <w:t>,</w:t>
      </w:r>
      <w:r w:rsidR="00534842" w:rsidRPr="00534842">
        <w:rPr>
          <w:rFonts w:ascii="Times New Roman" w:eastAsia="Times New Roman" w:hAnsi="Times New Roman" w:cs="Times New Roman"/>
          <w:sz w:val="24"/>
          <w:szCs w:val="24"/>
          <w:lang w:bidi="en-US"/>
        </w:rPr>
        <w:t xml:space="preserve"> a tijekom slijedećeg razdoblja se planira njihova analiza na prisutnost u tlu.</w:t>
      </w:r>
      <w:r w:rsidR="00140DA4">
        <w:rPr>
          <w:rFonts w:ascii="Times New Roman" w:eastAsia="Times New Roman" w:hAnsi="Times New Roman" w:cs="Times New Roman"/>
          <w:sz w:val="24"/>
          <w:szCs w:val="24"/>
          <w:lang w:bidi="en-US"/>
        </w:rPr>
        <w:t xml:space="preserve"> </w:t>
      </w:r>
      <w:r w:rsidRPr="00D84719">
        <w:rPr>
          <w:rFonts w:ascii="Times New Roman" w:eastAsia="Times New Roman" w:hAnsi="Times New Roman" w:cs="Times New Roman"/>
          <w:color w:val="000000"/>
          <w:sz w:val="24"/>
          <w:szCs w:val="24"/>
          <w:lang w:bidi="en-US"/>
        </w:rPr>
        <w:t>Od pesticida sa svojstvima POPs-ova sustavno se provodi monitoring za aktivne tvari: aldrin, dieldrin, alfa-HCH, beta-HCH, eldrin, heptaklor, HCB, endosulfan, lindan, DDT. U izvještajnom periodu 2018.-2019. u Nacionalnom programu monitoringa ostatka pesticida navedene aktivne tvari nisu nađene u koncentracijama iznad maksimalnih razina ostataka pesticida (MDK).</w:t>
      </w:r>
    </w:p>
    <w:p w14:paraId="53B273A5" w14:textId="76770FFD"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Nacionalni Program praćenja (monitoringa) ostataka pesticida u proizvodima biljnog i životinjskog podrijetla u 2018</w:t>
      </w:r>
      <w:r w:rsidR="004C449C">
        <w:rPr>
          <w:rFonts w:ascii="Times New Roman" w:eastAsia="Times New Roman" w:hAnsi="Times New Roman" w:cs="Times New Roman"/>
          <w:color w:val="000000"/>
          <w:sz w:val="24"/>
          <w:szCs w:val="24"/>
          <w:lang w:bidi="en-US"/>
        </w:rPr>
        <w:t>.</w:t>
      </w:r>
      <w:r w:rsidRPr="00D84719">
        <w:rPr>
          <w:rFonts w:ascii="Times New Roman" w:eastAsia="Times New Roman" w:hAnsi="Times New Roman" w:cs="Times New Roman"/>
          <w:color w:val="000000"/>
          <w:sz w:val="24"/>
          <w:szCs w:val="24"/>
          <w:lang w:bidi="en-US"/>
        </w:rPr>
        <w:t xml:space="preserve"> obuhvatio je praćenje ostataka pesticida u 28 proizvoda, 13 prema Provedbenoj Uredbi Komisije (EU) br. 2017/660 od 6. travnja 2017. vezano uz koordinirani višegodišnji program kontrole Unije za 2018., 2019. i 2020. za osiguranje sukladnosti s maksimalnim razinama ostataka pesticida i ocjenu izloženosti potrošača ostacima pesticida u i na hrani biljnog i životinjskog podrijetla, prema kojoj su također obuhvaćeni proizvodi iz ekološkog uzgoja (za svaki od proizvoda prema spomenutoj Uredbi) te dječja hrana. Osim navedenih proizvoda, obuhvaćeno je i 13 proizvoda za koje je u prethodnim programima monitoringa utvrđeno prekoračenje MDK ili nedopuštena primjena (jabuka, rajčica, jagoda, glavati kupus, zelena salata, mrkva, naranča, kruška, celer </w:t>
      </w:r>
      <w:proofErr w:type="spellStart"/>
      <w:r w:rsidRPr="00D84719">
        <w:rPr>
          <w:rFonts w:ascii="Times New Roman" w:eastAsia="Times New Roman" w:hAnsi="Times New Roman" w:cs="Times New Roman"/>
          <w:color w:val="000000"/>
          <w:sz w:val="24"/>
          <w:szCs w:val="24"/>
          <w:lang w:bidi="en-US"/>
        </w:rPr>
        <w:t>korjenaš</w:t>
      </w:r>
      <w:proofErr w:type="spellEnd"/>
      <w:r w:rsidRPr="00D84719">
        <w:rPr>
          <w:rFonts w:ascii="Times New Roman" w:eastAsia="Times New Roman" w:hAnsi="Times New Roman" w:cs="Times New Roman"/>
          <w:color w:val="000000"/>
          <w:sz w:val="24"/>
          <w:szCs w:val="24"/>
          <w:lang w:bidi="en-US"/>
        </w:rPr>
        <w:t xml:space="preserve">, poriluk, luk, cvjetača i kivi) te dva proizvoda koja su također važna za prehranu stanovništva (borovnica i krastavci). Analizirano je 595 uzoraka. Analiza uzoraka biljnog podrijetla provedena je na </w:t>
      </w:r>
      <w:r w:rsidRPr="00F249AE">
        <w:rPr>
          <w:rFonts w:ascii="Times New Roman" w:eastAsia="Times New Roman" w:hAnsi="Times New Roman" w:cs="Times New Roman"/>
          <w:sz w:val="24"/>
          <w:szCs w:val="24"/>
          <w:lang w:bidi="en-US"/>
        </w:rPr>
        <w:t>337 – 455</w:t>
      </w:r>
      <w:r w:rsidRPr="00D84719">
        <w:rPr>
          <w:rFonts w:ascii="Times New Roman" w:eastAsia="Times New Roman" w:hAnsi="Times New Roman" w:cs="Times New Roman"/>
          <w:color w:val="FF0000"/>
          <w:sz w:val="24"/>
          <w:szCs w:val="24"/>
          <w:lang w:bidi="en-US"/>
        </w:rPr>
        <w:t xml:space="preserve"> </w:t>
      </w:r>
      <w:r w:rsidRPr="00D84719">
        <w:rPr>
          <w:rFonts w:ascii="Times New Roman" w:eastAsia="Times New Roman" w:hAnsi="Times New Roman" w:cs="Times New Roman"/>
          <w:color w:val="000000"/>
          <w:sz w:val="24"/>
          <w:szCs w:val="24"/>
          <w:lang w:bidi="en-US"/>
        </w:rPr>
        <w:t>aktivnih tvari dok je na uzorcima životinjskog podrijetla provedena na 64 aktivnih tvari. 356 (59</w:t>
      </w:r>
      <w:r w:rsidR="00632D56">
        <w:rPr>
          <w:rFonts w:ascii="Times New Roman" w:eastAsia="Times New Roman" w:hAnsi="Times New Roman" w:cs="Times New Roman"/>
          <w:color w:val="000000"/>
          <w:sz w:val="24"/>
          <w:szCs w:val="24"/>
          <w:lang w:bidi="en-US"/>
        </w:rPr>
        <w:t>,</w:t>
      </w:r>
      <w:r w:rsidRPr="00D84719">
        <w:rPr>
          <w:rFonts w:ascii="Times New Roman" w:eastAsia="Times New Roman" w:hAnsi="Times New Roman" w:cs="Times New Roman"/>
          <w:color w:val="000000"/>
          <w:sz w:val="24"/>
          <w:szCs w:val="24"/>
          <w:lang w:bidi="en-US"/>
        </w:rPr>
        <w:t xml:space="preserve">83 </w:t>
      </w:r>
      <w:r w:rsidR="00D4589D">
        <w:rPr>
          <w:rFonts w:ascii="Times New Roman" w:eastAsia="Times New Roman" w:hAnsi="Times New Roman" w:cs="Times New Roman"/>
          <w:color w:val="000000"/>
          <w:sz w:val="24"/>
          <w:szCs w:val="24"/>
          <w:lang w:bidi="en-US"/>
        </w:rPr>
        <w:t>%</w:t>
      </w:r>
      <w:r w:rsidRPr="00D84719">
        <w:rPr>
          <w:rFonts w:ascii="Times New Roman" w:eastAsia="Times New Roman" w:hAnsi="Times New Roman" w:cs="Times New Roman"/>
          <w:color w:val="000000"/>
          <w:sz w:val="24"/>
          <w:szCs w:val="24"/>
          <w:lang w:bidi="en-US"/>
        </w:rPr>
        <w:t>) uzoraka nije sadržavalo ostatke pesticida (ispod granice određivanja). U 226 uzorka (37,98</w:t>
      </w:r>
      <w:r w:rsidR="00D4589D">
        <w:rPr>
          <w:rFonts w:ascii="Times New Roman" w:eastAsia="Times New Roman" w:hAnsi="Times New Roman" w:cs="Times New Roman"/>
          <w:color w:val="000000"/>
          <w:sz w:val="24"/>
          <w:szCs w:val="24"/>
          <w:lang w:bidi="en-US"/>
        </w:rPr>
        <w:t xml:space="preserve"> %</w:t>
      </w:r>
      <w:r w:rsidRPr="00D84719">
        <w:rPr>
          <w:rFonts w:ascii="Times New Roman" w:eastAsia="Times New Roman" w:hAnsi="Times New Roman" w:cs="Times New Roman"/>
          <w:color w:val="000000"/>
          <w:sz w:val="24"/>
          <w:szCs w:val="24"/>
          <w:lang w:bidi="en-US"/>
        </w:rPr>
        <w:t>) nađeni su ostaci pesticida u dopuštenim koncentracijama (ispod MDK), a kod 6 uzoraka (1</w:t>
      </w:r>
      <w:r w:rsidR="00632D56">
        <w:rPr>
          <w:rFonts w:ascii="Times New Roman" w:eastAsia="Times New Roman" w:hAnsi="Times New Roman" w:cs="Times New Roman"/>
          <w:color w:val="000000"/>
          <w:sz w:val="24"/>
          <w:szCs w:val="24"/>
          <w:lang w:bidi="en-US"/>
        </w:rPr>
        <w:t>,</w:t>
      </w:r>
      <w:r w:rsidRPr="00D84719">
        <w:rPr>
          <w:rFonts w:ascii="Times New Roman" w:eastAsia="Times New Roman" w:hAnsi="Times New Roman" w:cs="Times New Roman"/>
          <w:color w:val="000000"/>
          <w:sz w:val="24"/>
          <w:szCs w:val="24"/>
          <w:lang w:bidi="en-US"/>
        </w:rPr>
        <w:t>27</w:t>
      </w:r>
      <w:r w:rsidR="00D4589D">
        <w:rPr>
          <w:rFonts w:ascii="Times New Roman" w:eastAsia="Times New Roman" w:hAnsi="Times New Roman" w:cs="Times New Roman"/>
          <w:color w:val="000000"/>
          <w:sz w:val="24"/>
          <w:szCs w:val="24"/>
          <w:lang w:bidi="en-US"/>
        </w:rPr>
        <w:t xml:space="preserve"> %</w:t>
      </w:r>
      <w:r w:rsidRPr="00D84719">
        <w:rPr>
          <w:rFonts w:ascii="Times New Roman" w:eastAsia="Times New Roman" w:hAnsi="Times New Roman" w:cs="Times New Roman"/>
          <w:color w:val="000000"/>
          <w:sz w:val="24"/>
          <w:szCs w:val="24"/>
          <w:lang w:bidi="en-US"/>
        </w:rPr>
        <w:t>) ostaci su prelazili MDK.</w:t>
      </w:r>
    </w:p>
    <w:p w14:paraId="000B6161" w14:textId="730E568F"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Nacionalni Program praćenja (monitoringa) ostataka pesticida u proizvodima biljnog i životinjskog podrijetla u 2019</w:t>
      </w:r>
      <w:r w:rsidR="004C449C">
        <w:rPr>
          <w:rFonts w:ascii="Times New Roman" w:eastAsia="Times New Roman" w:hAnsi="Times New Roman" w:cs="Times New Roman"/>
          <w:color w:val="000000"/>
          <w:sz w:val="24"/>
          <w:szCs w:val="24"/>
          <w:lang w:bidi="en-US"/>
        </w:rPr>
        <w:t>.</w:t>
      </w:r>
      <w:r w:rsidRPr="00D84719">
        <w:rPr>
          <w:rFonts w:ascii="Times New Roman" w:eastAsia="Times New Roman" w:hAnsi="Times New Roman" w:cs="Times New Roman"/>
          <w:color w:val="000000"/>
          <w:sz w:val="24"/>
          <w:szCs w:val="24"/>
          <w:lang w:bidi="en-US"/>
        </w:rPr>
        <w:t xml:space="preserve"> obuhvatio je praćenje ostataka pesticida na ukupno 20 proizvoda biljnog i životinjskog podrijetla od kojih je 13 proizvoda odabrano prema Provedbenoj uredbi Komisije (EU) br. 2018/555 od 9. travnja 2018. vezano uz koordinirani višegodišnji program kontrole Unije za 2019., 2020. i 2021</w:t>
      </w:r>
      <w:r w:rsidR="004C449C">
        <w:rPr>
          <w:rFonts w:ascii="Times New Roman" w:eastAsia="Times New Roman" w:hAnsi="Times New Roman" w:cs="Times New Roman"/>
          <w:color w:val="000000"/>
          <w:sz w:val="24"/>
          <w:szCs w:val="24"/>
          <w:lang w:bidi="en-US"/>
        </w:rPr>
        <w:t>.</w:t>
      </w:r>
      <w:r w:rsidRPr="00D84719">
        <w:rPr>
          <w:rFonts w:ascii="Times New Roman" w:eastAsia="Times New Roman" w:hAnsi="Times New Roman" w:cs="Times New Roman"/>
          <w:color w:val="000000"/>
          <w:sz w:val="24"/>
          <w:szCs w:val="24"/>
          <w:lang w:bidi="en-US"/>
        </w:rPr>
        <w:t xml:space="preserve"> za osiguranje sukladnosti s maksimalnim razinama ostataka pesticida i ocjenu izloženosti potrošača ostacima pesticida u i na hrani biljnog i životinjskog podrijetla, kojima su pridodani proizvodi za koje je u prethodnim programima </w:t>
      </w:r>
      <w:r w:rsidRPr="00D84719">
        <w:rPr>
          <w:rFonts w:ascii="Times New Roman" w:eastAsia="Times New Roman" w:hAnsi="Times New Roman" w:cs="Times New Roman"/>
          <w:color w:val="000000"/>
          <w:sz w:val="24"/>
          <w:szCs w:val="24"/>
          <w:lang w:bidi="en-US"/>
        </w:rPr>
        <w:lastRenderedPageBreak/>
        <w:t>monitoringa utvrđeno prekoračenje MDK ili nedopuštena primjena: naranča, kruška, borovnica, banane, grejp, celer i kivi. Analizirano je 290 uzoraka. U 192 (66</w:t>
      </w:r>
      <w:r w:rsidR="00632D56">
        <w:rPr>
          <w:rFonts w:ascii="Times New Roman" w:eastAsia="Times New Roman" w:hAnsi="Times New Roman" w:cs="Times New Roman"/>
          <w:color w:val="000000"/>
          <w:sz w:val="24"/>
          <w:szCs w:val="24"/>
          <w:lang w:bidi="en-US"/>
        </w:rPr>
        <w:t>,</w:t>
      </w:r>
      <w:r w:rsidRPr="00D84719">
        <w:rPr>
          <w:rFonts w:ascii="Times New Roman" w:eastAsia="Times New Roman" w:hAnsi="Times New Roman" w:cs="Times New Roman"/>
          <w:color w:val="000000"/>
          <w:sz w:val="24"/>
          <w:szCs w:val="24"/>
          <w:lang w:bidi="en-US"/>
        </w:rPr>
        <w:t>21%) uzoraka nisu nađeni ostaci pesticida (iznad granice određivanja), u 93 (32</w:t>
      </w:r>
      <w:r w:rsidR="00632D56">
        <w:rPr>
          <w:rFonts w:ascii="Times New Roman" w:eastAsia="Times New Roman" w:hAnsi="Times New Roman" w:cs="Times New Roman"/>
          <w:color w:val="000000"/>
          <w:sz w:val="24"/>
          <w:szCs w:val="24"/>
          <w:lang w:bidi="en-US"/>
        </w:rPr>
        <w:t>,</w:t>
      </w:r>
      <w:r w:rsidRPr="00D84719">
        <w:rPr>
          <w:rFonts w:ascii="Times New Roman" w:eastAsia="Times New Roman" w:hAnsi="Times New Roman" w:cs="Times New Roman"/>
          <w:color w:val="000000"/>
          <w:sz w:val="24"/>
          <w:szCs w:val="24"/>
          <w:lang w:bidi="en-US"/>
        </w:rPr>
        <w:t>07</w:t>
      </w:r>
      <w:r w:rsidR="00D4589D">
        <w:rPr>
          <w:rFonts w:ascii="Times New Roman" w:eastAsia="Times New Roman" w:hAnsi="Times New Roman" w:cs="Times New Roman"/>
          <w:color w:val="000000"/>
          <w:sz w:val="24"/>
          <w:szCs w:val="24"/>
          <w:lang w:bidi="en-US"/>
        </w:rPr>
        <w:t xml:space="preserve"> %</w:t>
      </w:r>
      <w:r w:rsidRPr="00D84719">
        <w:rPr>
          <w:rFonts w:ascii="Times New Roman" w:eastAsia="Times New Roman" w:hAnsi="Times New Roman" w:cs="Times New Roman"/>
          <w:color w:val="000000"/>
          <w:sz w:val="24"/>
          <w:szCs w:val="24"/>
          <w:lang w:bidi="en-US"/>
        </w:rPr>
        <w:t>) uzorka nađeni su ostaci pesticida ispod MDK, a u šest (2</w:t>
      </w:r>
      <w:r w:rsidR="00632D56">
        <w:rPr>
          <w:rFonts w:ascii="Times New Roman" w:eastAsia="Times New Roman" w:hAnsi="Times New Roman" w:cs="Times New Roman"/>
          <w:color w:val="000000"/>
          <w:sz w:val="24"/>
          <w:szCs w:val="24"/>
          <w:lang w:bidi="en-US"/>
        </w:rPr>
        <w:t>,</w:t>
      </w:r>
      <w:r w:rsidRPr="00D84719">
        <w:rPr>
          <w:rFonts w:ascii="Times New Roman" w:eastAsia="Times New Roman" w:hAnsi="Times New Roman" w:cs="Times New Roman"/>
          <w:color w:val="000000"/>
          <w:sz w:val="24"/>
          <w:szCs w:val="24"/>
          <w:lang w:bidi="en-US"/>
        </w:rPr>
        <w:t>07</w:t>
      </w:r>
      <w:r w:rsidR="00D4589D">
        <w:rPr>
          <w:rFonts w:ascii="Times New Roman" w:eastAsia="Times New Roman" w:hAnsi="Times New Roman" w:cs="Times New Roman"/>
          <w:color w:val="000000"/>
          <w:sz w:val="24"/>
          <w:szCs w:val="24"/>
          <w:lang w:bidi="en-US"/>
        </w:rPr>
        <w:t xml:space="preserve"> %</w:t>
      </w:r>
      <w:r w:rsidRPr="00D84719">
        <w:rPr>
          <w:rFonts w:ascii="Times New Roman" w:eastAsia="Times New Roman" w:hAnsi="Times New Roman" w:cs="Times New Roman"/>
          <w:color w:val="000000"/>
          <w:sz w:val="24"/>
          <w:szCs w:val="24"/>
          <w:lang w:bidi="en-US"/>
        </w:rPr>
        <w:t>) uzoraka nađeni su ostaci pesticida iznad MDK.</w:t>
      </w:r>
    </w:p>
    <w:p w14:paraId="4FA370F2"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Promatrajući obveze iz Stockholmske konvencije koje se odnose na pesticide koji sadrže POPs-ove, jasno je da su zahtjevi koje se odnose na proizvodnju, uporabu, uvoz i izvoz već ispunjeni.</w:t>
      </w:r>
    </w:p>
    <w:p w14:paraId="4C30E249"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p>
    <w:p w14:paraId="0A65E0FE" w14:textId="77777777" w:rsidR="00D84719" w:rsidRPr="00D84719" w:rsidRDefault="00D84719" w:rsidP="00E2469D">
      <w:pPr>
        <w:pStyle w:val="Naslov3"/>
      </w:pPr>
      <w:bookmarkStart w:id="265" w:name="_Toc40439456"/>
      <w:bookmarkStart w:id="266" w:name="_Toc50635625"/>
      <w:bookmarkStart w:id="267" w:name="_Toc64460760"/>
      <w:r w:rsidRPr="00D84719">
        <w:t>Aktivnost: Proizvodnja, uvoz i izvoz, uporaba, identifikacija, označavanje, dekontaminacija, skladištenje i zbrinjavanje PCB-a i opreme koja sadrži PCB (Dodatak A, dio II.)</w:t>
      </w:r>
      <w:bookmarkEnd w:id="265"/>
      <w:bookmarkEnd w:id="266"/>
      <w:bookmarkEnd w:id="267"/>
    </w:p>
    <w:p w14:paraId="017514EB"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Tijekom izrade inventara PCB-a utvrđeno je da u Republici Hrvatskoj ne postoji proizvodnja PCB-a, ali da postoji uporaba opreme s PCB-om.</w:t>
      </w:r>
    </w:p>
    <w:p w14:paraId="03B02808"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Zahtjevi Stockholmske konvencije vezani uz gospodarenje i uklanjanje PCB-a mogu se sažeti kako slijedi:</w:t>
      </w:r>
    </w:p>
    <w:p w14:paraId="17FC7847" w14:textId="0A6D2BA8" w:rsidR="00D84719" w:rsidRP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ukloniti opremu s PCB-om koja je u uporabi, najkasnije do 2025</w:t>
      </w:r>
      <w:r w:rsidR="005C26BD">
        <w:rPr>
          <w:rFonts w:ascii="Times New Roman" w:eastAsia="Calibri" w:hAnsi="Times New Roman" w:cs="Times New Roman"/>
          <w:sz w:val="24"/>
          <w:lang w:bidi="en-US"/>
        </w:rPr>
        <w:t>.</w:t>
      </w:r>
    </w:p>
    <w:p w14:paraId="4B9EF1B3" w14:textId="1B05FBF0" w:rsidR="00D84719" w:rsidRP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uložiti značajna nastojanja u cilju utvrđivanja, označavanja i povlačenja iz uporabe opreme koja sadrži više od 0</w:t>
      </w:r>
      <w:r w:rsidR="00632D56">
        <w:rPr>
          <w:rFonts w:ascii="Times New Roman" w:eastAsia="Calibri" w:hAnsi="Times New Roman" w:cs="Times New Roman"/>
          <w:sz w:val="24"/>
          <w:lang w:bidi="en-US"/>
        </w:rPr>
        <w:t>,</w:t>
      </w:r>
      <w:r w:rsidRPr="00D84719">
        <w:rPr>
          <w:rFonts w:ascii="Times New Roman" w:eastAsia="Calibri" w:hAnsi="Times New Roman" w:cs="Times New Roman"/>
          <w:sz w:val="24"/>
          <w:lang w:bidi="en-US"/>
        </w:rPr>
        <w:t>05</w:t>
      </w:r>
      <w:r w:rsidR="00D4589D">
        <w:rPr>
          <w:rFonts w:ascii="Times New Roman" w:eastAsia="Calibri" w:hAnsi="Times New Roman" w:cs="Times New Roman"/>
          <w:sz w:val="24"/>
          <w:lang w:bidi="en-US"/>
        </w:rPr>
        <w:t xml:space="preserve"> %</w:t>
      </w:r>
      <w:r w:rsidRPr="00D84719">
        <w:rPr>
          <w:rFonts w:ascii="Times New Roman" w:eastAsia="Calibri" w:hAnsi="Times New Roman" w:cs="Times New Roman"/>
          <w:sz w:val="24"/>
          <w:lang w:bidi="en-US"/>
        </w:rPr>
        <w:t xml:space="preserve"> PCB-a u odnosu na ukupnu masu tekućine i volumene veće od pet litara</w:t>
      </w:r>
    </w:p>
    <w:p w14:paraId="2BAB398D" w14:textId="77777777" w:rsidR="00D84719" w:rsidRP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zabraniti uvoz i izvoz opreme koja sadrži PCB osim za slučaj zbrinjavanja otpada na okolišno prihvatljiv način</w:t>
      </w:r>
    </w:p>
    <w:p w14:paraId="62CB93E3" w14:textId="5DB7B5FB" w:rsidR="00D84719" w:rsidRP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zabraniti osim za potrebe servisiranja i održavanja, prikupljanje u svrhu ponovnog korištenja u drugoj opremi tekućina sa sadržajem PCB-a iznad 0,005</w:t>
      </w:r>
      <w:r w:rsidR="00D4589D">
        <w:rPr>
          <w:rFonts w:ascii="Times New Roman" w:eastAsia="Calibri" w:hAnsi="Times New Roman" w:cs="Times New Roman"/>
          <w:sz w:val="24"/>
          <w:lang w:bidi="en-US"/>
        </w:rPr>
        <w:t xml:space="preserve"> %</w:t>
      </w:r>
    </w:p>
    <w:p w14:paraId="36F5581D" w14:textId="6B7750B5" w:rsidR="00D84719" w:rsidRP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postići održivo gospodarenje otpadnim tekućinama koje sadrže PCB i opremom onečišćenom PCB-om sa sadržajem PCB-a većim od 0,005</w:t>
      </w:r>
      <w:r w:rsidR="00D4589D">
        <w:rPr>
          <w:rFonts w:ascii="Times New Roman" w:eastAsia="Calibri" w:hAnsi="Times New Roman" w:cs="Times New Roman"/>
          <w:sz w:val="24"/>
          <w:lang w:bidi="en-US"/>
        </w:rPr>
        <w:t xml:space="preserve"> %</w:t>
      </w:r>
      <w:r w:rsidRPr="00D84719">
        <w:rPr>
          <w:rFonts w:ascii="Times New Roman" w:eastAsia="Calibri" w:hAnsi="Times New Roman" w:cs="Times New Roman"/>
          <w:sz w:val="24"/>
          <w:lang w:bidi="en-US"/>
        </w:rPr>
        <w:t xml:space="preserve"> što je prije moguće, no najkasnije do 2028.godine</w:t>
      </w:r>
    </w:p>
    <w:p w14:paraId="7D42128B" w14:textId="77777777" w:rsidR="00D84719" w:rsidRP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svakih pet godina izraditi izvještaj o napretku u uklanjanju PCB-a i podnijeti ga konferenciji stranaka.</w:t>
      </w:r>
    </w:p>
    <w:p w14:paraId="6ACE5FAC"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p>
    <w:p w14:paraId="0A392906"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Prioritetni (specifični) ciljevi za ovu aktivnost su:</w:t>
      </w:r>
    </w:p>
    <w:p w14:paraId="4DE76F12" w14:textId="39F65CE6" w:rsidR="00D84719" w:rsidRP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označavanje, identifikacija i uklanjanje opreme koja sadrži PCB (&gt; 50 mg/l) najkasnije do 2025</w:t>
      </w:r>
      <w:r w:rsidR="005C26BD">
        <w:rPr>
          <w:rFonts w:ascii="Times New Roman" w:eastAsia="Calibri" w:hAnsi="Times New Roman" w:cs="Times New Roman"/>
          <w:sz w:val="24"/>
          <w:lang w:bidi="en-US"/>
        </w:rPr>
        <w:t>.</w:t>
      </w:r>
      <w:r w:rsidRPr="00D84719">
        <w:rPr>
          <w:rFonts w:ascii="Times New Roman" w:eastAsia="Calibri" w:hAnsi="Times New Roman" w:cs="Times New Roman"/>
          <w:sz w:val="24"/>
          <w:lang w:bidi="en-US"/>
        </w:rPr>
        <w:t>, a zbrinjavanje tekućina/opreme PCB &gt; 50 mg/l na okolišno prihvatljiv način po zahtjevima Stockholmske konvencije, odnosno do rokova propisanih nacionalnim zakonodavstvom i</w:t>
      </w:r>
    </w:p>
    <w:p w14:paraId="429CDF9A" w14:textId="77777777" w:rsidR="00D84719" w:rsidRP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edukacija i podizanje svijesti ciljnih skupina.</w:t>
      </w:r>
    </w:p>
    <w:p w14:paraId="173AFD86" w14:textId="77777777" w:rsidR="00D84719" w:rsidRPr="00D84719" w:rsidRDefault="00D84719" w:rsidP="00D84719">
      <w:pPr>
        <w:spacing w:before="80" w:line="276" w:lineRule="auto"/>
        <w:jc w:val="both"/>
        <w:rPr>
          <w:rFonts w:ascii="Times New Roman" w:eastAsia="Times New Roman" w:hAnsi="Times New Roman" w:cs="Times New Roman"/>
          <w:b/>
          <w:bCs/>
          <w:color w:val="000000"/>
          <w:sz w:val="24"/>
          <w:szCs w:val="24"/>
          <w:lang w:bidi="en-US"/>
        </w:rPr>
      </w:pPr>
    </w:p>
    <w:p w14:paraId="4D1CCAB5" w14:textId="0BF90ACA" w:rsidR="00D84719" w:rsidRPr="00605EA4" w:rsidRDefault="00D84719" w:rsidP="00605EA4">
      <w:pPr>
        <w:pStyle w:val="Naslov4"/>
      </w:pPr>
      <w:bookmarkStart w:id="268" w:name="_Toc64460761"/>
      <w:r w:rsidRPr="00605EA4">
        <w:t>Uklanjanje opreme koja sadrži PCB do 2025</w:t>
      </w:r>
      <w:r w:rsidR="005C26BD">
        <w:t>.</w:t>
      </w:r>
      <w:bookmarkEnd w:id="268"/>
    </w:p>
    <w:p w14:paraId="6499511A"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Predložene mjere:</w:t>
      </w:r>
    </w:p>
    <w:p w14:paraId="68C939FE" w14:textId="77777777" w:rsidR="00D84719" w:rsidRP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na osnovu Izvješća o opremi s PCB-om u uporabi, odrediti eventualne prioritetne lokacije, napuštene/nezaštićene lokacije i</w:t>
      </w:r>
    </w:p>
    <w:p w14:paraId="0AC2C687" w14:textId="77777777" w:rsidR="00D84719" w:rsidRP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lastRenderedPageBreak/>
        <w:t>provoditi uklanjanje opreme iz uporabe, odnosno zbrinjavanje opreme s PCB-om.</w:t>
      </w:r>
    </w:p>
    <w:p w14:paraId="6D46E92E"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Na temelju prikupljanih prijava opreme koja sadrži PCB potrebno je napraviti detaljnu analizu opreme s obzirom na vrstu, stanje, starost, lokacije i dr. Ukoliko postoje, procijeniti prioritetne lokacije visokog rizika s kojih je opremu potrebno ukloniti čim prije. Na temelju podataka dostavljenih od strane posjednika opreme i njihovih predviđenih planova dekontaminacije i zbrinjavanja napraviti okvirni Plan uklanjanja opreme s PCB-om kojim će se utvrditi vremenski plan uklanjanja cjelokupne opreme s PCB-om s područja Republike Hrvatske.</w:t>
      </w:r>
    </w:p>
    <w:p w14:paraId="546C7622" w14:textId="77777777" w:rsidR="00D84719" w:rsidRPr="00D84719" w:rsidRDefault="00D84719" w:rsidP="00D84719">
      <w:pPr>
        <w:spacing w:before="80" w:line="276" w:lineRule="auto"/>
        <w:jc w:val="both"/>
        <w:rPr>
          <w:rFonts w:ascii="Times New Roman" w:eastAsia="Times New Roman" w:hAnsi="Times New Roman" w:cs="Times New Roman"/>
          <w:b/>
          <w:bCs/>
          <w:color w:val="000000"/>
          <w:szCs w:val="24"/>
          <w:lang w:bidi="en-US"/>
        </w:rPr>
      </w:pPr>
    </w:p>
    <w:p w14:paraId="5FFCC9E5" w14:textId="77777777" w:rsidR="00D84719" w:rsidRPr="00D84719" w:rsidRDefault="00D84719" w:rsidP="00605EA4">
      <w:pPr>
        <w:pStyle w:val="Naslov4"/>
        <w:rPr>
          <w:b w:val="0"/>
          <w:bCs/>
        </w:rPr>
      </w:pPr>
      <w:r w:rsidRPr="00D84719">
        <w:rPr>
          <w:bCs/>
        </w:rPr>
        <w:t xml:space="preserve"> </w:t>
      </w:r>
      <w:bookmarkStart w:id="269" w:name="_Toc64460762"/>
      <w:r w:rsidRPr="00D84719">
        <w:rPr>
          <w:bCs/>
        </w:rPr>
        <w:t>Edukacija i podizanje svijesti ciljnih skupina</w:t>
      </w:r>
      <w:bookmarkEnd w:id="269"/>
    </w:p>
    <w:p w14:paraId="7FDA4455"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Predložene mjere:</w:t>
      </w:r>
    </w:p>
    <w:p w14:paraId="737C7187" w14:textId="77777777" w:rsidR="00D84719" w:rsidRP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edukacija subjekata radi poboljšanja ispunjavanja preuzetih obveza u izvršavanju zamjene i zbrinjavanja opreme koja sadrži PCB.</w:t>
      </w:r>
    </w:p>
    <w:p w14:paraId="081C439A"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Edukacija, širenje i dostupnost informacija ključan je preduvjet za učinkovitu provedbu plana. Svim zainteresiranim stranama potrebno je omogućiti pravovremenu dostupnost svih informacija.</w:t>
      </w:r>
    </w:p>
    <w:p w14:paraId="3F5A32A7"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 xml:space="preserve">U cilju podizanja svijesti i informiranja javnosti o PCB-u izrađen je Vodič </w:t>
      </w:r>
      <w:r w:rsidRPr="00D84719">
        <w:rPr>
          <w:rFonts w:ascii="Times New Roman" w:eastAsia="Times New Roman" w:hAnsi="Times New Roman" w:cs="Times New Roman"/>
          <w:color w:val="000000"/>
          <w:sz w:val="24"/>
          <w:szCs w:val="24"/>
        </w:rPr>
        <w:t>za sigurno rukovanje opremom i gospodarenje otpadom koji sadrži postojanu organsku onečišćujuću tvar PCB na okolišno prihvatljiv način</w:t>
      </w:r>
      <w:r w:rsidRPr="00D84719">
        <w:rPr>
          <w:rFonts w:ascii="Times New Roman" w:eastAsia="Times New Roman" w:hAnsi="Times New Roman" w:cs="Times New Roman"/>
          <w:color w:val="000000"/>
          <w:sz w:val="24"/>
          <w:szCs w:val="24"/>
          <w:lang w:bidi="en-US"/>
        </w:rPr>
        <w:t xml:space="preserve"> koji sadrži općenite informacije o osobinama i svojstvima PCB-a, utjecaju na zdravlje i okoliš i mogućim putevima i rizicima od izlaganja. Vodič je dostupan široj javnosti putem mrežne stranice ministarstava nadležnog za poslove zaštite okoliša.</w:t>
      </w:r>
    </w:p>
    <w:p w14:paraId="025603FE"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Osim propisanih obveza, trenutno za posjednike opreme ne postoji jedinstvena uputa za identifikaciju, dekontaminaciju, uporabu, transport, skladištenje i zbrinjavanje opreme s PCB-om. Za omogućavanje ispunjavanja uvjeta Stockholmske konvencije vezano za postupanje s opremom i otpadom s PCB-om predlaže se izrada upute za posjednike opreme koja bi sadržavala informacije o uvjetima za:</w:t>
      </w:r>
    </w:p>
    <w:p w14:paraId="38E3DA27" w14:textId="77777777" w:rsidR="00D84719" w:rsidRP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identifikaciju i označavanje opreme s PCB-om u funkciji (način određivanja sadržaja PCB-a u opremi za koju se sumnja da sadrži PCB)</w:t>
      </w:r>
    </w:p>
    <w:p w14:paraId="1834CA76" w14:textId="77777777" w:rsidR="00D84719" w:rsidRP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korištenje opreme s PCB-om (ispravnost opreme, područje gdje se smije/ne smije primjenjivati)</w:t>
      </w:r>
    </w:p>
    <w:p w14:paraId="3C47D581" w14:textId="77777777" w:rsidR="00D84719" w:rsidRP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pravilno/sigurno rukovanje s opremom koja sadrži PCB</w:t>
      </w:r>
    </w:p>
    <w:p w14:paraId="2AD67807" w14:textId="77777777" w:rsidR="00D84719" w:rsidRP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transport opreme s PCB-om</w:t>
      </w:r>
    </w:p>
    <w:p w14:paraId="00C766EF" w14:textId="77777777" w:rsidR="00D84719" w:rsidRP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gospodarenje sa zalihama PCB-a i opreme s PCB-om</w:t>
      </w:r>
    </w:p>
    <w:p w14:paraId="7CC48FC0" w14:textId="77777777" w:rsidR="00D84719" w:rsidRP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sigurno rukovanje i odlaganje na okolišno prihvatljiv način PCB otpada</w:t>
      </w:r>
    </w:p>
    <w:p w14:paraId="1BCBAA0C" w14:textId="77777777" w:rsidR="00D84719" w:rsidRP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označavanje otpada s PCB-om</w:t>
      </w:r>
    </w:p>
    <w:p w14:paraId="6F473F96" w14:textId="77777777" w:rsidR="00D84719" w:rsidRP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 xml:space="preserve">privremeno skladištenje otpada s PCB-om u tvorničkom krugu </w:t>
      </w:r>
    </w:p>
    <w:p w14:paraId="1B5F444C" w14:textId="77777777" w:rsidR="00B62344"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postupak u slučaju ispuštanja PCB-a iz opreme u funkciji ili opreme izvan uporabe</w:t>
      </w:r>
      <w:r w:rsidR="00B62344">
        <w:rPr>
          <w:rFonts w:ascii="Times New Roman" w:eastAsia="Calibri" w:hAnsi="Times New Roman" w:cs="Times New Roman"/>
          <w:sz w:val="24"/>
          <w:lang w:bidi="en-US"/>
        </w:rPr>
        <w:t xml:space="preserve"> i</w:t>
      </w:r>
    </w:p>
    <w:p w14:paraId="30CBD32E" w14:textId="77777777" w:rsidR="00D84719" w:rsidRPr="00D84719" w:rsidRDefault="00B42A1E" w:rsidP="00B62344">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proofErr w:type="spellStart"/>
      <w:r w:rsidRPr="00B62344">
        <w:rPr>
          <w:rFonts w:ascii="Times New Roman" w:eastAsia="Calibri" w:hAnsi="Times New Roman" w:cs="Times New Roman"/>
          <w:sz w:val="24"/>
          <w:lang w:bidi="en-US"/>
        </w:rPr>
        <w:t>procijen</w:t>
      </w:r>
      <w:r>
        <w:rPr>
          <w:rFonts w:ascii="Times New Roman" w:eastAsia="Calibri" w:hAnsi="Times New Roman" w:cs="Times New Roman"/>
          <w:sz w:val="24"/>
          <w:lang w:bidi="en-US"/>
        </w:rPr>
        <w:t>u</w:t>
      </w:r>
      <w:proofErr w:type="spellEnd"/>
      <w:r w:rsidRPr="00B62344">
        <w:rPr>
          <w:rFonts w:ascii="Times New Roman" w:eastAsia="Calibri" w:hAnsi="Times New Roman" w:cs="Times New Roman"/>
          <w:sz w:val="24"/>
          <w:lang w:bidi="en-US"/>
        </w:rPr>
        <w:t xml:space="preserve"> </w:t>
      </w:r>
      <w:r w:rsidR="00B62344" w:rsidRPr="00B62344">
        <w:rPr>
          <w:rFonts w:ascii="Times New Roman" w:eastAsia="Calibri" w:hAnsi="Times New Roman" w:cs="Times New Roman"/>
          <w:sz w:val="24"/>
          <w:lang w:bidi="en-US"/>
        </w:rPr>
        <w:t>rizik</w:t>
      </w:r>
      <w:r>
        <w:rPr>
          <w:rFonts w:ascii="Times New Roman" w:eastAsia="Calibri" w:hAnsi="Times New Roman" w:cs="Times New Roman"/>
          <w:sz w:val="24"/>
          <w:lang w:bidi="en-US"/>
        </w:rPr>
        <w:t>a</w:t>
      </w:r>
      <w:r w:rsidR="00B62344" w:rsidRPr="00B62344">
        <w:rPr>
          <w:rFonts w:ascii="Times New Roman" w:eastAsia="Calibri" w:hAnsi="Times New Roman" w:cs="Times New Roman"/>
          <w:sz w:val="24"/>
          <w:lang w:bidi="en-US"/>
        </w:rPr>
        <w:t xml:space="preserve"> i predvidjeti postupak u slučaju da posljedice akcidenta prelaze granice tvorničkog kruga iz razloga što posljedice takve nesreće direktno utječu na aktiviranje sustava civilne zaštite</w:t>
      </w:r>
      <w:r w:rsidR="00D84719" w:rsidRPr="00D84719">
        <w:rPr>
          <w:rFonts w:ascii="Times New Roman" w:eastAsia="Calibri" w:hAnsi="Times New Roman" w:cs="Times New Roman"/>
          <w:sz w:val="24"/>
          <w:lang w:bidi="en-US"/>
        </w:rPr>
        <w:t>.</w:t>
      </w:r>
    </w:p>
    <w:p w14:paraId="16714EB3"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lastRenderedPageBreak/>
        <w:t>Tablica 4.</w:t>
      </w:r>
      <w:r w:rsidR="00F05F33">
        <w:rPr>
          <w:rFonts w:ascii="Times New Roman" w:eastAsia="Times New Roman" w:hAnsi="Times New Roman" w:cs="Times New Roman"/>
          <w:color w:val="000000"/>
          <w:sz w:val="24"/>
          <w:szCs w:val="24"/>
          <w:lang w:bidi="en-US"/>
        </w:rPr>
        <w:t>2</w:t>
      </w:r>
      <w:r w:rsidRPr="00D84719">
        <w:rPr>
          <w:rFonts w:ascii="Times New Roman" w:eastAsia="Times New Roman" w:hAnsi="Times New Roman" w:cs="Times New Roman"/>
          <w:color w:val="000000"/>
          <w:sz w:val="24"/>
          <w:szCs w:val="24"/>
          <w:lang w:bidi="en-US"/>
        </w:rPr>
        <w:t>-1 sadrži opis mjera i aktivnosti koje je potrebno provesti u cilju ispunjenja svih obveza iz Stockholmske konvencije koje se odnose na upravljanje PCB-om u Republici Hrvatskoj, identificira institucije odgovorne za njihovu provedbu te vremenski plan i procijenjena potrebna financijska sredstva.</w:t>
      </w:r>
    </w:p>
    <w:p w14:paraId="13E4EB58" w14:textId="77777777" w:rsidR="00D84719" w:rsidRPr="00D84719" w:rsidRDefault="00D84719" w:rsidP="00D84719">
      <w:pPr>
        <w:keepNext/>
        <w:spacing w:before="80" w:after="0" w:line="276" w:lineRule="auto"/>
        <w:jc w:val="both"/>
        <w:rPr>
          <w:rFonts w:ascii="Times New Roman" w:eastAsia="Times New Roman" w:hAnsi="Times New Roman" w:cs="Times New Roman"/>
          <w:b/>
          <w:bCs/>
          <w:i/>
          <w:sz w:val="20"/>
          <w:szCs w:val="20"/>
        </w:rPr>
      </w:pPr>
      <w:r w:rsidRPr="00D84719">
        <w:rPr>
          <w:rFonts w:ascii="Times New Roman" w:eastAsia="Times New Roman" w:hAnsi="Times New Roman" w:cs="Times New Roman"/>
          <w:b/>
          <w:bCs/>
          <w:i/>
          <w:sz w:val="20"/>
          <w:szCs w:val="20"/>
        </w:rPr>
        <w:t xml:space="preserve">Tablica </w:t>
      </w:r>
      <w:r w:rsidR="00F05F33">
        <w:rPr>
          <w:rFonts w:ascii="Times New Roman" w:eastAsia="Times New Roman" w:hAnsi="Times New Roman" w:cs="Times New Roman"/>
          <w:b/>
          <w:bCs/>
          <w:i/>
          <w:sz w:val="20"/>
          <w:szCs w:val="20"/>
        </w:rPr>
        <w:t>4.2</w:t>
      </w:r>
      <w:r w:rsidRPr="00D84719">
        <w:rPr>
          <w:rFonts w:ascii="Times New Roman" w:eastAsia="Times New Roman" w:hAnsi="Times New Roman" w:cs="Times New Roman"/>
          <w:b/>
          <w:bCs/>
          <w:i/>
          <w:sz w:val="20"/>
          <w:szCs w:val="20"/>
        </w:rPr>
        <w:noBreakHyphen/>
      </w:r>
      <w:r w:rsidRPr="00D84719">
        <w:rPr>
          <w:rFonts w:ascii="Times New Roman" w:eastAsia="Times New Roman" w:hAnsi="Times New Roman" w:cs="Times New Roman"/>
          <w:b/>
          <w:bCs/>
          <w:i/>
          <w:sz w:val="20"/>
          <w:szCs w:val="20"/>
        </w:rPr>
        <w:fldChar w:fldCharType="begin"/>
      </w:r>
      <w:r w:rsidRPr="00D84719">
        <w:rPr>
          <w:rFonts w:ascii="Times New Roman" w:eastAsia="Times New Roman" w:hAnsi="Times New Roman" w:cs="Times New Roman"/>
          <w:b/>
          <w:bCs/>
          <w:i/>
          <w:sz w:val="20"/>
          <w:szCs w:val="20"/>
        </w:rPr>
        <w:instrText xml:space="preserve"> SEQ Tablica \* ARABIC \s 2 </w:instrText>
      </w:r>
      <w:r w:rsidRPr="00D84719">
        <w:rPr>
          <w:rFonts w:ascii="Times New Roman" w:eastAsia="Times New Roman" w:hAnsi="Times New Roman" w:cs="Times New Roman"/>
          <w:b/>
          <w:bCs/>
          <w:i/>
          <w:sz w:val="20"/>
          <w:szCs w:val="20"/>
        </w:rPr>
        <w:fldChar w:fldCharType="separate"/>
      </w:r>
      <w:r w:rsidRPr="00D84719">
        <w:rPr>
          <w:rFonts w:ascii="Times New Roman" w:eastAsia="Times New Roman" w:hAnsi="Times New Roman" w:cs="Times New Roman"/>
          <w:b/>
          <w:bCs/>
          <w:i/>
          <w:sz w:val="20"/>
          <w:szCs w:val="20"/>
        </w:rPr>
        <w:t>1</w:t>
      </w:r>
      <w:r w:rsidRPr="00D84719">
        <w:rPr>
          <w:rFonts w:ascii="Times New Roman" w:eastAsia="Times New Roman" w:hAnsi="Times New Roman" w:cs="Times New Roman"/>
          <w:b/>
          <w:bCs/>
          <w:i/>
          <w:sz w:val="20"/>
          <w:szCs w:val="20"/>
        </w:rPr>
        <w:fldChar w:fldCharType="end"/>
      </w:r>
      <w:r w:rsidRPr="00D84719">
        <w:rPr>
          <w:rFonts w:ascii="Times New Roman" w:eastAsia="Times New Roman" w:hAnsi="Times New Roman" w:cs="Times New Roman"/>
          <w:b/>
          <w:bCs/>
          <w:i/>
          <w:sz w:val="20"/>
          <w:szCs w:val="20"/>
        </w:rPr>
        <w:t>: Aktivnosti: Proizvodnja, uvoz i izvoz, uporaba, identifikacija, označavanje, dekontaminacija, skladištenje i zbrinjavanje PCB-a i opreme koja sadrži PCB</w:t>
      </w:r>
    </w:p>
    <w:tbl>
      <w:tblPr>
        <w:tblStyle w:val="Reetkatablice11"/>
        <w:tblW w:w="5000" w:type="pct"/>
        <w:jc w:val="center"/>
        <w:tblLook w:val="04A0" w:firstRow="1" w:lastRow="0" w:firstColumn="1" w:lastColumn="0" w:noHBand="0" w:noVBand="1"/>
      </w:tblPr>
      <w:tblGrid>
        <w:gridCol w:w="2554"/>
        <w:gridCol w:w="3360"/>
        <w:gridCol w:w="1439"/>
        <w:gridCol w:w="1709"/>
      </w:tblGrid>
      <w:tr w:rsidR="00D84719" w:rsidRPr="00D84719" w14:paraId="79F093E7" w14:textId="77777777" w:rsidTr="00F831D6">
        <w:trPr>
          <w:tblHeader/>
          <w:jc w:val="center"/>
        </w:trPr>
        <w:tc>
          <w:tcPr>
            <w:tcW w:w="1409" w:type="pct"/>
            <w:shd w:val="clear" w:color="auto" w:fill="BFBFBF"/>
            <w:vAlign w:val="center"/>
          </w:tcPr>
          <w:p w14:paraId="502538EE" w14:textId="77777777" w:rsidR="00D84719" w:rsidRPr="00D84719" w:rsidRDefault="00D84719" w:rsidP="00D84719">
            <w:pPr>
              <w:jc w:val="center"/>
              <w:rPr>
                <w:rFonts w:ascii="Times New Roman" w:eastAsia="Calibri" w:hAnsi="Times New Roman" w:cs="Times New Roman"/>
                <w:b/>
                <w:bCs/>
                <w:sz w:val="20"/>
                <w:szCs w:val="20"/>
              </w:rPr>
            </w:pPr>
            <w:r w:rsidRPr="00D84719">
              <w:rPr>
                <w:rFonts w:ascii="Times New Roman" w:eastAsia="Calibri" w:hAnsi="Times New Roman" w:cs="Times New Roman"/>
                <w:b/>
                <w:bCs/>
                <w:sz w:val="20"/>
                <w:szCs w:val="20"/>
              </w:rPr>
              <w:t>CILJEVI/MJERE</w:t>
            </w:r>
          </w:p>
        </w:tc>
        <w:tc>
          <w:tcPr>
            <w:tcW w:w="1854" w:type="pct"/>
            <w:shd w:val="clear" w:color="auto" w:fill="BFBFBF"/>
            <w:vAlign w:val="center"/>
          </w:tcPr>
          <w:p w14:paraId="3F05D183" w14:textId="77777777" w:rsidR="00D84719" w:rsidRPr="00D84719" w:rsidRDefault="00D84719" w:rsidP="00D84719">
            <w:pPr>
              <w:jc w:val="center"/>
              <w:rPr>
                <w:rFonts w:ascii="Times New Roman" w:eastAsia="Calibri" w:hAnsi="Times New Roman" w:cs="Times New Roman"/>
                <w:b/>
                <w:bCs/>
                <w:sz w:val="20"/>
                <w:szCs w:val="20"/>
              </w:rPr>
            </w:pPr>
            <w:r w:rsidRPr="00D84719">
              <w:rPr>
                <w:rFonts w:ascii="Times New Roman" w:eastAsia="Calibri" w:hAnsi="Times New Roman" w:cs="Times New Roman"/>
                <w:b/>
                <w:bCs/>
                <w:sz w:val="20"/>
                <w:szCs w:val="20"/>
              </w:rPr>
              <w:t>NOSITELJ (STRUČNA I TEHNIČKA POTPORA</w:t>
            </w:r>
          </w:p>
        </w:tc>
        <w:tc>
          <w:tcPr>
            <w:tcW w:w="794" w:type="pct"/>
            <w:shd w:val="clear" w:color="auto" w:fill="BFBFBF"/>
            <w:vAlign w:val="center"/>
          </w:tcPr>
          <w:p w14:paraId="5D435A44" w14:textId="77777777" w:rsidR="00D84719" w:rsidRPr="00D84719" w:rsidRDefault="00D84719" w:rsidP="00D84719">
            <w:pPr>
              <w:jc w:val="center"/>
              <w:rPr>
                <w:rFonts w:ascii="Times New Roman" w:eastAsia="Calibri" w:hAnsi="Times New Roman" w:cs="Times New Roman"/>
                <w:b/>
                <w:bCs/>
                <w:sz w:val="20"/>
                <w:szCs w:val="20"/>
              </w:rPr>
            </w:pPr>
            <w:r w:rsidRPr="00D84719">
              <w:rPr>
                <w:rFonts w:ascii="Times New Roman" w:eastAsia="Calibri" w:hAnsi="Times New Roman" w:cs="Times New Roman"/>
                <w:b/>
                <w:bCs/>
                <w:sz w:val="20"/>
                <w:szCs w:val="20"/>
              </w:rPr>
              <w:t>RAZDOBLJE PROVEDBE</w:t>
            </w:r>
          </w:p>
        </w:tc>
        <w:tc>
          <w:tcPr>
            <w:tcW w:w="943" w:type="pct"/>
            <w:shd w:val="clear" w:color="auto" w:fill="BFBFBF"/>
            <w:vAlign w:val="center"/>
          </w:tcPr>
          <w:p w14:paraId="7BEACE12" w14:textId="77777777" w:rsidR="00D84719" w:rsidRPr="00D84719" w:rsidRDefault="00D84719" w:rsidP="00D84719">
            <w:pPr>
              <w:jc w:val="center"/>
              <w:rPr>
                <w:rFonts w:ascii="Times New Roman" w:eastAsia="Calibri" w:hAnsi="Times New Roman" w:cs="Times New Roman"/>
                <w:b/>
                <w:bCs/>
                <w:sz w:val="20"/>
                <w:szCs w:val="20"/>
              </w:rPr>
            </w:pPr>
            <w:r w:rsidRPr="00D84719">
              <w:rPr>
                <w:rFonts w:ascii="Times New Roman" w:eastAsia="Calibri" w:hAnsi="Times New Roman" w:cs="Times New Roman"/>
                <w:b/>
                <w:bCs/>
                <w:sz w:val="20"/>
                <w:szCs w:val="20"/>
              </w:rPr>
              <w:t>TROŠAK (HRK)</w:t>
            </w:r>
          </w:p>
        </w:tc>
      </w:tr>
      <w:tr w:rsidR="00D84719" w:rsidRPr="00D84719" w14:paraId="1361D1D7" w14:textId="77777777" w:rsidTr="00F831D6">
        <w:trPr>
          <w:jc w:val="center"/>
        </w:trPr>
        <w:tc>
          <w:tcPr>
            <w:tcW w:w="5000" w:type="pct"/>
            <w:gridSpan w:val="4"/>
            <w:vAlign w:val="center"/>
          </w:tcPr>
          <w:p w14:paraId="1D66FF6E" w14:textId="77777777" w:rsidR="00D84719" w:rsidRPr="00D84719" w:rsidRDefault="00D84719" w:rsidP="00D84719">
            <w:pPr>
              <w:rPr>
                <w:rFonts w:ascii="Times New Roman" w:eastAsia="Calibri" w:hAnsi="Times New Roman" w:cs="Times New Roman"/>
                <w:b/>
                <w:sz w:val="20"/>
                <w:szCs w:val="20"/>
              </w:rPr>
            </w:pPr>
            <w:r w:rsidRPr="00D84719">
              <w:rPr>
                <w:rFonts w:ascii="Times New Roman" w:eastAsia="Calibri" w:hAnsi="Times New Roman" w:cs="Times New Roman"/>
                <w:b/>
                <w:sz w:val="20"/>
                <w:szCs w:val="20"/>
              </w:rPr>
              <w:t>GLAVNI CILJ: IDENTIFICIRANJE I SIGURNO UKLANJANJE OPREME KOJA SADRŽI PCB NA PODRUČJU REPUBLIKE HRVATSKE</w:t>
            </w:r>
          </w:p>
        </w:tc>
      </w:tr>
      <w:tr w:rsidR="00D84719" w:rsidRPr="00D84719" w14:paraId="055C27B1" w14:textId="77777777" w:rsidTr="00F831D6">
        <w:trPr>
          <w:jc w:val="center"/>
        </w:trPr>
        <w:tc>
          <w:tcPr>
            <w:tcW w:w="5000" w:type="pct"/>
            <w:gridSpan w:val="4"/>
            <w:vAlign w:val="center"/>
          </w:tcPr>
          <w:p w14:paraId="2ABBE565" w14:textId="2D4EFC08" w:rsidR="00D84719" w:rsidRPr="00D84719" w:rsidRDefault="00D84719" w:rsidP="00D84719">
            <w:pPr>
              <w:rPr>
                <w:rFonts w:ascii="Times New Roman" w:eastAsia="Calibri" w:hAnsi="Times New Roman" w:cs="Times New Roman"/>
                <w:i/>
                <w:sz w:val="20"/>
                <w:szCs w:val="20"/>
              </w:rPr>
            </w:pPr>
            <w:r w:rsidRPr="00D84719">
              <w:rPr>
                <w:rFonts w:ascii="Times New Roman" w:eastAsia="Calibri" w:hAnsi="Times New Roman" w:cs="Times New Roman"/>
                <w:i/>
                <w:sz w:val="20"/>
                <w:szCs w:val="20"/>
              </w:rPr>
              <w:t>Specifični cilj 1: Uklanjanje opreme koja sadrži PCB do 2025</w:t>
            </w:r>
            <w:r w:rsidR="005C26BD">
              <w:rPr>
                <w:rFonts w:ascii="Times New Roman" w:eastAsia="Calibri" w:hAnsi="Times New Roman" w:cs="Times New Roman"/>
                <w:i/>
                <w:sz w:val="20"/>
                <w:szCs w:val="20"/>
              </w:rPr>
              <w:t>.</w:t>
            </w:r>
            <w:r w:rsidRPr="00D84719">
              <w:rPr>
                <w:rFonts w:ascii="Times New Roman" w:eastAsia="Calibri" w:hAnsi="Times New Roman" w:cs="Times New Roman"/>
                <w:i/>
                <w:sz w:val="20"/>
                <w:szCs w:val="20"/>
              </w:rPr>
              <w:t>, praćenje stanja</w:t>
            </w:r>
          </w:p>
        </w:tc>
      </w:tr>
      <w:tr w:rsidR="00D84719" w:rsidRPr="00D84719" w14:paraId="70699935" w14:textId="77777777" w:rsidTr="00F831D6">
        <w:trPr>
          <w:jc w:val="center"/>
        </w:trPr>
        <w:tc>
          <w:tcPr>
            <w:tcW w:w="1409" w:type="pct"/>
            <w:vAlign w:val="center"/>
          </w:tcPr>
          <w:p w14:paraId="3B6B562B" w14:textId="77777777" w:rsidR="00D84719" w:rsidRPr="00D84719" w:rsidRDefault="00D84719" w:rsidP="00950C18">
            <w:pPr>
              <w:rPr>
                <w:rFonts w:ascii="Times New Roman" w:eastAsia="Calibri" w:hAnsi="Times New Roman" w:cs="Times New Roman"/>
                <w:sz w:val="20"/>
                <w:szCs w:val="20"/>
              </w:rPr>
            </w:pPr>
            <w:r w:rsidRPr="00D84719">
              <w:rPr>
                <w:rFonts w:ascii="Times New Roman" w:eastAsia="Calibri" w:hAnsi="Times New Roman" w:cs="Times New Roman"/>
                <w:sz w:val="20"/>
                <w:szCs w:val="20"/>
              </w:rPr>
              <w:t xml:space="preserve">Mjera 1.1: Vođenje evidencije i izrada </w:t>
            </w:r>
            <w:proofErr w:type="spellStart"/>
            <w:r w:rsidR="00950C18">
              <w:rPr>
                <w:rFonts w:ascii="Times New Roman" w:eastAsia="Calibri" w:hAnsi="Times New Roman" w:cs="Times New Roman"/>
                <w:sz w:val="20"/>
                <w:szCs w:val="20"/>
              </w:rPr>
              <w:t>periodičih</w:t>
            </w:r>
            <w:proofErr w:type="spellEnd"/>
            <w:r w:rsidR="00950C18" w:rsidRPr="00D84719">
              <w:rPr>
                <w:rFonts w:ascii="Times New Roman" w:eastAsia="Calibri" w:hAnsi="Times New Roman" w:cs="Times New Roman"/>
                <w:sz w:val="20"/>
                <w:szCs w:val="20"/>
              </w:rPr>
              <w:t xml:space="preserve"> </w:t>
            </w:r>
            <w:r w:rsidRPr="00D84719">
              <w:rPr>
                <w:rFonts w:ascii="Times New Roman" w:eastAsia="Calibri" w:hAnsi="Times New Roman" w:cs="Times New Roman"/>
                <w:sz w:val="20"/>
                <w:szCs w:val="20"/>
              </w:rPr>
              <w:t>izvješća o opremi koja sadrži PCB, kao i PCB-a (uključujući podatke o zbrinutom i preostalom PCB-u/opremi)</w:t>
            </w:r>
          </w:p>
        </w:tc>
        <w:tc>
          <w:tcPr>
            <w:tcW w:w="1854" w:type="pct"/>
            <w:vAlign w:val="center"/>
          </w:tcPr>
          <w:p w14:paraId="1FD57130" w14:textId="77777777" w:rsidR="00D84719" w:rsidRPr="00D84719" w:rsidRDefault="00D84719" w:rsidP="00D84719">
            <w:pPr>
              <w:jc w:val="center"/>
              <w:rPr>
                <w:rFonts w:ascii="Times New Roman" w:eastAsia="Calibri" w:hAnsi="Times New Roman" w:cs="Times New Roman"/>
                <w:sz w:val="20"/>
                <w:szCs w:val="20"/>
              </w:rPr>
            </w:pPr>
            <w:r w:rsidRPr="00D84719">
              <w:rPr>
                <w:rFonts w:ascii="Times New Roman" w:eastAsia="Calibri" w:hAnsi="Times New Roman" w:cs="Times New Roman"/>
                <w:sz w:val="20"/>
                <w:szCs w:val="20"/>
              </w:rPr>
              <w:t>MINGOR</w:t>
            </w:r>
          </w:p>
        </w:tc>
        <w:tc>
          <w:tcPr>
            <w:tcW w:w="794" w:type="pct"/>
            <w:vAlign w:val="center"/>
          </w:tcPr>
          <w:p w14:paraId="5A63EF70" w14:textId="77777777" w:rsidR="00D84719" w:rsidRPr="00D84719" w:rsidRDefault="00D84719" w:rsidP="00D84719">
            <w:pPr>
              <w:jc w:val="center"/>
              <w:rPr>
                <w:rFonts w:ascii="Times New Roman" w:eastAsia="Calibri" w:hAnsi="Times New Roman" w:cs="Times New Roman"/>
                <w:sz w:val="20"/>
                <w:szCs w:val="20"/>
              </w:rPr>
            </w:pPr>
            <w:r w:rsidRPr="00D84719">
              <w:rPr>
                <w:rFonts w:ascii="Times New Roman" w:eastAsia="Calibri" w:hAnsi="Times New Roman" w:cs="Times New Roman"/>
                <w:sz w:val="20"/>
                <w:szCs w:val="20"/>
              </w:rPr>
              <w:t>kontinuirano</w:t>
            </w:r>
          </w:p>
        </w:tc>
        <w:tc>
          <w:tcPr>
            <w:tcW w:w="943" w:type="pct"/>
            <w:vAlign w:val="center"/>
          </w:tcPr>
          <w:p w14:paraId="46E593F3" w14:textId="77777777" w:rsidR="00D84719" w:rsidRPr="00D84719" w:rsidRDefault="00D84719" w:rsidP="00D84719">
            <w:pPr>
              <w:jc w:val="center"/>
              <w:rPr>
                <w:rFonts w:ascii="Times New Roman" w:eastAsia="Calibri" w:hAnsi="Times New Roman" w:cs="Times New Roman"/>
                <w:sz w:val="20"/>
                <w:szCs w:val="20"/>
              </w:rPr>
            </w:pPr>
            <w:r w:rsidRPr="00D84719">
              <w:rPr>
                <w:rFonts w:ascii="Times New Roman" w:eastAsia="Calibri" w:hAnsi="Times New Roman" w:cs="Times New Roman"/>
                <w:sz w:val="20"/>
                <w:szCs w:val="20"/>
              </w:rPr>
              <w:t>0</w:t>
            </w:r>
          </w:p>
        </w:tc>
      </w:tr>
      <w:tr w:rsidR="00D84719" w:rsidRPr="00D84719" w14:paraId="6E077092" w14:textId="77777777" w:rsidTr="00F831D6">
        <w:trPr>
          <w:jc w:val="center"/>
        </w:trPr>
        <w:tc>
          <w:tcPr>
            <w:tcW w:w="1409" w:type="pct"/>
            <w:vAlign w:val="center"/>
          </w:tcPr>
          <w:p w14:paraId="1E276E7B" w14:textId="77777777" w:rsidR="00D84719" w:rsidRPr="00D84719" w:rsidRDefault="00D84719" w:rsidP="00950C18">
            <w:pPr>
              <w:rPr>
                <w:rFonts w:ascii="Times New Roman" w:eastAsia="Calibri" w:hAnsi="Times New Roman" w:cs="Times New Roman"/>
                <w:sz w:val="20"/>
                <w:szCs w:val="20"/>
              </w:rPr>
            </w:pPr>
            <w:r w:rsidRPr="00D84719">
              <w:rPr>
                <w:rFonts w:ascii="Times New Roman" w:eastAsia="Calibri" w:hAnsi="Times New Roman" w:cs="Times New Roman"/>
                <w:sz w:val="20"/>
                <w:szCs w:val="20"/>
              </w:rPr>
              <w:t xml:space="preserve">Mjera 1.2: Provoditi uklanjanje/zbrinjavanje opreme </w:t>
            </w:r>
            <w:r w:rsidR="00950C18">
              <w:rPr>
                <w:rFonts w:ascii="Times New Roman" w:eastAsia="Calibri" w:hAnsi="Times New Roman" w:cs="Times New Roman"/>
                <w:sz w:val="20"/>
                <w:szCs w:val="20"/>
              </w:rPr>
              <w:t>koja sadržava</w:t>
            </w:r>
            <w:r w:rsidRPr="00D84719">
              <w:rPr>
                <w:rFonts w:ascii="Times New Roman" w:eastAsia="Calibri" w:hAnsi="Times New Roman" w:cs="Times New Roman"/>
                <w:sz w:val="20"/>
                <w:szCs w:val="20"/>
              </w:rPr>
              <w:t xml:space="preserve"> PCB</w:t>
            </w:r>
            <w:r w:rsidR="00950C18">
              <w:rPr>
                <w:rFonts w:ascii="Times New Roman" w:eastAsia="Calibri" w:hAnsi="Times New Roman" w:cs="Times New Roman"/>
                <w:sz w:val="20"/>
                <w:szCs w:val="20"/>
              </w:rPr>
              <w:t xml:space="preserve"> iz uporabe</w:t>
            </w:r>
          </w:p>
        </w:tc>
        <w:tc>
          <w:tcPr>
            <w:tcW w:w="1854" w:type="pct"/>
            <w:vAlign w:val="center"/>
          </w:tcPr>
          <w:p w14:paraId="69C631A2" w14:textId="77777777" w:rsidR="00D84719" w:rsidRPr="00D84719" w:rsidRDefault="00D84719" w:rsidP="00D84719">
            <w:pPr>
              <w:jc w:val="center"/>
              <w:rPr>
                <w:rFonts w:ascii="Times New Roman" w:eastAsia="Calibri" w:hAnsi="Times New Roman" w:cs="Times New Roman"/>
                <w:sz w:val="20"/>
                <w:szCs w:val="20"/>
              </w:rPr>
            </w:pPr>
            <w:r w:rsidRPr="00D84719">
              <w:rPr>
                <w:rFonts w:ascii="Times New Roman" w:eastAsia="Calibri" w:hAnsi="Times New Roman" w:cs="Times New Roman"/>
                <w:sz w:val="20"/>
                <w:szCs w:val="20"/>
              </w:rPr>
              <w:t>Obveznici su posjednici/vlasnici opreme (MINGOR; kontrola provedbe –</w:t>
            </w:r>
          </w:p>
          <w:p w14:paraId="736B0298" w14:textId="77777777" w:rsidR="00D84719" w:rsidRPr="00D84719" w:rsidRDefault="00D84719" w:rsidP="00D84719">
            <w:pPr>
              <w:jc w:val="center"/>
              <w:rPr>
                <w:rFonts w:ascii="Times New Roman" w:eastAsia="Calibri" w:hAnsi="Times New Roman" w:cs="Times New Roman"/>
                <w:sz w:val="20"/>
                <w:szCs w:val="20"/>
              </w:rPr>
            </w:pPr>
            <w:r w:rsidRPr="00D84719">
              <w:rPr>
                <w:rFonts w:ascii="Times New Roman" w:eastAsia="Calibri" w:hAnsi="Times New Roman" w:cs="Times New Roman"/>
                <w:sz w:val="20"/>
                <w:szCs w:val="20"/>
              </w:rPr>
              <w:t>Državni inspektorat)</w:t>
            </w:r>
          </w:p>
        </w:tc>
        <w:tc>
          <w:tcPr>
            <w:tcW w:w="794" w:type="pct"/>
            <w:vAlign w:val="center"/>
          </w:tcPr>
          <w:p w14:paraId="6B4F6CE3" w14:textId="77777777" w:rsidR="00D84719" w:rsidRPr="00D84719" w:rsidRDefault="00D84719" w:rsidP="00D84719">
            <w:pPr>
              <w:jc w:val="center"/>
              <w:rPr>
                <w:rFonts w:ascii="Times New Roman" w:eastAsia="Calibri" w:hAnsi="Times New Roman" w:cs="Times New Roman"/>
                <w:sz w:val="20"/>
                <w:szCs w:val="20"/>
              </w:rPr>
            </w:pPr>
            <w:r w:rsidRPr="00D84719">
              <w:rPr>
                <w:rFonts w:ascii="Times New Roman" w:eastAsia="Calibri" w:hAnsi="Times New Roman" w:cs="Times New Roman"/>
                <w:sz w:val="20"/>
                <w:szCs w:val="20"/>
              </w:rPr>
              <w:t>do najkasnije 2025./2028.</w:t>
            </w:r>
          </w:p>
        </w:tc>
        <w:tc>
          <w:tcPr>
            <w:tcW w:w="943" w:type="pct"/>
            <w:vAlign w:val="center"/>
          </w:tcPr>
          <w:p w14:paraId="6111416A" w14:textId="77777777" w:rsidR="00D84719" w:rsidRPr="00D84719" w:rsidRDefault="00D84719" w:rsidP="00D84719">
            <w:pPr>
              <w:jc w:val="center"/>
              <w:rPr>
                <w:rFonts w:ascii="Times New Roman" w:eastAsia="Calibri" w:hAnsi="Times New Roman" w:cs="Times New Roman"/>
                <w:sz w:val="20"/>
                <w:szCs w:val="20"/>
              </w:rPr>
            </w:pPr>
            <w:r w:rsidRPr="00D84719">
              <w:rPr>
                <w:rFonts w:ascii="Times New Roman" w:eastAsia="Calibri" w:hAnsi="Times New Roman" w:cs="Times New Roman"/>
                <w:sz w:val="20"/>
                <w:szCs w:val="20"/>
              </w:rPr>
              <w:t>1.600.000</w:t>
            </w:r>
          </w:p>
        </w:tc>
      </w:tr>
      <w:tr w:rsidR="00D84719" w:rsidRPr="00D84719" w14:paraId="1F1A0D66" w14:textId="77777777" w:rsidTr="00F831D6">
        <w:trPr>
          <w:jc w:val="center"/>
        </w:trPr>
        <w:tc>
          <w:tcPr>
            <w:tcW w:w="1409" w:type="pct"/>
            <w:vAlign w:val="center"/>
          </w:tcPr>
          <w:p w14:paraId="2E7694EA" w14:textId="77777777" w:rsidR="00D84719" w:rsidRPr="00D84719" w:rsidRDefault="00D84719" w:rsidP="00950C18">
            <w:pPr>
              <w:rPr>
                <w:rFonts w:ascii="Times New Roman" w:eastAsia="Calibri" w:hAnsi="Times New Roman" w:cs="Times New Roman"/>
                <w:sz w:val="20"/>
                <w:szCs w:val="20"/>
              </w:rPr>
            </w:pPr>
            <w:r w:rsidRPr="00D84719">
              <w:rPr>
                <w:rFonts w:ascii="Times New Roman" w:eastAsia="Calibri" w:hAnsi="Times New Roman" w:cs="Times New Roman"/>
                <w:sz w:val="20"/>
                <w:szCs w:val="20"/>
              </w:rPr>
              <w:t xml:space="preserve">Mjera 1.3.: </w:t>
            </w:r>
            <w:r w:rsidR="00950C18">
              <w:rPr>
                <w:rFonts w:ascii="Times New Roman" w:eastAsia="Calibri" w:hAnsi="Times New Roman" w:cs="Times New Roman"/>
                <w:sz w:val="20"/>
                <w:szCs w:val="20"/>
              </w:rPr>
              <w:t>Koordinacija nadležnih tijela kod sanacije PCB opreme</w:t>
            </w:r>
          </w:p>
        </w:tc>
        <w:tc>
          <w:tcPr>
            <w:tcW w:w="1854" w:type="pct"/>
            <w:vAlign w:val="center"/>
          </w:tcPr>
          <w:p w14:paraId="163BA2DC" w14:textId="77777777" w:rsidR="00D84719" w:rsidRPr="00D84719" w:rsidRDefault="00D84719" w:rsidP="000B6CBB">
            <w:pPr>
              <w:jc w:val="center"/>
              <w:rPr>
                <w:rFonts w:ascii="Times New Roman" w:eastAsia="Calibri" w:hAnsi="Times New Roman" w:cs="Times New Roman"/>
                <w:sz w:val="20"/>
                <w:szCs w:val="20"/>
              </w:rPr>
            </w:pPr>
            <w:r w:rsidRPr="00D84719">
              <w:rPr>
                <w:rFonts w:ascii="Times New Roman" w:eastAsia="Calibri" w:hAnsi="Times New Roman" w:cs="Times New Roman"/>
                <w:sz w:val="20"/>
                <w:szCs w:val="20"/>
              </w:rPr>
              <w:t>MINGOR/MP</w:t>
            </w:r>
          </w:p>
        </w:tc>
        <w:tc>
          <w:tcPr>
            <w:tcW w:w="794" w:type="pct"/>
            <w:vAlign w:val="center"/>
          </w:tcPr>
          <w:p w14:paraId="08E3A133" w14:textId="77777777" w:rsidR="00D84719" w:rsidRPr="00D84719" w:rsidRDefault="00D84719" w:rsidP="00D84719">
            <w:pPr>
              <w:jc w:val="center"/>
              <w:rPr>
                <w:rFonts w:ascii="Times New Roman" w:eastAsia="Calibri" w:hAnsi="Times New Roman" w:cs="Times New Roman"/>
                <w:sz w:val="20"/>
                <w:szCs w:val="20"/>
              </w:rPr>
            </w:pPr>
            <w:r w:rsidRPr="00D84719">
              <w:rPr>
                <w:rFonts w:ascii="Times New Roman" w:eastAsia="Calibri" w:hAnsi="Times New Roman" w:cs="Times New Roman"/>
                <w:sz w:val="20"/>
                <w:szCs w:val="20"/>
              </w:rPr>
              <w:t>do 2028.</w:t>
            </w:r>
          </w:p>
        </w:tc>
        <w:tc>
          <w:tcPr>
            <w:tcW w:w="943" w:type="pct"/>
            <w:vAlign w:val="center"/>
          </w:tcPr>
          <w:p w14:paraId="1FABDBC0" w14:textId="77777777" w:rsidR="00D84719" w:rsidRPr="00D84719" w:rsidRDefault="00D84719" w:rsidP="00D84719">
            <w:pPr>
              <w:jc w:val="center"/>
              <w:rPr>
                <w:rFonts w:ascii="Times New Roman" w:eastAsia="Calibri" w:hAnsi="Times New Roman" w:cs="Times New Roman"/>
                <w:sz w:val="20"/>
                <w:szCs w:val="20"/>
              </w:rPr>
            </w:pPr>
            <w:r w:rsidRPr="00D84719">
              <w:rPr>
                <w:rFonts w:ascii="Times New Roman" w:eastAsia="Calibri" w:hAnsi="Times New Roman" w:cs="Times New Roman"/>
                <w:sz w:val="20"/>
                <w:szCs w:val="20"/>
              </w:rPr>
              <w:t>0</w:t>
            </w:r>
          </w:p>
        </w:tc>
      </w:tr>
      <w:tr w:rsidR="00D84719" w:rsidRPr="00D84719" w14:paraId="77985EDE" w14:textId="77777777" w:rsidTr="00F831D6">
        <w:trPr>
          <w:jc w:val="center"/>
        </w:trPr>
        <w:tc>
          <w:tcPr>
            <w:tcW w:w="5000" w:type="pct"/>
            <w:gridSpan w:val="4"/>
            <w:vAlign w:val="center"/>
          </w:tcPr>
          <w:p w14:paraId="4580C1D2" w14:textId="77777777" w:rsidR="00D84719" w:rsidRPr="00D84719" w:rsidRDefault="00D84719" w:rsidP="00D84719">
            <w:pPr>
              <w:rPr>
                <w:rFonts w:ascii="Times New Roman" w:eastAsia="Calibri" w:hAnsi="Times New Roman" w:cs="Times New Roman"/>
                <w:i/>
                <w:sz w:val="20"/>
                <w:szCs w:val="20"/>
              </w:rPr>
            </w:pPr>
            <w:r w:rsidRPr="00D84719">
              <w:rPr>
                <w:rFonts w:ascii="Times New Roman" w:eastAsia="Calibri" w:hAnsi="Times New Roman" w:cs="Times New Roman"/>
                <w:i/>
                <w:sz w:val="20"/>
                <w:szCs w:val="20"/>
              </w:rPr>
              <w:t>Specifični cilj 2: Edukacija i podizanje svijesti ciljnih skupina</w:t>
            </w:r>
          </w:p>
        </w:tc>
      </w:tr>
      <w:tr w:rsidR="00D84719" w:rsidRPr="00D84719" w14:paraId="1522AC10" w14:textId="77777777" w:rsidTr="00F831D6">
        <w:trPr>
          <w:jc w:val="center"/>
        </w:trPr>
        <w:tc>
          <w:tcPr>
            <w:tcW w:w="1409" w:type="pct"/>
            <w:vAlign w:val="center"/>
          </w:tcPr>
          <w:p w14:paraId="2B7C52BA" w14:textId="77777777" w:rsidR="00D84719" w:rsidRPr="00D84719" w:rsidRDefault="00D84719" w:rsidP="00950C18">
            <w:pPr>
              <w:rPr>
                <w:rFonts w:ascii="Times New Roman" w:eastAsia="Calibri" w:hAnsi="Times New Roman" w:cs="Times New Roman"/>
                <w:sz w:val="20"/>
                <w:szCs w:val="20"/>
              </w:rPr>
            </w:pPr>
            <w:r w:rsidRPr="00D84719">
              <w:rPr>
                <w:rFonts w:ascii="Times New Roman" w:eastAsia="Calibri" w:hAnsi="Times New Roman" w:cs="Times New Roman"/>
                <w:sz w:val="20"/>
                <w:szCs w:val="20"/>
              </w:rPr>
              <w:t xml:space="preserve">Mjera 2.1.: </w:t>
            </w:r>
            <w:r w:rsidR="00950C18">
              <w:rPr>
                <w:rFonts w:ascii="Times New Roman" w:eastAsia="Calibri" w:hAnsi="Times New Roman" w:cs="Times New Roman"/>
                <w:sz w:val="20"/>
                <w:szCs w:val="20"/>
              </w:rPr>
              <w:t>Edukacije subjekata o obavezi zamjene i zbrinjavanja opreme koja sadrži PCB i izrada uputa za posjednike opreme</w:t>
            </w:r>
          </w:p>
        </w:tc>
        <w:tc>
          <w:tcPr>
            <w:tcW w:w="1854" w:type="pct"/>
            <w:vAlign w:val="center"/>
          </w:tcPr>
          <w:p w14:paraId="5B7E6895" w14:textId="77777777" w:rsidR="00D84719" w:rsidRPr="00D84719" w:rsidRDefault="00D84719" w:rsidP="00D84719">
            <w:pPr>
              <w:jc w:val="center"/>
              <w:rPr>
                <w:rFonts w:ascii="Times New Roman" w:eastAsia="Calibri" w:hAnsi="Times New Roman" w:cs="Times New Roman"/>
                <w:sz w:val="20"/>
                <w:szCs w:val="20"/>
              </w:rPr>
            </w:pPr>
            <w:r w:rsidRPr="00D84719">
              <w:rPr>
                <w:rFonts w:ascii="Times New Roman" w:eastAsia="Calibri" w:hAnsi="Times New Roman" w:cs="Times New Roman"/>
                <w:sz w:val="20"/>
                <w:szCs w:val="20"/>
              </w:rPr>
              <w:t>MINGOR</w:t>
            </w:r>
            <w:r w:rsidR="00B42A1E">
              <w:rPr>
                <w:rFonts w:ascii="Times New Roman" w:eastAsia="Calibri" w:hAnsi="Times New Roman" w:cs="Times New Roman"/>
                <w:sz w:val="20"/>
                <w:szCs w:val="20"/>
              </w:rPr>
              <w:t xml:space="preserve"> (</w:t>
            </w:r>
            <w:r w:rsidR="009C2757">
              <w:rPr>
                <w:rFonts w:ascii="Times New Roman" w:eastAsia="Calibri" w:hAnsi="Times New Roman" w:cs="Times New Roman"/>
                <w:sz w:val="20"/>
                <w:szCs w:val="20"/>
              </w:rPr>
              <w:t>MUP-</w:t>
            </w:r>
            <w:r w:rsidR="00B42A1E">
              <w:rPr>
                <w:rFonts w:ascii="Times New Roman" w:eastAsia="Calibri" w:hAnsi="Times New Roman" w:cs="Times New Roman"/>
                <w:sz w:val="20"/>
                <w:szCs w:val="20"/>
              </w:rPr>
              <w:t>Civilna zaštita)</w:t>
            </w:r>
          </w:p>
        </w:tc>
        <w:tc>
          <w:tcPr>
            <w:tcW w:w="794" w:type="pct"/>
            <w:vAlign w:val="center"/>
          </w:tcPr>
          <w:p w14:paraId="1B7F131E" w14:textId="77777777" w:rsidR="00D84719" w:rsidRPr="00D84719" w:rsidRDefault="00D84719" w:rsidP="00D84719">
            <w:pPr>
              <w:jc w:val="center"/>
              <w:rPr>
                <w:rFonts w:ascii="Times New Roman" w:eastAsia="Calibri" w:hAnsi="Times New Roman" w:cs="Times New Roman"/>
                <w:sz w:val="20"/>
                <w:szCs w:val="20"/>
              </w:rPr>
            </w:pPr>
            <w:r w:rsidRPr="00D84719">
              <w:rPr>
                <w:rFonts w:ascii="Times New Roman" w:eastAsia="Calibri" w:hAnsi="Times New Roman" w:cs="Times New Roman"/>
                <w:sz w:val="20"/>
                <w:szCs w:val="20"/>
              </w:rPr>
              <w:t>2022 -2023.</w:t>
            </w:r>
          </w:p>
        </w:tc>
        <w:tc>
          <w:tcPr>
            <w:tcW w:w="943" w:type="pct"/>
            <w:vAlign w:val="center"/>
          </w:tcPr>
          <w:p w14:paraId="750D2A74" w14:textId="77777777" w:rsidR="00D84719" w:rsidRPr="00D84719" w:rsidRDefault="00D84719" w:rsidP="00D84719">
            <w:pPr>
              <w:jc w:val="center"/>
              <w:rPr>
                <w:rFonts w:ascii="Times New Roman" w:eastAsia="Calibri" w:hAnsi="Times New Roman" w:cs="Times New Roman"/>
                <w:sz w:val="20"/>
                <w:szCs w:val="20"/>
              </w:rPr>
            </w:pPr>
            <w:r w:rsidRPr="00D84719">
              <w:rPr>
                <w:rFonts w:ascii="Times New Roman" w:eastAsia="Calibri" w:hAnsi="Times New Roman" w:cs="Times New Roman"/>
                <w:sz w:val="20"/>
                <w:szCs w:val="20"/>
              </w:rPr>
              <w:t>30.000,00</w:t>
            </w:r>
          </w:p>
        </w:tc>
      </w:tr>
      <w:tr w:rsidR="00070FBE" w:rsidRPr="00D84719" w14:paraId="15084A23" w14:textId="77777777" w:rsidTr="00070FBE">
        <w:trPr>
          <w:jc w:val="center"/>
        </w:trPr>
        <w:tc>
          <w:tcPr>
            <w:tcW w:w="4057" w:type="pct"/>
            <w:gridSpan w:val="3"/>
            <w:vAlign w:val="center"/>
          </w:tcPr>
          <w:p w14:paraId="6E2FA878" w14:textId="77777777" w:rsidR="00070FBE" w:rsidRPr="00D84719" w:rsidRDefault="00070FBE" w:rsidP="00300AB2">
            <w:pPr>
              <w:rPr>
                <w:rFonts w:ascii="Times New Roman" w:eastAsia="Calibri" w:hAnsi="Times New Roman" w:cs="Times New Roman"/>
                <w:sz w:val="20"/>
                <w:szCs w:val="20"/>
              </w:rPr>
            </w:pPr>
            <w:r w:rsidRPr="00D84719">
              <w:rPr>
                <w:rFonts w:ascii="Times New Roman" w:eastAsia="Calibri" w:hAnsi="Times New Roman" w:cs="Times New Roman"/>
                <w:b/>
                <w:sz w:val="20"/>
                <w:szCs w:val="20"/>
              </w:rPr>
              <w:t>UKUPNO</w:t>
            </w:r>
          </w:p>
        </w:tc>
        <w:tc>
          <w:tcPr>
            <w:tcW w:w="943" w:type="pct"/>
            <w:vAlign w:val="center"/>
          </w:tcPr>
          <w:p w14:paraId="355EE873" w14:textId="77777777" w:rsidR="00070FBE" w:rsidRPr="00D84719" w:rsidRDefault="00070FBE" w:rsidP="00D84719">
            <w:pPr>
              <w:jc w:val="center"/>
              <w:rPr>
                <w:rFonts w:ascii="Times New Roman" w:eastAsia="Calibri" w:hAnsi="Times New Roman" w:cs="Times New Roman"/>
                <w:b/>
                <w:sz w:val="20"/>
                <w:szCs w:val="20"/>
              </w:rPr>
            </w:pPr>
            <w:r w:rsidRPr="00D84719">
              <w:rPr>
                <w:rFonts w:ascii="Times New Roman" w:eastAsia="Calibri" w:hAnsi="Times New Roman" w:cs="Times New Roman"/>
                <w:b/>
                <w:sz w:val="20"/>
                <w:szCs w:val="20"/>
              </w:rPr>
              <w:t>1.630.000</w:t>
            </w:r>
          </w:p>
        </w:tc>
      </w:tr>
    </w:tbl>
    <w:p w14:paraId="7A10E9B1" w14:textId="77777777" w:rsidR="00D84719" w:rsidRPr="00D84719" w:rsidRDefault="00D84719" w:rsidP="00D84719">
      <w:pPr>
        <w:spacing w:before="80" w:line="276" w:lineRule="auto"/>
        <w:jc w:val="both"/>
        <w:rPr>
          <w:rFonts w:ascii="Times New Roman" w:eastAsia="Times New Roman" w:hAnsi="Times New Roman" w:cs="Times New Roman"/>
          <w:color w:val="000000"/>
          <w:szCs w:val="24"/>
          <w:lang w:bidi="en-US"/>
        </w:rPr>
      </w:pPr>
    </w:p>
    <w:p w14:paraId="75E2285A"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 xml:space="preserve">Ministarstvo nadležno za poslove zaštite okoliša izdalo je „Vodič za sigurno rukovanje i gospodarenje otpadom koji sadrži PCB na okolišno prihvatljiv način“ u sklopu Radionice o jačanju svijesti o štetnosti POPs-ova i mogućnostima </w:t>
      </w:r>
      <w:r w:rsidR="000541D8" w:rsidRPr="00D84719">
        <w:rPr>
          <w:rFonts w:ascii="Times New Roman" w:eastAsia="Times New Roman" w:hAnsi="Times New Roman" w:cs="Times New Roman"/>
          <w:color w:val="000000"/>
          <w:sz w:val="24"/>
          <w:szCs w:val="24"/>
          <w:lang w:bidi="en-US"/>
        </w:rPr>
        <w:t>unaprjeđenja</w:t>
      </w:r>
      <w:r w:rsidRPr="00D84719">
        <w:rPr>
          <w:rFonts w:ascii="Times New Roman" w:eastAsia="Times New Roman" w:hAnsi="Times New Roman" w:cs="Times New Roman"/>
          <w:color w:val="000000"/>
          <w:sz w:val="24"/>
          <w:szCs w:val="24"/>
          <w:lang w:bidi="en-US"/>
        </w:rPr>
        <w:t xml:space="preserve"> postojećeg sustava praćenja/monitoringa POPs-ova u okoliš. Spomenuti vodič nalazi se na mrežnim stranicama Ministarstva.</w:t>
      </w:r>
    </w:p>
    <w:p w14:paraId="00330B0C" w14:textId="77777777" w:rsidR="00D84719" w:rsidRPr="00D84719" w:rsidRDefault="00D84719" w:rsidP="00D84719">
      <w:pPr>
        <w:spacing w:before="80" w:line="276" w:lineRule="auto"/>
        <w:jc w:val="both"/>
        <w:rPr>
          <w:rFonts w:ascii="Times New Roman" w:eastAsia="Times New Roman" w:hAnsi="Times New Roman" w:cs="Times New Roman"/>
          <w:color w:val="000000"/>
          <w:szCs w:val="24"/>
          <w:lang w:bidi="en-US"/>
        </w:rPr>
      </w:pPr>
    </w:p>
    <w:p w14:paraId="413B72B2" w14:textId="77777777" w:rsidR="00D84719" w:rsidRPr="00D84719" w:rsidRDefault="00D84719" w:rsidP="00C74901">
      <w:pPr>
        <w:pStyle w:val="Naslov3"/>
      </w:pPr>
      <w:bookmarkStart w:id="270" w:name="_Toc40439457"/>
      <w:bookmarkStart w:id="271" w:name="_Toc50635626"/>
      <w:bookmarkStart w:id="272" w:name="_Toc64460763"/>
      <w:r w:rsidRPr="00D84719">
        <w:t xml:space="preserve">Aktivnost: Proizvodnja, uvoz i izvoz, uporaba, zalihe i otpad </w:t>
      </w:r>
      <w:proofErr w:type="spellStart"/>
      <w:r w:rsidRPr="00D84719">
        <w:t>heksaBDE</w:t>
      </w:r>
      <w:proofErr w:type="spellEnd"/>
      <w:r w:rsidRPr="00D84719">
        <w:t xml:space="preserve"> i heptaBDE (Dodatak A, dio IV.) i </w:t>
      </w:r>
      <w:proofErr w:type="spellStart"/>
      <w:r w:rsidRPr="00D84719">
        <w:t>tetraBDE</w:t>
      </w:r>
      <w:proofErr w:type="spellEnd"/>
      <w:r w:rsidRPr="00D84719">
        <w:t xml:space="preserve"> i pentaBDE (Dodatak A, dio V.) i HBB, gdje je primjenjivo (Dodatak A, dio I.)</w:t>
      </w:r>
      <w:bookmarkEnd w:id="270"/>
      <w:bookmarkEnd w:id="271"/>
      <w:bookmarkEnd w:id="272"/>
    </w:p>
    <w:p w14:paraId="20ABFE5E"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U Republici Hrvatskoj se ne proizvode PBDE niti njihove komercijalne smjese, no postoji pretpostavka uporabe proizvoda/opreme koja ih sadrži. S obzirom da je proizvodnja HBB-a prestala 1970-ih, većina proizvoda i predmeta koji su ga sadržavali je davno odbačena/odložena. Iz tog razloga ova kemikalija nije smatrana značajnom za izradu Inventara.</w:t>
      </w:r>
    </w:p>
    <w:p w14:paraId="014A2D00"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Zahtjevi u pogledu tzv. novih POPs-ova, u koje spadaju i PBDE uključuju:</w:t>
      </w:r>
    </w:p>
    <w:p w14:paraId="15AD0C1B" w14:textId="77777777" w:rsidR="00D84719" w:rsidRP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lastRenderedPageBreak/>
        <w:t>provođenje mjera nadzora za svaku kemikaliju navedenu u popisu Stockholmske konvencije (članci 3. i 4.)</w:t>
      </w:r>
    </w:p>
    <w:p w14:paraId="2AB616A4" w14:textId="77777777" w:rsidR="00D84719" w:rsidRP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izradu inventara kemikalija u zalihama (članak 6.)</w:t>
      </w:r>
    </w:p>
    <w:p w14:paraId="268F64B7" w14:textId="77777777" w:rsidR="00D84719" w:rsidRP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izradu revidiranog i ažuriranog NIP-a (članak 7.)</w:t>
      </w:r>
    </w:p>
    <w:p w14:paraId="6617751E" w14:textId="77777777" w:rsidR="00D84719" w:rsidRP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uključivanje „novih“ POPs-ova, u koje spadaju PBDE, u izvješćivanje (članak 15.) i</w:t>
      </w:r>
    </w:p>
    <w:p w14:paraId="2CF4DDAC" w14:textId="77777777" w:rsid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 xml:space="preserve">uključivanje </w:t>
      </w:r>
      <w:r w:rsidR="00303106">
        <w:rPr>
          <w:rFonts w:ascii="Times New Roman" w:eastAsia="Calibri" w:hAnsi="Times New Roman" w:cs="Times New Roman"/>
          <w:sz w:val="24"/>
          <w:lang w:bidi="en-US"/>
        </w:rPr>
        <w:t>„</w:t>
      </w:r>
      <w:r w:rsidRPr="00D84719">
        <w:rPr>
          <w:rFonts w:ascii="Times New Roman" w:eastAsia="Calibri" w:hAnsi="Times New Roman" w:cs="Times New Roman"/>
          <w:sz w:val="24"/>
          <w:lang w:bidi="en-US"/>
        </w:rPr>
        <w:t>novih</w:t>
      </w:r>
      <w:r w:rsidR="00303106">
        <w:rPr>
          <w:rFonts w:ascii="Times New Roman" w:eastAsia="Calibri" w:hAnsi="Times New Roman" w:cs="Times New Roman"/>
          <w:sz w:val="24"/>
          <w:lang w:bidi="en-US"/>
        </w:rPr>
        <w:t>“</w:t>
      </w:r>
      <w:r w:rsidRPr="00D84719">
        <w:rPr>
          <w:rFonts w:ascii="Times New Roman" w:eastAsia="Calibri" w:hAnsi="Times New Roman" w:cs="Times New Roman"/>
          <w:sz w:val="24"/>
          <w:lang w:bidi="en-US"/>
        </w:rPr>
        <w:t xml:space="preserve"> POPs-ova, u koje spadaju PBDE, u program za ocjenu učinkovitosti provedbe (članak 16.).</w:t>
      </w:r>
    </w:p>
    <w:p w14:paraId="48E8E281" w14:textId="77777777" w:rsidR="00605EA4" w:rsidRPr="00D84719" w:rsidRDefault="00605EA4" w:rsidP="00605EA4">
      <w:pPr>
        <w:tabs>
          <w:tab w:val="left" w:pos="1755"/>
        </w:tabs>
        <w:autoSpaceDE w:val="0"/>
        <w:autoSpaceDN w:val="0"/>
        <w:adjustRightInd w:val="0"/>
        <w:spacing w:before="80" w:after="0" w:line="240" w:lineRule="auto"/>
        <w:ind w:left="720"/>
        <w:jc w:val="both"/>
        <w:rPr>
          <w:rFonts w:ascii="Times New Roman" w:eastAsia="Calibri" w:hAnsi="Times New Roman" w:cs="Times New Roman"/>
          <w:sz w:val="24"/>
          <w:lang w:bidi="en-US"/>
        </w:rPr>
      </w:pPr>
    </w:p>
    <w:p w14:paraId="29465298"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Za uspješnu provedbu svih obveza koje se odnose na gospodarenje PBDE-om u Republici Hrvatskoj identificirane su konkretne mjere i aktivnosti koje je potrebno provesti, u skladu s definiranim prioritetima i ciljevima. Glavni cilj je smanjenje, postupno isključivanje iz uporabe i konačan prestanak korištenja opreme koja sadrži ili je kontaminirana PBDE-om, sprječavanje ispuštanja PBDE-a u okoliš te osiguravanje uvjeta za zbrinjavanje PBDE otpada na okolišno prihvatljiv način.</w:t>
      </w:r>
    </w:p>
    <w:p w14:paraId="09DB61FF"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Specifični ciljevi su sljedeći:</w:t>
      </w:r>
    </w:p>
    <w:p w14:paraId="404B1FC5" w14:textId="77777777" w:rsidR="00D84719" w:rsidRP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jačanje svijesti i tehničkih kapaciteta vezano uz sigurno upravljanje PBDE-om, podizanje svijesti ciljnih skupina o potencijalnim izvorima i štetnosti na zdravlje i okoliš, informiranje o metodama okolišno prihvatljivog gospodarenja otpadom koji ih sadrži te njegovo sustavno uklanjanje i</w:t>
      </w:r>
    </w:p>
    <w:p w14:paraId="1D0EA1E2" w14:textId="77777777" w:rsidR="00D84719" w:rsidRP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informiranje i analiza mogućnosti i metodologije brze detekcije PBDE-a u rabljenoj uvezenoj EEE, namještaju i vozilima.</w:t>
      </w:r>
    </w:p>
    <w:p w14:paraId="5565225B" w14:textId="77777777" w:rsidR="00D84719" w:rsidRPr="00D84719" w:rsidRDefault="00D84719" w:rsidP="00D84719">
      <w:pPr>
        <w:spacing w:before="80" w:line="276" w:lineRule="auto"/>
        <w:jc w:val="both"/>
        <w:rPr>
          <w:rFonts w:ascii="Times New Roman" w:eastAsia="Times New Roman" w:hAnsi="Times New Roman" w:cs="Times New Roman"/>
          <w:b/>
          <w:bCs/>
          <w:color w:val="000000"/>
          <w:szCs w:val="24"/>
          <w:lang w:bidi="en-US"/>
        </w:rPr>
      </w:pPr>
    </w:p>
    <w:p w14:paraId="23E3F34C" w14:textId="77777777" w:rsidR="00D84719" w:rsidRPr="00D84719" w:rsidRDefault="00D84719" w:rsidP="00605EA4">
      <w:pPr>
        <w:pStyle w:val="Naslov4"/>
      </w:pPr>
      <w:bookmarkStart w:id="273" w:name="_Toc64460764"/>
      <w:r w:rsidRPr="00D84719">
        <w:t>Jačanje svijesti i tehničkih kapaciteta za gospodarenje PBDE-om</w:t>
      </w:r>
      <w:bookmarkEnd w:id="273"/>
    </w:p>
    <w:p w14:paraId="7AF97635"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Predložena mjera:</w:t>
      </w:r>
    </w:p>
    <w:p w14:paraId="4F38DA05" w14:textId="77777777" w:rsidR="00D84719" w:rsidRPr="00D84719" w:rsidRDefault="00D84719" w:rsidP="00D84719">
      <w:pPr>
        <w:numPr>
          <w:ilvl w:val="0"/>
          <w:numId w:val="5"/>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revidirati izrađen preliminarni inventar s ciljem izrade detaljnijeg inventara PBDE-a u Republici Hrvatskoj kako bi se dobio trend smanjivanja u narednim godinama u proizvodima koji ga potencijalno sadrže, uključujući izvješće o zalihama (za potrebe redovnog izvješćivanja prema zahtjevima Stockholmske konvencije).</w:t>
      </w:r>
    </w:p>
    <w:p w14:paraId="5310DAF1" w14:textId="77777777" w:rsidR="00D84719" w:rsidRPr="00D84719" w:rsidRDefault="00D84719" w:rsidP="00D84719">
      <w:pPr>
        <w:spacing w:before="80" w:line="276" w:lineRule="auto"/>
        <w:jc w:val="both"/>
        <w:rPr>
          <w:rFonts w:ascii="Times New Roman" w:eastAsia="Times New Roman" w:hAnsi="Times New Roman" w:cs="Times New Roman"/>
          <w:b/>
          <w:bCs/>
          <w:color w:val="000000"/>
          <w:sz w:val="24"/>
          <w:szCs w:val="24"/>
          <w:lang w:bidi="en-US"/>
        </w:rPr>
      </w:pPr>
    </w:p>
    <w:p w14:paraId="48AC2352" w14:textId="77777777" w:rsidR="00D84719" w:rsidRPr="00D84719" w:rsidRDefault="00D84719" w:rsidP="00605EA4">
      <w:pPr>
        <w:pStyle w:val="Naslov4"/>
      </w:pPr>
      <w:bookmarkStart w:id="274" w:name="_Toc64460765"/>
      <w:r w:rsidRPr="00D84719">
        <w:t>Edukacija i podizanje svijesti ciljnih skupina</w:t>
      </w:r>
      <w:bookmarkEnd w:id="274"/>
    </w:p>
    <w:p w14:paraId="0ED3DD7B"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Predložena mjera:</w:t>
      </w:r>
    </w:p>
    <w:p w14:paraId="70E45F3E" w14:textId="77777777" w:rsidR="00D84719" w:rsidRPr="00D84719" w:rsidRDefault="00D84719" w:rsidP="00D84719">
      <w:pPr>
        <w:numPr>
          <w:ilvl w:val="0"/>
          <w:numId w:val="5"/>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priprema edukativnih aktivnosti nastavno na daljnje jačanje svijesti o štetnosti PBDE-a i mogućnosti unaprjeđenja postojećeg sustava praćenja/monitoringa i</w:t>
      </w:r>
    </w:p>
    <w:p w14:paraId="0426CA22" w14:textId="77777777" w:rsidR="00D84719" w:rsidRDefault="00D84719" w:rsidP="00D84719">
      <w:pPr>
        <w:numPr>
          <w:ilvl w:val="0"/>
          <w:numId w:val="5"/>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jačanje međuresorne suradnje i suradnje sa znanstveno-istraživačkim institucijama.</w:t>
      </w:r>
    </w:p>
    <w:p w14:paraId="5F253086" w14:textId="77777777" w:rsidR="00605EA4" w:rsidRPr="00D84719" w:rsidRDefault="00605EA4" w:rsidP="00605EA4">
      <w:pPr>
        <w:tabs>
          <w:tab w:val="left" w:pos="1755"/>
        </w:tabs>
        <w:autoSpaceDE w:val="0"/>
        <w:autoSpaceDN w:val="0"/>
        <w:adjustRightInd w:val="0"/>
        <w:spacing w:before="80" w:after="0" w:line="240" w:lineRule="auto"/>
        <w:ind w:left="720"/>
        <w:jc w:val="both"/>
        <w:rPr>
          <w:rFonts w:ascii="Times New Roman" w:eastAsia="Calibri" w:hAnsi="Times New Roman" w:cs="Times New Roman"/>
          <w:sz w:val="24"/>
          <w:lang w:bidi="en-US"/>
        </w:rPr>
      </w:pPr>
    </w:p>
    <w:p w14:paraId="30C36B08"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Upute treba temeljiti na tehničkim smjernicama o okolišno prihvatljivom gospodarenju otpadom koji sadrži POPs-ove (UNEP-CHWCOP.12-BC-12/3).</w:t>
      </w:r>
    </w:p>
    <w:p w14:paraId="53EDF064" w14:textId="77777777" w:rsid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 xml:space="preserve">Opis mjera i aktivnosti koje je potrebno provesti u cilju ispunjavanja svih obveza iz Stockholmske konvencije koje se odnose na upravljanje PBDE-om u Republici Hrvatskoj, </w:t>
      </w:r>
      <w:r w:rsidRPr="00D84719">
        <w:rPr>
          <w:rFonts w:ascii="Times New Roman" w:eastAsia="Times New Roman" w:hAnsi="Times New Roman" w:cs="Times New Roman"/>
          <w:color w:val="000000"/>
          <w:sz w:val="24"/>
          <w:szCs w:val="24"/>
          <w:lang w:bidi="en-US"/>
        </w:rPr>
        <w:lastRenderedPageBreak/>
        <w:t>utvrđivanje nositelja odgovornih za njihovu provedbu te vremenski plan i procijenjena potrebna financijska sredstva dani su u tablici u 4.</w:t>
      </w:r>
      <w:r w:rsidR="00F05F33">
        <w:rPr>
          <w:rFonts w:ascii="Times New Roman" w:eastAsia="Times New Roman" w:hAnsi="Times New Roman" w:cs="Times New Roman"/>
          <w:color w:val="000000"/>
          <w:sz w:val="24"/>
          <w:szCs w:val="24"/>
          <w:lang w:bidi="en-US"/>
        </w:rPr>
        <w:t>2</w:t>
      </w:r>
      <w:r w:rsidRPr="00D84719">
        <w:rPr>
          <w:rFonts w:ascii="Times New Roman" w:eastAsia="Times New Roman" w:hAnsi="Times New Roman" w:cs="Times New Roman"/>
          <w:color w:val="000000"/>
          <w:sz w:val="24"/>
          <w:szCs w:val="24"/>
          <w:lang w:bidi="en-US"/>
        </w:rPr>
        <w:t>-2.</w:t>
      </w:r>
    </w:p>
    <w:p w14:paraId="6A2C080A" w14:textId="77777777" w:rsidR="00605EA4" w:rsidRPr="00D84719" w:rsidRDefault="00605EA4" w:rsidP="00D84719">
      <w:pPr>
        <w:spacing w:before="80" w:line="276" w:lineRule="auto"/>
        <w:jc w:val="both"/>
        <w:rPr>
          <w:rFonts w:ascii="Times New Roman" w:eastAsia="Times New Roman" w:hAnsi="Times New Roman" w:cs="Times New Roman"/>
          <w:color w:val="000000"/>
          <w:sz w:val="24"/>
          <w:szCs w:val="24"/>
          <w:lang w:bidi="en-US"/>
        </w:rPr>
      </w:pPr>
    </w:p>
    <w:p w14:paraId="363D4E10" w14:textId="77777777" w:rsidR="00D84719" w:rsidRPr="00D84719" w:rsidRDefault="00D84719" w:rsidP="00D84719">
      <w:pPr>
        <w:keepNext/>
        <w:spacing w:before="80" w:after="0" w:line="276" w:lineRule="auto"/>
        <w:jc w:val="both"/>
        <w:rPr>
          <w:rFonts w:ascii="Times New Roman" w:eastAsia="Times New Roman" w:hAnsi="Times New Roman" w:cs="Times New Roman"/>
          <w:b/>
          <w:bCs/>
          <w:i/>
          <w:sz w:val="20"/>
          <w:szCs w:val="20"/>
        </w:rPr>
      </w:pPr>
      <w:r w:rsidRPr="00D84719">
        <w:rPr>
          <w:rFonts w:ascii="Times New Roman" w:eastAsia="Times New Roman" w:hAnsi="Times New Roman" w:cs="Times New Roman"/>
          <w:b/>
          <w:bCs/>
          <w:i/>
          <w:sz w:val="20"/>
          <w:szCs w:val="20"/>
        </w:rPr>
        <w:t xml:space="preserve">Tablica </w:t>
      </w:r>
      <w:r w:rsidR="00F05F33">
        <w:rPr>
          <w:rFonts w:ascii="Times New Roman" w:eastAsia="Times New Roman" w:hAnsi="Times New Roman" w:cs="Times New Roman"/>
          <w:b/>
          <w:bCs/>
          <w:i/>
          <w:sz w:val="20"/>
          <w:szCs w:val="20"/>
        </w:rPr>
        <w:t>4.2</w:t>
      </w:r>
      <w:r w:rsidRPr="00D84719">
        <w:rPr>
          <w:rFonts w:ascii="Times New Roman" w:eastAsia="Times New Roman" w:hAnsi="Times New Roman" w:cs="Times New Roman"/>
          <w:b/>
          <w:bCs/>
          <w:i/>
          <w:sz w:val="20"/>
          <w:szCs w:val="20"/>
        </w:rPr>
        <w:noBreakHyphen/>
      </w:r>
      <w:r w:rsidRPr="00D84719">
        <w:rPr>
          <w:rFonts w:ascii="Times New Roman" w:eastAsia="Times New Roman" w:hAnsi="Times New Roman" w:cs="Times New Roman"/>
          <w:b/>
          <w:bCs/>
          <w:i/>
          <w:sz w:val="20"/>
          <w:szCs w:val="20"/>
        </w:rPr>
        <w:fldChar w:fldCharType="begin"/>
      </w:r>
      <w:r w:rsidRPr="00D84719">
        <w:rPr>
          <w:rFonts w:ascii="Times New Roman" w:eastAsia="Times New Roman" w:hAnsi="Times New Roman" w:cs="Times New Roman"/>
          <w:b/>
          <w:bCs/>
          <w:i/>
          <w:sz w:val="20"/>
          <w:szCs w:val="20"/>
        </w:rPr>
        <w:instrText xml:space="preserve"> SEQ Tablica \* ARABIC \s 2 </w:instrText>
      </w:r>
      <w:r w:rsidRPr="00D84719">
        <w:rPr>
          <w:rFonts w:ascii="Times New Roman" w:eastAsia="Times New Roman" w:hAnsi="Times New Roman" w:cs="Times New Roman"/>
          <w:b/>
          <w:bCs/>
          <w:i/>
          <w:sz w:val="20"/>
          <w:szCs w:val="20"/>
        </w:rPr>
        <w:fldChar w:fldCharType="separate"/>
      </w:r>
      <w:r w:rsidRPr="00D84719">
        <w:rPr>
          <w:rFonts w:ascii="Times New Roman" w:eastAsia="Times New Roman" w:hAnsi="Times New Roman" w:cs="Times New Roman"/>
          <w:b/>
          <w:bCs/>
          <w:i/>
          <w:sz w:val="20"/>
          <w:szCs w:val="20"/>
        </w:rPr>
        <w:t>2</w:t>
      </w:r>
      <w:r w:rsidRPr="00D84719">
        <w:rPr>
          <w:rFonts w:ascii="Times New Roman" w:eastAsia="Times New Roman" w:hAnsi="Times New Roman" w:cs="Times New Roman"/>
          <w:b/>
          <w:bCs/>
          <w:i/>
          <w:sz w:val="20"/>
          <w:szCs w:val="20"/>
        </w:rPr>
        <w:fldChar w:fldCharType="end"/>
      </w:r>
      <w:r w:rsidRPr="00D84719">
        <w:rPr>
          <w:rFonts w:ascii="Times New Roman" w:eastAsia="Times New Roman" w:hAnsi="Times New Roman" w:cs="Times New Roman"/>
          <w:b/>
          <w:bCs/>
          <w:i/>
          <w:sz w:val="20"/>
          <w:szCs w:val="20"/>
        </w:rPr>
        <w:t xml:space="preserve">: Aktivnost: Proizvodnja, uvoz i izvoz, uporaba, zalihe i otpad </w:t>
      </w:r>
      <w:proofErr w:type="spellStart"/>
      <w:r w:rsidRPr="00D84719">
        <w:rPr>
          <w:rFonts w:ascii="Times New Roman" w:eastAsia="Times New Roman" w:hAnsi="Times New Roman" w:cs="Times New Roman"/>
          <w:b/>
          <w:bCs/>
          <w:i/>
          <w:sz w:val="20"/>
          <w:szCs w:val="20"/>
        </w:rPr>
        <w:t>heksaBDE</w:t>
      </w:r>
      <w:proofErr w:type="spellEnd"/>
      <w:r w:rsidRPr="00D84719">
        <w:rPr>
          <w:rFonts w:ascii="Times New Roman" w:eastAsia="Times New Roman" w:hAnsi="Times New Roman" w:cs="Times New Roman"/>
          <w:b/>
          <w:bCs/>
          <w:i/>
          <w:sz w:val="20"/>
          <w:szCs w:val="20"/>
        </w:rPr>
        <w:t xml:space="preserve">, heptaBDE, </w:t>
      </w:r>
      <w:proofErr w:type="spellStart"/>
      <w:r w:rsidRPr="00D84719">
        <w:rPr>
          <w:rFonts w:ascii="Times New Roman" w:eastAsia="Times New Roman" w:hAnsi="Times New Roman" w:cs="Times New Roman"/>
          <w:b/>
          <w:bCs/>
          <w:i/>
          <w:sz w:val="20"/>
          <w:szCs w:val="20"/>
        </w:rPr>
        <w:t>tetraBDE</w:t>
      </w:r>
      <w:proofErr w:type="spellEnd"/>
      <w:r w:rsidRPr="00D84719">
        <w:rPr>
          <w:rFonts w:ascii="Times New Roman" w:eastAsia="Times New Roman" w:hAnsi="Times New Roman" w:cs="Times New Roman"/>
          <w:b/>
          <w:bCs/>
          <w:i/>
          <w:sz w:val="20"/>
          <w:szCs w:val="20"/>
        </w:rPr>
        <w:t>, pentaBDE i HBB</w:t>
      </w:r>
    </w:p>
    <w:tbl>
      <w:tblPr>
        <w:tblStyle w:val="Reetkatablice11"/>
        <w:tblW w:w="9067" w:type="dxa"/>
        <w:jc w:val="center"/>
        <w:tblLook w:val="04A0" w:firstRow="1" w:lastRow="0" w:firstColumn="1" w:lastColumn="0" w:noHBand="0" w:noVBand="1"/>
      </w:tblPr>
      <w:tblGrid>
        <w:gridCol w:w="3505"/>
        <w:gridCol w:w="2765"/>
        <w:gridCol w:w="1439"/>
        <w:gridCol w:w="1358"/>
      </w:tblGrid>
      <w:tr w:rsidR="00D84719" w:rsidRPr="00D84719" w14:paraId="4C80564E" w14:textId="77777777" w:rsidTr="00F831D6">
        <w:trPr>
          <w:tblHeader/>
          <w:jc w:val="center"/>
        </w:trPr>
        <w:tc>
          <w:tcPr>
            <w:tcW w:w="3505" w:type="dxa"/>
            <w:shd w:val="clear" w:color="auto" w:fill="BFBFBF"/>
            <w:vAlign w:val="center"/>
          </w:tcPr>
          <w:p w14:paraId="68E87AE6" w14:textId="77777777" w:rsidR="00D84719" w:rsidRPr="00D84719" w:rsidRDefault="00D84719" w:rsidP="00D84719">
            <w:pPr>
              <w:jc w:val="center"/>
              <w:rPr>
                <w:rFonts w:ascii="Times New Roman" w:eastAsia="Calibri" w:hAnsi="Times New Roman" w:cs="Times New Roman"/>
                <w:b/>
                <w:bCs/>
                <w:sz w:val="20"/>
                <w:szCs w:val="20"/>
              </w:rPr>
            </w:pPr>
            <w:r w:rsidRPr="00D84719">
              <w:rPr>
                <w:rFonts w:ascii="Times New Roman" w:eastAsia="Calibri" w:hAnsi="Times New Roman" w:cs="Times New Roman"/>
                <w:b/>
                <w:bCs/>
                <w:sz w:val="20"/>
                <w:szCs w:val="20"/>
              </w:rPr>
              <w:t>CILJEVI/MJERE</w:t>
            </w:r>
          </w:p>
        </w:tc>
        <w:tc>
          <w:tcPr>
            <w:tcW w:w="2765" w:type="dxa"/>
            <w:shd w:val="clear" w:color="auto" w:fill="BFBFBF"/>
            <w:vAlign w:val="center"/>
          </w:tcPr>
          <w:p w14:paraId="39BFC783" w14:textId="77777777" w:rsidR="00D84719" w:rsidRPr="00D84719" w:rsidRDefault="00D84719" w:rsidP="00D84719">
            <w:pPr>
              <w:jc w:val="center"/>
              <w:rPr>
                <w:rFonts w:ascii="Times New Roman" w:eastAsia="Calibri" w:hAnsi="Times New Roman" w:cs="Times New Roman"/>
                <w:b/>
                <w:bCs/>
                <w:sz w:val="20"/>
                <w:szCs w:val="20"/>
              </w:rPr>
            </w:pPr>
            <w:r w:rsidRPr="00D84719">
              <w:rPr>
                <w:rFonts w:ascii="Times New Roman" w:eastAsia="Calibri" w:hAnsi="Times New Roman" w:cs="Times New Roman"/>
                <w:b/>
                <w:bCs/>
                <w:sz w:val="20"/>
                <w:szCs w:val="20"/>
              </w:rPr>
              <w:t>NOSITELJ (STRUČNA I TEHNIČKA POTPORA</w:t>
            </w:r>
          </w:p>
        </w:tc>
        <w:tc>
          <w:tcPr>
            <w:tcW w:w="1439" w:type="dxa"/>
            <w:shd w:val="clear" w:color="auto" w:fill="BFBFBF"/>
            <w:vAlign w:val="center"/>
          </w:tcPr>
          <w:p w14:paraId="0D55AD08" w14:textId="77777777" w:rsidR="00D84719" w:rsidRPr="00D84719" w:rsidRDefault="00D84719" w:rsidP="00D84719">
            <w:pPr>
              <w:jc w:val="center"/>
              <w:rPr>
                <w:rFonts w:ascii="Times New Roman" w:eastAsia="Calibri" w:hAnsi="Times New Roman" w:cs="Times New Roman"/>
                <w:b/>
                <w:bCs/>
                <w:sz w:val="20"/>
                <w:szCs w:val="20"/>
              </w:rPr>
            </w:pPr>
            <w:r w:rsidRPr="00D84719">
              <w:rPr>
                <w:rFonts w:ascii="Times New Roman" w:eastAsia="Calibri" w:hAnsi="Times New Roman" w:cs="Times New Roman"/>
                <w:b/>
                <w:bCs/>
                <w:sz w:val="20"/>
                <w:szCs w:val="20"/>
              </w:rPr>
              <w:t>RAZDOBLJE PROVEDBE</w:t>
            </w:r>
          </w:p>
        </w:tc>
        <w:tc>
          <w:tcPr>
            <w:tcW w:w="1358" w:type="dxa"/>
            <w:shd w:val="clear" w:color="auto" w:fill="BFBFBF"/>
            <w:vAlign w:val="center"/>
          </w:tcPr>
          <w:p w14:paraId="2ADBC77A" w14:textId="77777777" w:rsidR="00D84719" w:rsidRPr="00D84719" w:rsidRDefault="00D84719" w:rsidP="00D84719">
            <w:pPr>
              <w:jc w:val="center"/>
              <w:rPr>
                <w:rFonts w:ascii="Times New Roman" w:eastAsia="Calibri" w:hAnsi="Times New Roman" w:cs="Times New Roman"/>
                <w:b/>
                <w:bCs/>
                <w:sz w:val="20"/>
                <w:szCs w:val="20"/>
              </w:rPr>
            </w:pPr>
            <w:r w:rsidRPr="00D84719">
              <w:rPr>
                <w:rFonts w:ascii="Times New Roman" w:eastAsia="Calibri" w:hAnsi="Times New Roman" w:cs="Times New Roman"/>
                <w:b/>
                <w:bCs/>
                <w:sz w:val="20"/>
                <w:szCs w:val="20"/>
              </w:rPr>
              <w:t>TROŠAK (HRK)</w:t>
            </w:r>
          </w:p>
        </w:tc>
      </w:tr>
      <w:tr w:rsidR="00D84719" w:rsidRPr="00D84719" w14:paraId="13F45E6A" w14:textId="77777777" w:rsidTr="00F831D6">
        <w:trPr>
          <w:jc w:val="center"/>
        </w:trPr>
        <w:tc>
          <w:tcPr>
            <w:tcW w:w="9067" w:type="dxa"/>
            <w:gridSpan w:val="4"/>
            <w:vAlign w:val="center"/>
          </w:tcPr>
          <w:p w14:paraId="727BD702" w14:textId="77777777" w:rsidR="00D84719" w:rsidRPr="00D84719" w:rsidRDefault="00D84719" w:rsidP="00D84719">
            <w:pPr>
              <w:rPr>
                <w:rFonts w:ascii="Times New Roman" w:eastAsia="Calibri" w:hAnsi="Times New Roman" w:cs="Times New Roman"/>
                <w:b/>
                <w:sz w:val="20"/>
                <w:szCs w:val="20"/>
              </w:rPr>
            </w:pPr>
            <w:r w:rsidRPr="00D84719">
              <w:rPr>
                <w:rFonts w:ascii="Times New Roman" w:eastAsia="Calibri" w:hAnsi="Times New Roman" w:cs="Times New Roman"/>
                <w:b/>
                <w:sz w:val="20"/>
                <w:szCs w:val="20"/>
              </w:rPr>
              <w:t>GLAVNI CILJ: IDENTIFICIRANJE I SIGURNO UKLANJANJE PROIZVODA KOJA SADRŽI PBDE NA PODRUČJU REPUBLIKE HRVATSKE</w:t>
            </w:r>
          </w:p>
        </w:tc>
      </w:tr>
      <w:tr w:rsidR="00D84719" w:rsidRPr="00D84719" w14:paraId="6D1854A0" w14:textId="77777777" w:rsidTr="00F831D6">
        <w:trPr>
          <w:jc w:val="center"/>
        </w:trPr>
        <w:tc>
          <w:tcPr>
            <w:tcW w:w="9067" w:type="dxa"/>
            <w:gridSpan w:val="4"/>
            <w:vAlign w:val="center"/>
          </w:tcPr>
          <w:p w14:paraId="20D6D78F" w14:textId="77777777" w:rsidR="00D84719" w:rsidRPr="00D84719" w:rsidRDefault="00D84719" w:rsidP="00D84719">
            <w:pPr>
              <w:rPr>
                <w:rFonts w:ascii="Times New Roman" w:eastAsia="Calibri" w:hAnsi="Times New Roman" w:cs="Times New Roman"/>
                <w:i/>
                <w:sz w:val="20"/>
                <w:szCs w:val="20"/>
              </w:rPr>
            </w:pPr>
            <w:r w:rsidRPr="00D84719">
              <w:rPr>
                <w:rFonts w:ascii="Times New Roman" w:eastAsia="Calibri" w:hAnsi="Times New Roman" w:cs="Times New Roman"/>
                <w:i/>
                <w:sz w:val="20"/>
                <w:szCs w:val="20"/>
              </w:rPr>
              <w:t>Specifični cilj 1: Jačanje svijesti i tehničkih kapaciteta za gospodarenje PBDE-om</w:t>
            </w:r>
          </w:p>
        </w:tc>
      </w:tr>
      <w:tr w:rsidR="00D84719" w:rsidRPr="00D84719" w14:paraId="4494ACF9" w14:textId="77777777" w:rsidTr="00F831D6">
        <w:trPr>
          <w:jc w:val="center"/>
        </w:trPr>
        <w:tc>
          <w:tcPr>
            <w:tcW w:w="3505" w:type="dxa"/>
            <w:vAlign w:val="center"/>
          </w:tcPr>
          <w:p w14:paraId="5973697F" w14:textId="77777777" w:rsidR="00D84719" w:rsidRPr="00D84719" w:rsidRDefault="00D84719" w:rsidP="00D84719">
            <w:pPr>
              <w:rPr>
                <w:rFonts w:ascii="Times New Roman" w:eastAsia="Calibri" w:hAnsi="Times New Roman" w:cs="Times New Roman"/>
                <w:sz w:val="20"/>
                <w:szCs w:val="20"/>
              </w:rPr>
            </w:pPr>
            <w:r w:rsidRPr="00D84719">
              <w:rPr>
                <w:rFonts w:ascii="Times New Roman" w:eastAsia="Calibri" w:hAnsi="Times New Roman" w:cs="Times New Roman"/>
                <w:sz w:val="20"/>
                <w:szCs w:val="20"/>
              </w:rPr>
              <w:t>Mjera 1.1: Revidirati preliminarni inventar s ciljem izrade detaljnijeg inventara PBDE-a u Republici Hrvatskoj te izraditi Izvješće za potrebe redovnog izvješćivanja prema obvezama Stockholmske konvencije</w:t>
            </w:r>
          </w:p>
        </w:tc>
        <w:tc>
          <w:tcPr>
            <w:tcW w:w="2765" w:type="dxa"/>
            <w:vAlign w:val="center"/>
          </w:tcPr>
          <w:p w14:paraId="3BA31237" w14:textId="77777777" w:rsidR="00D84719" w:rsidRPr="00D84719" w:rsidRDefault="00D84719" w:rsidP="00D84719">
            <w:pPr>
              <w:jc w:val="center"/>
              <w:rPr>
                <w:rFonts w:ascii="Times New Roman" w:eastAsia="Calibri" w:hAnsi="Times New Roman" w:cs="Times New Roman"/>
                <w:sz w:val="20"/>
                <w:szCs w:val="20"/>
              </w:rPr>
            </w:pPr>
            <w:r w:rsidRPr="00D84719">
              <w:rPr>
                <w:rFonts w:ascii="Times New Roman" w:eastAsia="Calibri" w:hAnsi="Times New Roman" w:cs="Times New Roman"/>
                <w:sz w:val="20"/>
                <w:szCs w:val="20"/>
              </w:rPr>
              <w:t>MINGOR</w:t>
            </w:r>
            <w:r w:rsidR="00612979">
              <w:rPr>
                <w:rFonts w:ascii="Times New Roman" w:eastAsia="Calibri" w:hAnsi="Times New Roman" w:cs="Times New Roman"/>
                <w:sz w:val="20"/>
                <w:szCs w:val="20"/>
              </w:rPr>
              <w:t xml:space="preserve"> </w:t>
            </w:r>
            <w:r w:rsidRPr="00D84719">
              <w:rPr>
                <w:rFonts w:ascii="Times New Roman" w:eastAsia="Calibri" w:hAnsi="Times New Roman" w:cs="Times New Roman"/>
                <w:color w:val="000000"/>
                <w:sz w:val="20"/>
                <w:szCs w:val="20"/>
              </w:rPr>
              <w:t>(HZJZ - Služba za toksikologiju</w:t>
            </w:r>
            <w:r w:rsidRPr="00D84719">
              <w:rPr>
                <w:rFonts w:ascii="Times New Roman" w:eastAsia="Calibri" w:hAnsi="Times New Roman" w:cs="Times New Roman"/>
                <w:sz w:val="20"/>
                <w:szCs w:val="20"/>
              </w:rPr>
              <w:t>/DZS/Carinska uprava)</w:t>
            </w:r>
          </w:p>
        </w:tc>
        <w:tc>
          <w:tcPr>
            <w:tcW w:w="1439" w:type="dxa"/>
            <w:vAlign w:val="center"/>
          </w:tcPr>
          <w:p w14:paraId="79FEA317" w14:textId="77777777" w:rsidR="00D84719" w:rsidRPr="00D84719" w:rsidRDefault="00D84719" w:rsidP="00D84719">
            <w:pPr>
              <w:jc w:val="center"/>
              <w:rPr>
                <w:rFonts w:ascii="Times New Roman" w:eastAsia="Calibri" w:hAnsi="Times New Roman" w:cs="Times New Roman"/>
                <w:sz w:val="20"/>
                <w:szCs w:val="20"/>
              </w:rPr>
            </w:pPr>
            <w:r w:rsidRPr="00D84719">
              <w:rPr>
                <w:rFonts w:ascii="Times New Roman" w:eastAsia="Calibri" w:hAnsi="Times New Roman" w:cs="Times New Roman"/>
                <w:sz w:val="20"/>
                <w:szCs w:val="20"/>
              </w:rPr>
              <w:t>kontinuirano</w:t>
            </w:r>
          </w:p>
        </w:tc>
        <w:tc>
          <w:tcPr>
            <w:tcW w:w="1358" w:type="dxa"/>
            <w:vAlign w:val="center"/>
          </w:tcPr>
          <w:p w14:paraId="38C3A4C3" w14:textId="77777777" w:rsidR="00D84719" w:rsidRPr="00D84719" w:rsidRDefault="00D84719" w:rsidP="00D84719">
            <w:pPr>
              <w:jc w:val="center"/>
              <w:rPr>
                <w:rFonts w:ascii="Times New Roman" w:eastAsia="Calibri" w:hAnsi="Times New Roman" w:cs="Times New Roman"/>
                <w:sz w:val="20"/>
                <w:szCs w:val="20"/>
              </w:rPr>
            </w:pPr>
            <w:r w:rsidRPr="00D84719">
              <w:rPr>
                <w:rFonts w:ascii="Times New Roman" w:eastAsia="Calibri" w:hAnsi="Times New Roman" w:cs="Times New Roman"/>
                <w:sz w:val="20"/>
                <w:szCs w:val="20"/>
              </w:rPr>
              <w:t>0</w:t>
            </w:r>
          </w:p>
        </w:tc>
      </w:tr>
      <w:tr w:rsidR="00D84719" w:rsidRPr="00D84719" w14:paraId="5E86A04E" w14:textId="77777777" w:rsidTr="00F831D6">
        <w:trPr>
          <w:jc w:val="center"/>
        </w:trPr>
        <w:tc>
          <w:tcPr>
            <w:tcW w:w="9067" w:type="dxa"/>
            <w:gridSpan w:val="4"/>
            <w:vAlign w:val="center"/>
          </w:tcPr>
          <w:p w14:paraId="16BCA806" w14:textId="77777777" w:rsidR="00D84719" w:rsidRPr="00D84719" w:rsidRDefault="00D84719" w:rsidP="00D84719">
            <w:pPr>
              <w:rPr>
                <w:rFonts w:ascii="Times New Roman" w:eastAsia="Calibri" w:hAnsi="Times New Roman" w:cs="Times New Roman"/>
                <w:i/>
                <w:sz w:val="20"/>
                <w:szCs w:val="20"/>
              </w:rPr>
            </w:pPr>
            <w:r w:rsidRPr="00D84719">
              <w:rPr>
                <w:rFonts w:ascii="Times New Roman" w:eastAsia="Calibri" w:hAnsi="Times New Roman" w:cs="Times New Roman"/>
                <w:i/>
                <w:sz w:val="20"/>
                <w:szCs w:val="20"/>
              </w:rPr>
              <w:t>Specifični cilj 2: Edukacija i podizanje svijesti ciljnih skupina</w:t>
            </w:r>
          </w:p>
        </w:tc>
      </w:tr>
      <w:tr w:rsidR="00D84719" w:rsidRPr="00D84719" w14:paraId="1DFCB31D" w14:textId="77777777" w:rsidTr="00F831D6">
        <w:trPr>
          <w:jc w:val="center"/>
        </w:trPr>
        <w:tc>
          <w:tcPr>
            <w:tcW w:w="3505" w:type="dxa"/>
            <w:vAlign w:val="center"/>
          </w:tcPr>
          <w:p w14:paraId="6DC0BE07" w14:textId="77777777" w:rsidR="00D84719" w:rsidRPr="00D84719" w:rsidRDefault="00D84719" w:rsidP="00D84719">
            <w:pPr>
              <w:rPr>
                <w:rFonts w:ascii="Times New Roman" w:eastAsia="Calibri" w:hAnsi="Times New Roman" w:cs="Times New Roman"/>
                <w:sz w:val="20"/>
                <w:szCs w:val="20"/>
              </w:rPr>
            </w:pPr>
            <w:r w:rsidRPr="00D84719">
              <w:rPr>
                <w:rFonts w:ascii="Times New Roman" w:eastAsia="Calibri" w:hAnsi="Times New Roman" w:cs="Times New Roman"/>
                <w:sz w:val="20"/>
                <w:szCs w:val="20"/>
              </w:rPr>
              <w:t>Mjera 2.1.: Nastavak edukativnih aktivnosti</w:t>
            </w:r>
          </w:p>
        </w:tc>
        <w:tc>
          <w:tcPr>
            <w:tcW w:w="2765" w:type="dxa"/>
            <w:vAlign w:val="center"/>
          </w:tcPr>
          <w:p w14:paraId="16470FC0" w14:textId="77777777" w:rsidR="00D84719" w:rsidRPr="00D84719" w:rsidRDefault="00D84719" w:rsidP="00D84719">
            <w:pPr>
              <w:jc w:val="center"/>
              <w:rPr>
                <w:rFonts w:ascii="Times New Roman" w:eastAsia="Calibri" w:hAnsi="Times New Roman" w:cs="Times New Roman"/>
                <w:sz w:val="20"/>
                <w:szCs w:val="20"/>
              </w:rPr>
            </w:pPr>
            <w:r w:rsidRPr="00D84719">
              <w:rPr>
                <w:rFonts w:ascii="Times New Roman" w:eastAsia="Calibri" w:hAnsi="Times New Roman" w:cs="Times New Roman"/>
                <w:sz w:val="20"/>
                <w:szCs w:val="20"/>
              </w:rPr>
              <w:t>MINGOR (MIZ/</w:t>
            </w:r>
            <w:r w:rsidRPr="00D84719">
              <w:rPr>
                <w:rFonts w:ascii="Times New Roman" w:eastAsia="Calibri" w:hAnsi="Times New Roman" w:cs="Times New Roman"/>
                <w:color w:val="000000"/>
                <w:sz w:val="20"/>
                <w:szCs w:val="20"/>
              </w:rPr>
              <w:t>HZJZ - Služba za toksikologiju</w:t>
            </w:r>
            <w:r w:rsidR="0064472D">
              <w:rPr>
                <w:rFonts w:ascii="Times New Roman" w:eastAsia="Calibri" w:hAnsi="Times New Roman" w:cs="Times New Roman"/>
                <w:color w:val="000000"/>
                <w:sz w:val="20"/>
                <w:szCs w:val="20"/>
              </w:rPr>
              <w:t>/</w:t>
            </w:r>
            <w:r w:rsidR="009C2757">
              <w:rPr>
                <w:rFonts w:ascii="Times New Roman" w:eastAsia="Calibri" w:hAnsi="Times New Roman" w:cs="Times New Roman"/>
                <w:color w:val="000000"/>
                <w:sz w:val="20"/>
                <w:szCs w:val="20"/>
              </w:rPr>
              <w:t>MUP-</w:t>
            </w:r>
            <w:r w:rsidR="0064472D">
              <w:rPr>
                <w:rFonts w:ascii="Times New Roman" w:eastAsia="Calibri" w:hAnsi="Times New Roman" w:cs="Times New Roman"/>
                <w:color w:val="000000"/>
                <w:sz w:val="20"/>
                <w:szCs w:val="20"/>
              </w:rPr>
              <w:t>Civilna zaštita</w:t>
            </w:r>
            <w:r w:rsidRPr="00D84719">
              <w:rPr>
                <w:rFonts w:ascii="Times New Roman" w:eastAsia="Calibri" w:hAnsi="Times New Roman" w:cs="Times New Roman"/>
                <w:sz w:val="20"/>
                <w:szCs w:val="20"/>
              </w:rPr>
              <w:t>)</w:t>
            </w:r>
          </w:p>
        </w:tc>
        <w:tc>
          <w:tcPr>
            <w:tcW w:w="1439" w:type="dxa"/>
            <w:vAlign w:val="center"/>
          </w:tcPr>
          <w:p w14:paraId="3F34004F" w14:textId="77777777" w:rsidR="00D84719" w:rsidRPr="00D84719" w:rsidRDefault="00D84719" w:rsidP="00D84719">
            <w:pPr>
              <w:jc w:val="center"/>
              <w:rPr>
                <w:rFonts w:ascii="Times New Roman" w:eastAsia="Calibri" w:hAnsi="Times New Roman" w:cs="Times New Roman"/>
                <w:sz w:val="20"/>
                <w:szCs w:val="20"/>
              </w:rPr>
            </w:pPr>
            <w:r w:rsidRPr="00D84719">
              <w:rPr>
                <w:rFonts w:ascii="Times New Roman" w:eastAsia="Calibri" w:hAnsi="Times New Roman" w:cs="Times New Roman"/>
                <w:sz w:val="20"/>
                <w:szCs w:val="20"/>
              </w:rPr>
              <w:t>2021.</w:t>
            </w:r>
          </w:p>
        </w:tc>
        <w:tc>
          <w:tcPr>
            <w:tcW w:w="1358" w:type="dxa"/>
            <w:vAlign w:val="center"/>
          </w:tcPr>
          <w:p w14:paraId="48FC9C15" w14:textId="77777777" w:rsidR="00D84719" w:rsidRPr="00D84719" w:rsidRDefault="00D84719" w:rsidP="00D84719">
            <w:pPr>
              <w:jc w:val="center"/>
              <w:rPr>
                <w:rFonts w:ascii="Times New Roman" w:eastAsia="Calibri" w:hAnsi="Times New Roman" w:cs="Times New Roman"/>
                <w:sz w:val="20"/>
                <w:szCs w:val="20"/>
              </w:rPr>
            </w:pPr>
            <w:r w:rsidRPr="00D84719">
              <w:rPr>
                <w:rFonts w:ascii="Times New Roman" w:eastAsia="Calibri" w:hAnsi="Times New Roman" w:cs="Times New Roman"/>
                <w:sz w:val="20"/>
                <w:szCs w:val="20"/>
              </w:rPr>
              <w:t>10.000</w:t>
            </w:r>
          </w:p>
        </w:tc>
      </w:tr>
      <w:tr w:rsidR="0048487D" w:rsidRPr="00D84719" w14:paraId="166249A2" w14:textId="77777777" w:rsidTr="0044324D">
        <w:trPr>
          <w:jc w:val="center"/>
        </w:trPr>
        <w:tc>
          <w:tcPr>
            <w:tcW w:w="7709" w:type="dxa"/>
            <w:gridSpan w:val="3"/>
            <w:vAlign w:val="center"/>
          </w:tcPr>
          <w:p w14:paraId="02701F14" w14:textId="77777777" w:rsidR="0048487D" w:rsidRPr="00D84719" w:rsidRDefault="0048487D" w:rsidP="0048487D">
            <w:pPr>
              <w:jc w:val="both"/>
              <w:rPr>
                <w:rFonts w:ascii="Times New Roman" w:eastAsia="Calibri" w:hAnsi="Times New Roman" w:cs="Times New Roman"/>
                <w:sz w:val="20"/>
                <w:szCs w:val="20"/>
              </w:rPr>
            </w:pPr>
            <w:r w:rsidRPr="00D84719">
              <w:rPr>
                <w:rFonts w:ascii="Times New Roman" w:eastAsia="Calibri" w:hAnsi="Times New Roman" w:cs="Times New Roman"/>
                <w:b/>
                <w:sz w:val="20"/>
                <w:szCs w:val="20"/>
              </w:rPr>
              <w:t>UKUPNO</w:t>
            </w:r>
          </w:p>
        </w:tc>
        <w:tc>
          <w:tcPr>
            <w:tcW w:w="1358" w:type="dxa"/>
            <w:vAlign w:val="center"/>
          </w:tcPr>
          <w:p w14:paraId="2264F6F1" w14:textId="77777777" w:rsidR="0048487D" w:rsidRPr="00D84719" w:rsidRDefault="0048487D" w:rsidP="00D84719">
            <w:pPr>
              <w:jc w:val="center"/>
              <w:rPr>
                <w:rFonts w:ascii="Times New Roman" w:eastAsia="Calibri" w:hAnsi="Times New Roman" w:cs="Times New Roman"/>
                <w:b/>
                <w:sz w:val="20"/>
                <w:szCs w:val="20"/>
              </w:rPr>
            </w:pPr>
            <w:r w:rsidRPr="00D84719">
              <w:rPr>
                <w:rFonts w:ascii="Times New Roman" w:eastAsia="Calibri" w:hAnsi="Times New Roman" w:cs="Times New Roman"/>
                <w:b/>
                <w:sz w:val="20"/>
                <w:szCs w:val="20"/>
              </w:rPr>
              <w:t>10.000</w:t>
            </w:r>
          </w:p>
        </w:tc>
      </w:tr>
    </w:tbl>
    <w:p w14:paraId="53AF7A4E" w14:textId="77777777" w:rsidR="00D84719" w:rsidRPr="00D84719" w:rsidRDefault="00D84719" w:rsidP="00D84719">
      <w:pPr>
        <w:spacing w:before="80" w:line="276" w:lineRule="auto"/>
        <w:jc w:val="both"/>
        <w:rPr>
          <w:rFonts w:ascii="Times New Roman" w:eastAsia="Times New Roman" w:hAnsi="Times New Roman" w:cs="Times New Roman"/>
          <w:color w:val="000000"/>
          <w:szCs w:val="24"/>
          <w:lang w:bidi="en-US"/>
        </w:rPr>
      </w:pPr>
      <w:bookmarkStart w:id="275" w:name="_Toc50635627"/>
      <w:bookmarkStart w:id="276" w:name="_Toc40439458"/>
    </w:p>
    <w:p w14:paraId="0DF3F3DB"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 xml:space="preserve">Ministarstvo nadležno za poslove zaštite okoliša izdalo je „Vodič za sigurno rukovanje i gospodarenje otpadom postojanim organskim </w:t>
      </w:r>
      <w:r w:rsidR="004628FB" w:rsidRPr="00D84719">
        <w:rPr>
          <w:rFonts w:ascii="Times New Roman" w:eastAsia="Times New Roman" w:hAnsi="Times New Roman" w:cs="Times New Roman"/>
          <w:color w:val="000000"/>
          <w:sz w:val="24"/>
          <w:szCs w:val="24"/>
          <w:lang w:bidi="en-US"/>
        </w:rPr>
        <w:t>onečišćujućim</w:t>
      </w:r>
      <w:r w:rsidRPr="00D84719">
        <w:rPr>
          <w:rFonts w:ascii="Times New Roman" w:eastAsia="Times New Roman" w:hAnsi="Times New Roman" w:cs="Times New Roman"/>
          <w:color w:val="000000"/>
          <w:sz w:val="24"/>
          <w:szCs w:val="24"/>
          <w:lang w:bidi="en-US"/>
        </w:rPr>
        <w:t xml:space="preserve"> tvarima (POPs – PBDE, PFOS i HBCD)“ u sklopu Radionice o jačanju svijesti o štetnosti POPs-ova i mogućnostima </w:t>
      </w:r>
      <w:r w:rsidR="004628FB" w:rsidRPr="00D84719">
        <w:rPr>
          <w:rFonts w:ascii="Times New Roman" w:eastAsia="Times New Roman" w:hAnsi="Times New Roman" w:cs="Times New Roman"/>
          <w:color w:val="000000"/>
          <w:sz w:val="24"/>
          <w:szCs w:val="24"/>
          <w:lang w:bidi="en-US"/>
        </w:rPr>
        <w:t>unaprjeđenja</w:t>
      </w:r>
      <w:r w:rsidRPr="00D84719">
        <w:rPr>
          <w:rFonts w:ascii="Times New Roman" w:eastAsia="Times New Roman" w:hAnsi="Times New Roman" w:cs="Times New Roman"/>
          <w:color w:val="000000"/>
          <w:sz w:val="24"/>
          <w:szCs w:val="24"/>
          <w:lang w:bidi="en-US"/>
        </w:rPr>
        <w:t xml:space="preserve"> postojećeg sustava praćenja/monitoringa POPs-ova u okoliš. Spomenuti vodič nalazi se na mrežnim stranicama </w:t>
      </w:r>
      <w:r w:rsidR="0048487D">
        <w:rPr>
          <w:rFonts w:ascii="Times New Roman" w:eastAsia="Times New Roman" w:hAnsi="Times New Roman" w:cs="Times New Roman"/>
          <w:color w:val="000000"/>
          <w:sz w:val="24"/>
          <w:szCs w:val="24"/>
          <w:lang w:bidi="en-US"/>
        </w:rPr>
        <w:t>MINGOR</w:t>
      </w:r>
      <w:r w:rsidRPr="00D84719">
        <w:rPr>
          <w:rFonts w:ascii="Times New Roman" w:eastAsia="Times New Roman" w:hAnsi="Times New Roman" w:cs="Times New Roman"/>
          <w:color w:val="000000"/>
          <w:sz w:val="24"/>
          <w:szCs w:val="24"/>
          <w:lang w:bidi="en-US"/>
        </w:rPr>
        <w:t>.</w:t>
      </w:r>
    </w:p>
    <w:p w14:paraId="62DED327" w14:textId="77777777" w:rsidR="00D84719" w:rsidRPr="00D84719" w:rsidRDefault="00D84719" w:rsidP="00D84719">
      <w:pPr>
        <w:spacing w:before="80" w:line="276" w:lineRule="auto"/>
        <w:jc w:val="both"/>
        <w:rPr>
          <w:rFonts w:ascii="Times New Roman" w:eastAsia="Times New Roman" w:hAnsi="Times New Roman" w:cs="Times New Roman"/>
          <w:color w:val="000000"/>
          <w:szCs w:val="24"/>
          <w:lang w:bidi="en-US"/>
        </w:rPr>
      </w:pPr>
    </w:p>
    <w:p w14:paraId="19575AA8" w14:textId="77777777" w:rsidR="00D84719" w:rsidRPr="00D84719" w:rsidRDefault="00D84719" w:rsidP="00C74901">
      <w:pPr>
        <w:pStyle w:val="Naslov3"/>
      </w:pPr>
      <w:bookmarkStart w:id="277" w:name="_Toc64460766"/>
      <w:r w:rsidRPr="00D84719">
        <w:t>Aktivnost: Institucionalne i zakonske mjere jačanja</w:t>
      </w:r>
      <w:bookmarkEnd w:id="275"/>
      <w:bookmarkEnd w:id="277"/>
    </w:p>
    <w:p w14:paraId="473DB08E"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Tijekom izrade inventara POPs-ova utvrđene su institucionalne odgovornosti i regulatorni okviri iz svakog dijela koji se odnosi na postupanje i gospodarenje POPs-ovima (proizvodnja, uporaba, uvoz, izvoz, praćenje, gospodarenje otpadom, nadzor itd.).</w:t>
      </w:r>
    </w:p>
    <w:p w14:paraId="24AB030A"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U procesu pristupanja Europskoj uniji, zakonodavstvo iz područja okoliša u potpunosti je preneseno u nacionalno zakonodavstvo, stoga ovaj dokument ne uključuje dodatne mjere vezane uz promjene u zakonodavnom okviru u Republici Hrvatskoj iz područja POPs-ova.</w:t>
      </w:r>
    </w:p>
    <w:p w14:paraId="58864973" w14:textId="75D2F7B6"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Međutim, predložena su razmatranja eventualne dorade u smislu mehanizma prikupljanja podataka, dopune obrazaca za potrebe izvješćivanja i sl.</w:t>
      </w:r>
    </w:p>
    <w:p w14:paraId="32BC93CD" w14:textId="34858793"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 xml:space="preserve">Predstavnici nadležni za provedbu tri srodne Konvencije blisko povezane pitanjima sigurnog gospodarenja kemikalijama i gospodarenja otpadom, Stockholmske, </w:t>
      </w:r>
      <w:proofErr w:type="spellStart"/>
      <w:r w:rsidRPr="00D84719">
        <w:rPr>
          <w:rFonts w:ascii="Times New Roman" w:eastAsia="Times New Roman" w:hAnsi="Times New Roman" w:cs="Times New Roman"/>
          <w:color w:val="000000"/>
          <w:sz w:val="24"/>
          <w:szCs w:val="24"/>
          <w:lang w:bidi="en-US"/>
        </w:rPr>
        <w:t>Baselske</w:t>
      </w:r>
      <w:proofErr w:type="spellEnd"/>
      <w:r w:rsidRPr="00D84719">
        <w:rPr>
          <w:rFonts w:ascii="Times New Roman" w:eastAsia="Times New Roman" w:hAnsi="Times New Roman" w:cs="Times New Roman"/>
          <w:color w:val="000000"/>
          <w:sz w:val="24"/>
          <w:szCs w:val="24"/>
          <w:lang w:bidi="en-US"/>
        </w:rPr>
        <w:t xml:space="preserve"> i Roterdamske konvencije sudjelovali su na svim sinergijskim konferencijama stranaka, kao i redovnim konferencijama stranaka</w:t>
      </w:r>
      <w:r w:rsidR="00A22D2C">
        <w:rPr>
          <w:rFonts w:ascii="Times New Roman" w:eastAsia="Times New Roman" w:hAnsi="Times New Roman" w:cs="Times New Roman"/>
          <w:color w:val="000000"/>
          <w:sz w:val="24"/>
          <w:szCs w:val="24"/>
          <w:lang w:bidi="en-US"/>
        </w:rPr>
        <w:t xml:space="preserve"> i na </w:t>
      </w:r>
      <w:proofErr w:type="spellStart"/>
      <w:r w:rsidR="00A22D2C">
        <w:rPr>
          <w:rFonts w:ascii="Times New Roman" w:eastAsia="Times New Roman" w:hAnsi="Times New Roman" w:cs="Times New Roman"/>
          <w:color w:val="000000"/>
          <w:sz w:val="24"/>
          <w:szCs w:val="24"/>
          <w:lang w:bidi="en-US"/>
        </w:rPr>
        <w:t>njma</w:t>
      </w:r>
      <w:proofErr w:type="spellEnd"/>
      <w:r w:rsidR="00A22D2C">
        <w:rPr>
          <w:rFonts w:ascii="Times New Roman" w:eastAsia="Times New Roman" w:hAnsi="Times New Roman" w:cs="Times New Roman"/>
          <w:color w:val="000000"/>
          <w:sz w:val="24"/>
          <w:szCs w:val="24"/>
          <w:lang w:bidi="en-US"/>
        </w:rPr>
        <w:t xml:space="preserve"> će sudjelovati i dalje</w:t>
      </w:r>
      <w:r w:rsidRPr="00D84719">
        <w:rPr>
          <w:rFonts w:ascii="Times New Roman" w:eastAsia="Times New Roman" w:hAnsi="Times New Roman" w:cs="Times New Roman"/>
          <w:color w:val="000000"/>
          <w:sz w:val="24"/>
          <w:szCs w:val="24"/>
          <w:lang w:bidi="en-US"/>
        </w:rPr>
        <w:t>. Sustavno se prate sastanci vezano uz ostala slična pitanja kao što su sigurno gospodarenje kemikalijama na međunarodnoj razini; Strateški pristup upravljanja kemikalijama (SAICM)</w:t>
      </w:r>
      <w:r w:rsidR="00950C18">
        <w:rPr>
          <w:rFonts w:ascii="Times New Roman" w:eastAsia="Times New Roman" w:hAnsi="Times New Roman" w:cs="Times New Roman"/>
          <w:color w:val="000000"/>
          <w:sz w:val="24"/>
          <w:szCs w:val="24"/>
          <w:lang w:bidi="en-US"/>
        </w:rPr>
        <w:t>,</w:t>
      </w:r>
      <w:r w:rsidRPr="00D84719">
        <w:rPr>
          <w:rFonts w:ascii="Times New Roman" w:eastAsia="Times New Roman" w:hAnsi="Times New Roman" w:cs="Times New Roman"/>
          <w:color w:val="000000"/>
          <w:sz w:val="24"/>
          <w:szCs w:val="24"/>
          <w:lang w:bidi="en-US"/>
        </w:rPr>
        <w:t xml:space="preserve"> </w:t>
      </w:r>
      <w:r w:rsidR="00CB6F6A" w:rsidRPr="00D84719">
        <w:rPr>
          <w:rFonts w:ascii="Times New Roman" w:eastAsia="Times New Roman" w:hAnsi="Times New Roman" w:cs="Times New Roman"/>
          <w:color w:val="000000"/>
          <w:sz w:val="24"/>
          <w:szCs w:val="24"/>
          <w:lang w:bidi="en-US"/>
        </w:rPr>
        <w:t>Konvencij</w:t>
      </w:r>
      <w:r w:rsidR="00CB6F6A">
        <w:rPr>
          <w:rFonts w:ascii="Times New Roman" w:eastAsia="Times New Roman" w:hAnsi="Times New Roman" w:cs="Times New Roman"/>
          <w:color w:val="000000"/>
          <w:sz w:val="24"/>
          <w:szCs w:val="24"/>
          <w:lang w:bidi="en-US"/>
        </w:rPr>
        <w:t>a</w:t>
      </w:r>
      <w:r w:rsidR="00CB6F6A" w:rsidRPr="00D84719">
        <w:rPr>
          <w:rFonts w:ascii="Times New Roman" w:eastAsia="Times New Roman" w:hAnsi="Times New Roman" w:cs="Times New Roman"/>
          <w:color w:val="000000"/>
          <w:sz w:val="24"/>
          <w:szCs w:val="24"/>
          <w:lang w:bidi="en-US"/>
        </w:rPr>
        <w:t xml:space="preserve"> </w:t>
      </w:r>
      <w:r w:rsidRPr="00D84719">
        <w:rPr>
          <w:rFonts w:ascii="Times New Roman" w:eastAsia="Times New Roman" w:hAnsi="Times New Roman" w:cs="Times New Roman"/>
          <w:color w:val="000000"/>
          <w:sz w:val="24"/>
          <w:szCs w:val="24"/>
          <w:lang w:bidi="en-US"/>
        </w:rPr>
        <w:t xml:space="preserve">o živi (Minamatska </w:t>
      </w:r>
      <w:r w:rsidRPr="00D84719">
        <w:rPr>
          <w:rFonts w:ascii="Times New Roman" w:eastAsia="Times New Roman" w:hAnsi="Times New Roman" w:cs="Times New Roman"/>
          <w:color w:val="000000"/>
          <w:sz w:val="24"/>
          <w:szCs w:val="24"/>
          <w:lang w:bidi="en-US"/>
        </w:rPr>
        <w:lastRenderedPageBreak/>
        <w:t xml:space="preserve">konvencija) te LRTAP </w:t>
      </w:r>
      <w:r w:rsidR="00CB6F6A" w:rsidRPr="00D84719">
        <w:rPr>
          <w:rFonts w:ascii="Times New Roman" w:eastAsia="Times New Roman" w:hAnsi="Times New Roman" w:cs="Times New Roman"/>
          <w:color w:val="000000"/>
          <w:sz w:val="24"/>
          <w:szCs w:val="24"/>
          <w:lang w:bidi="en-US"/>
        </w:rPr>
        <w:t>Konvencij</w:t>
      </w:r>
      <w:r w:rsidR="00CB6F6A">
        <w:rPr>
          <w:rFonts w:ascii="Times New Roman" w:eastAsia="Times New Roman" w:hAnsi="Times New Roman" w:cs="Times New Roman"/>
          <w:color w:val="000000"/>
          <w:sz w:val="24"/>
          <w:szCs w:val="24"/>
          <w:lang w:bidi="en-US"/>
        </w:rPr>
        <w:t>a</w:t>
      </w:r>
      <w:r w:rsidRPr="00D84719">
        <w:rPr>
          <w:rFonts w:ascii="Times New Roman" w:eastAsia="Times New Roman" w:hAnsi="Times New Roman" w:cs="Times New Roman"/>
          <w:color w:val="000000"/>
          <w:sz w:val="24"/>
          <w:szCs w:val="24"/>
          <w:lang w:bidi="en-US"/>
        </w:rPr>
        <w:t>.</w:t>
      </w:r>
      <w:r w:rsidR="00CB6F6A">
        <w:rPr>
          <w:rFonts w:ascii="Times New Roman" w:eastAsia="Times New Roman" w:hAnsi="Times New Roman" w:cs="Times New Roman"/>
          <w:color w:val="000000"/>
          <w:sz w:val="24"/>
          <w:szCs w:val="24"/>
          <w:lang w:bidi="en-US"/>
        </w:rPr>
        <w:t xml:space="preserve"> Republika Hrvatska i dalje snažno podržava aktivnosti vezane uz SAICM.</w:t>
      </w:r>
    </w:p>
    <w:p w14:paraId="077EDCD8" w14:textId="77777777" w:rsidR="00D84719" w:rsidRPr="00D84719" w:rsidRDefault="007539DD"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 xml:space="preserve">Predstavnica Republike Hrvatske imenovana je u CEE – </w:t>
      </w:r>
      <w:proofErr w:type="spellStart"/>
      <w:r w:rsidRPr="00D84719">
        <w:rPr>
          <w:rFonts w:ascii="Times New Roman" w:eastAsia="Times New Roman" w:hAnsi="Times New Roman" w:cs="Times New Roman"/>
          <w:color w:val="000000"/>
          <w:sz w:val="24"/>
          <w:szCs w:val="24"/>
          <w:lang w:bidi="en-US"/>
        </w:rPr>
        <w:t>Environmental</w:t>
      </w:r>
      <w:proofErr w:type="spellEnd"/>
      <w:r w:rsidRPr="00D84719">
        <w:rPr>
          <w:rFonts w:ascii="Times New Roman" w:eastAsia="Times New Roman" w:hAnsi="Times New Roman" w:cs="Times New Roman"/>
          <w:color w:val="000000"/>
          <w:sz w:val="24"/>
          <w:szCs w:val="24"/>
          <w:lang w:bidi="en-US"/>
        </w:rPr>
        <w:t xml:space="preserve"> Network for </w:t>
      </w:r>
      <w:proofErr w:type="spellStart"/>
      <w:r w:rsidRPr="00D84719">
        <w:rPr>
          <w:rFonts w:ascii="Times New Roman" w:eastAsia="Times New Roman" w:hAnsi="Times New Roman" w:cs="Times New Roman"/>
          <w:color w:val="000000"/>
          <w:sz w:val="24"/>
          <w:szCs w:val="24"/>
          <w:lang w:bidi="en-US"/>
        </w:rPr>
        <w:t>Optimizing</w:t>
      </w:r>
      <w:proofErr w:type="spellEnd"/>
      <w:r w:rsidRPr="00D84719">
        <w:rPr>
          <w:rFonts w:ascii="Times New Roman" w:eastAsia="Times New Roman" w:hAnsi="Times New Roman" w:cs="Times New Roman"/>
          <w:color w:val="000000"/>
          <w:sz w:val="24"/>
          <w:szCs w:val="24"/>
          <w:lang w:bidi="en-US"/>
        </w:rPr>
        <w:t xml:space="preserve"> </w:t>
      </w:r>
      <w:proofErr w:type="spellStart"/>
      <w:r w:rsidRPr="00D84719">
        <w:rPr>
          <w:rFonts w:ascii="Times New Roman" w:eastAsia="Times New Roman" w:hAnsi="Times New Roman" w:cs="Times New Roman"/>
          <w:color w:val="000000"/>
          <w:sz w:val="24"/>
          <w:szCs w:val="24"/>
          <w:lang w:bidi="en-US"/>
        </w:rPr>
        <w:t>Regulatory</w:t>
      </w:r>
      <w:proofErr w:type="spellEnd"/>
      <w:r w:rsidRPr="00D84719">
        <w:rPr>
          <w:rFonts w:ascii="Times New Roman" w:eastAsia="Times New Roman" w:hAnsi="Times New Roman" w:cs="Times New Roman"/>
          <w:color w:val="000000"/>
          <w:sz w:val="24"/>
          <w:szCs w:val="24"/>
          <w:lang w:bidi="en-US"/>
        </w:rPr>
        <w:t xml:space="preserve"> </w:t>
      </w:r>
      <w:proofErr w:type="spellStart"/>
      <w:r w:rsidRPr="00D84719">
        <w:rPr>
          <w:rFonts w:ascii="Times New Roman" w:eastAsia="Times New Roman" w:hAnsi="Times New Roman" w:cs="Times New Roman"/>
          <w:color w:val="000000"/>
          <w:sz w:val="24"/>
          <w:szCs w:val="24"/>
          <w:lang w:bidi="en-US"/>
        </w:rPr>
        <w:t>Compliance</w:t>
      </w:r>
      <w:proofErr w:type="spellEnd"/>
      <w:r w:rsidRPr="00D84719">
        <w:rPr>
          <w:rFonts w:ascii="Times New Roman" w:eastAsia="Times New Roman" w:hAnsi="Times New Roman" w:cs="Times New Roman"/>
          <w:color w:val="000000"/>
          <w:sz w:val="24"/>
          <w:szCs w:val="24"/>
          <w:lang w:bidi="en-US"/>
        </w:rPr>
        <w:t xml:space="preserve"> on </w:t>
      </w:r>
      <w:proofErr w:type="spellStart"/>
      <w:r w:rsidRPr="00D84719">
        <w:rPr>
          <w:rFonts w:ascii="Times New Roman" w:eastAsia="Times New Roman" w:hAnsi="Times New Roman" w:cs="Times New Roman"/>
          <w:color w:val="000000"/>
          <w:sz w:val="24"/>
          <w:szCs w:val="24"/>
          <w:lang w:bidi="en-US"/>
        </w:rPr>
        <w:t>Illegal</w:t>
      </w:r>
      <w:proofErr w:type="spellEnd"/>
      <w:r w:rsidRPr="00D84719">
        <w:rPr>
          <w:rFonts w:ascii="Times New Roman" w:eastAsia="Times New Roman" w:hAnsi="Times New Roman" w:cs="Times New Roman"/>
          <w:color w:val="000000"/>
          <w:sz w:val="24"/>
          <w:szCs w:val="24"/>
          <w:lang w:bidi="en-US"/>
        </w:rPr>
        <w:t xml:space="preserve"> </w:t>
      </w:r>
      <w:proofErr w:type="spellStart"/>
      <w:r w:rsidRPr="00D84719">
        <w:rPr>
          <w:rFonts w:ascii="Times New Roman" w:eastAsia="Times New Roman" w:hAnsi="Times New Roman" w:cs="Times New Roman"/>
          <w:color w:val="000000"/>
          <w:sz w:val="24"/>
          <w:szCs w:val="24"/>
          <w:lang w:bidi="en-US"/>
        </w:rPr>
        <w:t>Traffic</w:t>
      </w:r>
      <w:proofErr w:type="spellEnd"/>
      <w:r w:rsidRPr="00D84719">
        <w:rPr>
          <w:rFonts w:ascii="Times New Roman" w:eastAsia="Times New Roman" w:hAnsi="Times New Roman" w:cs="Times New Roman"/>
          <w:color w:val="000000"/>
          <w:sz w:val="24"/>
          <w:szCs w:val="24"/>
          <w:lang w:bidi="en-US"/>
        </w:rPr>
        <w:t xml:space="preserve"> (Okolišna mreža za optimiziranje zakonske sukladnosti o nezakonitom prometu za CIE regiju) vezano uz pitanja </w:t>
      </w:r>
      <w:proofErr w:type="spellStart"/>
      <w:r w:rsidRPr="00D84719">
        <w:rPr>
          <w:rFonts w:ascii="Times New Roman" w:eastAsia="Times New Roman" w:hAnsi="Times New Roman" w:cs="Times New Roman"/>
          <w:color w:val="000000"/>
          <w:sz w:val="24"/>
          <w:szCs w:val="24"/>
          <w:lang w:bidi="en-US"/>
        </w:rPr>
        <w:t>Baselske</w:t>
      </w:r>
      <w:proofErr w:type="spellEnd"/>
      <w:r w:rsidRPr="00D84719">
        <w:rPr>
          <w:rFonts w:ascii="Times New Roman" w:eastAsia="Times New Roman" w:hAnsi="Times New Roman" w:cs="Times New Roman"/>
          <w:color w:val="000000"/>
          <w:sz w:val="24"/>
          <w:szCs w:val="24"/>
          <w:lang w:bidi="en-US"/>
        </w:rPr>
        <w:t xml:space="preserve"> konvencije.</w:t>
      </w:r>
    </w:p>
    <w:p w14:paraId="28EAF4E1"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Također predstavnici Republike Hrvatske aktivno sudjeluju u sklopu radnih skupina ECHA-e koje rade na određivanju načina upravljanja rizicima i njihovim analizama.</w:t>
      </w:r>
    </w:p>
    <w:p w14:paraId="58C12E3C"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Predlaže se uključivanje i aktivnije sudjelovanje znanstvenih i stručnih institucija u rad pomoćnih tijela Stockholmske konvencije, ali i srodnih konvencija s ciljem jačanja kapaciteta.</w:t>
      </w:r>
    </w:p>
    <w:p w14:paraId="06178D1E"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U poglavljima koja slijede predložene su konkretne aktivnosti uz vremenski plan, kojima će se osigurati provedba potrebnih promjena u institucionalnom okviru u Republici Hrvatskoj.</w:t>
      </w:r>
    </w:p>
    <w:p w14:paraId="508D58CB"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Područja koja zahtijevaju dodatne prilagodbe su sljedeća:</w:t>
      </w:r>
    </w:p>
    <w:p w14:paraId="5994339E" w14:textId="77777777" w:rsidR="00D84719" w:rsidRP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lokacije onečišćene POPs-ovima</w:t>
      </w:r>
    </w:p>
    <w:p w14:paraId="258D265E" w14:textId="77777777" w:rsidR="00D84719" w:rsidRP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sustavno praćenje POPs-ova u okolišu, hrani i ljudima</w:t>
      </w:r>
    </w:p>
    <w:p w14:paraId="3305A231" w14:textId="77777777" w:rsidR="00D84719" w:rsidRP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analiza proizvoda u uporabi, na zalihama i otpadu (otpadna vozila, EEE, tekstil, namještaj, tepisi, plastika, gumeni proizvodi...) koji možebitno sadrže tzv. nove POPs-ove</w:t>
      </w:r>
    </w:p>
    <w:p w14:paraId="7A2BF48F" w14:textId="77777777" w:rsidR="00D84719" w:rsidRP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 xml:space="preserve">edukacijsko </w:t>
      </w:r>
      <w:r w:rsidR="004628FB" w:rsidRPr="00D84719">
        <w:rPr>
          <w:rFonts w:ascii="Times New Roman" w:eastAsia="Calibri" w:hAnsi="Times New Roman" w:cs="Times New Roman"/>
          <w:sz w:val="24"/>
          <w:lang w:bidi="en-US"/>
        </w:rPr>
        <w:t>informativne</w:t>
      </w:r>
      <w:r w:rsidRPr="00D84719">
        <w:rPr>
          <w:rFonts w:ascii="Times New Roman" w:eastAsia="Calibri" w:hAnsi="Times New Roman" w:cs="Times New Roman"/>
          <w:sz w:val="24"/>
          <w:lang w:bidi="en-US"/>
        </w:rPr>
        <w:t xml:space="preserve"> aktivnosti o metodama okolišno prihvatljivog gospodarenja otpadom koji sadrži POPs-ove i sigurno uklanjanje onečišćenih tvari/proizvoda</w:t>
      </w:r>
    </w:p>
    <w:p w14:paraId="03520C16" w14:textId="77777777" w:rsidR="00D84719" w:rsidRP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podizanje svijesti ciljnih skupina</w:t>
      </w:r>
    </w:p>
    <w:p w14:paraId="7DA65E76" w14:textId="77777777" w:rsidR="00BA61F5"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poboljšanje/proširenje postojećeg mehanizma za razmjenu informacija na nacionalnoj razini</w:t>
      </w:r>
      <w:r w:rsidR="00BA61F5">
        <w:rPr>
          <w:rFonts w:ascii="Times New Roman" w:eastAsia="Calibri" w:hAnsi="Times New Roman" w:cs="Times New Roman"/>
          <w:sz w:val="24"/>
          <w:lang w:bidi="en-US"/>
        </w:rPr>
        <w:t xml:space="preserve"> i </w:t>
      </w:r>
    </w:p>
    <w:p w14:paraId="7282D718" w14:textId="77777777" w:rsidR="00D84719" w:rsidRPr="00D84719" w:rsidRDefault="00BA61F5" w:rsidP="00BA61F5">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BA61F5">
        <w:rPr>
          <w:rFonts w:ascii="Times New Roman" w:eastAsia="Calibri" w:hAnsi="Times New Roman" w:cs="Times New Roman"/>
          <w:sz w:val="24"/>
          <w:lang w:bidi="en-US"/>
        </w:rPr>
        <w:t>izrad</w:t>
      </w:r>
      <w:r>
        <w:rPr>
          <w:rFonts w:ascii="Times New Roman" w:eastAsia="Calibri" w:hAnsi="Times New Roman" w:cs="Times New Roman"/>
          <w:sz w:val="24"/>
          <w:lang w:bidi="en-US"/>
        </w:rPr>
        <w:t>a</w:t>
      </w:r>
      <w:r w:rsidRPr="00BA61F5">
        <w:rPr>
          <w:rFonts w:ascii="Times New Roman" w:eastAsia="Calibri" w:hAnsi="Times New Roman" w:cs="Times New Roman"/>
          <w:sz w:val="24"/>
          <w:lang w:bidi="en-US"/>
        </w:rPr>
        <w:t xml:space="preserve"> procjen</w:t>
      </w:r>
      <w:r>
        <w:rPr>
          <w:rFonts w:ascii="Times New Roman" w:eastAsia="Calibri" w:hAnsi="Times New Roman" w:cs="Times New Roman"/>
          <w:sz w:val="24"/>
          <w:lang w:bidi="en-US"/>
        </w:rPr>
        <w:t>e</w:t>
      </w:r>
      <w:r w:rsidRPr="00BA61F5">
        <w:rPr>
          <w:rFonts w:ascii="Times New Roman" w:eastAsia="Calibri" w:hAnsi="Times New Roman" w:cs="Times New Roman"/>
          <w:sz w:val="24"/>
          <w:lang w:bidi="en-US"/>
        </w:rPr>
        <w:t xml:space="preserve"> rizika sukladno Dodatku E Zakona o potvrđivanju Stockholmske konvencije o postojanim organskim onečišćujućim tvarima („Narodne novine“ broj 11/06)</w:t>
      </w:r>
      <w:r w:rsidR="00D84719" w:rsidRPr="00D84719">
        <w:rPr>
          <w:rFonts w:ascii="Times New Roman" w:eastAsia="Calibri" w:hAnsi="Times New Roman" w:cs="Times New Roman"/>
          <w:sz w:val="24"/>
          <w:lang w:bidi="en-US"/>
        </w:rPr>
        <w:t>.</w:t>
      </w:r>
    </w:p>
    <w:p w14:paraId="208298CD"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p>
    <w:p w14:paraId="4D2CA54C" w14:textId="77777777" w:rsidR="00D84719" w:rsidRPr="00D84719" w:rsidRDefault="00D84719" w:rsidP="00C74901">
      <w:pPr>
        <w:pStyle w:val="Naslov3"/>
      </w:pPr>
      <w:bookmarkStart w:id="278" w:name="_Toc50635628"/>
      <w:bookmarkStart w:id="279" w:name="_Toc64460767"/>
      <w:r w:rsidRPr="00D84719">
        <w:t>Aktivnost: Proizvodnja, uvoz i izvoz, uporaba, zalihe i otpad DDT-a (Dodatak B) ako se koristi u državi</w:t>
      </w:r>
      <w:bookmarkEnd w:id="276"/>
      <w:bookmarkEnd w:id="278"/>
      <w:bookmarkEnd w:id="279"/>
    </w:p>
    <w:p w14:paraId="44CE309F" w14:textId="0FE331C3"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Nije izrađen poseban akcijski plan, odnosno predložena daljnja aktivnost u sklopu procesa revizije NIP-a koji se odnosi na DDT, obzirom na to da je procijenjeno da DDT ne predstavlja problem Republici Hrvatskoj imajući u vidu potencijalnu opasnost na zdravlje i okoliš (ne proizvodi se i ne uvozi, a uporaba je zabranjena od 1972</w:t>
      </w:r>
      <w:r w:rsidR="005C26BD">
        <w:rPr>
          <w:rFonts w:ascii="Times New Roman" w:eastAsia="Times New Roman" w:hAnsi="Times New Roman" w:cs="Times New Roman"/>
          <w:color w:val="000000"/>
          <w:sz w:val="24"/>
          <w:szCs w:val="24"/>
          <w:lang w:bidi="en-US"/>
        </w:rPr>
        <w:t>.</w:t>
      </w:r>
      <w:r w:rsidRPr="00D84719">
        <w:rPr>
          <w:rFonts w:ascii="Times New Roman" w:eastAsia="Times New Roman" w:hAnsi="Times New Roman" w:cs="Times New Roman"/>
          <w:color w:val="000000"/>
          <w:sz w:val="24"/>
          <w:szCs w:val="24"/>
          <w:lang w:bidi="en-US"/>
        </w:rPr>
        <w:t>).</w:t>
      </w:r>
    </w:p>
    <w:p w14:paraId="352C1FB3"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p>
    <w:p w14:paraId="78C8EAFE" w14:textId="77777777" w:rsidR="00D84719" w:rsidRPr="00D84719" w:rsidRDefault="00D84719" w:rsidP="00C74901">
      <w:pPr>
        <w:pStyle w:val="Naslov3"/>
      </w:pPr>
      <w:bookmarkStart w:id="280" w:name="_Toc40439459"/>
      <w:bookmarkStart w:id="281" w:name="_Toc50635629"/>
      <w:bookmarkStart w:id="282" w:name="_Toc64460768"/>
      <w:r w:rsidRPr="00D84719">
        <w:t>Aktivnost: Proizvodnja, uvoz i izvoz, uporaba, zalihe i otpad PFOS-e, njezinih soli i PFOSF-a (Dodatak B, dio III.)</w:t>
      </w:r>
      <w:bookmarkEnd w:id="280"/>
      <w:bookmarkEnd w:id="281"/>
      <w:bookmarkEnd w:id="282"/>
    </w:p>
    <w:p w14:paraId="4EEC11BA"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 xml:space="preserve">Tijekom izrade inventara nije zabilježena proizvodnja, uvoz ni izvoz PFOS-a i njihovih derivata, kao ni trenutna uporaba. Prije deset do dvadeset godina vrlo popularno protupožarno </w:t>
      </w:r>
      <w:r w:rsidRPr="00D84719">
        <w:rPr>
          <w:rFonts w:ascii="Times New Roman" w:eastAsia="Times New Roman" w:hAnsi="Times New Roman" w:cs="Times New Roman"/>
          <w:color w:val="000000"/>
          <w:sz w:val="24"/>
          <w:szCs w:val="24"/>
          <w:lang w:bidi="en-US"/>
        </w:rPr>
        <w:lastRenderedPageBreak/>
        <w:t>pjenilo u Republici Hrvatskoj bilo je pjenilo koje je sadržavalo PFOS. Ne postoje precizni podaci o postojećim zalihama, kao ni o količinama koje su se utrošile. Potrebno je napomenuti kako je inventar protupožarnih pjena vrlo opsežan, uključuje brojne sudionike i zahtjeva pomno planiranje.</w:t>
      </w:r>
    </w:p>
    <w:p w14:paraId="5170E55C"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Bilo bi preporučljivo stoga, kako je ranije navedeno, provesti detaljnu procjenu protupožarnih pjena koje se koriste, a posebice onih koje su još na zalihama od strane vatrogasnih zajednica.</w:t>
      </w:r>
    </w:p>
    <w:p w14:paraId="731BDDA0"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Zahtjevi Stockholmske konvencije u pogledu tzv. novih POPs-ova, u koje spada i PFOS uključuju:</w:t>
      </w:r>
    </w:p>
    <w:p w14:paraId="0F122FD9" w14:textId="77777777" w:rsidR="00D84719" w:rsidRPr="00D84719" w:rsidRDefault="00D84719" w:rsidP="00D84719">
      <w:pPr>
        <w:numPr>
          <w:ilvl w:val="0"/>
          <w:numId w:val="5"/>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provođenje mjera nadzora za svaku kemikaliju navedenu u popisu Stockholmske konvencije (članci 3. i 4.)</w:t>
      </w:r>
    </w:p>
    <w:p w14:paraId="47C260E3" w14:textId="77777777" w:rsidR="00D84719" w:rsidRPr="00D84719" w:rsidRDefault="00D84719" w:rsidP="00D84719">
      <w:pPr>
        <w:numPr>
          <w:ilvl w:val="0"/>
          <w:numId w:val="5"/>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izradu inventara kemikalija u zalihama (članak 6.)</w:t>
      </w:r>
    </w:p>
    <w:p w14:paraId="070BC221" w14:textId="77777777" w:rsidR="00D84719" w:rsidRPr="00D84719" w:rsidRDefault="00D84719" w:rsidP="00D84719">
      <w:pPr>
        <w:numPr>
          <w:ilvl w:val="0"/>
          <w:numId w:val="5"/>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izradu revidiranog i ažuriranog NIP-a (članak 7.)</w:t>
      </w:r>
    </w:p>
    <w:p w14:paraId="69232169" w14:textId="77777777" w:rsidR="00D84719" w:rsidRPr="00D84719" w:rsidRDefault="00D84719" w:rsidP="00D84719">
      <w:pPr>
        <w:numPr>
          <w:ilvl w:val="0"/>
          <w:numId w:val="5"/>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 xml:space="preserve">uključivanje </w:t>
      </w:r>
      <w:r w:rsidR="00292F53">
        <w:rPr>
          <w:rFonts w:ascii="Times New Roman" w:eastAsia="Calibri" w:hAnsi="Times New Roman" w:cs="Times New Roman"/>
          <w:sz w:val="24"/>
          <w:lang w:bidi="en-US"/>
        </w:rPr>
        <w:t>„</w:t>
      </w:r>
      <w:r w:rsidRPr="00D84719">
        <w:rPr>
          <w:rFonts w:ascii="Times New Roman" w:eastAsia="Calibri" w:hAnsi="Times New Roman" w:cs="Times New Roman"/>
          <w:sz w:val="24"/>
          <w:lang w:bidi="en-US"/>
        </w:rPr>
        <w:t>novih</w:t>
      </w:r>
      <w:r w:rsidR="00292F53">
        <w:rPr>
          <w:rFonts w:ascii="Times New Roman" w:eastAsia="Calibri" w:hAnsi="Times New Roman" w:cs="Times New Roman"/>
          <w:sz w:val="24"/>
          <w:lang w:bidi="en-US"/>
        </w:rPr>
        <w:t>“</w:t>
      </w:r>
      <w:r w:rsidRPr="00D84719">
        <w:rPr>
          <w:rFonts w:ascii="Times New Roman" w:eastAsia="Calibri" w:hAnsi="Times New Roman" w:cs="Times New Roman"/>
          <w:sz w:val="24"/>
          <w:lang w:bidi="en-US"/>
        </w:rPr>
        <w:t xml:space="preserve"> kemikalija, u koje spadaju PFOS u izvješćivanje (članak 15.) i</w:t>
      </w:r>
    </w:p>
    <w:p w14:paraId="03C5A68B" w14:textId="77777777" w:rsidR="00D84719" w:rsidRDefault="00D84719" w:rsidP="00D84719">
      <w:pPr>
        <w:numPr>
          <w:ilvl w:val="0"/>
          <w:numId w:val="5"/>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 xml:space="preserve">uključivanje </w:t>
      </w:r>
      <w:r w:rsidR="00292F53">
        <w:rPr>
          <w:rFonts w:ascii="Times New Roman" w:eastAsia="Calibri" w:hAnsi="Times New Roman" w:cs="Times New Roman"/>
          <w:sz w:val="24"/>
          <w:lang w:bidi="en-US"/>
        </w:rPr>
        <w:t>„</w:t>
      </w:r>
      <w:r w:rsidRPr="00D84719">
        <w:rPr>
          <w:rFonts w:ascii="Times New Roman" w:eastAsia="Calibri" w:hAnsi="Times New Roman" w:cs="Times New Roman"/>
          <w:sz w:val="24"/>
          <w:lang w:bidi="en-US"/>
        </w:rPr>
        <w:t>novih</w:t>
      </w:r>
      <w:r w:rsidR="00292F53">
        <w:rPr>
          <w:rFonts w:ascii="Times New Roman" w:eastAsia="Calibri" w:hAnsi="Times New Roman" w:cs="Times New Roman"/>
          <w:sz w:val="24"/>
          <w:lang w:bidi="en-US"/>
        </w:rPr>
        <w:t>“</w:t>
      </w:r>
      <w:r w:rsidRPr="00D84719">
        <w:rPr>
          <w:rFonts w:ascii="Times New Roman" w:eastAsia="Calibri" w:hAnsi="Times New Roman" w:cs="Times New Roman"/>
          <w:sz w:val="24"/>
          <w:lang w:bidi="en-US"/>
        </w:rPr>
        <w:t xml:space="preserve"> kemikalija, u koje spadaju PFOS u program za ocjenu učinkovitosti provedbe (članak 16.).</w:t>
      </w:r>
    </w:p>
    <w:p w14:paraId="5092DD77" w14:textId="77777777" w:rsidR="00605EA4" w:rsidRPr="00D84719" w:rsidRDefault="00605EA4" w:rsidP="00605EA4">
      <w:pPr>
        <w:tabs>
          <w:tab w:val="left" w:pos="1755"/>
        </w:tabs>
        <w:autoSpaceDE w:val="0"/>
        <w:autoSpaceDN w:val="0"/>
        <w:adjustRightInd w:val="0"/>
        <w:spacing w:before="80" w:after="0" w:line="240" w:lineRule="auto"/>
        <w:ind w:left="720"/>
        <w:jc w:val="both"/>
        <w:rPr>
          <w:rFonts w:ascii="Times New Roman" w:eastAsia="Calibri" w:hAnsi="Times New Roman" w:cs="Times New Roman"/>
          <w:sz w:val="24"/>
          <w:lang w:bidi="en-US"/>
        </w:rPr>
      </w:pPr>
    </w:p>
    <w:p w14:paraId="2D46F633"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Za uspješnu provedbu svih obveza iz Stockholmske konvencije koje se odnose na gospodarenje PFOS-om u Republici Hrvatskoj identificirane su konkretne mjere i aktivnosti koje je potrebno provesti u skladu s definiranim prioritetima i ciljevima. Glavni cilj je smanjenje, postupno isključivanje iz uporabe i konačan prestanak korištenja PFOS-a i opreme koja sadrži ili je kontaminirana PFOS-om, sprječavanje ispuštanja PFOS-a u okoliš te osiguravanje uvjeta za zbrinjavanje otpada koji sadrži PFOS na okolišno prihvatljiv način.</w:t>
      </w:r>
    </w:p>
    <w:p w14:paraId="165FBF72"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Specifični ciljevi su sljedeći:</w:t>
      </w:r>
    </w:p>
    <w:p w14:paraId="724045BD" w14:textId="77777777" w:rsidR="00D84719" w:rsidRP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jačanje tehničkih kapaciteta za upravljanje PFOS-om/PFOSF-om i</w:t>
      </w:r>
    </w:p>
    <w:p w14:paraId="26C04EE2" w14:textId="77777777" w:rsidR="00D84719" w:rsidRP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edukacija i podizanje svijesti ciljnih skupina.</w:t>
      </w:r>
    </w:p>
    <w:p w14:paraId="3A9F0B3E"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p>
    <w:p w14:paraId="027F2CE2" w14:textId="77777777" w:rsidR="00D84719" w:rsidRPr="00D84719" w:rsidRDefault="00D84719" w:rsidP="00605EA4">
      <w:pPr>
        <w:pStyle w:val="Naslov4"/>
      </w:pPr>
      <w:bookmarkStart w:id="283" w:name="_Toc64460769"/>
      <w:r w:rsidRPr="00D84719">
        <w:t>Jačanje tehničkih kapaciteta za upravljanje PFOS-om/PFOSF-om</w:t>
      </w:r>
      <w:bookmarkEnd w:id="283"/>
    </w:p>
    <w:p w14:paraId="63E98808"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Predložena mjera:</w:t>
      </w:r>
    </w:p>
    <w:p w14:paraId="11148203" w14:textId="77777777" w:rsidR="00D84719" w:rsidRP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revidirati preliminarni inventar s ciljem izrade detaljnijeg inventara PFOS-a/PFOSF-a u Republici Hrvatskoj, kako bi se dobio trend smanjivanja u narednim godinama u proizvodima koji ga potencijalno sadrže, uključujući izvješće o zalihama (za potrebe redovnog izvješćivanja prema zahtjevima Stockholmske konvencije).</w:t>
      </w:r>
    </w:p>
    <w:p w14:paraId="5ACC752B" w14:textId="77777777" w:rsidR="00D84719" w:rsidRPr="00D84719" w:rsidRDefault="00D84719" w:rsidP="00D84719">
      <w:pPr>
        <w:tabs>
          <w:tab w:val="left" w:pos="1755"/>
        </w:tabs>
        <w:autoSpaceDE w:val="0"/>
        <w:autoSpaceDN w:val="0"/>
        <w:adjustRightInd w:val="0"/>
        <w:spacing w:after="0" w:line="240" w:lineRule="auto"/>
        <w:ind w:left="720"/>
        <w:jc w:val="both"/>
        <w:rPr>
          <w:rFonts w:ascii="Times New Roman" w:eastAsia="Calibri" w:hAnsi="Times New Roman" w:cs="Times New Roman"/>
          <w:sz w:val="24"/>
          <w:lang w:bidi="en-US"/>
        </w:rPr>
      </w:pPr>
    </w:p>
    <w:p w14:paraId="70B7E8C8" w14:textId="77777777" w:rsidR="00D84719" w:rsidRPr="00D84719" w:rsidRDefault="00D84719" w:rsidP="00605EA4">
      <w:pPr>
        <w:pStyle w:val="Naslov4"/>
      </w:pPr>
      <w:bookmarkStart w:id="284" w:name="_Toc64460770"/>
      <w:r w:rsidRPr="00D84719">
        <w:t>Edukacija i podizanje svijesti ciljnih skupina</w:t>
      </w:r>
      <w:bookmarkEnd w:id="284"/>
    </w:p>
    <w:p w14:paraId="5A6A2BA7"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Predložena mjera:</w:t>
      </w:r>
    </w:p>
    <w:p w14:paraId="36198E32" w14:textId="77777777" w:rsid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 xml:space="preserve">pripremiti dodatne informativne materijale o mogućim izvorima, štetnosti na zdravlje i okoliš, zamjenskim sredstvima te kako na okolišno prihvatljiv način gospodariti otpadom koji ga potencijalno sadrži sukladno izrađenom Vodiču </w:t>
      </w:r>
      <w:r w:rsidRPr="00D84719">
        <w:rPr>
          <w:rFonts w:ascii="Times New Roman" w:eastAsia="Calibri" w:hAnsi="Times New Roman" w:cs="Times New Roman"/>
          <w:sz w:val="24"/>
        </w:rPr>
        <w:t>za sigurno rukovanje i gospodarenje postojanim organskim onečišćujućim tvarima (POPs-PBDE, PFOS i HBCD).</w:t>
      </w:r>
    </w:p>
    <w:p w14:paraId="0D70D68E" w14:textId="77777777" w:rsidR="00605EA4" w:rsidRPr="00D84719" w:rsidRDefault="00605EA4" w:rsidP="00605EA4">
      <w:pPr>
        <w:tabs>
          <w:tab w:val="left" w:pos="1755"/>
        </w:tabs>
        <w:autoSpaceDE w:val="0"/>
        <w:autoSpaceDN w:val="0"/>
        <w:adjustRightInd w:val="0"/>
        <w:spacing w:before="80" w:after="0" w:line="240" w:lineRule="auto"/>
        <w:ind w:left="720"/>
        <w:jc w:val="both"/>
        <w:rPr>
          <w:rFonts w:ascii="Times New Roman" w:eastAsia="Calibri" w:hAnsi="Times New Roman" w:cs="Times New Roman"/>
          <w:sz w:val="24"/>
          <w:lang w:bidi="en-US"/>
        </w:rPr>
      </w:pPr>
    </w:p>
    <w:p w14:paraId="3CE3B684"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 xml:space="preserve">Nastavno na edukaciju i podizanje svijesti ciljnih skupina Drugim NIP-om predložena je mjera pripreme informativnog materijala o mogućim izvorima, štetnosti na zdravlje i okoliš, zamjenskim sredstvima te kako na okolišno prihvatljiv način gospodariti otpadom koji ga potencijalno sadrži. </w:t>
      </w:r>
    </w:p>
    <w:p w14:paraId="06DDB0E3"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 xml:space="preserve">Izrađen je Vodič </w:t>
      </w:r>
      <w:r w:rsidRPr="00D84719">
        <w:rPr>
          <w:rFonts w:ascii="Times New Roman" w:eastAsia="Times New Roman" w:hAnsi="Times New Roman" w:cs="Times New Roman"/>
          <w:color w:val="000000"/>
          <w:sz w:val="24"/>
          <w:szCs w:val="24"/>
        </w:rPr>
        <w:t xml:space="preserve">za sigurno rukovanje i gospodarenje postojanim organskim onečišćujućim tvarima (POPs-PBDE, PFOS i HBCD) temeljen na tehničkim </w:t>
      </w:r>
      <w:r w:rsidRPr="00D84719">
        <w:rPr>
          <w:rFonts w:ascii="Times New Roman" w:eastAsia="Times New Roman" w:hAnsi="Times New Roman" w:cs="Times New Roman"/>
          <w:color w:val="000000"/>
          <w:sz w:val="24"/>
          <w:szCs w:val="24"/>
          <w:lang w:bidi="en-US"/>
        </w:rPr>
        <w:t>smjernicama o okolišno prihvatljivom gospodarenju otpadom koji sadrži POPs-ove (UNEP-CHWCOP.12-BC-12/3).</w:t>
      </w:r>
    </w:p>
    <w:p w14:paraId="01D79A28" w14:textId="77777777" w:rsid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Tablica 4.</w:t>
      </w:r>
      <w:r w:rsidR="00F05F33">
        <w:rPr>
          <w:rFonts w:ascii="Times New Roman" w:eastAsia="Times New Roman" w:hAnsi="Times New Roman" w:cs="Times New Roman"/>
          <w:color w:val="000000"/>
          <w:sz w:val="24"/>
          <w:szCs w:val="24"/>
          <w:lang w:bidi="en-US"/>
        </w:rPr>
        <w:t>2</w:t>
      </w:r>
      <w:r w:rsidRPr="00D84719">
        <w:rPr>
          <w:rFonts w:ascii="Times New Roman" w:eastAsia="Times New Roman" w:hAnsi="Times New Roman" w:cs="Times New Roman"/>
          <w:color w:val="000000"/>
          <w:sz w:val="24"/>
          <w:szCs w:val="24"/>
          <w:lang w:bidi="en-US"/>
        </w:rPr>
        <w:t>-3 daje pregled specifičnih ciljeva i aktivnosti za upravljanje PFOS-om koje je potrebno ostvariti kako bi se osigurala provedba Stockholmske konvencije.</w:t>
      </w:r>
    </w:p>
    <w:p w14:paraId="4741B205" w14:textId="77777777" w:rsidR="00605EA4" w:rsidRPr="00D84719" w:rsidRDefault="00605EA4" w:rsidP="00D84719">
      <w:pPr>
        <w:spacing w:before="80" w:line="276" w:lineRule="auto"/>
        <w:jc w:val="both"/>
        <w:rPr>
          <w:rFonts w:ascii="Times New Roman" w:eastAsia="Times New Roman" w:hAnsi="Times New Roman" w:cs="Times New Roman"/>
          <w:color w:val="000000"/>
          <w:sz w:val="24"/>
          <w:szCs w:val="24"/>
          <w:lang w:bidi="en-US"/>
        </w:rPr>
      </w:pPr>
    </w:p>
    <w:p w14:paraId="3E573A38" w14:textId="77777777" w:rsidR="00D84719" w:rsidRPr="00D84719" w:rsidRDefault="00D84719" w:rsidP="00D84719">
      <w:pPr>
        <w:keepNext/>
        <w:spacing w:before="80" w:after="0" w:line="276" w:lineRule="auto"/>
        <w:jc w:val="both"/>
        <w:rPr>
          <w:rFonts w:ascii="Times New Roman" w:eastAsia="Times New Roman" w:hAnsi="Times New Roman" w:cs="Times New Roman"/>
          <w:b/>
          <w:bCs/>
          <w:i/>
          <w:sz w:val="20"/>
          <w:szCs w:val="20"/>
        </w:rPr>
      </w:pPr>
      <w:r w:rsidRPr="00D84719">
        <w:rPr>
          <w:rFonts w:ascii="Times New Roman" w:eastAsia="Times New Roman" w:hAnsi="Times New Roman" w:cs="Times New Roman"/>
          <w:b/>
          <w:bCs/>
          <w:i/>
          <w:sz w:val="20"/>
          <w:szCs w:val="20"/>
        </w:rPr>
        <w:t xml:space="preserve">Tablica </w:t>
      </w:r>
      <w:r w:rsidR="00F05F33">
        <w:rPr>
          <w:rFonts w:ascii="Times New Roman" w:eastAsia="Times New Roman" w:hAnsi="Times New Roman" w:cs="Times New Roman"/>
          <w:b/>
          <w:bCs/>
          <w:i/>
          <w:sz w:val="20"/>
          <w:szCs w:val="20"/>
        </w:rPr>
        <w:t>4.2</w:t>
      </w:r>
      <w:r w:rsidRPr="00D84719">
        <w:rPr>
          <w:rFonts w:ascii="Times New Roman" w:eastAsia="Times New Roman" w:hAnsi="Times New Roman" w:cs="Times New Roman"/>
          <w:b/>
          <w:bCs/>
          <w:i/>
          <w:sz w:val="20"/>
          <w:szCs w:val="20"/>
        </w:rPr>
        <w:noBreakHyphen/>
      </w:r>
      <w:r w:rsidRPr="00D84719">
        <w:rPr>
          <w:rFonts w:ascii="Times New Roman" w:eastAsia="Times New Roman" w:hAnsi="Times New Roman" w:cs="Times New Roman"/>
          <w:b/>
          <w:bCs/>
          <w:i/>
          <w:sz w:val="20"/>
          <w:szCs w:val="20"/>
        </w:rPr>
        <w:fldChar w:fldCharType="begin"/>
      </w:r>
      <w:r w:rsidRPr="00D84719">
        <w:rPr>
          <w:rFonts w:ascii="Times New Roman" w:eastAsia="Times New Roman" w:hAnsi="Times New Roman" w:cs="Times New Roman"/>
          <w:b/>
          <w:bCs/>
          <w:i/>
          <w:sz w:val="20"/>
          <w:szCs w:val="20"/>
        </w:rPr>
        <w:instrText xml:space="preserve"> SEQ Tablica \* ARABIC \s 2 </w:instrText>
      </w:r>
      <w:r w:rsidRPr="00D84719">
        <w:rPr>
          <w:rFonts w:ascii="Times New Roman" w:eastAsia="Times New Roman" w:hAnsi="Times New Roman" w:cs="Times New Roman"/>
          <w:b/>
          <w:bCs/>
          <w:i/>
          <w:sz w:val="20"/>
          <w:szCs w:val="20"/>
        </w:rPr>
        <w:fldChar w:fldCharType="separate"/>
      </w:r>
      <w:r w:rsidRPr="00D84719">
        <w:rPr>
          <w:rFonts w:ascii="Times New Roman" w:eastAsia="Times New Roman" w:hAnsi="Times New Roman" w:cs="Times New Roman"/>
          <w:b/>
          <w:bCs/>
          <w:i/>
          <w:sz w:val="20"/>
          <w:szCs w:val="20"/>
        </w:rPr>
        <w:t>3</w:t>
      </w:r>
      <w:r w:rsidRPr="00D84719">
        <w:rPr>
          <w:rFonts w:ascii="Times New Roman" w:eastAsia="Times New Roman" w:hAnsi="Times New Roman" w:cs="Times New Roman"/>
          <w:b/>
          <w:bCs/>
          <w:i/>
          <w:sz w:val="20"/>
          <w:szCs w:val="20"/>
        </w:rPr>
        <w:fldChar w:fldCharType="end"/>
      </w:r>
      <w:r w:rsidRPr="00D84719">
        <w:rPr>
          <w:rFonts w:ascii="Times New Roman" w:eastAsia="Times New Roman" w:hAnsi="Times New Roman" w:cs="Times New Roman"/>
          <w:b/>
          <w:bCs/>
          <w:i/>
          <w:sz w:val="20"/>
          <w:szCs w:val="20"/>
        </w:rPr>
        <w:t xml:space="preserve">: Aktivnost: </w:t>
      </w:r>
      <w:r w:rsidRPr="00D84719">
        <w:rPr>
          <w:rFonts w:ascii="Times New Roman" w:eastAsia="Times New Roman" w:hAnsi="Times New Roman" w:cs="Times New Roman"/>
          <w:b/>
          <w:bCs/>
          <w:i/>
          <w:sz w:val="20"/>
          <w:szCs w:val="20"/>
          <w:lang w:bidi="en-US"/>
        </w:rPr>
        <w:t>Proizvodnja, uvoz i izvoz, uporaba, zalihe i otpad PFOS-a, njegovih soli i PFOSF-a</w:t>
      </w:r>
    </w:p>
    <w:tbl>
      <w:tblPr>
        <w:tblStyle w:val="Reetkatablice11"/>
        <w:tblW w:w="9067" w:type="dxa"/>
        <w:jc w:val="center"/>
        <w:tblLook w:val="04A0" w:firstRow="1" w:lastRow="0" w:firstColumn="1" w:lastColumn="0" w:noHBand="0" w:noVBand="1"/>
      </w:tblPr>
      <w:tblGrid>
        <w:gridCol w:w="3505"/>
        <w:gridCol w:w="2765"/>
        <w:gridCol w:w="1439"/>
        <w:gridCol w:w="1358"/>
      </w:tblGrid>
      <w:tr w:rsidR="00D84719" w:rsidRPr="00D84719" w14:paraId="1E924F9C" w14:textId="77777777" w:rsidTr="00406889">
        <w:trPr>
          <w:tblHeader/>
          <w:jc w:val="center"/>
        </w:trPr>
        <w:tc>
          <w:tcPr>
            <w:tcW w:w="3505" w:type="dxa"/>
            <w:shd w:val="clear" w:color="auto" w:fill="BFBFBF"/>
            <w:vAlign w:val="center"/>
          </w:tcPr>
          <w:p w14:paraId="33613D01" w14:textId="77777777" w:rsidR="00D84719" w:rsidRPr="00D84719" w:rsidRDefault="00D84719" w:rsidP="00D84719">
            <w:pPr>
              <w:jc w:val="center"/>
              <w:rPr>
                <w:rFonts w:ascii="Times New Roman" w:eastAsia="Calibri" w:hAnsi="Times New Roman" w:cs="Times New Roman"/>
                <w:b/>
                <w:bCs/>
                <w:sz w:val="20"/>
                <w:szCs w:val="20"/>
              </w:rPr>
            </w:pPr>
            <w:r w:rsidRPr="00D84719">
              <w:rPr>
                <w:rFonts w:ascii="Times New Roman" w:eastAsia="Calibri" w:hAnsi="Times New Roman" w:cs="Times New Roman"/>
                <w:b/>
                <w:bCs/>
                <w:sz w:val="20"/>
                <w:szCs w:val="20"/>
              </w:rPr>
              <w:t>CILJEVI/MJERE</w:t>
            </w:r>
          </w:p>
        </w:tc>
        <w:tc>
          <w:tcPr>
            <w:tcW w:w="2765" w:type="dxa"/>
            <w:shd w:val="clear" w:color="auto" w:fill="BFBFBF"/>
            <w:vAlign w:val="center"/>
          </w:tcPr>
          <w:p w14:paraId="346E0DDB" w14:textId="77777777" w:rsidR="00D84719" w:rsidRPr="00D84719" w:rsidRDefault="00D84719" w:rsidP="00D84719">
            <w:pPr>
              <w:jc w:val="center"/>
              <w:rPr>
                <w:rFonts w:ascii="Times New Roman" w:eastAsia="Calibri" w:hAnsi="Times New Roman" w:cs="Times New Roman"/>
                <w:b/>
                <w:bCs/>
                <w:sz w:val="20"/>
                <w:szCs w:val="20"/>
              </w:rPr>
            </w:pPr>
            <w:r w:rsidRPr="00D84719">
              <w:rPr>
                <w:rFonts w:ascii="Times New Roman" w:eastAsia="Calibri" w:hAnsi="Times New Roman" w:cs="Times New Roman"/>
                <w:b/>
                <w:bCs/>
                <w:sz w:val="20"/>
                <w:szCs w:val="20"/>
              </w:rPr>
              <w:t>NOSITELJ (STRUČNA I TEHNIČKA POTPORA</w:t>
            </w:r>
          </w:p>
        </w:tc>
        <w:tc>
          <w:tcPr>
            <w:tcW w:w="1439" w:type="dxa"/>
            <w:shd w:val="clear" w:color="auto" w:fill="BFBFBF"/>
            <w:vAlign w:val="center"/>
          </w:tcPr>
          <w:p w14:paraId="7D1650C3" w14:textId="77777777" w:rsidR="00D84719" w:rsidRPr="00D84719" w:rsidRDefault="00D84719" w:rsidP="00D84719">
            <w:pPr>
              <w:jc w:val="center"/>
              <w:rPr>
                <w:rFonts w:ascii="Times New Roman" w:eastAsia="Calibri" w:hAnsi="Times New Roman" w:cs="Times New Roman"/>
                <w:b/>
                <w:bCs/>
                <w:sz w:val="20"/>
                <w:szCs w:val="20"/>
              </w:rPr>
            </w:pPr>
            <w:r w:rsidRPr="00D84719">
              <w:rPr>
                <w:rFonts w:ascii="Times New Roman" w:eastAsia="Calibri" w:hAnsi="Times New Roman" w:cs="Times New Roman"/>
                <w:b/>
                <w:bCs/>
                <w:sz w:val="20"/>
                <w:szCs w:val="20"/>
              </w:rPr>
              <w:t>RAZDOBLJE PROVEDBE</w:t>
            </w:r>
          </w:p>
        </w:tc>
        <w:tc>
          <w:tcPr>
            <w:tcW w:w="1358" w:type="dxa"/>
            <w:shd w:val="clear" w:color="auto" w:fill="BFBFBF"/>
            <w:vAlign w:val="center"/>
          </w:tcPr>
          <w:p w14:paraId="5C25509C" w14:textId="77777777" w:rsidR="00D84719" w:rsidRPr="00D84719" w:rsidRDefault="00D84719" w:rsidP="00D84719">
            <w:pPr>
              <w:jc w:val="center"/>
              <w:rPr>
                <w:rFonts w:ascii="Times New Roman" w:eastAsia="Calibri" w:hAnsi="Times New Roman" w:cs="Times New Roman"/>
                <w:b/>
                <w:bCs/>
                <w:sz w:val="20"/>
                <w:szCs w:val="20"/>
              </w:rPr>
            </w:pPr>
            <w:r w:rsidRPr="00D84719">
              <w:rPr>
                <w:rFonts w:ascii="Times New Roman" w:eastAsia="Calibri" w:hAnsi="Times New Roman" w:cs="Times New Roman"/>
                <w:b/>
                <w:bCs/>
                <w:sz w:val="20"/>
                <w:szCs w:val="20"/>
              </w:rPr>
              <w:t>TROŠAK (HRK)</w:t>
            </w:r>
          </w:p>
        </w:tc>
      </w:tr>
      <w:tr w:rsidR="00D84719" w:rsidRPr="00D84719" w14:paraId="4924E54B" w14:textId="77777777" w:rsidTr="00406889">
        <w:trPr>
          <w:jc w:val="center"/>
        </w:trPr>
        <w:tc>
          <w:tcPr>
            <w:tcW w:w="9067" w:type="dxa"/>
            <w:gridSpan w:val="4"/>
            <w:vAlign w:val="center"/>
          </w:tcPr>
          <w:p w14:paraId="6E04CC77" w14:textId="77777777" w:rsidR="00D84719" w:rsidRPr="00D84719" w:rsidRDefault="00D84719" w:rsidP="00D84719">
            <w:pPr>
              <w:rPr>
                <w:rFonts w:ascii="Times New Roman" w:eastAsia="Calibri" w:hAnsi="Times New Roman" w:cs="Times New Roman"/>
                <w:b/>
                <w:sz w:val="20"/>
                <w:szCs w:val="20"/>
              </w:rPr>
            </w:pPr>
            <w:r w:rsidRPr="00D84719">
              <w:rPr>
                <w:rFonts w:ascii="Times New Roman" w:eastAsia="Calibri" w:hAnsi="Times New Roman" w:cs="Times New Roman"/>
                <w:b/>
                <w:sz w:val="20"/>
                <w:szCs w:val="20"/>
              </w:rPr>
              <w:t>GLAVNI CILJ: IDENTIFICIRANJE I SIGURNO UKLANJANJE PROIZVODA KOJI SADRŽE PFOS/PFOSF NA PODRUČJU REPUBLIKE HRVATSKE</w:t>
            </w:r>
          </w:p>
        </w:tc>
      </w:tr>
      <w:tr w:rsidR="00D84719" w:rsidRPr="00D84719" w14:paraId="0E59ED9D" w14:textId="77777777" w:rsidTr="00406889">
        <w:trPr>
          <w:jc w:val="center"/>
        </w:trPr>
        <w:tc>
          <w:tcPr>
            <w:tcW w:w="9067" w:type="dxa"/>
            <w:gridSpan w:val="4"/>
            <w:vAlign w:val="center"/>
          </w:tcPr>
          <w:p w14:paraId="277D5606" w14:textId="77777777" w:rsidR="00D84719" w:rsidRPr="00D84719" w:rsidRDefault="00D84719" w:rsidP="00D84719">
            <w:pPr>
              <w:rPr>
                <w:rFonts w:ascii="Times New Roman" w:eastAsia="Calibri" w:hAnsi="Times New Roman" w:cs="Times New Roman"/>
                <w:i/>
                <w:sz w:val="20"/>
                <w:szCs w:val="20"/>
              </w:rPr>
            </w:pPr>
            <w:r w:rsidRPr="00D84719">
              <w:rPr>
                <w:rFonts w:ascii="Times New Roman" w:eastAsia="Calibri" w:hAnsi="Times New Roman" w:cs="Times New Roman"/>
                <w:i/>
                <w:sz w:val="20"/>
                <w:szCs w:val="20"/>
              </w:rPr>
              <w:t>Specifični cilj 1: Jačanje tehničkih kapaciteta za upravljanje PFOS-om/PFOSF-om, praćenje stanja</w:t>
            </w:r>
          </w:p>
        </w:tc>
      </w:tr>
      <w:tr w:rsidR="00D84719" w:rsidRPr="00D84719" w14:paraId="3A228F20" w14:textId="77777777" w:rsidTr="00406889">
        <w:trPr>
          <w:jc w:val="center"/>
        </w:trPr>
        <w:tc>
          <w:tcPr>
            <w:tcW w:w="3505" w:type="dxa"/>
            <w:vAlign w:val="center"/>
          </w:tcPr>
          <w:p w14:paraId="2AFD53D0" w14:textId="77777777" w:rsidR="00D84719" w:rsidRPr="00D84719" w:rsidRDefault="00D84719" w:rsidP="00D84719">
            <w:pPr>
              <w:rPr>
                <w:rFonts w:ascii="Times New Roman" w:eastAsia="Calibri" w:hAnsi="Times New Roman" w:cs="Times New Roman"/>
                <w:sz w:val="20"/>
                <w:szCs w:val="20"/>
              </w:rPr>
            </w:pPr>
            <w:r w:rsidRPr="00D84719">
              <w:rPr>
                <w:rFonts w:ascii="Times New Roman" w:eastAsia="Calibri" w:hAnsi="Times New Roman" w:cs="Times New Roman"/>
                <w:sz w:val="20"/>
                <w:szCs w:val="20"/>
              </w:rPr>
              <w:t>Mjera 1.1: Revidirati preliminarni inventar s ciljem izrade detaljnijeg inventara PFOS-a u Republici Hrvatskoj te izraditi Izvješće za potrebe redovnog izvješćivanja prema obvezama Stockholmske konvencije</w:t>
            </w:r>
          </w:p>
        </w:tc>
        <w:tc>
          <w:tcPr>
            <w:tcW w:w="2765" w:type="dxa"/>
            <w:vAlign w:val="center"/>
          </w:tcPr>
          <w:p w14:paraId="538519BE" w14:textId="77777777" w:rsidR="00D84719" w:rsidRPr="00D84719" w:rsidRDefault="00D84719" w:rsidP="00D84719">
            <w:pPr>
              <w:jc w:val="center"/>
              <w:rPr>
                <w:rFonts w:ascii="Times New Roman" w:eastAsia="Calibri" w:hAnsi="Times New Roman" w:cs="Times New Roman"/>
                <w:sz w:val="20"/>
                <w:szCs w:val="20"/>
              </w:rPr>
            </w:pPr>
            <w:r w:rsidRPr="00D84719">
              <w:rPr>
                <w:rFonts w:ascii="Times New Roman" w:eastAsia="Calibri" w:hAnsi="Times New Roman" w:cs="Times New Roman"/>
                <w:sz w:val="20"/>
                <w:szCs w:val="20"/>
              </w:rPr>
              <w:t xml:space="preserve">MINGOR </w:t>
            </w:r>
            <w:r w:rsidRPr="00D84719">
              <w:rPr>
                <w:rFonts w:ascii="Times New Roman" w:eastAsia="Calibri" w:hAnsi="Times New Roman" w:cs="Times New Roman"/>
                <w:color w:val="000000"/>
                <w:sz w:val="20"/>
                <w:szCs w:val="20"/>
              </w:rPr>
              <w:t>(HZJZ - Služba za toksikologiju</w:t>
            </w:r>
            <w:r w:rsidRPr="00D84719">
              <w:rPr>
                <w:rFonts w:ascii="Times New Roman" w:eastAsia="Calibri" w:hAnsi="Times New Roman" w:cs="Times New Roman"/>
                <w:sz w:val="20"/>
                <w:szCs w:val="20"/>
              </w:rPr>
              <w:t>/DZS/Carinska uprava)</w:t>
            </w:r>
          </w:p>
        </w:tc>
        <w:tc>
          <w:tcPr>
            <w:tcW w:w="1439" w:type="dxa"/>
            <w:vAlign w:val="center"/>
          </w:tcPr>
          <w:p w14:paraId="34397D4B" w14:textId="77777777" w:rsidR="00D84719" w:rsidRPr="00D84719" w:rsidRDefault="00D84719" w:rsidP="00D84719">
            <w:pPr>
              <w:jc w:val="center"/>
              <w:rPr>
                <w:rFonts w:ascii="Times New Roman" w:eastAsia="Calibri" w:hAnsi="Times New Roman" w:cs="Times New Roman"/>
                <w:sz w:val="20"/>
                <w:szCs w:val="20"/>
              </w:rPr>
            </w:pPr>
            <w:r w:rsidRPr="00D84719">
              <w:rPr>
                <w:rFonts w:ascii="Times New Roman" w:eastAsia="Calibri" w:hAnsi="Times New Roman" w:cs="Times New Roman"/>
                <w:sz w:val="20"/>
                <w:szCs w:val="20"/>
              </w:rPr>
              <w:t>kontinuirano</w:t>
            </w:r>
          </w:p>
        </w:tc>
        <w:tc>
          <w:tcPr>
            <w:tcW w:w="1358" w:type="dxa"/>
            <w:vAlign w:val="center"/>
          </w:tcPr>
          <w:p w14:paraId="1C8875F9" w14:textId="77777777" w:rsidR="00D84719" w:rsidRPr="00D84719" w:rsidRDefault="00D84719" w:rsidP="00D84719">
            <w:pPr>
              <w:jc w:val="center"/>
              <w:rPr>
                <w:rFonts w:ascii="Times New Roman" w:eastAsia="Calibri" w:hAnsi="Times New Roman" w:cs="Times New Roman"/>
                <w:sz w:val="20"/>
                <w:szCs w:val="20"/>
              </w:rPr>
            </w:pPr>
            <w:r w:rsidRPr="00D84719">
              <w:rPr>
                <w:rFonts w:ascii="Times New Roman" w:eastAsia="Calibri" w:hAnsi="Times New Roman" w:cs="Times New Roman"/>
                <w:sz w:val="20"/>
                <w:szCs w:val="20"/>
              </w:rPr>
              <w:t>0</w:t>
            </w:r>
          </w:p>
        </w:tc>
      </w:tr>
      <w:tr w:rsidR="00D84719" w:rsidRPr="00D84719" w14:paraId="08B6159F" w14:textId="77777777" w:rsidTr="00406889">
        <w:trPr>
          <w:jc w:val="center"/>
        </w:trPr>
        <w:tc>
          <w:tcPr>
            <w:tcW w:w="3505" w:type="dxa"/>
            <w:vAlign w:val="center"/>
          </w:tcPr>
          <w:p w14:paraId="5AD984E8" w14:textId="77777777" w:rsidR="00D84719" w:rsidRPr="00D84719" w:rsidRDefault="00D84719" w:rsidP="00D84719">
            <w:pPr>
              <w:rPr>
                <w:rFonts w:ascii="Times New Roman" w:eastAsia="Calibri" w:hAnsi="Times New Roman" w:cs="Times New Roman"/>
                <w:sz w:val="20"/>
                <w:szCs w:val="20"/>
              </w:rPr>
            </w:pPr>
            <w:r w:rsidRPr="00D84719">
              <w:rPr>
                <w:rFonts w:ascii="Times New Roman" w:eastAsia="Calibri" w:hAnsi="Times New Roman" w:cs="Times New Roman"/>
                <w:sz w:val="20"/>
                <w:szCs w:val="20"/>
              </w:rPr>
              <w:t>Mjera 1.2. Kontrola vatrogasnih sredstava proizvedenih do 2010.</w:t>
            </w:r>
          </w:p>
        </w:tc>
        <w:tc>
          <w:tcPr>
            <w:tcW w:w="2765" w:type="dxa"/>
            <w:vAlign w:val="center"/>
          </w:tcPr>
          <w:p w14:paraId="65CCA0A8" w14:textId="77777777" w:rsidR="00D84719" w:rsidRPr="00D84719" w:rsidRDefault="00D84719" w:rsidP="00B2406E">
            <w:pPr>
              <w:jc w:val="center"/>
              <w:rPr>
                <w:rFonts w:ascii="Times New Roman" w:eastAsia="Calibri" w:hAnsi="Times New Roman" w:cs="Times New Roman"/>
                <w:sz w:val="20"/>
                <w:szCs w:val="20"/>
              </w:rPr>
            </w:pPr>
            <w:r w:rsidRPr="00D84719">
              <w:rPr>
                <w:rFonts w:ascii="Times New Roman" w:eastAsia="Calibri" w:hAnsi="Times New Roman" w:cs="Times New Roman"/>
                <w:sz w:val="20"/>
                <w:szCs w:val="20"/>
              </w:rPr>
              <w:t xml:space="preserve">MINGOR u suradnji s </w:t>
            </w:r>
            <w:r w:rsidR="00B2406E" w:rsidRPr="00B2406E">
              <w:rPr>
                <w:rFonts w:ascii="Times New Roman" w:eastAsia="Calibri" w:hAnsi="Times New Roman" w:cs="Times New Roman"/>
                <w:sz w:val="20"/>
                <w:szCs w:val="20"/>
              </w:rPr>
              <w:t>Hrvatsk</w:t>
            </w:r>
            <w:r w:rsidR="00B2406E">
              <w:rPr>
                <w:rFonts w:ascii="Times New Roman" w:eastAsia="Calibri" w:hAnsi="Times New Roman" w:cs="Times New Roman"/>
                <w:sz w:val="20"/>
                <w:szCs w:val="20"/>
              </w:rPr>
              <w:t>om</w:t>
            </w:r>
            <w:r w:rsidR="00B2406E" w:rsidRPr="00B2406E">
              <w:rPr>
                <w:rFonts w:ascii="Times New Roman" w:eastAsia="Calibri" w:hAnsi="Times New Roman" w:cs="Times New Roman"/>
                <w:sz w:val="20"/>
                <w:szCs w:val="20"/>
              </w:rPr>
              <w:t xml:space="preserve"> vatrogas</w:t>
            </w:r>
            <w:r w:rsidR="00B2406E">
              <w:rPr>
                <w:rFonts w:ascii="Times New Roman" w:eastAsia="Calibri" w:hAnsi="Times New Roman" w:cs="Times New Roman"/>
                <w:sz w:val="20"/>
                <w:szCs w:val="20"/>
              </w:rPr>
              <w:t>nom</w:t>
            </w:r>
            <w:r w:rsidR="00B2406E" w:rsidRPr="00B2406E">
              <w:rPr>
                <w:rFonts w:ascii="Times New Roman" w:eastAsia="Calibri" w:hAnsi="Times New Roman" w:cs="Times New Roman"/>
                <w:sz w:val="20"/>
                <w:szCs w:val="20"/>
              </w:rPr>
              <w:t xml:space="preserve"> zajednic</w:t>
            </w:r>
            <w:r w:rsidR="00B2406E">
              <w:rPr>
                <w:rFonts w:ascii="Times New Roman" w:eastAsia="Calibri" w:hAnsi="Times New Roman" w:cs="Times New Roman"/>
                <w:sz w:val="20"/>
                <w:szCs w:val="20"/>
              </w:rPr>
              <w:t>om</w:t>
            </w:r>
          </w:p>
        </w:tc>
        <w:tc>
          <w:tcPr>
            <w:tcW w:w="1439" w:type="dxa"/>
            <w:vAlign w:val="center"/>
          </w:tcPr>
          <w:p w14:paraId="763C27D7" w14:textId="77777777" w:rsidR="00D84719" w:rsidRPr="00D84719" w:rsidRDefault="00D84719" w:rsidP="00D84719">
            <w:pPr>
              <w:jc w:val="center"/>
              <w:rPr>
                <w:rFonts w:ascii="Times New Roman" w:eastAsia="Calibri" w:hAnsi="Times New Roman" w:cs="Times New Roman"/>
                <w:sz w:val="20"/>
                <w:szCs w:val="20"/>
              </w:rPr>
            </w:pPr>
            <w:r w:rsidRPr="00D84719">
              <w:rPr>
                <w:rFonts w:ascii="Times New Roman" w:eastAsia="Calibri" w:hAnsi="Times New Roman" w:cs="Times New Roman"/>
                <w:sz w:val="20"/>
                <w:szCs w:val="20"/>
              </w:rPr>
              <w:t>prioritetno</w:t>
            </w:r>
          </w:p>
        </w:tc>
        <w:tc>
          <w:tcPr>
            <w:tcW w:w="1358" w:type="dxa"/>
            <w:vAlign w:val="center"/>
          </w:tcPr>
          <w:p w14:paraId="7CD16900" w14:textId="77777777" w:rsidR="00D84719" w:rsidRPr="00D84719" w:rsidRDefault="00D84719" w:rsidP="00D84719">
            <w:pPr>
              <w:jc w:val="center"/>
              <w:rPr>
                <w:rFonts w:ascii="Times New Roman" w:eastAsia="Calibri" w:hAnsi="Times New Roman" w:cs="Times New Roman"/>
                <w:sz w:val="20"/>
                <w:szCs w:val="20"/>
              </w:rPr>
            </w:pPr>
            <w:r w:rsidRPr="00D84719">
              <w:rPr>
                <w:rFonts w:ascii="Times New Roman" w:eastAsia="Calibri" w:hAnsi="Times New Roman" w:cs="Times New Roman"/>
                <w:sz w:val="20"/>
                <w:szCs w:val="20"/>
              </w:rPr>
              <w:t>0</w:t>
            </w:r>
          </w:p>
        </w:tc>
      </w:tr>
      <w:tr w:rsidR="00D84719" w:rsidRPr="00D84719" w14:paraId="52E7FD50" w14:textId="77777777" w:rsidTr="00406889">
        <w:trPr>
          <w:jc w:val="center"/>
        </w:trPr>
        <w:tc>
          <w:tcPr>
            <w:tcW w:w="9067" w:type="dxa"/>
            <w:gridSpan w:val="4"/>
            <w:vAlign w:val="center"/>
          </w:tcPr>
          <w:p w14:paraId="4C682889" w14:textId="77777777" w:rsidR="00D84719" w:rsidRPr="00D84719" w:rsidRDefault="00D84719" w:rsidP="00D84719">
            <w:pPr>
              <w:rPr>
                <w:rFonts w:ascii="Times New Roman" w:eastAsia="Calibri" w:hAnsi="Times New Roman" w:cs="Times New Roman"/>
                <w:i/>
                <w:sz w:val="20"/>
                <w:szCs w:val="20"/>
              </w:rPr>
            </w:pPr>
            <w:r w:rsidRPr="00D84719">
              <w:rPr>
                <w:rFonts w:ascii="Times New Roman" w:eastAsia="Calibri" w:hAnsi="Times New Roman" w:cs="Times New Roman"/>
                <w:i/>
                <w:sz w:val="20"/>
                <w:szCs w:val="20"/>
              </w:rPr>
              <w:t>Specifični cilj 2: Edukacija i podizanje svijesti ciljnih skupina</w:t>
            </w:r>
          </w:p>
        </w:tc>
      </w:tr>
      <w:tr w:rsidR="00D84719" w:rsidRPr="00D84719" w14:paraId="32B486D2" w14:textId="77777777" w:rsidTr="00406889">
        <w:trPr>
          <w:jc w:val="center"/>
        </w:trPr>
        <w:tc>
          <w:tcPr>
            <w:tcW w:w="3505" w:type="dxa"/>
            <w:vAlign w:val="center"/>
          </w:tcPr>
          <w:p w14:paraId="28EDD555" w14:textId="77777777" w:rsidR="00D84719" w:rsidRPr="00D84719" w:rsidRDefault="00D84719" w:rsidP="00D84719">
            <w:pPr>
              <w:rPr>
                <w:rFonts w:ascii="Times New Roman" w:eastAsia="Calibri" w:hAnsi="Times New Roman" w:cs="Times New Roman"/>
                <w:sz w:val="20"/>
                <w:szCs w:val="20"/>
              </w:rPr>
            </w:pPr>
            <w:r w:rsidRPr="00D84719">
              <w:rPr>
                <w:rFonts w:ascii="Times New Roman" w:eastAsia="Calibri" w:hAnsi="Times New Roman" w:cs="Times New Roman"/>
                <w:sz w:val="20"/>
                <w:szCs w:val="20"/>
              </w:rPr>
              <w:t>Mjera 2.1.: Nastavak edukacije</w:t>
            </w:r>
          </w:p>
        </w:tc>
        <w:tc>
          <w:tcPr>
            <w:tcW w:w="2765" w:type="dxa"/>
            <w:vAlign w:val="center"/>
          </w:tcPr>
          <w:p w14:paraId="471DED9A" w14:textId="77777777" w:rsidR="00D84719" w:rsidRPr="00D84719" w:rsidRDefault="00D84719" w:rsidP="00D84719">
            <w:pPr>
              <w:jc w:val="center"/>
              <w:rPr>
                <w:rFonts w:ascii="Times New Roman" w:eastAsia="Calibri" w:hAnsi="Times New Roman" w:cs="Times New Roman"/>
                <w:sz w:val="20"/>
                <w:szCs w:val="20"/>
              </w:rPr>
            </w:pPr>
            <w:r w:rsidRPr="00D84719">
              <w:rPr>
                <w:rFonts w:ascii="Times New Roman" w:eastAsia="Calibri" w:hAnsi="Times New Roman" w:cs="Times New Roman"/>
                <w:sz w:val="20"/>
                <w:szCs w:val="20"/>
              </w:rPr>
              <w:t>MINGOR (MIZ/</w:t>
            </w:r>
            <w:r w:rsidRPr="00D84719">
              <w:rPr>
                <w:rFonts w:ascii="Times New Roman" w:eastAsia="Calibri" w:hAnsi="Times New Roman" w:cs="Times New Roman"/>
                <w:color w:val="000000"/>
                <w:sz w:val="20"/>
                <w:szCs w:val="20"/>
              </w:rPr>
              <w:t xml:space="preserve"> HZJZ - Služba za toksikologiju</w:t>
            </w:r>
            <w:r w:rsidR="00B42A1E">
              <w:rPr>
                <w:rFonts w:ascii="Times New Roman" w:eastAsia="Calibri" w:hAnsi="Times New Roman" w:cs="Times New Roman"/>
                <w:color w:val="000000"/>
                <w:sz w:val="20"/>
                <w:szCs w:val="20"/>
              </w:rPr>
              <w:t>/</w:t>
            </w:r>
            <w:r w:rsidR="009C2757">
              <w:rPr>
                <w:rFonts w:ascii="Times New Roman" w:eastAsia="Calibri" w:hAnsi="Times New Roman" w:cs="Times New Roman"/>
                <w:color w:val="000000"/>
                <w:sz w:val="20"/>
                <w:szCs w:val="20"/>
              </w:rPr>
              <w:t>MUP-</w:t>
            </w:r>
            <w:r w:rsidR="00B42A1E">
              <w:rPr>
                <w:rFonts w:ascii="Times New Roman" w:eastAsia="Calibri" w:hAnsi="Times New Roman" w:cs="Times New Roman"/>
                <w:color w:val="000000"/>
                <w:sz w:val="20"/>
                <w:szCs w:val="20"/>
              </w:rPr>
              <w:t>Civilna zaštita</w:t>
            </w:r>
            <w:r w:rsidRPr="00D84719">
              <w:rPr>
                <w:rFonts w:ascii="Times New Roman" w:eastAsia="Calibri" w:hAnsi="Times New Roman" w:cs="Times New Roman"/>
                <w:sz w:val="20"/>
                <w:szCs w:val="20"/>
              </w:rPr>
              <w:t>)</w:t>
            </w:r>
          </w:p>
        </w:tc>
        <w:tc>
          <w:tcPr>
            <w:tcW w:w="1439" w:type="dxa"/>
            <w:vAlign w:val="center"/>
          </w:tcPr>
          <w:p w14:paraId="623110F9" w14:textId="77777777" w:rsidR="00D84719" w:rsidRPr="00D84719" w:rsidRDefault="00D84719" w:rsidP="00D84719">
            <w:pPr>
              <w:jc w:val="center"/>
              <w:rPr>
                <w:rFonts w:ascii="Times New Roman" w:eastAsia="Calibri" w:hAnsi="Times New Roman" w:cs="Times New Roman"/>
                <w:sz w:val="20"/>
                <w:szCs w:val="20"/>
              </w:rPr>
            </w:pPr>
            <w:r w:rsidRPr="00D84719">
              <w:rPr>
                <w:rFonts w:ascii="Times New Roman" w:eastAsia="Calibri" w:hAnsi="Times New Roman" w:cs="Times New Roman"/>
                <w:sz w:val="20"/>
                <w:szCs w:val="20"/>
              </w:rPr>
              <w:t>kontinuirano</w:t>
            </w:r>
          </w:p>
        </w:tc>
        <w:tc>
          <w:tcPr>
            <w:tcW w:w="1358" w:type="dxa"/>
            <w:vAlign w:val="center"/>
          </w:tcPr>
          <w:p w14:paraId="0F650D1B" w14:textId="77777777" w:rsidR="00D84719" w:rsidRPr="00D84719" w:rsidRDefault="00D84719" w:rsidP="00D84719">
            <w:pPr>
              <w:jc w:val="center"/>
              <w:rPr>
                <w:rFonts w:ascii="Times New Roman" w:eastAsia="Calibri" w:hAnsi="Times New Roman" w:cs="Times New Roman"/>
                <w:sz w:val="20"/>
                <w:szCs w:val="20"/>
              </w:rPr>
            </w:pPr>
            <w:r w:rsidRPr="00D84719">
              <w:rPr>
                <w:rFonts w:ascii="Times New Roman" w:eastAsia="Calibri" w:hAnsi="Times New Roman" w:cs="Times New Roman"/>
                <w:sz w:val="20"/>
                <w:szCs w:val="20"/>
              </w:rPr>
              <w:t>40.000</w:t>
            </w:r>
          </w:p>
        </w:tc>
      </w:tr>
      <w:tr w:rsidR="00D84719" w:rsidRPr="00D84719" w14:paraId="7EE1A06F" w14:textId="77777777" w:rsidTr="00406889">
        <w:trPr>
          <w:jc w:val="center"/>
        </w:trPr>
        <w:tc>
          <w:tcPr>
            <w:tcW w:w="3505" w:type="dxa"/>
            <w:vAlign w:val="center"/>
          </w:tcPr>
          <w:p w14:paraId="52A5011A" w14:textId="77777777" w:rsidR="00D84719" w:rsidRPr="00D84719" w:rsidRDefault="00D84719" w:rsidP="00D84719">
            <w:pPr>
              <w:rPr>
                <w:rFonts w:ascii="Times New Roman" w:eastAsia="Calibri" w:hAnsi="Times New Roman" w:cs="Times New Roman"/>
                <w:b/>
                <w:sz w:val="20"/>
                <w:szCs w:val="20"/>
              </w:rPr>
            </w:pPr>
            <w:r w:rsidRPr="00D84719">
              <w:rPr>
                <w:rFonts w:ascii="Times New Roman" w:eastAsia="Calibri" w:hAnsi="Times New Roman" w:cs="Times New Roman"/>
                <w:b/>
                <w:sz w:val="20"/>
                <w:szCs w:val="20"/>
              </w:rPr>
              <w:t>UKUPNO</w:t>
            </w:r>
          </w:p>
        </w:tc>
        <w:tc>
          <w:tcPr>
            <w:tcW w:w="2765" w:type="dxa"/>
            <w:vAlign w:val="center"/>
          </w:tcPr>
          <w:p w14:paraId="1F2821FB" w14:textId="77777777" w:rsidR="00D84719" w:rsidRPr="00D84719" w:rsidRDefault="00D84719" w:rsidP="00D84719">
            <w:pPr>
              <w:jc w:val="center"/>
              <w:rPr>
                <w:rFonts w:ascii="Times New Roman" w:eastAsia="Calibri" w:hAnsi="Times New Roman" w:cs="Times New Roman"/>
                <w:sz w:val="20"/>
                <w:szCs w:val="20"/>
              </w:rPr>
            </w:pPr>
          </w:p>
        </w:tc>
        <w:tc>
          <w:tcPr>
            <w:tcW w:w="1439" w:type="dxa"/>
            <w:vAlign w:val="center"/>
          </w:tcPr>
          <w:p w14:paraId="61AC645C" w14:textId="77777777" w:rsidR="00D84719" w:rsidRPr="00D84719" w:rsidRDefault="00D84719" w:rsidP="00D84719">
            <w:pPr>
              <w:jc w:val="center"/>
              <w:rPr>
                <w:rFonts w:ascii="Times New Roman" w:eastAsia="Calibri" w:hAnsi="Times New Roman" w:cs="Times New Roman"/>
                <w:sz w:val="20"/>
                <w:szCs w:val="20"/>
              </w:rPr>
            </w:pPr>
          </w:p>
        </w:tc>
        <w:tc>
          <w:tcPr>
            <w:tcW w:w="1358" w:type="dxa"/>
            <w:vAlign w:val="center"/>
          </w:tcPr>
          <w:p w14:paraId="2D9316E2" w14:textId="77777777" w:rsidR="00D84719" w:rsidRPr="00D84719" w:rsidRDefault="00D84719" w:rsidP="00D84719">
            <w:pPr>
              <w:jc w:val="center"/>
              <w:rPr>
                <w:rFonts w:ascii="Times New Roman" w:eastAsia="Calibri" w:hAnsi="Times New Roman" w:cs="Times New Roman"/>
                <w:b/>
                <w:sz w:val="20"/>
                <w:szCs w:val="20"/>
              </w:rPr>
            </w:pPr>
            <w:r w:rsidRPr="00D84719">
              <w:rPr>
                <w:rFonts w:ascii="Times New Roman" w:eastAsia="Calibri" w:hAnsi="Times New Roman" w:cs="Times New Roman"/>
                <w:b/>
                <w:sz w:val="20"/>
                <w:szCs w:val="20"/>
              </w:rPr>
              <w:t>40.000</w:t>
            </w:r>
          </w:p>
        </w:tc>
      </w:tr>
    </w:tbl>
    <w:p w14:paraId="30D4B557" w14:textId="77777777" w:rsidR="00D84719" w:rsidRPr="00D84719" w:rsidRDefault="00D84719" w:rsidP="00D84719">
      <w:pPr>
        <w:spacing w:before="80" w:line="276" w:lineRule="auto"/>
        <w:jc w:val="both"/>
        <w:rPr>
          <w:rFonts w:ascii="Times New Roman" w:eastAsia="Times New Roman" w:hAnsi="Times New Roman" w:cs="Times New Roman"/>
          <w:color w:val="000000"/>
          <w:szCs w:val="24"/>
          <w:lang w:bidi="en-US"/>
        </w:rPr>
      </w:pPr>
    </w:p>
    <w:p w14:paraId="6B3D9D8C"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 xml:space="preserve">Ministarstvo nadležno za poslove zaštite okoliša izdalo je „Vodič za sigurno rukovanje i gospodarenje otpadom postojanim organskim </w:t>
      </w:r>
      <w:r w:rsidR="004628FB" w:rsidRPr="00D84719">
        <w:rPr>
          <w:rFonts w:ascii="Times New Roman" w:eastAsia="Times New Roman" w:hAnsi="Times New Roman" w:cs="Times New Roman"/>
          <w:color w:val="000000"/>
          <w:sz w:val="24"/>
          <w:szCs w:val="24"/>
          <w:lang w:bidi="en-US"/>
        </w:rPr>
        <w:t>onečišćujućim</w:t>
      </w:r>
      <w:r w:rsidRPr="00D84719">
        <w:rPr>
          <w:rFonts w:ascii="Times New Roman" w:eastAsia="Times New Roman" w:hAnsi="Times New Roman" w:cs="Times New Roman"/>
          <w:color w:val="000000"/>
          <w:sz w:val="24"/>
          <w:szCs w:val="24"/>
          <w:lang w:bidi="en-US"/>
        </w:rPr>
        <w:t xml:space="preserve"> tvarima (POPs – PBDE, PFOS i HBCD)“ u sklopu Radionice o jačanju svijesti o štetnosti POPs-ova i mogućnostima </w:t>
      </w:r>
      <w:r w:rsidR="004628FB" w:rsidRPr="00D84719">
        <w:rPr>
          <w:rFonts w:ascii="Times New Roman" w:eastAsia="Times New Roman" w:hAnsi="Times New Roman" w:cs="Times New Roman"/>
          <w:color w:val="000000"/>
          <w:sz w:val="24"/>
          <w:szCs w:val="24"/>
          <w:lang w:bidi="en-US"/>
        </w:rPr>
        <w:t>unaprjeđenja</w:t>
      </w:r>
      <w:r w:rsidRPr="00D84719">
        <w:rPr>
          <w:rFonts w:ascii="Times New Roman" w:eastAsia="Times New Roman" w:hAnsi="Times New Roman" w:cs="Times New Roman"/>
          <w:color w:val="000000"/>
          <w:sz w:val="24"/>
          <w:szCs w:val="24"/>
          <w:lang w:bidi="en-US"/>
        </w:rPr>
        <w:t xml:space="preserve"> postojećeg sustava praćenja/monitoringa POPs-ova u okoliš. Spomenuti vodič nalazi se na mrežnim stranicama Ministarstva.</w:t>
      </w:r>
    </w:p>
    <w:p w14:paraId="35D206FC"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p>
    <w:p w14:paraId="5562C697" w14:textId="77777777" w:rsidR="00D84719" w:rsidRPr="00D84719" w:rsidRDefault="00D84719" w:rsidP="00C74901">
      <w:pPr>
        <w:pStyle w:val="Naslov3"/>
      </w:pPr>
      <w:bookmarkStart w:id="285" w:name="_Toc40439460"/>
      <w:bookmarkStart w:id="286" w:name="_Toc50635630"/>
      <w:bookmarkStart w:id="287" w:name="_Toc64460771"/>
      <w:r w:rsidRPr="00D84719">
        <w:t>Aktivnost: Proizvodnja, uvoz i izvoz, uporaba, zalihe i otpad HBCD-a</w:t>
      </w:r>
      <w:bookmarkEnd w:id="285"/>
      <w:bookmarkEnd w:id="286"/>
      <w:bookmarkEnd w:id="287"/>
    </w:p>
    <w:p w14:paraId="49696EEA"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Preliminarnim inventarom utvrđeno je da ne postoje podaci o proizvodnji HBCD-a u Republici Hrvatskoj, no potvrđena je uporaba HBCD-a. Tvrtke koje su uvozile/upotrebljavale HBCD u procesu su zamjene HBCD-a drugim manje štetnim zamjenskim rješenjima.</w:t>
      </w:r>
    </w:p>
    <w:p w14:paraId="6CD0DB99"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Zahtjevi Stockholmske konvencije u pogledu tzv. novih POPs-ova, u koje spadaju i HBCD uključuju:</w:t>
      </w:r>
    </w:p>
    <w:p w14:paraId="23857F8F" w14:textId="77777777" w:rsidR="00D84719" w:rsidRP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lastRenderedPageBreak/>
        <w:t>provođenje mjera nadzora za svaku kemikaliju navedenu u popisu Stockholmske konvencije (članci 3. i 4.)</w:t>
      </w:r>
    </w:p>
    <w:p w14:paraId="537B57E8" w14:textId="77777777" w:rsidR="00D84719" w:rsidRP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izradu inventara kemikalija u zalihama (članak 6.)</w:t>
      </w:r>
    </w:p>
    <w:p w14:paraId="3DE839A5" w14:textId="77777777" w:rsidR="00D84719" w:rsidRP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izradu ažuriranog i revidiranog NIP-a (članak 7.)</w:t>
      </w:r>
    </w:p>
    <w:p w14:paraId="10F84B08" w14:textId="77777777" w:rsidR="00D84719" w:rsidRP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uključivanje „novih“ kemikalija, u koje spadaju HBCD u izvješćivanje (članak 15.) i</w:t>
      </w:r>
    </w:p>
    <w:p w14:paraId="20632E73" w14:textId="77777777" w:rsid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uključivanje „novih“ kemikalija, u koje spadaju HBCD u program za ocjenu učinkovitosti (članak 16.).</w:t>
      </w:r>
    </w:p>
    <w:p w14:paraId="17F9C2A1" w14:textId="77777777" w:rsidR="00605EA4" w:rsidRPr="00D84719" w:rsidRDefault="00605EA4" w:rsidP="00605EA4">
      <w:pPr>
        <w:tabs>
          <w:tab w:val="left" w:pos="1755"/>
        </w:tabs>
        <w:autoSpaceDE w:val="0"/>
        <w:autoSpaceDN w:val="0"/>
        <w:adjustRightInd w:val="0"/>
        <w:spacing w:before="80" w:after="0" w:line="240" w:lineRule="auto"/>
        <w:ind w:left="720"/>
        <w:jc w:val="both"/>
        <w:rPr>
          <w:rFonts w:ascii="Times New Roman" w:eastAsia="Calibri" w:hAnsi="Times New Roman" w:cs="Times New Roman"/>
          <w:sz w:val="24"/>
          <w:lang w:bidi="en-US"/>
        </w:rPr>
      </w:pPr>
    </w:p>
    <w:p w14:paraId="63AC4D96"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Za uspješnu provedbu svih obveza iz Stockholmske konvencije koje se odnose na glavni cilj ove aktivnosti – uspostavu odgovarajućeg upravljanja HBCD-om u Republici Hrvatskoj, identificirane su konkretne mjere i aktivnosti koje je potrebno provesti, u skladu s definiranim prioritetima i ciljevima.</w:t>
      </w:r>
    </w:p>
    <w:p w14:paraId="64296F0C"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Specifični ciljevi su sljedeći:</w:t>
      </w:r>
    </w:p>
    <w:p w14:paraId="24960D5B" w14:textId="77777777" w:rsidR="00D84719" w:rsidRPr="00D84719" w:rsidRDefault="00D84719" w:rsidP="00605EA4">
      <w:pPr>
        <w:numPr>
          <w:ilvl w:val="0"/>
          <w:numId w:val="43"/>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jačanje tehničkih kapaciteta za upravljanje HBCD-om s ciljem praćenja provedbe zbrinjavanja zaliha na okolišno prihvatljiv način i</w:t>
      </w:r>
    </w:p>
    <w:p w14:paraId="2B8B2869" w14:textId="77777777" w:rsidR="00D84719" w:rsidRPr="00D84719" w:rsidRDefault="00D84719" w:rsidP="00605EA4">
      <w:pPr>
        <w:numPr>
          <w:ilvl w:val="0"/>
          <w:numId w:val="43"/>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edukacija i podizanje svijesti ciljnih skupina.</w:t>
      </w:r>
    </w:p>
    <w:p w14:paraId="149A2182" w14:textId="77777777" w:rsidR="00D84719" w:rsidRPr="00D84719" w:rsidRDefault="00D84719" w:rsidP="00D84719">
      <w:pPr>
        <w:tabs>
          <w:tab w:val="left" w:pos="1755"/>
        </w:tabs>
        <w:autoSpaceDE w:val="0"/>
        <w:autoSpaceDN w:val="0"/>
        <w:adjustRightInd w:val="0"/>
        <w:spacing w:after="0" w:line="240" w:lineRule="auto"/>
        <w:ind w:left="720"/>
        <w:jc w:val="both"/>
        <w:rPr>
          <w:rFonts w:ascii="Times New Roman" w:eastAsia="Calibri" w:hAnsi="Times New Roman" w:cs="Times New Roman"/>
          <w:sz w:val="24"/>
          <w:lang w:bidi="en-US"/>
        </w:rPr>
      </w:pPr>
    </w:p>
    <w:p w14:paraId="78043823" w14:textId="77777777" w:rsidR="00D84719" w:rsidRPr="00D84719" w:rsidRDefault="00D84719" w:rsidP="00605EA4">
      <w:pPr>
        <w:pStyle w:val="Naslov4"/>
      </w:pPr>
      <w:bookmarkStart w:id="288" w:name="_Toc64460772"/>
      <w:r w:rsidRPr="00D84719">
        <w:t>Jačanje tehničkih kapaciteta za upravljanje HBCD-om</w:t>
      </w:r>
      <w:bookmarkEnd w:id="288"/>
    </w:p>
    <w:p w14:paraId="54EA9498"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Predložene mjere:</w:t>
      </w:r>
    </w:p>
    <w:p w14:paraId="46536B0D" w14:textId="77777777" w:rsidR="00D84719" w:rsidRP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redovito voditi evidenciju o preostalim zalihama (za potrebe redovnog izvješćivanja po obvezama Stockholmske konvencije i POPs Uredbe) i</w:t>
      </w:r>
    </w:p>
    <w:p w14:paraId="093EB7C7" w14:textId="77777777" w:rsidR="00D84719" w:rsidRP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informiranje i analiza mogućnosti i metodologije brze detekcije HBCD-a.</w:t>
      </w:r>
    </w:p>
    <w:p w14:paraId="461D0FE7" w14:textId="77777777" w:rsidR="00D84719" w:rsidRPr="00D84719" w:rsidRDefault="00D84719" w:rsidP="00D84719">
      <w:pPr>
        <w:tabs>
          <w:tab w:val="left" w:pos="1755"/>
        </w:tabs>
        <w:autoSpaceDE w:val="0"/>
        <w:autoSpaceDN w:val="0"/>
        <w:adjustRightInd w:val="0"/>
        <w:spacing w:after="0" w:line="240" w:lineRule="auto"/>
        <w:ind w:left="720"/>
        <w:jc w:val="both"/>
        <w:rPr>
          <w:rFonts w:ascii="Times New Roman" w:eastAsia="Calibri" w:hAnsi="Times New Roman" w:cs="Times New Roman"/>
          <w:sz w:val="24"/>
          <w:lang w:bidi="en-US"/>
        </w:rPr>
      </w:pPr>
    </w:p>
    <w:p w14:paraId="63F7FD1D" w14:textId="77777777" w:rsidR="00D84719" w:rsidRPr="00D84719" w:rsidRDefault="00D84719" w:rsidP="00605EA4">
      <w:pPr>
        <w:pStyle w:val="Naslov4"/>
      </w:pPr>
      <w:bookmarkStart w:id="289" w:name="_Toc64460773"/>
      <w:r w:rsidRPr="00D84719">
        <w:t>Edukacija i podizanje svijesti ciljnih skupina</w:t>
      </w:r>
      <w:bookmarkEnd w:id="289"/>
    </w:p>
    <w:p w14:paraId="3BB62677"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Predložena mjera:</w:t>
      </w:r>
    </w:p>
    <w:p w14:paraId="55EE7068" w14:textId="77777777" w:rsid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 xml:space="preserve">pripremiti dodatne informativne materijale o mogućim izvorima, štetnosti za zdravlje i okoliš, zamjenskim sredstvima te kako na okolišno prihvatljiv način gospodariti otpadom koji ga potencijalno sadrži sukladno izrađenom Vodiču </w:t>
      </w:r>
      <w:r w:rsidRPr="00D84719">
        <w:rPr>
          <w:rFonts w:ascii="Times New Roman" w:eastAsia="Calibri" w:hAnsi="Times New Roman" w:cs="Times New Roman"/>
          <w:sz w:val="24"/>
        </w:rPr>
        <w:t>za sigurno rukovanje i gospodarenje postojanim organskim onečišćujućim tvarima (POPs-PBDE, PFOS i HBCD).</w:t>
      </w:r>
    </w:p>
    <w:p w14:paraId="375B2311" w14:textId="77777777" w:rsidR="00605EA4" w:rsidRPr="00D84719" w:rsidRDefault="00605EA4" w:rsidP="00605EA4">
      <w:pPr>
        <w:tabs>
          <w:tab w:val="left" w:pos="1755"/>
        </w:tabs>
        <w:autoSpaceDE w:val="0"/>
        <w:autoSpaceDN w:val="0"/>
        <w:adjustRightInd w:val="0"/>
        <w:spacing w:before="80" w:after="0" w:line="240" w:lineRule="auto"/>
        <w:ind w:left="720"/>
        <w:jc w:val="both"/>
        <w:rPr>
          <w:rFonts w:ascii="Times New Roman" w:eastAsia="Calibri" w:hAnsi="Times New Roman" w:cs="Times New Roman"/>
          <w:sz w:val="24"/>
          <w:lang w:bidi="en-US"/>
        </w:rPr>
      </w:pPr>
    </w:p>
    <w:p w14:paraId="3E5D227C"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 xml:space="preserve">Nastavno na edukaciju i podizanje svijesti ciljnih skupina Drugim NIP-om predložena je mjera pripreme informativnog materijala o mogućim izvorima, štetnosti na zdravlje i okoliš, zamjenskim sredstvima te kako na okolišno prihvatljiv način gospodariti otpadom koji ga potencijalno sadrži. </w:t>
      </w:r>
    </w:p>
    <w:p w14:paraId="1600CAB0"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 xml:space="preserve">Sukladno predloženoj mjeri izrađen je Vodič </w:t>
      </w:r>
      <w:r w:rsidRPr="00D84719">
        <w:rPr>
          <w:rFonts w:ascii="Times New Roman" w:eastAsia="Times New Roman" w:hAnsi="Times New Roman" w:cs="Times New Roman"/>
          <w:color w:val="000000"/>
          <w:sz w:val="24"/>
          <w:szCs w:val="24"/>
        </w:rPr>
        <w:t xml:space="preserve">za sigurno rukovanje i gospodarenje postojanim organskim onečišćujućim tvarima (POPs-PBDE, PFOS i HBCD) temeljen na tehničkim </w:t>
      </w:r>
      <w:r w:rsidRPr="00D84719">
        <w:rPr>
          <w:rFonts w:ascii="Times New Roman" w:eastAsia="Times New Roman" w:hAnsi="Times New Roman" w:cs="Times New Roman"/>
          <w:color w:val="000000"/>
          <w:sz w:val="24"/>
          <w:szCs w:val="24"/>
          <w:lang w:bidi="en-US"/>
        </w:rPr>
        <w:t>smjernicama o okolišno prihvatljivom gospodarenju otpadom koji sadrži POPs-ove (UNEP-CHWCOP.12-BC-12/3).</w:t>
      </w:r>
    </w:p>
    <w:p w14:paraId="376C7B09" w14:textId="77777777" w:rsid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lastRenderedPageBreak/>
        <w:t>Opis mjera i aktivnosti koje je potrebno provesti u cilju ispunjenja svih obveza iz Stockholmske konvencije koje se odnose na upravljanje HBCD-om u Republici Hrvatskoj, utvrđivanje institucija odgovornih za njihovu provedbu te vremenski plan i procijenjena potrebna financijska sredstva dani su u tablici 4.</w:t>
      </w:r>
      <w:r w:rsidR="00F05F33">
        <w:rPr>
          <w:rFonts w:ascii="Times New Roman" w:eastAsia="Times New Roman" w:hAnsi="Times New Roman" w:cs="Times New Roman"/>
          <w:color w:val="000000"/>
          <w:sz w:val="24"/>
          <w:szCs w:val="24"/>
          <w:lang w:bidi="en-US"/>
        </w:rPr>
        <w:t>2</w:t>
      </w:r>
      <w:r w:rsidRPr="00D84719">
        <w:rPr>
          <w:rFonts w:ascii="Times New Roman" w:eastAsia="Times New Roman" w:hAnsi="Times New Roman" w:cs="Times New Roman"/>
          <w:color w:val="000000"/>
          <w:sz w:val="24"/>
          <w:szCs w:val="24"/>
          <w:lang w:bidi="en-US"/>
        </w:rPr>
        <w:t>-4.</w:t>
      </w:r>
    </w:p>
    <w:p w14:paraId="57B8CB7B" w14:textId="77777777" w:rsidR="00605EA4" w:rsidRPr="00D84719" w:rsidRDefault="00605EA4" w:rsidP="00D84719">
      <w:pPr>
        <w:spacing w:before="80" w:line="276" w:lineRule="auto"/>
        <w:jc w:val="both"/>
        <w:rPr>
          <w:rFonts w:ascii="Times New Roman" w:eastAsia="Times New Roman" w:hAnsi="Times New Roman" w:cs="Times New Roman"/>
          <w:color w:val="000000"/>
          <w:sz w:val="24"/>
          <w:szCs w:val="24"/>
          <w:lang w:bidi="en-US"/>
        </w:rPr>
      </w:pPr>
    </w:p>
    <w:p w14:paraId="676304E6" w14:textId="77777777" w:rsidR="00D84719" w:rsidRPr="00D84719" w:rsidRDefault="00D84719" w:rsidP="00D84719">
      <w:pPr>
        <w:keepNext/>
        <w:spacing w:before="80" w:after="0" w:line="276" w:lineRule="auto"/>
        <w:jc w:val="both"/>
        <w:rPr>
          <w:rFonts w:ascii="Times New Roman" w:eastAsia="Times New Roman" w:hAnsi="Times New Roman" w:cs="Times New Roman"/>
          <w:b/>
          <w:bCs/>
          <w:i/>
          <w:sz w:val="20"/>
          <w:szCs w:val="20"/>
        </w:rPr>
      </w:pPr>
      <w:r w:rsidRPr="00D84719">
        <w:rPr>
          <w:rFonts w:ascii="Times New Roman" w:eastAsia="Times New Roman" w:hAnsi="Times New Roman" w:cs="Times New Roman"/>
          <w:b/>
          <w:bCs/>
          <w:i/>
          <w:sz w:val="20"/>
          <w:szCs w:val="20"/>
        </w:rPr>
        <w:t xml:space="preserve">Tablica </w:t>
      </w:r>
      <w:r w:rsidR="00F05F33">
        <w:rPr>
          <w:rFonts w:ascii="Times New Roman" w:eastAsia="Times New Roman" w:hAnsi="Times New Roman" w:cs="Times New Roman"/>
          <w:b/>
          <w:bCs/>
          <w:i/>
          <w:sz w:val="20"/>
          <w:szCs w:val="20"/>
        </w:rPr>
        <w:t>4.2</w:t>
      </w:r>
      <w:r w:rsidRPr="00D84719">
        <w:rPr>
          <w:rFonts w:ascii="Times New Roman" w:eastAsia="Times New Roman" w:hAnsi="Times New Roman" w:cs="Times New Roman"/>
          <w:b/>
          <w:bCs/>
          <w:i/>
          <w:sz w:val="20"/>
          <w:szCs w:val="20"/>
        </w:rPr>
        <w:noBreakHyphen/>
      </w:r>
      <w:r w:rsidRPr="00D84719">
        <w:rPr>
          <w:rFonts w:ascii="Times New Roman" w:eastAsia="Times New Roman" w:hAnsi="Times New Roman" w:cs="Times New Roman"/>
          <w:b/>
          <w:bCs/>
          <w:i/>
          <w:sz w:val="20"/>
          <w:szCs w:val="20"/>
        </w:rPr>
        <w:fldChar w:fldCharType="begin"/>
      </w:r>
      <w:r w:rsidRPr="00D84719">
        <w:rPr>
          <w:rFonts w:ascii="Times New Roman" w:eastAsia="Times New Roman" w:hAnsi="Times New Roman" w:cs="Times New Roman"/>
          <w:b/>
          <w:bCs/>
          <w:i/>
          <w:sz w:val="20"/>
          <w:szCs w:val="20"/>
        </w:rPr>
        <w:instrText xml:space="preserve"> SEQ Tablica \* ARABIC \s 2 </w:instrText>
      </w:r>
      <w:r w:rsidRPr="00D84719">
        <w:rPr>
          <w:rFonts w:ascii="Times New Roman" w:eastAsia="Times New Roman" w:hAnsi="Times New Roman" w:cs="Times New Roman"/>
          <w:b/>
          <w:bCs/>
          <w:i/>
          <w:sz w:val="20"/>
          <w:szCs w:val="20"/>
        </w:rPr>
        <w:fldChar w:fldCharType="separate"/>
      </w:r>
      <w:r w:rsidRPr="00D84719">
        <w:rPr>
          <w:rFonts w:ascii="Times New Roman" w:eastAsia="Times New Roman" w:hAnsi="Times New Roman" w:cs="Times New Roman"/>
          <w:b/>
          <w:bCs/>
          <w:i/>
          <w:sz w:val="20"/>
          <w:szCs w:val="20"/>
        </w:rPr>
        <w:t>4</w:t>
      </w:r>
      <w:r w:rsidRPr="00D84719">
        <w:rPr>
          <w:rFonts w:ascii="Times New Roman" w:eastAsia="Times New Roman" w:hAnsi="Times New Roman" w:cs="Times New Roman"/>
          <w:b/>
          <w:bCs/>
          <w:i/>
          <w:sz w:val="20"/>
          <w:szCs w:val="20"/>
        </w:rPr>
        <w:fldChar w:fldCharType="end"/>
      </w:r>
      <w:r w:rsidRPr="00D84719">
        <w:rPr>
          <w:rFonts w:ascii="Times New Roman" w:eastAsia="Times New Roman" w:hAnsi="Times New Roman" w:cs="Times New Roman"/>
          <w:b/>
          <w:bCs/>
          <w:i/>
          <w:sz w:val="20"/>
          <w:szCs w:val="20"/>
        </w:rPr>
        <w:t>: Aktivnost: Proizvodnja, uvoz i izvoz, uporaba, zalihe i otpad HBCD-a</w:t>
      </w:r>
    </w:p>
    <w:tbl>
      <w:tblPr>
        <w:tblStyle w:val="Reetkatablice11"/>
        <w:tblW w:w="0" w:type="auto"/>
        <w:jc w:val="center"/>
        <w:tblLook w:val="04A0" w:firstRow="1" w:lastRow="0" w:firstColumn="1" w:lastColumn="0" w:noHBand="0" w:noVBand="1"/>
      </w:tblPr>
      <w:tblGrid>
        <w:gridCol w:w="3505"/>
        <w:gridCol w:w="2765"/>
        <w:gridCol w:w="1439"/>
        <w:gridCol w:w="1256"/>
      </w:tblGrid>
      <w:tr w:rsidR="00D84719" w:rsidRPr="00D84719" w14:paraId="0AA92E56" w14:textId="77777777" w:rsidTr="00F831D6">
        <w:trPr>
          <w:tblHeader/>
          <w:jc w:val="center"/>
        </w:trPr>
        <w:tc>
          <w:tcPr>
            <w:tcW w:w="3505" w:type="dxa"/>
            <w:shd w:val="clear" w:color="auto" w:fill="BFBFBF"/>
            <w:vAlign w:val="center"/>
          </w:tcPr>
          <w:p w14:paraId="5CBFD5E0" w14:textId="77777777" w:rsidR="00D84719" w:rsidRPr="00D84719" w:rsidRDefault="00D84719" w:rsidP="00D84719">
            <w:pPr>
              <w:jc w:val="center"/>
              <w:rPr>
                <w:rFonts w:ascii="Times New Roman" w:eastAsia="Calibri" w:hAnsi="Times New Roman" w:cs="Times New Roman"/>
                <w:b/>
                <w:bCs/>
                <w:sz w:val="20"/>
                <w:szCs w:val="20"/>
              </w:rPr>
            </w:pPr>
            <w:r w:rsidRPr="00D84719">
              <w:rPr>
                <w:rFonts w:ascii="Times New Roman" w:eastAsia="Calibri" w:hAnsi="Times New Roman" w:cs="Times New Roman"/>
                <w:b/>
                <w:bCs/>
                <w:sz w:val="20"/>
                <w:szCs w:val="20"/>
              </w:rPr>
              <w:t>CILJEVI/MJERE</w:t>
            </w:r>
          </w:p>
        </w:tc>
        <w:tc>
          <w:tcPr>
            <w:tcW w:w="2765" w:type="dxa"/>
            <w:shd w:val="clear" w:color="auto" w:fill="BFBFBF"/>
            <w:vAlign w:val="center"/>
          </w:tcPr>
          <w:p w14:paraId="467CE8E9" w14:textId="77777777" w:rsidR="00D84719" w:rsidRPr="00D84719" w:rsidRDefault="00D84719" w:rsidP="00D84719">
            <w:pPr>
              <w:jc w:val="center"/>
              <w:rPr>
                <w:rFonts w:ascii="Times New Roman" w:eastAsia="Calibri" w:hAnsi="Times New Roman" w:cs="Times New Roman"/>
                <w:b/>
                <w:bCs/>
                <w:sz w:val="20"/>
                <w:szCs w:val="20"/>
              </w:rPr>
            </w:pPr>
            <w:r w:rsidRPr="00D84719">
              <w:rPr>
                <w:rFonts w:ascii="Times New Roman" w:eastAsia="Calibri" w:hAnsi="Times New Roman" w:cs="Times New Roman"/>
                <w:b/>
                <w:bCs/>
                <w:sz w:val="20"/>
                <w:szCs w:val="20"/>
              </w:rPr>
              <w:t>NOSITELJ (STRUČNA I TEHNIČKA POTPORA</w:t>
            </w:r>
          </w:p>
        </w:tc>
        <w:tc>
          <w:tcPr>
            <w:tcW w:w="1439" w:type="dxa"/>
            <w:shd w:val="clear" w:color="auto" w:fill="BFBFBF"/>
            <w:vAlign w:val="center"/>
          </w:tcPr>
          <w:p w14:paraId="41001A1F" w14:textId="77777777" w:rsidR="00D84719" w:rsidRPr="00D84719" w:rsidRDefault="00D84719" w:rsidP="00D84719">
            <w:pPr>
              <w:jc w:val="center"/>
              <w:rPr>
                <w:rFonts w:ascii="Times New Roman" w:eastAsia="Calibri" w:hAnsi="Times New Roman" w:cs="Times New Roman"/>
                <w:b/>
                <w:bCs/>
                <w:sz w:val="20"/>
                <w:szCs w:val="20"/>
              </w:rPr>
            </w:pPr>
            <w:r w:rsidRPr="00D84719">
              <w:rPr>
                <w:rFonts w:ascii="Times New Roman" w:eastAsia="Calibri" w:hAnsi="Times New Roman" w:cs="Times New Roman"/>
                <w:b/>
                <w:bCs/>
                <w:sz w:val="20"/>
                <w:szCs w:val="20"/>
              </w:rPr>
              <w:t>RAZDOBLJE PROVEDBE</w:t>
            </w:r>
          </w:p>
        </w:tc>
        <w:tc>
          <w:tcPr>
            <w:tcW w:w="1256" w:type="dxa"/>
            <w:shd w:val="clear" w:color="auto" w:fill="BFBFBF"/>
            <w:vAlign w:val="center"/>
          </w:tcPr>
          <w:p w14:paraId="3BF6EB2F" w14:textId="77777777" w:rsidR="00D84719" w:rsidRPr="00D84719" w:rsidRDefault="00D84719" w:rsidP="00D84719">
            <w:pPr>
              <w:jc w:val="center"/>
              <w:rPr>
                <w:rFonts w:ascii="Times New Roman" w:eastAsia="Calibri" w:hAnsi="Times New Roman" w:cs="Times New Roman"/>
                <w:b/>
                <w:bCs/>
                <w:sz w:val="20"/>
                <w:szCs w:val="20"/>
              </w:rPr>
            </w:pPr>
            <w:r w:rsidRPr="00D84719">
              <w:rPr>
                <w:rFonts w:ascii="Times New Roman" w:eastAsia="Calibri" w:hAnsi="Times New Roman" w:cs="Times New Roman"/>
                <w:b/>
                <w:bCs/>
                <w:sz w:val="20"/>
                <w:szCs w:val="20"/>
              </w:rPr>
              <w:t>TROŠAK (HRK)</w:t>
            </w:r>
          </w:p>
        </w:tc>
      </w:tr>
      <w:tr w:rsidR="00D84719" w:rsidRPr="00D84719" w14:paraId="5A3D8117" w14:textId="77777777" w:rsidTr="00F831D6">
        <w:trPr>
          <w:jc w:val="center"/>
        </w:trPr>
        <w:tc>
          <w:tcPr>
            <w:tcW w:w="8965" w:type="dxa"/>
            <w:gridSpan w:val="4"/>
            <w:vAlign w:val="center"/>
          </w:tcPr>
          <w:p w14:paraId="17635EEE" w14:textId="77777777" w:rsidR="00D84719" w:rsidRPr="00D84719" w:rsidRDefault="00D84719" w:rsidP="00D84719">
            <w:pPr>
              <w:rPr>
                <w:rFonts w:ascii="Times New Roman" w:eastAsia="Calibri" w:hAnsi="Times New Roman" w:cs="Times New Roman"/>
                <w:b/>
                <w:sz w:val="20"/>
                <w:szCs w:val="20"/>
              </w:rPr>
            </w:pPr>
            <w:r w:rsidRPr="00D84719">
              <w:rPr>
                <w:rFonts w:ascii="Times New Roman" w:eastAsia="Calibri" w:hAnsi="Times New Roman" w:cs="Times New Roman"/>
                <w:b/>
                <w:sz w:val="20"/>
                <w:szCs w:val="20"/>
              </w:rPr>
              <w:t>GLAVNI CILJ: IDENTIFICIRANJE I SIGURNO UKLANJANJE HBCD-A I PROIZVODA KOJI SADRŽE HBCD NA PODRUČJU REPUBLIKE HRVATSKE</w:t>
            </w:r>
          </w:p>
        </w:tc>
      </w:tr>
      <w:tr w:rsidR="00D84719" w:rsidRPr="00D84719" w14:paraId="5C259C77" w14:textId="77777777" w:rsidTr="00F831D6">
        <w:trPr>
          <w:jc w:val="center"/>
        </w:trPr>
        <w:tc>
          <w:tcPr>
            <w:tcW w:w="8965" w:type="dxa"/>
            <w:gridSpan w:val="4"/>
            <w:vAlign w:val="center"/>
          </w:tcPr>
          <w:p w14:paraId="048E24C7" w14:textId="77777777" w:rsidR="00D84719" w:rsidRPr="00D84719" w:rsidRDefault="00D84719" w:rsidP="00D84719">
            <w:pPr>
              <w:rPr>
                <w:rFonts w:ascii="Times New Roman" w:eastAsia="Calibri" w:hAnsi="Times New Roman" w:cs="Times New Roman"/>
                <w:i/>
                <w:sz w:val="20"/>
                <w:szCs w:val="20"/>
              </w:rPr>
            </w:pPr>
            <w:r w:rsidRPr="00D84719">
              <w:rPr>
                <w:rFonts w:ascii="Times New Roman" w:eastAsia="Calibri" w:hAnsi="Times New Roman" w:cs="Times New Roman"/>
                <w:i/>
                <w:sz w:val="20"/>
                <w:szCs w:val="20"/>
              </w:rPr>
              <w:t>Specifični cilj 1: Jačanje tehničkih kapaciteta za upravljanje HBCD-om, praćenje stanja</w:t>
            </w:r>
          </w:p>
        </w:tc>
      </w:tr>
      <w:tr w:rsidR="00D84719" w:rsidRPr="00D84719" w14:paraId="66B601FD" w14:textId="77777777" w:rsidTr="00F831D6">
        <w:trPr>
          <w:jc w:val="center"/>
        </w:trPr>
        <w:tc>
          <w:tcPr>
            <w:tcW w:w="3505" w:type="dxa"/>
            <w:vAlign w:val="center"/>
          </w:tcPr>
          <w:p w14:paraId="29F06796" w14:textId="77777777" w:rsidR="00D84719" w:rsidRPr="00D84719" w:rsidRDefault="00D84719" w:rsidP="00D84719">
            <w:pPr>
              <w:rPr>
                <w:rFonts w:ascii="Times New Roman" w:eastAsia="Calibri" w:hAnsi="Times New Roman" w:cs="Times New Roman"/>
                <w:sz w:val="20"/>
                <w:szCs w:val="20"/>
              </w:rPr>
            </w:pPr>
            <w:r w:rsidRPr="00D84719">
              <w:rPr>
                <w:rFonts w:ascii="Times New Roman" w:eastAsia="Calibri" w:hAnsi="Times New Roman" w:cs="Times New Roman"/>
                <w:sz w:val="20"/>
                <w:szCs w:val="20"/>
              </w:rPr>
              <w:t>Mjera 1.1: Voditi evidenciju o uporabi/uvozu/unosu/izvozu/</w:t>
            </w:r>
          </w:p>
          <w:p w14:paraId="06C29D9E" w14:textId="77777777" w:rsidR="00D84719" w:rsidRPr="00D84719" w:rsidRDefault="00D84719" w:rsidP="00D84719">
            <w:pPr>
              <w:rPr>
                <w:rFonts w:ascii="Times New Roman" w:eastAsia="Calibri" w:hAnsi="Times New Roman" w:cs="Times New Roman"/>
                <w:sz w:val="20"/>
                <w:szCs w:val="20"/>
              </w:rPr>
            </w:pPr>
            <w:r w:rsidRPr="00D84719">
              <w:rPr>
                <w:rFonts w:ascii="Times New Roman" w:eastAsia="Calibri" w:hAnsi="Times New Roman" w:cs="Times New Roman"/>
                <w:sz w:val="20"/>
                <w:szCs w:val="20"/>
              </w:rPr>
              <w:t>proizvodnji/zalihama i otpadu</w:t>
            </w:r>
          </w:p>
        </w:tc>
        <w:tc>
          <w:tcPr>
            <w:tcW w:w="2765" w:type="dxa"/>
            <w:vAlign w:val="center"/>
          </w:tcPr>
          <w:p w14:paraId="73256BBF" w14:textId="77777777" w:rsidR="00D84719" w:rsidRPr="00D84719" w:rsidRDefault="00D84719" w:rsidP="00D84719">
            <w:pPr>
              <w:jc w:val="center"/>
              <w:rPr>
                <w:rFonts w:ascii="Times New Roman" w:eastAsia="Calibri" w:hAnsi="Times New Roman" w:cs="Times New Roman"/>
                <w:sz w:val="20"/>
                <w:szCs w:val="20"/>
              </w:rPr>
            </w:pPr>
            <w:r w:rsidRPr="00D84719">
              <w:rPr>
                <w:rFonts w:ascii="Times New Roman" w:eastAsia="Calibri" w:hAnsi="Times New Roman" w:cs="Times New Roman"/>
                <w:color w:val="000000"/>
                <w:sz w:val="20"/>
                <w:szCs w:val="20"/>
              </w:rPr>
              <w:t xml:space="preserve"> HZJZ - Služba za toksikologiju</w:t>
            </w:r>
            <w:r w:rsidRPr="00D84719">
              <w:rPr>
                <w:rFonts w:ascii="Times New Roman" w:eastAsia="Calibri" w:hAnsi="Times New Roman" w:cs="Times New Roman"/>
                <w:sz w:val="20"/>
                <w:szCs w:val="20"/>
              </w:rPr>
              <w:t xml:space="preserve"> / MINGOR</w:t>
            </w:r>
          </w:p>
        </w:tc>
        <w:tc>
          <w:tcPr>
            <w:tcW w:w="1439" w:type="dxa"/>
            <w:vAlign w:val="center"/>
          </w:tcPr>
          <w:p w14:paraId="7DA364CF" w14:textId="77777777" w:rsidR="00D84719" w:rsidRPr="00D84719" w:rsidRDefault="00D84719" w:rsidP="00D84719">
            <w:pPr>
              <w:jc w:val="center"/>
              <w:rPr>
                <w:rFonts w:ascii="Times New Roman" w:eastAsia="Calibri" w:hAnsi="Times New Roman" w:cs="Times New Roman"/>
                <w:sz w:val="20"/>
                <w:szCs w:val="20"/>
              </w:rPr>
            </w:pPr>
            <w:r w:rsidRPr="00D84719">
              <w:rPr>
                <w:rFonts w:ascii="Times New Roman" w:eastAsia="Calibri" w:hAnsi="Times New Roman" w:cs="Times New Roman"/>
                <w:sz w:val="20"/>
                <w:szCs w:val="20"/>
              </w:rPr>
              <w:t>kontinuirano</w:t>
            </w:r>
          </w:p>
        </w:tc>
        <w:tc>
          <w:tcPr>
            <w:tcW w:w="1256" w:type="dxa"/>
            <w:vAlign w:val="center"/>
          </w:tcPr>
          <w:p w14:paraId="005F6518" w14:textId="77777777" w:rsidR="00D84719" w:rsidRPr="00D84719" w:rsidRDefault="00D84719" w:rsidP="00D84719">
            <w:pPr>
              <w:jc w:val="center"/>
              <w:rPr>
                <w:rFonts w:ascii="Times New Roman" w:eastAsia="Calibri" w:hAnsi="Times New Roman" w:cs="Times New Roman"/>
                <w:sz w:val="20"/>
                <w:szCs w:val="20"/>
              </w:rPr>
            </w:pPr>
            <w:r w:rsidRPr="00D84719">
              <w:rPr>
                <w:rFonts w:ascii="Times New Roman" w:eastAsia="Calibri" w:hAnsi="Times New Roman" w:cs="Times New Roman"/>
                <w:sz w:val="20"/>
                <w:szCs w:val="20"/>
              </w:rPr>
              <w:t>0</w:t>
            </w:r>
          </w:p>
        </w:tc>
      </w:tr>
      <w:tr w:rsidR="00D84719" w:rsidRPr="00D84719" w14:paraId="4A8ECA85" w14:textId="77777777" w:rsidTr="00F831D6">
        <w:trPr>
          <w:jc w:val="center"/>
        </w:trPr>
        <w:tc>
          <w:tcPr>
            <w:tcW w:w="8965" w:type="dxa"/>
            <w:gridSpan w:val="4"/>
            <w:vAlign w:val="center"/>
          </w:tcPr>
          <w:p w14:paraId="6F77308F" w14:textId="77777777" w:rsidR="00D84719" w:rsidRPr="00D84719" w:rsidRDefault="00D84719" w:rsidP="00D84719">
            <w:pPr>
              <w:rPr>
                <w:rFonts w:ascii="Times New Roman" w:eastAsia="Calibri" w:hAnsi="Times New Roman" w:cs="Times New Roman"/>
                <w:i/>
                <w:sz w:val="20"/>
                <w:szCs w:val="20"/>
              </w:rPr>
            </w:pPr>
            <w:r w:rsidRPr="00D84719">
              <w:rPr>
                <w:rFonts w:ascii="Times New Roman" w:eastAsia="Calibri" w:hAnsi="Times New Roman" w:cs="Times New Roman"/>
                <w:i/>
                <w:sz w:val="20"/>
                <w:szCs w:val="20"/>
              </w:rPr>
              <w:t>Specifični cilj 2: Edukacija i podizanje svijesti ciljnih skupina</w:t>
            </w:r>
          </w:p>
        </w:tc>
      </w:tr>
      <w:tr w:rsidR="00D84719" w:rsidRPr="00D84719" w14:paraId="223EAEA1" w14:textId="77777777" w:rsidTr="00F831D6">
        <w:trPr>
          <w:jc w:val="center"/>
        </w:trPr>
        <w:tc>
          <w:tcPr>
            <w:tcW w:w="3505" w:type="dxa"/>
            <w:vAlign w:val="center"/>
          </w:tcPr>
          <w:p w14:paraId="62FC31CC" w14:textId="77777777" w:rsidR="00D84719" w:rsidRPr="00D84719" w:rsidRDefault="00D84719" w:rsidP="00D84719">
            <w:pPr>
              <w:rPr>
                <w:rFonts w:ascii="Times New Roman" w:eastAsia="Calibri" w:hAnsi="Times New Roman" w:cs="Times New Roman"/>
                <w:sz w:val="20"/>
                <w:szCs w:val="20"/>
              </w:rPr>
            </w:pPr>
            <w:r w:rsidRPr="00D84719">
              <w:rPr>
                <w:rFonts w:ascii="Times New Roman" w:eastAsia="Calibri" w:hAnsi="Times New Roman" w:cs="Times New Roman"/>
                <w:sz w:val="20"/>
                <w:szCs w:val="20"/>
              </w:rPr>
              <w:t>Mjera 2.1.: Nastavak edukacije</w:t>
            </w:r>
          </w:p>
        </w:tc>
        <w:tc>
          <w:tcPr>
            <w:tcW w:w="2765" w:type="dxa"/>
            <w:vAlign w:val="center"/>
          </w:tcPr>
          <w:p w14:paraId="000F4504" w14:textId="77777777" w:rsidR="00D84719" w:rsidRPr="00D84719" w:rsidRDefault="00D84719" w:rsidP="00D84719">
            <w:pPr>
              <w:jc w:val="center"/>
              <w:rPr>
                <w:rFonts w:ascii="Times New Roman" w:eastAsia="Calibri" w:hAnsi="Times New Roman" w:cs="Times New Roman"/>
                <w:sz w:val="20"/>
                <w:szCs w:val="20"/>
              </w:rPr>
            </w:pPr>
            <w:r w:rsidRPr="00D84719">
              <w:rPr>
                <w:rFonts w:ascii="Times New Roman" w:eastAsia="Calibri" w:hAnsi="Times New Roman" w:cs="Times New Roman"/>
                <w:sz w:val="20"/>
                <w:szCs w:val="20"/>
              </w:rPr>
              <w:t>MINGOR (MIZ/ HZJZ - Služba za toksikologiju)</w:t>
            </w:r>
          </w:p>
        </w:tc>
        <w:tc>
          <w:tcPr>
            <w:tcW w:w="1439" w:type="dxa"/>
            <w:vAlign w:val="center"/>
          </w:tcPr>
          <w:p w14:paraId="64D75F20" w14:textId="77777777" w:rsidR="00D84719" w:rsidRPr="00D84719" w:rsidRDefault="00D84719" w:rsidP="00D84719">
            <w:pPr>
              <w:jc w:val="center"/>
              <w:rPr>
                <w:rFonts w:ascii="Times New Roman" w:eastAsia="Calibri" w:hAnsi="Times New Roman" w:cs="Times New Roman"/>
                <w:sz w:val="20"/>
                <w:szCs w:val="20"/>
              </w:rPr>
            </w:pPr>
            <w:r w:rsidRPr="00D84719">
              <w:rPr>
                <w:rFonts w:ascii="Times New Roman" w:eastAsia="Calibri" w:hAnsi="Times New Roman" w:cs="Times New Roman"/>
                <w:sz w:val="20"/>
                <w:szCs w:val="20"/>
              </w:rPr>
              <w:t>kontinuirano</w:t>
            </w:r>
          </w:p>
        </w:tc>
        <w:tc>
          <w:tcPr>
            <w:tcW w:w="1256" w:type="dxa"/>
            <w:vAlign w:val="center"/>
          </w:tcPr>
          <w:p w14:paraId="35694311" w14:textId="77777777" w:rsidR="00D84719" w:rsidRPr="00D84719" w:rsidRDefault="00D84719" w:rsidP="00D84719">
            <w:pPr>
              <w:jc w:val="center"/>
              <w:rPr>
                <w:rFonts w:ascii="Times New Roman" w:eastAsia="Calibri" w:hAnsi="Times New Roman" w:cs="Times New Roman"/>
                <w:sz w:val="20"/>
                <w:szCs w:val="20"/>
              </w:rPr>
            </w:pPr>
            <w:r w:rsidRPr="00D84719">
              <w:rPr>
                <w:rFonts w:ascii="Times New Roman" w:eastAsia="Calibri" w:hAnsi="Times New Roman" w:cs="Times New Roman"/>
                <w:sz w:val="20"/>
                <w:szCs w:val="20"/>
              </w:rPr>
              <w:t>30.000</w:t>
            </w:r>
          </w:p>
        </w:tc>
      </w:tr>
      <w:tr w:rsidR="0048487D" w:rsidRPr="00D84719" w14:paraId="0621E5C0" w14:textId="77777777" w:rsidTr="0044324D">
        <w:trPr>
          <w:jc w:val="center"/>
        </w:trPr>
        <w:tc>
          <w:tcPr>
            <w:tcW w:w="7709" w:type="dxa"/>
            <w:gridSpan w:val="3"/>
            <w:vAlign w:val="center"/>
          </w:tcPr>
          <w:p w14:paraId="59BE2CF4" w14:textId="77777777" w:rsidR="0048487D" w:rsidRPr="00D84719" w:rsidRDefault="0048487D" w:rsidP="0048487D">
            <w:pPr>
              <w:rPr>
                <w:rFonts w:ascii="Times New Roman" w:eastAsia="Calibri" w:hAnsi="Times New Roman" w:cs="Times New Roman"/>
                <w:sz w:val="20"/>
                <w:szCs w:val="20"/>
              </w:rPr>
            </w:pPr>
            <w:r w:rsidRPr="00D84719">
              <w:rPr>
                <w:rFonts w:ascii="Times New Roman" w:eastAsia="Calibri" w:hAnsi="Times New Roman" w:cs="Times New Roman"/>
                <w:b/>
                <w:sz w:val="20"/>
                <w:szCs w:val="20"/>
              </w:rPr>
              <w:t>UKUPNO</w:t>
            </w:r>
          </w:p>
        </w:tc>
        <w:tc>
          <w:tcPr>
            <w:tcW w:w="1256" w:type="dxa"/>
            <w:vAlign w:val="center"/>
          </w:tcPr>
          <w:p w14:paraId="6FCF7E01" w14:textId="77777777" w:rsidR="0048487D" w:rsidRPr="00D84719" w:rsidRDefault="0048487D" w:rsidP="00D84719">
            <w:pPr>
              <w:jc w:val="center"/>
              <w:rPr>
                <w:rFonts w:ascii="Times New Roman" w:eastAsia="Calibri" w:hAnsi="Times New Roman" w:cs="Times New Roman"/>
                <w:b/>
                <w:sz w:val="20"/>
                <w:szCs w:val="20"/>
              </w:rPr>
            </w:pPr>
            <w:r w:rsidRPr="00D84719">
              <w:rPr>
                <w:rFonts w:ascii="Times New Roman" w:eastAsia="Calibri" w:hAnsi="Times New Roman" w:cs="Times New Roman"/>
                <w:b/>
                <w:sz w:val="20"/>
                <w:szCs w:val="20"/>
              </w:rPr>
              <w:t>30.000</w:t>
            </w:r>
          </w:p>
        </w:tc>
      </w:tr>
    </w:tbl>
    <w:p w14:paraId="5D77B41D" w14:textId="77777777" w:rsidR="00D84719" w:rsidRPr="00D84719" w:rsidRDefault="00D84719" w:rsidP="00D84719">
      <w:pPr>
        <w:spacing w:before="80" w:line="276" w:lineRule="auto"/>
        <w:jc w:val="both"/>
        <w:rPr>
          <w:rFonts w:ascii="Times New Roman" w:eastAsia="Times New Roman" w:hAnsi="Times New Roman" w:cs="Times New Roman"/>
          <w:color w:val="000000"/>
          <w:szCs w:val="24"/>
          <w:lang w:bidi="en-US"/>
        </w:rPr>
      </w:pPr>
    </w:p>
    <w:p w14:paraId="5445B3AC" w14:textId="77777777" w:rsidR="00D84719" w:rsidRPr="00D84719" w:rsidRDefault="00D84719" w:rsidP="00C74901">
      <w:pPr>
        <w:pStyle w:val="Naslov3"/>
      </w:pPr>
      <w:bookmarkStart w:id="290" w:name="_Toc40439461"/>
      <w:bookmarkStart w:id="291" w:name="_Toc50635631"/>
      <w:bookmarkStart w:id="292" w:name="_Toc64460774"/>
      <w:r w:rsidRPr="00D84719">
        <w:t>Aktivnost: Proizvodnja, uvoz i izvoz, uporaba, zalihe i otpad HCBD-a</w:t>
      </w:r>
      <w:bookmarkEnd w:id="290"/>
      <w:bookmarkEnd w:id="291"/>
      <w:bookmarkEnd w:id="292"/>
    </w:p>
    <w:p w14:paraId="110A9FFC" w14:textId="05AE01DC"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Nije predložena daljnja aktivnost u sklopu procesa revizije NIP-a koji se odnosi na HCBD, obzirom na to da je procijenjeno da HCBD ne predstavlja problem Republici Hrvatskoj imajući u vidu potencijalnu opasnost na zdravlje i okoliš (ne proizvodi se i ne uvozi, a uporaba je zabranjena od 1970</w:t>
      </w:r>
      <w:r w:rsidR="005C26BD">
        <w:rPr>
          <w:rFonts w:ascii="Times New Roman" w:eastAsia="Times New Roman" w:hAnsi="Times New Roman" w:cs="Times New Roman"/>
          <w:color w:val="000000"/>
          <w:sz w:val="24"/>
          <w:szCs w:val="24"/>
          <w:lang w:bidi="en-US"/>
        </w:rPr>
        <w:t>.</w:t>
      </w:r>
      <w:r w:rsidRPr="00D84719">
        <w:rPr>
          <w:rFonts w:ascii="Times New Roman" w:eastAsia="Times New Roman" w:hAnsi="Times New Roman" w:cs="Times New Roman"/>
          <w:color w:val="000000"/>
          <w:sz w:val="24"/>
          <w:szCs w:val="24"/>
          <w:lang w:bidi="en-US"/>
        </w:rPr>
        <w:t>).</w:t>
      </w:r>
    </w:p>
    <w:p w14:paraId="5FA8397F"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p>
    <w:p w14:paraId="53B2AAC2" w14:textId="77777777" w:rsidR="00D84719" w:rsidRPr="00D84719" w:rsidRDefault="00D84719" w:rsidP="00C74901">
      <w:pPr>
        <w:pStyle w:val="Naslov3"/>
      </w:pPr>
      <w:bookmarkStart w:id="293" w:name="_Toc40439462"/>
      <w:bookmarkStart w:id="294" w:name="_Toc50635632"/>
      <w:bookmarkStart w:id="295" w:name="_Toc64460775"/>
      <w:r w:rsidRPr="00D84719">
        <w:t>Aktivnost: Proizvodnja, uvoz i izvoz, uporaba, zalihe i otpad pentaklorofenola, njegovih soli i estera</w:t>
      </w:r>
      <w:bookmarkEnd w:id="293"/>
      <w:bookmarkEnd w:id="294"/>
      <w:bookmarkEnd w:id="295"/>
    </w:p>
    <w:p w14:paraId="084DA45B"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lang w:bidi="en-US"/>
        </w:rPr>
        <w:t>Nije predložena daljnja aktivnost u sklopu procesa revizije NIP-a koji se odnosi na PCN, obzirom na to da je procijenjeno da PCN ne predstavlja problem Republici Hrvatskoj imajući u vidu potencijalnu opasnost na zdravlje i okoliš (nema dostupnih podataka koji bi ukazivali da se PCN koristio u Republici Hrvatskoj).</w:t>
      </w:r>
    </w:p>
    <w:p w14:paraId="25A6DC4D"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p>
    <w:p w14:paraId="0D5E3404" w14:textId="77777777" w:rsidR="00D84719" w:rsidRPr="00D84719" w:rsidRDefault="00D84719" w:rsidP="00C74901">
      <w:pPr>
        <w:pStyle w:val="Naslov3"/>
      </w:pPr>
      <w:bookmarkStart w:id="296" w:name="_Toc40439463"/>
      <w:bookmarkStart w:id="297" w:name="_Toc50635633"/>
      <w:bookmarkStart w:id="298" w:name="_Toc64460776"/>
      <w:r w:rsidRPr="00D84719">
        <w:t>Aktivnost: Proizvodnja, uvoz i izvoz, uporaba, zalihe i otpad dekabromodifenil (bde-209-a)</w:t>
      </w:r>
      <w:bookmarkEnd w:id="296"/>
      <w:bookmarkEnd w:id="297"/>
      <w:bookmarkEnd w:id="298"/>
    </w:p>
    <w:p w14:paraId="71FE4036"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Preliminarnim inventarom utvrđeno je da ne postoje podaci o proizvodnji dekabromodifenila u Republici Hrvatskoj.</w:t>
      </w:r>
    </w:p>
    <w:p w14:paraId="41F251C0"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Zahtjevi Stockholmske konvencije u pogledu tzv. novih POPs-ova, u koje spadaju i dekabromodifenili (BDE-209-a) uključuju:</w:t>
      </w:r>
    </w:p>
    <w:p w14:paraId="08370F97" w14:textId="77777777" w:rsidR="00D84719" w:rsidRP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provođenje mjera nadzora za svaku kemikaliju navedenu u popisu Stockholmske konvencije (članci 3. i 4.)</w:t>
      </w:r>
    </w:p>
    <w:p w14:paraId="435DC95B" w14:textId="77777777" w:rsidR="00D84719" w:rsidRP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izradu inventara kemikalija u zalihama (članak 6.)</w:t>
      </w:r>
    </w:p>
    <w:p w14:paraId="00027610" w14:textId="77777777" w:rsidR="00D84719" w:rsidRP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lastRenderedPageBreak/>
        <w:t>izradu ažuriranog i revidiranog NIP-a (članak 7.)</w:t>
      </w:r>
    </w:p>
    <w:p w14:paraId="7977FAA8" w14:textId="77777777" w:rsidR="00D84719" w:rsidRP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uključivanje „novih“ kemikalija, u koje spadaju dekaBDE u izvješćivanje (članak 15.) i</w:t>
      </w:r>
    </w:p>
    <w:p w14:paraId="0AD7FDBD" w14:textId="77777777" w:rsid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uključivanje „novih“ kemikalija, u koje spadaju dekaBDE u program za ocjenu učinkovitosti (članak 16.).</w:t>
      </w:r>
    </w:p>
    <w:p w14:paraId="1B2E02EB" w14:textId="77777777" w:rsidR="00605EA4" w:rsidRPr="00D84719" w:rsidRDefault="00605EA4" w:rsidP="00605EA4">
      <w:pPr>
        <w:tabs>
          <w:tab w:val="left" w:pos="1755"/>
        </w:tabs>
        <w:autoSpaceDE w:val="0"/>
        <w:autoSpaceDN w:val="0"/>
        <w:adjustRightInd w:val="0"/>
        <w:spacing w:before="80" w:after="0" w:line="240" w:lineRule="auto"/>
        <w:ind w:left="720"/>
        <w:jc w:val="both"/>
        <w:rPr>
          <w:rFonts w:ascii="Times New Roman" w:eastAsia="Calibri" w:hAnsi="Times New Roman" w:cs="Times New Roman"/>
          <w:sz w:val="24"/>
          <w:lang w:bidi="en-US"/>
        </w:rPr>
      </w:pPr>
    </w:p>
    <w:p w14:paraId="4F32C13E"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Za uspješnu provedbu svih obveza iz Stockholmske konvencije koje se odnose na glavni cilj ove aktivnosti – uspostavu odgovarajućeg upravljanja dekaBDE-om u Republici Hrvatskoj, identificirane su konkretne mjere i aktivnosti koje je potrebno provesti, u skladu s definiranim prioritetima i ciljevima.</w:t>
      </w:r>
    </w:p>
    <w:p w14:paraId="692C597D"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Specifični ciljevi su sljedeći:</w:t>
      </w:r>
    </w:p>
    <w:p w14:paraId="6571F4D0" w14:textId="77777777" w:rsidR="00D84719" w:rsidRP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provođenje testiranja opreme koje bi ukazalo na prisutnost dekaBDE-a</w:t>
      </w:r>
    </w:p>
    <w:p w14:paraId="5FC9B8AF" w14:textId="77777777" w:rsidR="00D84719" w:rsidRP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edukacija i podizanje svijesti ciljnih skupina.</w:t>
      </w:r>
    </w:p>
    <w:p w14:paraId="58BF0BB5" w14:textId="77777777" w:rsidR="00D84719" w:rsidRPr="00D84719" w:rsidRDefault="00D84719" w:rsidP="00D84719">
      <w:pPr>
        <w:tabs>
          <w:tab w:val="left" w:pos="1755"/>
        </w:tabs>
        <w:autoSpaceDE w:val="0"/>
        <w:autoSpaceDN w:val="0"/>
        <w:adjustRightInd w:val="0"/>
        <w:spacing w:after="0" w:line="240" w:lineRule="auto"/>
        <w:ind w:left="720"/>
        <w:jc w:val="both"/>
        <w:rPr>
          <w:rFonts w:ascii="Times New Roman" w:eastAsia="Calibri" w:hAnsi="Times New Roman" w:cs="Times New Roman"/>
          <w:sz w:val="24"/>
          <w:lang w:bidi="en-US"/>
        </w:rPr>
      </w:pPr>
    </w:p>
    <w:p w14:paraId="3430FB71" w14:textId="77777777" w:rsidR="00D84719" w:rsidRPr="00D84719" w:rsidRDefault="00D84719" w:rsidP="00605EA4">
      <w:pPr>
        <w:pStyle w:val="Naslov4"/>
      </w:pPr>
      <w:bookmarkStart w:id="299" w:name="_Toc64460777"/>
      <w:r w:rsidRPr="00D84719">
        <w:t>Provođenje testiranja opreme koje bi ukazalo na prisutnost dekaBDE-a</w:t>
      </w:r>
      <w:bookmarkEnd w:id="299"/>
    </w:p>
    <w:p w14:paraId="562AEBFA"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Predložene mjere:</w:t>
      </w:r>
    </w:p>
    <w:p w14:paraId="47ABAC10" w14:textId="77777777" w:rsidR="00D84719" w:rsidRP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provođenje testiranja opreme koja bi ukazala na prisutnost dekaBDE-a u EEE na tržištu</w:t>
      </w:r>
    </w:p>
    <w:p w14:paraId="1FF4BE47" w14:textId="77777777" w:rsid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informiranje i analiza mogućnosti i metodologije brze detekcije dekaBDE-a</w:t>
      </w:r>
    </w:p>
    <w:p w14:paraId="0B3462D1" w14:textId="77777777" w:rsidR="00605EA4" w:rsidRPr="00D84719" w:rsidRDefault="00605EA4" w:rsidP="00605EA4">
      <w:pPr>
        <w:tabs>
          <w:tab w:val="left" w:pos="1755"/>
        </w:tabs>
        <w:autoSpaceDE w:val="0"/>
        <w:autoSpaceDN w:val="0"/>
        <w:adjustRightInd w:val="0"/>
        <w:spacing w:before="80" w:after="0" w:line="240" w:lineRule="auto"/>
        <w:ind w:left="720"/>
        <w:jc w:val="both"/>
        <w:rPr>
          <w:rFonts w:ascii="Times New Roman" w:eastAsia="Calibri" w:hAnsi="Times New Roman" w:cs="Times New Roman"/>
          <w:sz w:val="24"/>
          <w:lang w:bidi="en-US"/>
        </w:rPr>
      </w:pPr>
    </w:p>
    <w:p w14:paraId="73BFA82A" w14:textId="77777777" w:rsidR="00D84719" w:rsidRPr="00D84719" w:rsidRDefault="00D84719" w:rsidP="00605EA4">
      <w:pPr>
        <w:pStyle w:val="Naslov4"/>
      </w:pPr>
      <w:bookmarkStart w:id="300" w:name="_Toc64460778"/>
      <w:r w:rsidRPr="00D84719">
        <w:t>Edukacija i podizanje svijesti ciljnih skupina</w:t>
      </w:r>
      <w:bookmarkEnd w:id="300"/>
    </w:p>
    <w:p w14:paraId="1AA354F6"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Predložena mjera:</w:t>
      </w:r>
    </w:p>
    <w:p w14:paraId="06FF2508" w14:textId="77777777" w:rsid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 xml:space="preserve">pripremiti dodatne informativne materijale o mogućim izvorima, štetnosti na zdravlje i okoliš, zamjenskim sredstvima te kako na okolišno prihvatljiv način gospodariti otpadom koji ga potencijalno sadrži sukladno izrađenom Vodiču </w:t>
      </w:r>
      <w:r w:rsidRPr="00D84719">
        <w:rPr>
          <w:rFonts w:ascii="Times New Roman" w:eastAsia="Calibri" w:hAnsi="Times New Roman" w:cs="Times New Roman"/>
          <w:sz w:val="24"/>
        </w:rPr>
        <w:t>za sigurno rukovanje i gospodarenje postojanim organskim onečišćujućim tvarima s naglaskom na dekaBDE.</w:t>
      </w:r>
    </w:p>
    <w:p w14:paraId="053C5836" w14:textId="77777777" w:rsidR="00605EA4" w:rsidRPr="00D84719" w:rsidRDefault="00605EA4" w:rsidP="00605EA4">
      <w:pPr>
        <w:tabs>
          <w:tab w:val="left" w:pos="1755"/>
        </w:tabs>
        <w:autoSpaceDE w:val="0"/>
        <w:autoSpaceDN w:val="0"/>
        <w:adjustRightInd w:val="0"/>
        <w:spacing w:before="80" w:after="0" w:line="240" w:lineRule="auto"/>
        <w:ind w:left="720"/>
        <w:jc w:val="both"/>
        <w:rPr>
          <w:rFonts w:ascii="Times New Roman" w:eastAsia="Calibri" w:hAnsi="Times New Roman" w:cs="Times New Roman"/>
          <w:sz w:val="24"/>
          <w:lang w:bidi="en-US"/>
        </w:rPr>
      </w:pPr>
    </w:p>
    <w:p w14:paraId="7710BAD9"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Upute treba</w:t>
      </w:r>
      <w:r w:rsidRPr="00D84719">
        <w:rPr>
          <w:rFonts w:ascii="Times New Roman" w:eastAsia="Times New Roman" w:hAnsi="Times New Roman" w:cs="Times New Roman"/>
          <w:color w:val="000000"/>
          <w:sz w:val="24"/>
          <w:szCs w:val="24"/>
        </w:rPr>
        <w:t xml:space="preserve"> temeljiti na tehničkim </w:t>
      </w:r>
      <w:r w:rsidRPr="00D84719">
        <w:rPr>
          <w:rFonts w:ascii="Times New Roman" w:eastAsia="Times New Roman" w:hAnsi="Times New Roman" w:cs="Times New Roman"/>
          <w:color w:val="000000"/>
          <w:sz w:val="24"/>
          <w:szCs w:val="24"/>
          <w:lang w:bidi="en-US"/>
        </w:rPr>
        <w:t>smjernicama o okolišno prihvatljivom gospodarenju otpadom koji sadrži POPs-ove (UNEP-CHWCOP.12-BC-12/3).</w:t>
      </w:r>
    </w:p>
    <w:p w14:paraId="57DD0F9E" w14:textId="77777777" w:rsid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Opis mjera i aktivnosti koje je potrebno provesti u cilju ispunjenja svih obveza iz Stockholmske konvencije koje se odnose na upravljanje dekaBDE-a u Republici Hrvatskoj, utvrđivanje institucija odgovornih za njihovu provedbu te vremenski plan i procijenjena potrebna financijska sredstva dani su u tablici 4.</w:t>
      </w:r>
      <w:r w:rsidR="00F05F33">
        <w:rPr>
          <w:rFonts w:ascii="Times New Roman" w:eastAsia="Times New Roman" w:hAnsi="Times New Roman" w:cs="Times New Roman"/>
          <w:color w:val="000000"/>
          <w:sz w:val="24"/>
          <w:szCs w:val="24"/>
          <w:lang w:bidi="en-US"/>
        </w:rPr>
        <w:t>2</w:t>
      </w:r>
      <w:r w:rsidRPr="00D84719">
        <w:rPr>
          <w:rFonts w:ascii="Times New Roman" w:eastAsia="Times New Roman" w:hAnsi="Times New Roman" w:cs="Times New Roman"/>
          <w:color w:val="000000"/>
          <w:sz w:val="24"/>
          <w:szCs w:val="24"/>
          <w:lang w:bidi="en-US"/>
        </w:rPr>
        <w:t>-5.</w:t>
      </w:r>
    </w:p>
    <w:p w14:paraId="56ACF2BE" w14:textId="77777777" w:rsidR="00605EA4" w:rsidRPr="00D84719" w:rsidRDefault="00605EA4" w:rsidP="00D84719">
      <w:pPr>
        <w:spacing w:before="80" w:line="276" w:lineRule="auto"/>
        <w:jc w:val="both"/>
        <w:rPr>
          <w:rFonts w:ascii="Times New Roman" w:eastAsia="Times New Roman" w:hAnsi="Times New Roman" w:cs="Times New Roman"/>
          <w:color w:val="000000"/>
          <w:sz w:val="24"/>
          <w:szCs w:val="24"/>
          <w:lang w:bidi="en-US"/>
        </w:rPr>
      </w:pPr>
    </w:p>
    <w:p w14:paraId="43E954C4" w14:textId="77777777" w:rsidR="00D84719" w:rsidRPr="00D84719" w:rsidRDefault="00D84719" w:rsidP="00D84719">
      <w:pPr>
        <w:keepNext/>
        <w:spacing w:before="80" w:after="0" w:line="276" w:lineRule="auto"/>
        <w:jc w:val="both"/>
        <w:rPr>
          <w:rFonts w:ascii="Times New Roman" w:eastAsia="Times New Roman" w:hAnsi="Times New Roman" w:cs="Times New Roman"/>
          <w:b/>
          <w:bCs/>
          <w:i/>
          <w:sz w:val="20"/>
          <w:szCs w:val="20"/>
        </w:rPr>
      </w:pPr>
      <w:r w:rsidRPr="00D84719">
        <w:rPr>
          <w:rFonts w:ascii="Times New Roman" w:eastAsia="Times New Roman" w:hAnsi="Times New Roman" w:cs="Times New Roman"/>
          <w:b/>
          <w:bCs/>
          <w:i/>
          <w:sz w:val="20"/>
          <w:szCs w:val="20"/>
        </w:rPr>
        <w:t xml:space="preserve">Tablica </w:t>
      </w:r>
      <w:r w:rsidR="00F05F33">
        <w:rPr>
          <w:rFonts w:ascii="Times New Roman" w:eastAsia="Times New Roman" w:hAnsi="Times New Roman" w:cs="Times New Roman"/>
          <w:b/>
          <w:bCs/>
          <w:i/>
          <w:sz w:val="20"/>
          <w:szCs w:val="20"/>
        </w:rPr>
        <w:t>4.2</w:t>
      </w:r>
      <w:r w:rsidRPr="00D84719">
        <w:rPr>
          <w:rFonts w:ascii="Times New Roman" w:eastAsia="Times New Roman" w:hAnsi="Times New Roman" w:cs="Times New Roman"/>
          <w:b/>
          <w:bCs/>
          <w:i/>
          <w:sz w:val="20"/>
          <w:szCs w:val="20"/>
        </w:rPr>
        <w:noBreakHyphen/>
      </w:r>
      <w:r w:rsidRPr="00D84719">
        <w:rPr>
          <w:rFonts w:ascii="Times New Roman" w:eastAsia="Times New Roman" w:hAnsi="Times New Roman" w:cs="Times New Roman"/>
          <w:b/>
          <w:bCs/>
          <w:i/>
          <w:sz w:val="20"/>
          <w:szCs w:val="20"/>
        </w:rPr>
        <w:fldChar w:fldCharType="begin"/>
      </w:r>
      <w:r w:rsidRPr="00D84719">
        <w:rPr>
          <w:rFonts w:ascii="Times New Roman" w:eastAsia="Times New Roman" w:hAnsi="Times New Roman" w:cs="Times New Roman"/>
          <w:b/>
          <w:bCs/>
          <w:i/>
          <w:sz w:val="20"/>
          <w:szCs w:val="20"/>
        </w:rPr>
        <w:instrText xml:space="preserve"> SEQ Tablica \* ARABIC \s 2 </w:instrText>
      </w:r>
      <w:r w:rsidRPr="00D84719">
        <w:rPr>
          <w:rFonts w:ascii="Times New Roman" w:eastAsia="Times New Roman" w:hAnsi="Times New Roman" w:cs="Times New Roman"/>
          <w:b/>
          <w:bCs/>
          <w:i/>
          <w:sz w:val="20"/>
          <w:szCs w:val="20"/>
        </w:rPr>
        <w:fldChar w:fldCharType="separate"/>
      </w:r>
      <w:r w:rsidRPr="00D84719">
        <w:rPr>
          <w:rFonts w:ascii="Times New Roman" w:eastAsia="Times New Roman" w:hAnsi="Times New Roman" w:cs="Times New Roman"/>
          <w:b/>
          <w:bCs/>
          <w:i/>
          <w:sz w:val="20"/>
          <w:szCs w:val="20"/>
        </w:rPr>
        <w:t>5</w:t>
      </w:r>
      <w:r w:rsidRPr="00D84719">
        <w:rPr>
          <w:rFonts w:ascii="Times New Roman" w:eastAsia="Times New Roman" w:hAnsi="Times New Roman" w:cs="Times New Roman"/>
          <w:b/>
          <w:bCs/>
          <w:i/>
          <w:sz w:val="20"/>
          <w:szCs w:val="20"/>
        </w:rPr>
        <w:fldChar w:fldCharType="end"/>
      </w:r>
      <w:r w:rsidRPr="00D84719">
        <w:rPr>
          <w:rFonts w:ascii="Times New Roman" w:eastAsia="Times New Roman" w:hAnsi="Times New Roman" w:cs="Times New Roman"/>
          <w:b/>
          <w:bCs/>
          <w:i/>
          <w:sz w:val="20"/>
          <w:szCs w:val="20"/>
        </w:rPr>
        <w:t>: Aktivnost: Proizvodnja, uvoz i izvoz, uporaba, zalihe i otpad dekaBDE-a</w:t>
      </w:r>
    </w:p>
    <w:tbl>
      <w:tblPr>
        <w:tblStyle w:val="Reetkatablice11"/>
        <w:tblW w:w="0" w:type="auto"/>
        <w:jc w:val="center"/>
        <w:tblLook w:val="04A0" w:firstRow="1" w:lastRow="0" w:firstColumn="1" w:lastColumn="0" w:noHBand="0" w:noVBand="1"/>
      </w:tblPr>
      <w:tblGrid>
        <w:gridCol w:w="3505"/>
        <w:gridCol w:w="2765"/>
        <w:gridCol w:w="1439"/>
        <w:gridCol w:w="1336"/>
      </w:tblGrid>
      <w:tr w:rsidR="00D84719" w:rsidRPr="00D84719" w14:paraId="37A1D8A1" w14:textId="77777777" w:rsidTr="00F831D6">
        <w:trPr>
          <w:tblHeader/>
          <w:jc w:val="center"/>
        </w:trPr>
        <w:tc>
          <w:tcPr>
            <w:tcW w:w="3505" w:type="dxa"/>
            <w:shd w:val="clear" w:color="auto" w:fill="BFBFBF"/>
            <w:vAlign w:val="center"/>
          </w:tcPr>
          <w:p w14:paraId="6965B2B3" w14:textId="77777777" w:rsidR="00D84719" w:rsidRPr="00D84719" w:rsidRDefault="00D84719" w:rsidP="00D84719">
            <w:pPr>
              <w:jc w:val="center"/>
              <w:rPr>
                <w:rFonts w:ascii="Times New Roman" w:eastAsia="Calibri" w:hAnsi="Times New Roman" w:cs="Times New Roman"/>
                <w:b/>
                <w:bCs/>
                <w:sz w:val="20"/>
                <w:szCs w:val="20"/>
              </w:rPr>
            </w:pPr>
            <w:r w:rsidRPr="00D84719">
              <w:rPr>
                <w:rFonts w:ascii="Times New Roman" w:eastAsia="Calibri" w:hAnsi="Times New Roman" w:cs="Times New Roman"/>
                <w:b/>
                <w:bCs/>
                <w:sz w:val="20"/>
                <w:szCs w:val="20"/>
              </w:rPr>
              <w:t>CILJEVI/MJERE</w:t>
            </w:r>
          </w:p>
        </w:tc>
        <w:tc>
          <w:tcPr>
            <w:tcW w:w="2765" w:type="dxa"/>
            <w:shd w:val="clear" w:color="auto" w:fill="BFBFBF"/>
            <w:vAlign w:val="center"/>
          </w:tcPr>
          <w:p w14:paraId="7D857283" w14:textId="77777777" w:rsidR="00D84719" w:rsidRPr="00D84719" w:rsidRDefault="00D84719" w:rsidP="00D84719">
            <w:pPr>
              <w:jc w:val="center"/>
              <w:rPr>
                <w:rFonts w:ascii="Times New Roman" w:eastAsia="Calibri" w:hAnsi="Times New Roman" w:cs="Times New Roman"/>
                <w:b/>
                <w:bCs/>
                <w:sz w:val="20"/>
                <w:szCs w:val="20"/>
              </w:rPr>
            </w:pPr>
            <w:r w:rsidRPr="00D84719">
              <w:rPr>
                <w:rFonts w:ascii="Times New Roman" w:eastAsia="Calibri" w:hAnsi="Times New Roman" w:cs="Times New Roman"/>
                <w:b/>
                <w:bCs/>
                <w:sz w:val="20"/>
                <w:szCs w:val="20"/>
              </w:rPr>
              <w:t>NOSITELJ (STRUČNA I TEHNIČKA POTPORA</w:t>
            </w:r>
          </w:p>
        </w:tc>
        <w:tc>
          <w:tcPr>
            <w:tcW w:w="1439" w:type="dxa"/>
            <w:shd w:val="clear" w:color="auto" w:fill="BFBFBF"/>
            <w:vAlign w:val="center"/>
          </w:tcPr>
          <w:p w14:paraId="0387049A" w14:textId="77777777" w:rsidR="00D84719" w:rsidRPr="00D84719" w:rsidRDefault="00D84719" w:rsidP="00D84719">
            <w:pPr>
              <w:jc w:val="center"/>
              <w:rPr>
                <w:rFonts w:ascii="Times New Roman" w:eastAsia="Calibri" w:hAnsi="Times New Roman" w:cs="Times New Roman"/>
                <w:b/>
                <w:bCs/>
                <w:sz w:val="20"/>
                <w:szCs w:val="20"/>
              </w:rPr>
            </w:pPr>
            <w:r w:rsidRPr="00D84719">
              <w:rPr>
                <w:rFonts w:ascii="Times New Roman" w:eastAsia="Calibri" w:hAnsi="Times New Roman" w:cs="Times New Roman"/>
                <w:b/>
                <w:bCs/>
                <w:sz w:val="20"/>
                <w:szCs w:val="20"/>
              </w:rPr>
              <w:t>RAZDOBLJE PROVEDBE</w:t>
            </w:r>
          </w:p>
        </w:tc>
        <w:tc>
          <w:tcPr>
            <w:tcW w:w="1336" w:type="dxa"/>
            <w:shd w:val="clear" w:color="auto" w:fill="BFBFBF"/>
            <w:vAlign w:val="center"/>
          </w:tcPr>
          <w:p w14:paraId="6DC848E8" w14:textId="77777777" w:rsidR="00D84719" w:rsidRPr="00D84719" w:rsidRDefault="00D84719" w:rsidP="00D84719">
            <w:pPr>
              <w:jc w:val="center"/>
              <w:rPr>
                <w:rFonts w:ascii="Times New Roman" w:eastAsia="Calibri" w:hAnsi="Times New Roman" w:cs="Times New Roman"/>
                <w:b/>
                <w:bCs/>
                <w:sz w:val="20"/>
                <w:szCs w:val="20"/>
              </w:rPr>
            </w:pPr>
            <w:r w:rsidRPr="00D84719">
              <w:rPr>
                <w:rFonts w:ascii="Times New Roman" w:eastAsia="Calibri" w:hAnsi="Times New Roman" w:cs="Times New Roman"/>
                <w:b/>
                <w:bCs/>
                <w:sz w:val="20"/>
                <w:szCs w:val="20"/>
              </w:rPr>
              <w:t>TROŠAK (HRK)</w:t>
            </w:r>
          </w:p>
        </w:tc>
      </w:tr>
      <w:tr w:rsidR="00D84719" w:rsidRPr="00D84719" w14:paraId="4534E8F3" w14:textId="77777777" w:rsidTr="00F831D6">
        <w:trPr>
          <w:jc w:val="center"/>
        </w:trPr>
        <w:tc>
          <w:tcPr>
            <w:tcW w:w="9045" w:type="dxa"/>
            <w:gridSpan w:val="4"/>
            <w:vAlign w:val="center"/>
          </w:tcPr>
          <w:p w14:paraId="57006524" w14:textId="77777777" w:rsidR="00D84719" w:rsidRPr="00D84719" w:rsidRDefault="00D84719" w:rsidP="00D84719">
            <w:pPr>
              <w:rPr>
                <w:rFonts w:ascii="Times New Roman" w:eastAsia="Calibri" w:hAnsi="Times New Roman" w:cs="Times New Roman"/>
                <w:b/>
                <w:sz w:val="20"/>
                <w:szCs w:val="20"/>
              </w:rPr>
            </w:pPr>
            <w:r w:rsidRPr="00D84719">
              <w:rPr>
                <w:rFonts w:ascii="Times New Roman" w:eastAsia="Calibri" w:hAnsi="Times New Roman" w:cs="Times New Roman"/>
                <w:b/>
                <w:sz w:val="20"/>
                <w:szCs w:val="20"/>
              </w:rPr>
              <w:t>GLAVNI CILJ: IDENTIFICIRANJE I SIGURNO UKLANJANJE dekaBDE-A I PROIZVODA KOJI SADRŽE dekaBDE NA PODRUČJU REPUBLIKE HRVATSKE</w:t>
            </w:r>
          </w:p>
        </w:tc>
      </w:tr>
      <w:tr w:rsidR="00D84719" w:rsidRPr="00D84719" w14:paraId="4945F38E" w14:textId="77777777" w:rsidTr="00F831D6">
        <w:trPr>
          <w:jc w:val="center"/>
        </w:trPr>
        <w:tc>
          <w:tcPr>
            <w:tcW w:w="9045" w:type="dxa"/>
            <w:gridSpan w:val="4"/>
            <w:vAlign w:val="center"/>
          </w:tcPr>
          <w:p w14:paraId="19D98813" w14:textId="77777777" w:rsidR="00D84719" w:rsidRPr="00D84719" w:rsidRDefault="00D84719" w:rsidP="00D84719">
            <w:pPr>
              <w:rPr>
                <w:rFonts w:ascii="Times New Roman" w:eastAsia="Calibri" w:hAnsi="Times New Roman" w:cs="Times New Roman"/>
                <w:i/>
                <w:sz w:val="20"/>
                <w:szCs w:val="20"/>
              </w:rPr>
            </w:pPr>
            <w:r w:rsidRPr="00D84719">
              <w:rPr>
                <w:rFonts w:ascii="Times New Roman" w:eastAsia="Calibri" w:hAnsi="Times New Roman" w:cs="Times New Roman"/>
                <w:i/>
                <w:sz w:val="20"/>
                <w:szCs w:val="20"/>
              </w:rPr>
              <w:t>Specifični cilj 1: Provođenje testiranja opreme koja bi ukazala na prisutnost dekaBDE-a, praćenje stanja</w:t>
            </w:r>
          </w:p>
        </w:tc>
      </w:tr>
      <w:tr w:rsidR="00D84719" w:rsidRPr="00D84719" w14:paraId="31226EB5" w14:textId="77777777" w:rsidTr="00F831D6">
        <w:trPr>
          <w:jc w:val="center"/>
        </w:trPr>
        <w:tc>
          <w:tcPr>
            <w:tcW w:w="3505" w:type="dxa"/>
            <w:vAlign w:val="center"/>
          </w:tcPr>
          <w:p w14:paraId="1B9D6056" w14:textId="77777777" w:rsidR="00D84719" w:rsidRPr="00D84719" w:rsidRDefault="00D84719" w:rsidP="00D84719">
            <w:pPr>
              <w:rPr>
                <w:rFonts w:ascii="Times New Roman" w:eastAsia="Calibri" w:hAnsi="Times New Roman" w:cs="Times New Roman"/>
                <w:sz w:val="20"/>
                <w:szCs w:val="20"/>
              </w:rPr>
            </w:pPr>
            <w:r w:rsidRPr="00D84719">
              <w:rPr>
                <w:rFonts w:ascii="Times New Roman" w:eastAsia="Calibri" w:hAnsi="Times New Roman" w:cs="Times New Roman"/>
                <w:sz w:val="20"/>
                <w:szCs w:val="20"/>
              </w:rPr>
              <w:t>Mjera 1.1: Testirati opremu na prisutnost dekaBDE-a</w:t>
            </w:r>
          </w:p>
        </w:tc>
        <w:tc>
          <w:tcPr>
            <w:tcW w:w="2765" w:type="dxa"/>
            <w:vAlign w:val="center"/>
          </w:tcPr>
          <w:p w14:paraId="7F857D3C" w14:textId="77777777" w:rsidR="00D84719" w:rsidRPr="00D84719" w:rsidRDefault="007539DD" w:rsidP="00D84719">
            <w:pPr>
              <w:jc w:val="center"/>
              <w:rPr>
                <w:rFonts w:ascii="Times New Roman" w:eastAsia="Calibri" w:hAnsi="Times New Roman" w:cs="Times New Roman"/>
                <w:sz w:val="20"/>
                <w:szCs w:val="20"/>
              </w:rPr>
            </w:pPr>
            <w:r w:rsidRPr="00D84719">
              <w:rPr>
                <w:rFonts w:ascii="Times New Roman" w:eastAsia="Calibri" w:hAnsi="Times New Roman" w:cs="Times New Roman"/>
                <w:sz w:val="20"/>
                <w:szCs w:val="20"/>
              </w:rPr>
              <w:t>Ovlašteni laboratorij</w:t>
            </w:r>
          </w:p>
        </w:tc>
        <w:tc>
          <w:tcPr>
            <w:tcW w:w="1439" w:type="dxa"/>
            <w:vAlign w:val="center"/>
          </w:tcPr>
          <w:p w14:paraId="3F225744" w14:textId="77777777" w:rsidR="00D84719" w:rsidRPr="00D84719" w:rsidRDefault="00D84719" w:rsidP="00D84719">
            <w:pPr>
              <w:jc w:val="center"/>
              <w:rPr>
                <w:rFonts w:ascii="Times New Roman" w:eastAsia="Calibri" w:hAnsi="Times New Roman" w:cs="Times New Roman"/>
                <w:sz w:val="20"/>
                <w:szCs w:val="20"/>
              </w:rPr>
            </w:pPr>
            <w:r w:rsidRPr="00D84719">
              <w:rPr>
                <w:rFonts w:ascii="Times New Roman" w:eastAsia="Calibri" w:hAnsi="Times New Roman" w:cs="Times New Roman"/>
                <w:sz w:val="20"/>
                <w:szCs w:val="20"/>
              </w:rPr>
              <w:t>kontinuirano</w:t>
            </w:r>
          </w:p>
        </w:tc>
        <w:tc>
          <w:tcPr>
            <w:tcW w:w="1336" w:type="dxa"/>
            <w:vAlign w:val="center"/>
          </w:tcPr>
          <w:p w14:paraId="237A97E8" w14:textId="77777777" w:rsidR="00D84719" w:rsidRPr="00D84719" w:rsidRDefault="000B6CBB" w:rsidP="007539DD">
            <w:pPr>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r>
      <w:tr w:rsidR="00D84719" w:rsidRPr="00D84719" w14:paraId="0DC76695" w14:textId="77777777" w:rsidTr="00F831D6">
        <w:trPr>
          <w:jc w:val="center"/>
        </w:trPr>
        <w:tc>
          <w:tcPr>
            <w:tcW w:w="3505" w:type="dxa"/>
            <w:vAlign w:val="center"/>
          </w:tcPr>
          <w:p w14:paraId="10FDDDEA" w14:textId="77777777" w:rsidR="00D84719" w:rsidRPr="00D84719" w:rsidRDefault="00D84719" w:rsidP="00D84719">
            <w:pPr>
              <w:rPr>
                <w:rFonts w:ascii="Times New Roman" w:eastAsia="Calibri" w:hAnsi="Times New Roman" w:cs="Times New Roman"/>
                <w:sz w:val="20"/>
                <w:szCs w:val="20"/>
              </w:rPr>
            </w:pPr>
            <w:r w:rsidRPr="00D84719">
              <w:rPr>
                <w:rFonts w:ascii="Times New Roman" w:eastAsia="Calibri" w:hAnsi="Times New Roman" w:cs="Times New Roman"/>
                <w:sz w:val="20"/>
                <w:szCs w:val="20"/>
              </w:rPr>
              <w:lastRenderedPageBreak/>
              <w:t>Mjera 1.2: Revidirati preliminarni inventar prema rezultatima testiranja, izraditi izvješće o zalihama za potrebe redovnog izvješćivanja</w:t>
            </w:r>
          </w:p>
        </w:tc>
        <w:tc>
          <w:tcPr>
            <w:tcW w:w="2765" w:type="dxa"/>
            <w:vAlign w:val="center"/>
          </w:tcPr>
          <w:p w14:paraId="76370A69" w14:textId="77777777" w:rsidR="00D84719" w:rsidRPr="00D84719" w:rsidRDefault="00D84719" w:rsidP="000B6CBB">
            <w:pPr>
              <w:jc w:val="center"/>
              <w:rPr>
                <w:rFonts w:ascii="Times New Roman" w:eastAsia="Calibri" w:hAnsi="Times New Roman" w:cs="Times New Roman"/>
                <w:sz w:val="20"/>
                <w:szCs w:val="20"/>
              </w:rPr>
            </w:pPr>
            <w:r w:rsidRPr="00D84719">
              <w:rPr>
                <w:rFonts w:ascii="Times New Roman" w:eastAsia="Calibri" w:hAnsi="Times New Roman" w:cs="Times New Roman"/>
                <w:color w:val="000000"/>
                <w:sz w:val="20"/>
                <w:szCs w:val="20"/>
              </w:rPr>
              <w:t>MINGOR (HZJZ - Služba za toksikologiju)</w:t>
            </w:r>
          </w:p>
        </w:tc>
        <w:tc>
          <w:tcPr>
            <w:tcW w:w="1439" w:type="dxa"/>
            <w:vAlign w:val="center"/>
          </w:tcPr>
          <w:p w14:paraId="38974506" w14:textId="77777777" w:rsidR="00D84719" w:rsidRPr="00D84719" w:rsidRDefault="00D84719" w:rsidP="00D84719">
            <w:pPr>
              <w:jc w:val="center"/>
              <w:rPr>
                <w:rFonts w:ascii="Times New Roman" w:eastAsia="Calibri" w:hAnsi="Times New Roman" w:cs="Times New Roman"/>
                <w:sz w:val="20"/>
                <w:szCs w:val="20"/>
              </w:rPr>
            </w:pPr>
            <w:r w:rsidRPr="00D84719">
              <w:rPr>
                <w:rFonts w:ascii="Times New Roman" w:eastAsia="Calibri" w:hAnsi="Times New Roman" w:cs="Times New Roman"/>
                <w:sz w:val="20"/>
                <w:szCs w:val="20"/>
              </w:rPr>
              <w:t>kontinuirano</w:t>
            </w:r>
          </w:p>
        </w:tc>
        <w:tc>
          <w:tcPr>
            <w:tcW w:w="1336" w:type="dxa"/>
            <w:vAlign w:val="center"/>
          </w:tcPr>
          <w:p w14:paraId="1E3FB9CB" w14:textId="77777777" w:rsidR="00D84719" w:rsidRPr="00D84719" w:rsidRDefault="00D84719" w:rsidP="00D84719">
            <w:pPr>
              <w:jc w:val="center"/>
              <w:rPr>
                <w:rFonts w:ascii="Times New Roman" w:eastAsia="Calibri" w:hAnsi="Times New Roman" w:cs="Times New Roman"/>
                <w:sz w:val="20"/>
                <w:szCs w:val="20"/>
              </w:rPr>
            </w:pPr>
            <w:r w:rsidRPr="00D84719">
              <w:rPr>
                <w:rFonts w:ascii="Times New Roman" w:eastAsia="Calibri" w:hAnsi="Times New Roman" w:cs="Times New Roman"/>
                <w:sz w:val="20"/>
                <w:szCs w:val="20"/>
              </w:rPr>
              <w:t>0</w:t>
            </w:r>
          </w:p>
        </w:tc>
      </w:tr>
      <w:tr w:rsidR="00D84719" w:rsidRPr="00D84719" w14:paraId="4D6E19D7" w14:textId="77777777" w:rsidTr="00F831D6">
        <w:trPr>
          <w:jc w:val="center"/>
        </w:trPr>
        <w:tc>
          <w:tcPr>
            <w:tcW w:w="9045" w:type="dxa"/>
            <w:gridSpan w:val="4"/>
            <w:vAlign w:val="center"/>
          </w:tcPr>
          <w:p w14:paraId="35B720B2" w14:textId="77777777" w:rsidR="00D84719" w:rsidRPr="00D84719" w:rsidRDefault="00D84719" w:rsidP="00D84719">
            <w:pPr>
              <w:rPr>
                <w:rFonts w:ascii="Times New Roman" w:eastAsia="Calibri" w:hAnsi="Times New Roman" w:cs="Times New Roman"/>
                <w:i/>
                <w:sz w:val="20"/>
                <w:szCs w:val="20"/>
              </w:rPr>
            </w:pPr>
            <w:r w:rsidRPr="00D84719">
              <w:rPr>
                <w:rFonts w:ascii="Times New Roman" w:eastAsia="Calibri" w:hAnsi="Times New Roman" w:cs="Times New Roman"/>
                <w:i/>
                <w:sz w:val="20"/>
                <w:szCs w:val="20"/>
              </w:rPr>
              <w:t>Specifični cilj 2: Edukacija i podizanje svijesti ciljnih skupina</w:t>
            </w:r>
          </w:p>
        </w:tc>
      </w:tr>
      <w:tr w:rsidR="00D84719" w:rsidRPr="00D84719" w14:paraId="11C82B3F" w14:textId="77777777" w:rsidTr="00F831D6">
        <w:trPr>
          <w:jc w:val="center"/>
        </w:trPr>
        <w:tc>
          <w:tcPr>
            <w:tcW w:w="3505" w:type="dxa"/>
            <w:vAlign w:val="center"/>
          </w:tcPr>
          <w:p w14:paraId="13E22A65" w14:textId="77777777" w:rsidR="00D84719" w:rsidRPr="00D84719" w:rsidRDefault="00D84719" w:rsidP="00D84719">
            <w:pPr>
              <w:rPr>
                <w:rFonts w:ascii="Times New Roman" w:eastAsia="Calibri" w:hAnsi="Times New Roman" w:cs="Times New Roman"/>
                <w:sz w:val="20"/>
                <w:szCs w:val="20"/>
              </w:rPr>
            </w:pPr>
            <w:r w:rsidRPr="00D84719">
              <w:rPr>
                <w:rFonts w:ascii="Times New Roman" w:eastAsia="Calibri" w:hAnsi="Times New Roman" w:cs="Times New Roman"/>
                <w:sz w:val="20"/>
                <w:szCs w:val="20"/>
              </w:rPr>
              <w:t>Mjera 2.1.: Nastavak edukacije</w:t>
            </w:r>
          </w:p>
        </w:tc>
        <w:tc>
          <w:tcPr>
            <w:tcW w:w="2765" w:type="dxa"/>
            <w:vAlign w:val="center"/>
          </w:tcPr>
          <w:p w14:paraId="66811DA3" w14:textId="77777777" w:rsidR="00D84719" w:rsidRPr="00D84719" w:rsidRDefault="007539DD" w:rsidP="007B366A">
            <w:pPr>
              <w:jc w:val="center"/>
              <w:rPr>
                <w:rFonts w:ascii="Times New Roman" w:eastAsia="Calibri" w:hAnsi="Times New Roman" w:cs="Times New Roman"/>
                <w:sz w:val="20"/>
                <w:szCs w:val="20"/>
              </w:rPr>
            </w:pPr>
            <w:r w:rsidRPr="00D84719">
              <w:rPr>
                <w:rFonts w:ascii="Times New Roman" w:eastAsia="Calibri" w:hAnsi="Times New Roman" w:cs="Times New Roman"/>
                <w:color w:val="000000"/>
                <w:sz w:val="20"/>
                <w:szCs w:val="20"/>
              </w:rPr>
              <w:t>MINGOR (MIZ/ HZJZ - Služba za toksikologiju</w:t>
            </w:r>
            <w:r w:rsidR="0064472D">
              <w:rPr>
                <w:rFonts w:ascii="Times New Roman" w:eastAsia="Calibri" w:hAnsi="Times New Roman" w:cs="Times New Roman"/>
                <w:color w:val="000000"/>
                <w:sz w:val="20"/>
                <w:szCs w:val="20"/>
              </w:rPr>
              <w:t>/</w:t>
            </w:r>
            <w:r w:rsidR="009C2757">
              <w:rPr>
                <w:rFonts w:ascii="Times New Roman" w:eastAsia="Calibri" w:hAnsi="Times New Roman" w:cs="Times New Roman"/>
                <w:color w:val="000000"/>
                <w:sz w:val="20"/>
                <w:szCs w:val="20"/>
              </w:rPr>
              <w:t>MUP-</w:t>
            </w:r>
            <w:r w:rsidR="0064472D">
              <w:rPr>
                <w:rFonts w:ascii="Times New Roman" w:eastAsia="Calibri" w:hAnsi="Times New Roman" w:cs="Times New Roman"/>
                <w:color w:val="000000"/>
                <w:sz w:val="20"/>
                <w:szCs w:val="20"/>
              </w:rPr>
              <w:t>Civilna zaštita</w:t>
            </w:r>
            <w:r w:rsidRPr="00D84719">
              <w:rPr>
                <w:rFonts w:ascii="Times New Roman" w:eastAsia="Calibri" w:hAnsi="Times New Roman" w:cs="Times New Roman"/>
                <w:color w:val="000000"/>
                <w:sz w:val="20"/>
                <w:szCs w:val="20"/>
              </w:rPr>
              <w:t>)</w:t>
            </w:r>
          </w:p>
        </w:tc>
        <w:tc>
          <w:tcPr>
            <w:tcW w:w="1439" w:type="dxa"/>
            <w:vAlign w:val="center"/>
          </w:tcPr>
          <w:p w14:paraId="025AD1DB" w14:textId="77777777" w:rsidR="00D84719" w:rsidRPr="00D84719" w:rsidRDefault="00D84719" w:rsidP="00D84719">
            <w:pPr>
              <w:jc w:val="center"/>
              <w:rPr>
                <w:rFonts w:ascii="Times New Roman" w:eastAsia="Calibri" w:hAnsi="Times New Roman" w:cs="Times New Roman"/>
                <w:sz w:val="20"/>
                <w:szCs w:val="20"/>
              </w:rPr>
            </w:pPr>
            <w:r w:rsidRPr="00D84719">
              <w:rPr>
                <w:rFonts w:ascii="Times New Roman" w:eastAsia="Calibri" w:hAnsi="Times New Roman" w:cs="Times New Roman"/>
                <w:sz w:val="20"/>
                <w:szCs w:val="20"/>
              </w:rPr>
              <w:t>2023.</w:t>
            </w:r>
          </w:p>
        </w:tc>
        <w:tc>
          <w:tcPr>
            <w:tcW w:w="1336" w:type="dxa"/>
            <w:vAlign w:val="center"/>
          </w:tcPr>
          <w:p w14:paraId="713177A7" w14:textId="77777777" w:rsidR="00D84719" w:rsidRPr="00D84719" w:rsidRDefault="00D84719" w:rsidP="00D84719">
            <w:pPr>
              <w:jc w:val="center"/>
              <w:rPr>
                <w:rFonts w:ascii="Times New Roman" w:eastAsia="Calibri" w:hAnsi="Times New Roman" w:cs="Times New Roman"/>
                <w:sz w:val="20"/>
                <w:szCs w:val="20"/>
              </w:rPr>
            </w:pPr>
            <w:r w:rsidRPr="00D84719">
              <w:rPr>
                <w:rFonts w:ascii="Times New Roman" w:eastAsia="Calibri" w:hAnsi="Times New Roman" w:cs="Times New Roman"/>
                <w:sz w:val="20"/>
                <w:szCs w:val="20"/>
              </w:rPr>
              <w:t>20.000</w:t>
            </w:r>
          </w:p>
        </w:tc>
      </w:tr>
      <w:tr w:rsidR="001173D4" w:rsidRPr="00D84719" w14:paraId="3BC41C28" w14:textId="77777777" w:rsidTr="0044324D">
        <w:trPr>
          <w:jc w:val="center"/>
        </w:trPr>
        <w:tc>
          <w:tcPr>
            <w:tcW w:w="7709" w:type="dxa"/>
            <w:gridSpan w:val="3"/>
            <w:vAlign w:val="center"/>
          </w:tcPr>
          <w:p w14:paraId="472FD7BE" w14:textId="77777777" w:rsidR="001173D4" w:rsidRPr="00D84719" w:rsidRDefault="001173D4" w:rsidP="001173D4">
            <w:pPr>
              <w:rPr>
                <w:rFonts w:ascii="Times New Roman" w:eastAsia="Calibri" w:hAnsi="Times New Roman" w:cs="Times New Roman"/>
                <w:sz w:val="20"/>
                <w:szCs w:val="20"/>
              </w:rPr>
            </w:pPr>
            <w:r w:rsidRPr="00D84719">
              <w:rPr>
                <w:rFonts w:ascii="Times New Roman" w:eastAsia="Calibri" w:hAnsi="Times New Roman" w:cs="Times New Roman"/>
                <w:b/>
                <w:sz w:val="20"/>
                <w:szCs w:val="20"/>
              </w:rPr>
              <w:t>UKUPNO</w:t>
            </w:r>
          </w:p>
        </w:tc>
        <w:tc>
          <w:tcPr>
            <w:tcW w:w="1336" w:type="dxa"/>
            <w:vAlign w:val="center"/>
          </w:tcPr>
          <w:p w14:paraId="11747549" w14:textId="77777777" w:rsidR="001173D4" w:rsidRPr="00D84719" w:rsidRDefault="000B6CBB" w:rsidP="00D84719">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2</w:t>
            </w:r>
            <w:r w:rsidRPr="00D84719">
              <w:rPr>
                <w:rFonts w:ascii="Times New Roman" w:eastAsia="Calibri" w:hAnsi="Times New Roman" w:cs="Times New Roman"/>
                <w:b/>
                <w:sz w:val="20"/>
                <w:szCs w:val="20"/>
              </w:rPr>
              <w:t>0</w:t>
            </w:r>
            <w:r w:rsidR="001173D4" w:rsidRPr="00D84719">
              <w:rPr>
                <w:rFonts w:ascii="Times New Roman" w:eastAsia="Calibri" w:hAnsi="Times New Roman" w:cs="Times New Roman"/>
                <w:b/>
                <w:sz w:val="20"/>
                <w:szCs w:val="20"/>
              </w:rPr>
              <w:t>.000</w:t>
            </w:r>
          </w:p>
        </w:tc>
      </w:tr>
    </w:tbl>
    <w:p w14:paraId="6D78EB91" w14:textId="77777777" w:rsidR="00D84719" w:rsidRPr="00D84719" w:rsidRDefault="00D84719" w:rsidP="00D84719">
      <w:pPr>
        <w:spacing w:before="80" w:line="276" w:lineRule="auto"/>
        <w:jc w:val="both"/>
        <w:rPr>
          <w:rFonts w:ascii="Times New Roman" w:eastAsia="Times New Roman" w:hAnsi="Times New Roman" w:cs="Times New Roman"/>
          <w:color w:val="000000"/>
          <w:szCs w:val="24"/>
          <w:lang w:bidi="en-US"/>
        </w:rPr>
      </w:pPr>
    </w:p>
    <w:p w14:paraId="52F20CFD"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Ministarstvo nadležno za poslove zaštite okoliša izdalo je „Vodič za sigurno rukovanje i gospodarenje otpadom postojanim organskim onečišćujućim tvarima (POPs – PBDE, PFOS i HBCD)“ u sklopu Radionice o jačanju svijesti o štetnosti POPs-ova i mogućnostima unaprjeđenja postojećeg sustava praćenja/monitoringa POPs-ova u okoliš. Spomenuti vodič nalazi se na mrežnim stranicama Ministarstva.</w:t>
      </w:r>
    </w:p>
    <w:p w14:paraId="2AE934BB"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p>
    <w:p w14:paraId="4F98B636" w14:textId="77777777" w:rsidR="00D84719" w:rsidRPr="00D84719" w:rsidRDefault="00D84719" w:rsidP="00C74901">
      <w:pPr>
        <w:pStyle w:val="Naslov3"/>
      </w:pPr>
      <w:bookmarkStart w:id="301" w:name="_Toc40439464"/>
      <w:bookmarkStart w:id="302" w:name="_Toc50635634"/>
      <w:bookmarkStart w:id="303" w:name="_Toc64460779"/>
      <w:r w:rsidRPr="00D84719">
        <w:t>Aktivnost: Proizvodnja, uvoz i izvoz, uporaba, zalihe i otpad kloriranih parafina (SCCP-a)</w:t>
      </w:r>
      <w:bookmarkEnd w:id="301"/>
      <w:bookmarkEnd w:id="302"/>
      <w:bookmarkEnd w:id="303"/>
    </w:p>
    <w:p w14:paraId="30930C03" w14:textId="3074D62C"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SCCP se na tržištu Republike Hrvatske ne pojavljuje u koncentracijama većim od 1</w:t>
      </w:r>
      <w:r w:rsidR="00D4589D">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xml:space="preserve"> masenog udjela u pripravcima i u koncentracijama ne većim od 0,15</w:t>
      </w:r>
      <w:r w:rsidR="00D4589D">
        <w:rPr>
          <w:rFonts w:ascii="Times New Roman" w:eastAsia="Times New Roman" w:hAnsi="Times New Roman" w:cs="Times New Roman"/>
          <w:color w:val="000000"/>
          <w:sz w:val="24"/>
          <w:szCs w:val="24"/>
        </w:rPr>
        <w:t xml:space="preserve"> %</w:t>
      </w:r>
      <w:r w:rsidRPr="00D84719">
        <w:rPr>
          <w:rFonts w:ascii="Times New Roman" w:eastAsia="Times New Roman" w:hAnsi="Times New Roman" w:cs="Times New Roman"/>
          <w:color w:val="000000"/>
          <w:sz w:val="24"/>
          <w:szCs w:val="24"/>
        </w:rPr>
        <w:t xml:space="preserve"> masenog udjela u proizvodima, što je sukladno dopuštenim koncentracijama prema Stokholmskoj konvenciji.</w:t>
      </w:r>
    </w:p>
    <w:p w14:paraId="14409321"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Zahtjevi Stockholmske konvencije u pogledu tzv. novih POPs-ova, u koje spadaju i klorirani parafini uključuju:</w:t>
      </w:r>
    </w:p>
    <w:p w14:paraId="0C5909C5" w14:textId="77777777" w:rsidR="00D84719" w:rsidRP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provođenje mjera nadzora za svaku kemikaliju navedenu u popisu Stockholmske konvencije (članci 3. i 4.)</w:t>
      </w:r>
    </w:p>
    <w:p w14:paraId="4ED8878F" w14:textId="77777777" w:rsidR="00D84719" w:rsidRP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izradu inventara kemikalija u zalihama (članak 6.)</w:t>
      </w:r>
    </w:p>
    <w:p w14:paraId="63D54D3E" w14:textId="77777777" w:rsidR="00D84719" w:rsidRP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izradu ažuriranog i revidiranog NIP-a (članak 7.)</w:t>
      </w:r>
    </w:p>
    <w:p w14:paraId="09012AA1" w14:textId="77777777" w:rsidR="00D84719" w:rsidRP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uključivanje „novih“ kemikalija, u koje spadaju SCCP u izvješćivanje (članak 15.) i</w:t>
      </w:r>
    </w:p>
    <w:p w14:paraId="0CCD1392" w14:textId="77777777" w:rsid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 xml:space="preserve">uključivanje </w:t>
      </w:r>
      <w:r w:rsidR="00292F53">
        <w:rPr>
          <w:rFonts w:ascii="Times New Roman" w:eastAsia="Calibri" w:hAnsi="Times New Roman" w:cs="Times New Roman"/>
          <w:sz w:val="24"/>
          <w:lang w:bidi="en-US"/>
        </w:rPr>
        <w:t>„</w:t>
      </w:r>
      <w:r w:rsidRPr="00D84719">
        <w:rPr>
          <w:rFonts w:ascii="Times New Roman" w:eastAsia="Calibri" w:hAnsi="Times New Roman" w:cs="Times New Roman"/>
          <w:sz w:val="24"/>
          <w:lang w:bidi="en-US"/>
        </w:rPr>
        <w:t>novih</w:t>
      </w:r>
      <w:r w:rsidR="00292F53">
        <w:rPr>
          <w:rFonts w:ascii="Times New Roman" w:eastAsia="Calibri" w:hAnsi="Times New Roman" w:cs="Times New Roman"/>
          <w:sz w:val="24"/>
          <w:lang w:bidi="en-US"/>
        </w:rPr>
        <w:t>“</w:t>
      </w:r>
      <w:r w:rsidRPr="00D84719">
        <w:rPr>
          <w:rFonts w:ascii="Times New Roman" w:eastAsia="Calibri" w:hAnsi="Times New Roman" w:cs="Times New Roman"/>
          <w:sz w:val="24"/>
          <w:lang w:bidi="en-US"/>
        </w:rPr>
        <w:t xml:space="preserve"> kemikalija, u koje spadaju SCCP u program za ocjenu učinkovitosti (članak 16.).</w:t>
      </w:r>
    </w:p>
    <w:p w14:paraId="32747A8B" w14:textId="77777777" w:rsidR="00605EA4" w:rsidRPr="00D84719" w:rsidRDefault="00605EA4" w:rsidP="00605EA4">
      <w:pPr>
        <w:tabs>
          <w:tab w:val="left" w:pos="1755"/>
        </w:tabs>
        <w:autoSpaceDE w:val="0"/>
        <w:autoSpaceDN w:val="0"/>
        <w:adjustRightInd w:val="0"/>
        <w:spacing w:before="80" w:after="0" w:line="240" w:lineRule="auto"/>
        <w:ind w:left="720"/>
        <w:jc w:val="both"/>
        <w:rPr>
          <w:rFonts w:ascii="Times New Roman" w:eastAsia="Calibri" w:hAnsi="Times New Roman" w:cs="Times New Roman"/>
          <w:sz w:val="24"/>
          <w:lang w:bidi="en-US"/>
        </w:rPr>
      </w:pPr>
    </w:p>
    <w:p w14:paraId="398DEA4F"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Za uspješnu provedbu svih obveza iz Stockholmske konvencije koje se odnose na glavni cilj ove aktivnosti – uspostavu odgovarajućeg upravljanja SCCP-om u Republici Hrvatskoj, identificirane su konkretne mjere i aktivnosti koje je potrebno provesti, u skladu s definiranim prioritetima i ciljevima.</w:t>
      </w:r>
    </w:p>
    <w:p w14:paraId="14629AF0"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Specifični cilj je sljedeći:</w:t>
      </w:r>
    </w:p>
    <w:p w14:paraId="25DEB28B" w14:textId="77777777" w:rsidR="00D84719" w:rsidRPr="00D84719" w:rsidRDefault="00D84719" w:rsidP="00F61CE7">
      <w:pPr>
        <w:numPr>
          <w:ilvl w:val="0"/>
          <w:numId w:val="20"/>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Analiza ocjene potrebe za novim informacijama o SCCP-u</w:t>
      </w:r>
    </w:p>
    <w:p w14:paraId="6B7451AA" w14:textId="77777777" w:rsidR="00D84719" w:rsidRPr="00D84719" w:rsidRDefault="00D84719" w:rsidP="00D84719">
      <w:pPr>
        <w:tabs>
          <w:tab w:val="left" w:pos="1755"/>
        </w:tabs>
        <w:autoSpaceDE w:val="0"/>
        <w:autoSpaceDN w:val="0"/>
        <w:adjustRightInd w:val="0"/>
        <w:spacing w:after="0" w:line="240" w:lineRule="auto"/>
        <w:ind w:left="644"/>
        <w:jc w:val="both"/>
        <w:rPr>
          <w:rFonts w:ascii="Times New Roman" w:eastAsia="Calibri" w:hAnsi="Times New Roman" w:cs="Times New Roman"/>
          <w:lang w:bidi="en-US"/>
        </w:rPr>
      </w:pPr>
    </w:p>
    <w:p w14:paraId="686DD86C" w14:textId="77777777" w:rsidR="00D84719" w:rsidRPr="00D84719" w:rsidRDefault="00D84719" w:rsidP="00605EA4">
      <w:pPr>
        <w:pStyle w:val="Naslov4"/>
      </w:pPr>
      <w:bookmarkStart w:id="304" w:name="_Toc64460780"/>
      <w:r w:rsidRPr="00D84719">
        <w:t>Analiza ocjene potrebe za novim informacijama o SCCP-u</w:t>
      </w:r>
      <w:bookmarkEnd w:id="304"/>
    </w:p>
    <w:p w14:paraId="59149634"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Predložene mjere:</w:t>
      </w:r>
    </w:p>
    <w:p w14:paraId="05D3231C" w14:textId="77777777" w:rsid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lastRenderedPageBreak/>
        <w:t>ocjena potrebe za novim informacijama u suradnji s građevinskim tvrtkama, vlasnicima zemljišta, tvornicama i drugim dionicima koji su uključeni u poslove obnove i rušenja zgrada.</w:t>
      </w:r>
    </w:p>
    <w:p w14:paraId="0FF690F6" w14:textId="77777777" w:rsidR="009C4363" w:rsidRPr="00D84719" w:rsidRDefault="009C4363" w:rsidP="009C4363">
      <w:pPr>
        <w:tabs>
          <w:tab w:val="left" w:pos="1755"/>
        </w:tabs>
        <w:autoSpaceDE w:val="0"/>
        <w:autoSpaceDN w:val="0"/>
        <w:adjustRightInd w:val="0"/>
        <w:spacing w:before="80" w:after="0" w:line="240" w:lineRule="auto"/>
        <w:ind w:left="720"/>
        <w:jc w:val="both"/>
        <w:rPr>
          <w:rFonts w:ascii="Times New Roman" w:eastAsia="Calibri" w:hAnsi="Times New Roman" w:cs="Times New Roman"/>
          <w:sz w:val="24"/>
          <w:lang w:bidi="en-US"/>
        </w:rPr>
      </w:pPr>
    </w:p>
    <w:p w14:paraId="0123F228" w14:textId="77777777" w:rsid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Opis mjera i aktivnosti koje je potrebno provesti u cilju ispunjenja svih obveza iz Stockholmske konvencije koje se odnose na upravljanje SCCP-om u Republici Hrvatskoj, utvrđivanje institucija odgovornih za njihovu provedbu te vremenski plan i procijenjena potrebna financijska sredstva dani su u tablici 4.</w:t>
      </w:r>
      <w:r w:rsidR="00F05F33">
        <w:rPr>
          <w:rFonts w:ascii="Times New Roman" w:eastAsia="Times New Roman" w:hAnsi="Times New Roman" w:cs="Times New Roman"/>
          <w:color w:val="000000"/>
          <w:sz w:val="24"/>
          <w:szCs w:val="24"/>
          <w:lang w:bidi="en-US"/>
        </w:rPr>
        <w:t>2</w:t>
      </w:r>
      <w:r w:rsidRPr="00D84719">
        <w:rPr>
          <w:rFonts w:ascii="Times New Roman" w:eastAsia="Times New Roman" w:hAnsi="Times New Roman" w:cs="Times New Roman"/>
          <w:color w:val="000000"/>
          <w:sz w:val="24"/>
          <w:szCs w:val="24"/>
          <w:lang w:bidi="en-US"/>
        </w:rPr>
        <w:t>-6.</w:t>
      </w:r>
    </w:p>
    <w:p w14:paraId="5B0D9244" w14:textId="77777777" w:rsidR="009C4363" w:rsidRPr="00D84719" w:rsidRDefault="009C4363" w:rsidP="00D84719">
      <w:pPr>
        <w:spacing w:before="80" w:line="276" w:lineRule="auto"/>
        <w:jc w:val="both"/>
        <w:rPr>
          <w:rFonts w:ascii="Times New Roman" w:eastAsia="Times New Roman" w:hAnsi="Times New Roman" w:cs="Times New Roman"/>
          <w:color w:val="000000"/>
          <w:sz w:val="24"/>
          <w:szCs w:val="24"/>
          <w:lang w:bidi="en-US"/>
        </w:rPr>
      </w:pPr>
    </w:p>
    <w:p w14:paraId="32B11B37" w14:textId="77777777" w:rsidR="00D84719" w:rsidRPr="00D84719" w:rsidRDefault="00D84719" w:rsidP="00D84719">
      <w:pPr>
        <w:keepNext/>
        <w:spacing w:before="80" w:after="0" w:line="276" w:lineRule="auto"/>
        <w:jc w:val="both"/>
        <w:rPr>
          <w:rFonts w:ascii="Times New Roman" w:eastAsia="Times New Roman" w:hAnsi="Times New Roman" w:cs="Times New Roman"/>
          <w:b/>
          <w:bCs/>
          <w:i/>
          <w:sz w:val="20"/>
          <w:szCs w:val="20"/>
        </w:rPr>
      </w:pPr>
      <w:r w:rsidRPr="00D84719">
        <w:rPr>
          <w:rFonts w:ascii="Times New Roman" w:eastAsia="Times New Roman" w:hAnsi="Times New Roman" w:cs="Times New Roman"/>
          <w:b/>
          <w:bCs/>
          <w:i/>
          <w:sz w:val="20"/>
          <w:szCs w:val="20"/>
        </w:rPr>
        <w:t xml:space="preserve">Tablica </w:t>
      </w:r>
      <w:r w:rsidR="00F05F33">
        <w:rPr>
          <w:rFonts w:ascii="Times New Roman" w:eastAsia="Times New Roman" w:hAnsi="Times New Roman" w:cs="Times New Roman"/>
          <w:b/>
          <w:bCs/>
          <w:i/>
          <w:sz w:val="20"/>
          <w:szCs w:val="20"/>
        </w:rPr>
        <w:t>4.2</w:t>
      </w:r>
      <w:r w:rsidRPr="00D84719">
        <w:rPr>
          <w:rFonts w:ascii="Times New Roman" w:eastAsia="Times New Roman" w:hAnsi="Times New Roman" w:cs="Times New Roman"/>
          <w:b/>
          <w:bCs/>
          <w:i/>
          <w:sz w:val="20"/>
          <w:szCs w:val="20"/>
        </w:rPr>
        <w:noBreakHyphen/>
      </w:r>
      <w:r w:rsidRPr="00D84719">
        <w:rPr>
          <w:rFonts w:ascii="Times New Roman" w:eastAsia="Times New Roman" w:hAnsi="Times New Roman" w:cs="Times New Roman"/>
          <w:b/>
          <w:bCs/>
          <w:i/>
          <w:sz w:val="20"/>
          <w:szCs w:val="20"/>
        </w:rPr>
        <w:fldChar w:fldCharType="begin"/>
      </w:r>
      <w:r w:rsidRPr="00D84719">
        <w:rPr>
          <w:rFonts w:ascii="Times New Roman" w:eastAsia="Times New Roman" w:hAnsi="Times New Roman" w:cs="Times New Roman"/>
          <w:b/>
          <w:bCs/>
          <w:i/>
          <w:sz w:val="20"/>
          <w:szCs w:val="20"/>
        </w:rPr>
        <w:instrText xml:space="preserve"> SEQ Tablica \* ARABIC \s 2 </w:instrText>
      </w:r>
      <w:r w:rsidRPr="00D84719">
        <w:rPr>
          <w:rFonts w:ascii="Times New Roman" w:eastAsia="Times New Roman" w:hAnsi="Times New Roman" w:cs="Times New Roman"/>
          <w:b/>
          <w:bCs/>
          <w:i/>
          <w:sz w:val="20"/>
          <w:szCs w:val="20"/>
        </w:rPr>
        <w:fldChar w:fldCharType="separate"/>
      </w:r>
      <w:r w:rsidRPr="00D84719">
        <w:rPr>
          <w:rFonts w:ascii="Times New Roman" w:eastAsia="Times New Roman" w:hAnsi="Times New Roman" w:cs="Times New Roman"/>
          <w:b/>
          <w:bCs/>
          <w:i/>
          <w:sz w:val="20"/>
          <w:szCs w:val="20"/>
        </w:rPr>
        <w:t>6</w:t>
      </w:r>
      <w:r w:rsidRPr="00D84719">
        <w:rPr>
          <w:rFonts w:ascii="Times New Roman" w:eastAsia="Times New Roman" w:hAnsi="Times New Roman" w:cs="Times New Roman"/>
          <w:b/>
          <w:bCs/>
          <w:i/>
          <w:sz w:val="20"/>
          <w:szCs w:val="20"/>
        </w:rPr>
        <w:fldChar w:fldCharType="end"/>
      </w:r>
      <w:r w:rsidRPr="00D84719">
        <w:rPr>
          <w:rFonts w:ascii="Times New Roman" w:eastAsia="Times New Roman" w:hAnsi="Times New Roman" w:cs="Times New Roman"/>
          <w:b/>
          <w:bCs/>
          <w:i/>
          <w:sz w:val="20"/>
          <w:szCs w:val="20"/>
        </w:rPr>
        <w:t>: Aktivnost: Proizvodnja, uvoz i izvoz, uporaba, zalihe i otpad SCCP-a</w:t>
      </w:r>
    </w:p>
    <w:tbl>
      <w:tblPr>
        <w:tblStyle w:val="Reetkatablice11"/>
        <w:tblW w:w="9067" w:type="dxa"/>
        <w:jc w:val="center"/>
        <w:tblLook w:val="04A0" w:firstRow="1" w:lastRow="0" w:firstColumn="1" w:lastColumn="0" w:noHBand="0" w:noVBand="1"/>
      </w:tblPr>
      <w:tblGrid>
        <w:gridCol w:w="3505"/>
        <w:gridCol w:w="2765"/>
        <w:gridCol w:w="1439"/>
        <w:gridCol w:w="1358"/>
      </w:tblGrid>
      <w:tr w:rsidR="00D84719" w:rsidRPr="00D84719" w14:paraId="398A07D2" w14:textId="77777777" w:rsidTr="006E1EFD">
        <w:trPr>
          <w:tblHeader/>
          <w:jc w:val="center"/>
        </w:trPr>
        <w:tc>
          <w:tcPr>
            <w:tcW w:w="3505" w:type="dxa"/>
            <w:shd w:val="clear" w:color="auto" w:fill="BFBFBF"/>
            <w:vAlign w:val="center"/>
          </w:tcPr>
          <w:p w14:paraId="4F6DCA1F" w14:textId="77777777" w:rsidR="00D84719" w:rsidRPr="00D84719" w:rsidRDefault="00D84719" w:rsidP="00D84719">
            <w:pPr>
              <w:jc w:val="center"/>
              <w:rPr>
                <w:rFonts w:ascii="Times New Roman" w:eastAsia="Calibri" w:hAnsi="Times New Roman" w:cs="Times New Roman"/>
                <w:b/>
                <w:bCs/>
                <w:sz w:val="20"/>
                <w:szCs w:val="20"/>
              </w:rPr>
            </w:pPr>
            <w:r w:rsidRPr="00D84719">
              <w:rPr>
                <w:rFonts w:ascii="Times New Roman" w:eastAsia="Calibri" w:hAnsi="Times New Roman" w:cs="Times New Roman"/>
                <w:b/>
                <w:bCs/>
                <w:sz w:val="20"/>
                <w:szCs w:val="20"/>
              </w:rPr>
              <w:t>CILJEVI/MJERE</w:t>
            </w:r>
          </w:p>
        </w:tc>
        <w:tc>
          <w:tcPr>
            <w:tcW w:w="2765" w:type="dxa"/>
            <w:shd w:val="clear" w:color="auto" w:fill="BFBFBF"/>
            <w:vAlign w:val="center"/>
          </w:tcPr>
          <w:p w14:paraId="41EFE97E" w14:textId="77777777" w:rsidR="00D84719" w:rsidRPr="00D84719" w:rsidRDefault="00D84719" w:rsidP="00D84719">
            <w:pPr>
              <w:jc w:val="center"/>
              <w:rPr>
                <w:rFonts w:ascii="Times New Roman" w:eastAsia="Calibri" w:hAnsi="Times New Roman" w:cs="Times New Roman"/>
                <w:b/>
                <w:bCs/>
                <w:sz w:val="20"/>
                <w:szCs w:val="20"/>
              </w:rPr>
            </w:pPr>
            <w:r w:rsidRPr="00D84719">
              <w:rPr>
                <w:rFonts w:ascii="Times New Roman" w:eastAsia="Calibri" w:hAnsi="Times New Roman" w:cs="Times New Roman"/>
                <w:b/>
                <w:bCs/>
                <w:sz w:val="20"/>
                <w:szCs w:val="20"/>
              </w:rPr>
              <w:t>NOSITELJ (STRUČNA I TEHNIČKA POTPORA</w:t>
            </w:r>
          </w:p>
        </w:tc>
        <w:tc>
          <w:tcPr>
            <w:tcW w:w="1439" w:type="dxa"/>
            <w:shd w:val="clear" w:color="auto" w:fill="BFBFBF"/>
            <w:vAlign w:val="center"/>
          </w:tcPr>
          <w:p w14:paraId="2BDD65A2" w14:textId="77777777" w:rsidR="00D84719" w:rsidRPr="00D84719" w:rsidRDefault="00D84719" w:rsidP="00D84719">
            <w:pPr>
              <w:jc w:val="center"/>
              <w:rPr>
                <w:rFonts w:ascii="Times New Roman" w:eastAsia="Calibri" w:hAnsi="Times New Roman" w:cs="Times New Roman"/>
                <w:b/>
                <w:bCs/>
                <w:sz w:val="20"/>
                <w:szCs w:val="20"/>
              </w:rPr>
            </w:pPr>
            <w:r w:rsidRPr="00D84719">
              <w:rPr>
                <w:rFonts w:ascii="Times New Roman" w:eastAsia="Calibri" w:hAnsi="Times New Roman" w:cs="Times New Roman"/>
                <w:b/>
                <w:bCs/>
                <w:sz w:val="20"/>
                <w:szCs w:val="20"/>
              </w:rPr>
              <w:t>RAZDOBLJE PROVEDBE</w:t>
            </w:r>
          </w:p>
        </w:tc>
        <w:tc>
          <w:tcPr>
            <w:tcW w:w="1358" w:type="dxa"/>
            <w:shd w:val="clear" w:color="auto" w:fill="BFBFBF"/>
            <w:vAlign w:val="center"/>
          </w:tcPr>
          <w:p w14:paraId="6790D00A" w14:textId="77777777" w:rsidR="00D84719" w:rsidRPr="00D84719" w:rsidRDefault="00D84719" w:rsidP="00D84719">
            <w:pPr>
              <w:jc w:val="center"/>
              <w:rPr>
                <w:rFonts w:ascii="Times New Roman" w:eastAsia="Calibri" w:hAnsi="Times New Roman" w:cs="Times New Roman"/>
                <w:b/>
                <w:bCs/>
                <w:sz w:val="20"/>
                <w:szCs w:val="20"/>
              </w:rPr>
            </w:pPr>
            <w:r w:rsidRPr="00D84719">
              <w:rPr>
                <w:rFonts w:ascii="Times New Roman" w:eastAsia="Calibri" w:hAnsi="Times New Roman" w:cs="Times New Roman"/>
                <w:b/>
                <w:bCs/>
                <w:sz w:val="20"/>
                <w:szCs w:val="20"/>
              </w:rPr>
              <w:t>TROŠAK (HRK)</w:t>
            </w:r>
          </w:p>
        </w:tc>
      </w:tr>
      <w:tr w:rsidR="00D84719" w:rsidRPr="00D84719" w14:paraId="5827B798" w14:textId="77777777" w:rsidTr="006E1EFD">
        <w:trPr>
          <w:jc w:val="center"/>
        </w:trPr>
        <w:tc>
          <w:tcPr>
            <w:tcW w:w="9067" w:type="dxa"/>
            <w:gridSpan w:val="4"/>
            <w:vAlign w:val="center"/>
          </w:tcPr>
          <w:p w14:paraId="7F5AC440" w14:textId="77777777" w:rsidR="00D84719" w:rsidRPr="00D84719" w:rsidRDefault="00D84719" w:rsidP="00D84719">
            <w:pPr>
              <w:rPr>
                <w:rFonts w:ascii="Times New Roman" w:eastAsia="Calibri" w:hAnsi="Times New Roman" w:cs="Times New Roman"/>
                <w:b/>
                <w:sz w:val="20"/>
                <w:szCs w:val="20"/>
              </w:rPr>
            </w:pPr>
            <w:r w:rsidRPr="00D84719">
              <w:rPr>
                <w:rFonts w:ascii="Times New Roman" w:eastAsia="Calibri" w:hAnsi="Times New Roman" w:cs="Times New Roman"/>
                <w:b/>
                <w:sz w:val="20"/>
                <w:szCs w:val="20"/>
              </w:rPr>
              <w:t>GLAVNI CILJ: IDENTIFICIRANJE I SIGURNO UKLANJANJE SCCP-A I PROIZVODA KOJI SADRŽE SCCP NA PODRUČJU REPUBLIKE HRVATSKE</w:t>
            </w:r>
          </w:p>
        </w:tc>
      </w:tr>
      <w:tr w:rsidR="00D84719" w:rsidRPr="00D84719" w14:paraId="56F611AB" w14:textId="77777777" w:rsidTr="006E1EFD">
        <w:trPr>
          <w:jc w:val="center"/>
        </w:trPr>
        <w:tc>
          <w:tcPr>
            <w:tcW w:w="9067" w:type="dxa"/>
            <w:gridSpan w:val="4"/>
            <w:vAlign w:val="center"/>
          </w:tcPr>
          <w:p w14:paraId="06BB353D" w14:textId="77777777" w:rsidR="00D84719" w:rsidRPr="00D84719" w:rsidRDefault="00D84719" w:rsidP="00D84719">
            <w:pPr>
              <w:rPr>
                <w:rFonts w:ascii="Times New Roman" w:eastAsia="Calibri" w:hAnsi="Times New Roman" w:cs="Times New Roman"/>
                <w:i/>
                <w:sz w:val="20"/>
                <w:szCs w:val="20"/>
              </w:rPr>
            </w:pPr>
            <w:r w:rsidRPr="00D84719">
              <w:rPr>
                <w:rFonts w:ascii="Times New Roman" w:eastAsia="Calibri" w:hAnsi="Times New Roman" w:cs="Times New Roman"/>
                <w:i/>
                <w:sz w:val="20"/>
                <w:szCs w:val="20"/>
              </w:rPr>
              <w:t>Specifični cilj 1: Analiza ocjene potrebe za novim informacijama o SCCP-u</w:t>
            </w:r>
          </w:p>
        </w:tc>
      </w:tr>
      <w:tr w:rsidR="00D84719" w:rsidRPr="00D84719" w14:paraId="6DEC299B" w14:textId="77777777" w:rsidTr="006E1EFD">
        <w:trPr>
          <w:jc w:val="center"/>
        </w:trPr>
        <w:tc>
          <w:tcPr>
            <w:tcW w:w="3505" w:type="dxa"/>
            <w:vAlign w:val="center"/>
          </w:tcPr>
          <w:p w14:paraId="3910A2EA" w14:textId="77777777" w:rsidR="00D84719" w:rsidRPr="00D84719" w:rsidRDefault="00D84719" w:rsidP="00D84719">
            <w:pPr>
              <w:rPr>
                <w:rFonts w:ascii="Times New Roman" w:eastAsia="Calibri" w:hAnsi="Times New Roman" w:cs="Times New Roman"/>
                <w:sz w:val="20"/>
                <w:szCs w:val="20"/>
              </w:rPr>
            </w:pPr>
            <w:r w:rsidRPr="00D84719">
              <w:rPr>
                <w:rFonts w:ascii="Times New Roman" w:eastAsia="Calibri" w:hAnsi="Times New Roman" w:cs="Times New Roman"/>
                <w:sz w:val="20"/>
                <w:szCs w:val="20"/>
              </w:rPr>
              <w:t>Mjera 1.1: Inspekcijski nadzor na subjektima koji oporabljuju/zbrinjavaju EE otpad s naglaskom na nelegalnu oporabu/zbrinjavanje</w:t>
            </w:r>
          </w:p>
        </w:tc>
        <w:tc>
          <w:tcPr>
            <w:tcW w:w="2765" w:type="dxa"/>
            <w:vAlign w:val="center"/>
          </w:tcPr>
          <w:p w14:paraId="4E46C406" w14:textId="77777777" w:rsidR="00D84719" w:rsidRPr="00D84719" w:rsidRDefault="00D84719" w:rsidP="00D84719">
            <w:pPr>
              <w:jc w:val="center"/>
              <w:rPr>
                <w:rFonts w:ascii="Times New Roman" w:eastAsia="Calibri" w:hAnsi="Times New Roman" w:cs="Times New Roman"/>
                <w:sz w:val="20"/>
                <w:szCs w:val="20"/>
              </w:rPr>
            </w:pPr>
            <w:r w:rsidRPr="00D84719">
              <w:rPr>
                <w:rFonts w:ascii="Times New Roman" w:eastAsia="Calibri" w:hAnsi="Times New Roman" w:cs="Times New Roman"/>
                <w:sz w:val="20"/>
                <w:szCs w:val="20"/>
              </w:rPr>
              <w:t>Državni inspektorat (MINGOR)</w:t>
            </w:r>
          </w:p>
        </w:tc>
        <w:tc>
          <w:tcPr>
            <w:tcW w:w="1439" w:type="dxa"/>
            <w:vAlign w:val="center"/>
          </w:tcPr>
          <w:p w14:paraId="0BDAEBEE" w14:textId="77777777" w:rsidR="00D84719" w:rsidRPr="00D84719" w:rsidRDefault="00D84719" w:rsidP="00D84719">
            <w:pPr>
              <w:jc w:val="center"/>
              <w:rPr>
                <w:rFonts w:ascii="Times New Roman" w:eastAsia="Calibri" w:hAnsi="Times New Roman" w:cs="Times New Roman"/>
                <w:sz w:val="20"/>
                <w:szCs w:val="20"/>
              </w:rPr>
            </w:pPr>
            <w:r w:rsidRPr="00D84719">
              <w:rPr>
                <w:rFonts w:ascii="Times New Roman" w:eastAsia="Calibri" w:hAnsi="Times New Roman" w:cs="Times New Roman"/>
                <w:sz w:val="20"/>
                <w:szCs w:val="20"/>
              </w:rPr>
              <w:t>2021.-2023.</w:t>
            </w:r>
          </w:p>
        </w:tc>
        <w:tc>
          <w:tcPr>
            <w:tcW w:w="1358" w:type="dxa"/>
            <w:vAlign w:val="center"/>
          </w:tcPr>
          <w:p w14:paraId="6899C374" w14:textId="77777777" w:rsidR="00D84719" w:rsidRPr="00D84719" w:rsidRDefault="00D84719" w:rsidP="00D84719">
            <w:pPr>
              <w:jc w:val="center"/>
              <w:rPr>
                <w:rFonts w:ascii="Times New Roman" w:eastAsia="Calibri" w:hAnsi="Times New Roman" w:cs="Times New Roman"/>
                <w:sz w:val="20"/>
                <w:szCs w:val="20"/>
              </w:rPr>
            </w:pPr>
            <w:r w:rsidRPr="00D84719">
              <w:rPr>
                <w:rFonts w:ascii="Times New Roman" w:eastAsia="Calibri" w:hAnsi="Times New Roman" w:cs="Times New Roman"/>
                <w:sz w:val="20"/>
                <w:szCs w:val="20"/>
              </w:rPr>
              <w:t>0</w:t>
            </w:r>
          </w:p>
        </w:tc>
      </w:tr>
      <w:tr w:rsidR="001173D4" w:rsidRPr="00D84719" w14:paraId="37854FBD" w14:textId="77777777" w:rsidTr="006E1EFD">
        <w:trPr>
          <w:jc w:val="center"/>
        </w:trPr>
        <w:tc>
          <w:tcPr>
            <w:tcW w:w="7709" w:type="dxa"/>
            <w:gridSpan w:val="3"/>
            <w:vAlign w:val="center"/>
          </w:tcPr>
          <w:p w14:paraId="180511CD" w14:textId="77777777" w:rsidR="001173D4" w:rsidRPr="00D84719" w:rsidRDefault="001173D4" w:rsidP="001173D4">
            <w:pPr>
              <w:rPr>
                <w:rFonts w:ascii="Times New Roman" w:eastAsia="Calibri" w:hAnsi="Times New Roman" w:cs="Times New Roman"/>
                <w:sz w:val="20"/>
                <w:szCs w:val="20"/>
              </w:rPr>
            </w:pPr>
            <w:r w:rsidRPr="00D84719">
              <w:rPr>
                <w:rFonts w:ascii="Times New Roman" w:eastAsia="Calibri" w:hAnsi="Times New Roman" w:cs="Times New Roman"/>
                <w:b/>
                <w:sz w:val="20"/>
                <w:szCs w:val="20"/>
              </w:rPr>
              <w:t>UKUPNO</w:t>
            </w:r>
          </w:p>
        </w:tc>
        <w:tc>
          <w:tcPr>
            <w:tcW w:w="1358" w:type="dxa"/>
            <w:vAlign w:val="center"/>
          </w:tcPr>
          <w:p w14:paraId="1588ADEE" w14:textId="77777777" w:rsidR="001173D4" w:rsidRPr="00D84719" w:rsidRDefault="001173D4" w:rsidP="00D84719">
            <w:pPr>
              <w:jc w:val="center"/>
              <w:rPr>
                <w:rFonts w:ascii="Times New Roman" w:eastAsia="Calibri" w:hAnsi="Times New Roman" w:cs="Times New Roman"/>
                <w:b/>
                <w:sz w:val="20"/>
                <w:szCs w:val="20"/>
              </w:rPr>
            </w:pPr>
            <w:r w:rsidRPr="00D84719">
              <w:rPr>
                <w:rFonts w:ascii="Times New Roman" w:eastAsia="Calibri" w:hAnsi="Times New Roman" w:cs="Times New Roman"/>
                <w:b/>
                <w:sz w:val="20"/>
                <w:szCs w:val="20"/>
              </w:rPr>
              <w:t>0</w:t>
            </w:r>
          </w:p>
        </w:tc>
      </w:tr>
    </w:tbl>
    <w:p w14:paraId="1050DC0E" w14:textId="77777777" w:rsidR="00D84719" w:rsidRPr="00D84719" w:rsidRDefault="00D84719" w:rsidP="00D84719">
      <w:pPr>
        <w:spacing w:before="80" w:line="276" w:lineRule="auto"/>
        <w:jc w:val="both"/>
        <w:rPr>
          <w:rFonts w:ascii="Times New Roman" w:eastAsia="Times New Roman" w:hAnsi="Times New Roman" w:cs="Times New Roman"/>
          <w:color w:val="000000"/>
          <w:szCs w:val="24"/>
          <w:lang w:bidi="en-US"/>
        </w:rPr>
      </w:pPr>
    </w:p>
    <w:p w14:paraId="0916C920" w14:textId="77777777" w:rsidR="00D84719" w:rsidRPr="00D84719" w:rsidRDefault="00D84719" w:rsidP="00C74901">
      <w:pPr>
        <w:pStyle w:val="Naslov3"/>
      </w:pPr>
      <w:bookmarkStart w:id="305" w:name="_Toc40439465"/>
      <w:bookmarkStart w:id="306" w:name="_Toc50635635"/>
      <w:bookmarkStart w:id="307" w:name="_Toc64460781"/>
      <w:r w:rsidRPr="00D84719">
        <w:t>Aktivnost: Registar izuzeća i potreba za izuzećima (članak 4.)</w:t>
      </w:r>
      <w:bookmarkEnd w:id="305"/>
      <w:bookmarkEnd w:id="306"/>
      <w:bookmarkEnd w:id="307"/>
    </w:p>
    <w:p w14:paraId="4A2E8167"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 xml:space="preserve">Republika Hrvatska nije predala zahtjev za izuzećem koji se odnosi na POPs-ove iz Dodataka A i </w:t>
      </w:r>
      <w:r w:rsidR="00A64981">
        <w:rPr>
          <w:rFonts w:ascii="Times New Roman" w:eastAsia="Times New Roman" w:hAnsi="Times New Roman" w:cs="Times New Roman"/>
          <w:color w:val="000000"/>
          <w:sz w:val="24"/>
          <w:szCs w:val="24"/>
        </w:rPr>
        <w:t>B</w:t>
      </w:r>
      <w:r w:rsidRPr="00D84719">
        <w:rPr>
          <w:rFonts w:ascii="Times New Roman" w:eastAsia="Times New Roman" w:hAnsi="Times New Roman" w:cs="Times New Roman"/>
          <w:color w:val="000000"/>
          <w:sz w:val="24"/>
          <w:szCs w:val="24"/>
        </w:rPr>
        <w:t xml:space="preserve"> Odlučeno je da Republika Hrvatska neće zatražiti takav zahtjev niti u budućnosti te za sada nisu potrebne aktivnosti u odnosu na obveze iz članka 4. Stockholmske konvencije.</w:t>
      </w:r>
    </w:p>
    <w:p w14:paraId="75272FC5"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r w:rsidRPr="00D84719">
        <w:rPr>
          <w:rFonts w:ascii="Times New Roman" w:eastAsia="Times New Roman" w:hAnsi="Times New Roman" w:cs="Times New Roman"/>
          <w:color w:val="000000"/>
          <w:sz w:val="24"/>
          <w:szCs w:val="24"/>
        </w:rPr>
        <w:t>Ukoliko se ukaže potreba za izuzećem, Republika Hrvatska će o istom pravovremeno obavijestiti Tajništvo Stockholmske konvencije.</w:t>
      </w:r>
    </w:p>
    <w:p w14:paraId="7B609339"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rPr>
      </w:pPr>
    </w:p>
    <w:p w14:paraId="42FCD8E2" w14:textId="77777777" w:rsidR="00D84719" w:rsidRPr="00D84719" w:rsidRDefault="00D84719" w:rsidP="00C74901">
      <w:pPr>
        <w:pStyle w:val="Naslov3"/>
      </w:pPr>
      <w:bookmarkStart w:id="308" w:name="_Toc40439466"/>
      <w:bookmarkStart w:id="309" w:name="_Toc50635636"/>
      <w:bookmarkStart w:id="310" w:name="_Toc64460782"/>
      <w:r w:rsidRPr="00D84719">
        <w:t>Aktivnost: Mjere za smjenjuje ispuštanja iz nenamjerne proizvodnje (članak 5.)</w:t>
      </w:r>
      <w:bookmarkEnd w:id="308"/>
      <w:bookmarkEnd w:id="309"/>
      <w:bookmarkEnd w:id="310"/>
    </w:p>
    <w:p w14:paraId="79193495"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 xml:space="preserve">Najveće emisije PCDD-a i PCDF-a nastaju pri izgaranju </w:t>
      </w:r>
      <w:r w:rsidR="004628FB" w:rsidRPr="00D84719">
        <w:rPr>
          <w:rFonts w:ascii="Times New Roman" w:eastAsia="Times New Roman" w:hAnsi="Times New Roman" w:cs="Times New Roman"/>
          <w:color w:val="000000"/>
          <w:sz w:val="24"/>
          <w:szCs w:val="24"/>
          <w:lang w:bidi="en-US"/>
        </w:rPr>
        <w:t>ogrjevnog</w:t>
      </w:r>
      <w:r w:rsidRPr="00D84719">
        <w:rPr>
          <w:rFonts w:ascii="Times New Roman" w:eastAsia="Times New Roman" w:hAnsi="Times New Roman" w:cs="Times New Roman"/>
          <w:color w:val="000000"/>
          <w:sz w:val="24"/>
          <w:szCs w:val="24"/>
          <w:lang w:bidi="en-US"/>
        </w:rPr>
        <w:t xml:space="preserve"> drva u domaćinstvima. Ostali procesi koji doprinose ovoj emisiji jesu procesi proizvodnje čelika u elektrolučnim pećima, izgaranja goriva u transportu, kao i pri spaljivanju otpada i kremiranju. Emisija HCB-a uglavnom potječe od izgaranja biomase i krutih fosilnih goriva te u manjoj mjeri od termičke obrade otpada. Dominaciju u emisiji HCB-a u Republici Hrvatskoj ima izgaranje goriva u nepokretnim izvorima u energetskim sektorima. Dominantan izvor PCB-a je emisija iz rashladnih i klimatizacijskih uređaja koji koriste halogenirane ugljikovodike i električna oprema. Ostali izvori kao što su proizvodnja čelika, termička obrada infektivnog otpada i izgaranje goriva, pridonose emisiji PCB-a u manjoj mjeri.</w:t>
      </w:r>
    </w:p>
    <w:p w14:paraId="57033A34"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 xml:space="preserve">Stranke Stockholmske konvencije moraju pripremiti svoje preliminarne procjene ispuštanja te ažurirati procjene u redovitim intervalima. Također, mogu revidirati svoje preliminarne, kao i </w:t>
      </w:r>
      <w:r w:rsidRPr="00D84719">
        <w:rPr>
          <w:rFonts w:ascii="Times New Roman" w:eastAsia="Times New Roman" w:hAnsi="Times New Roman" w:cs="Times New Roman"/>
          <w:color w:val="000000"/>
          <w:sz w:val="24"/>
          <w:szCs w:val="24"/>
          <w:lang w:bidi="en-US"/>
        </w:rPr>
        <w:lastRenderedPageBreak/>
        <w:t>naknadne procjene u cilju uspostave i održavanja dosljednosti procjene trendova tijekom određenog vremena.</w:t>
      </w:r>
    </w:p>
    <w:p w14:paraId="31DCC352"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Glavni cilj ovoga Nacionalnog akcijskog plana je osigurati adekvatni okvir za upravljanje PCDD/PCDF-om u Republici Hrvatskoj, uključujući smanjenje i prevenciju njihovog budućeg ispuštanja u okoliš.</w:t>
      </w:r>
    </w:p>
    <w:p w14:paraId="7D3DDFE0"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Kako stranke Stockholmske konvencije imaju obvezu svake pete godine revidirati akcijski plan vezano uz članak 5., tijekom procesa revizije NIP-a napravila se ta aktivnost. Navedeni akcijski plan/aktivnosti i mjere uključene su u ovaj dokument.</w:t>
      </w:r>
    </w:p>
    <w:p w14:paraId="49C29254"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Predložene mjere podijeljene su u 4 kategorije aktivnosti/specifičnih ciljeva:</w:t>
      </w:r>
    </w:p>
    <w:p w14:paraId="48748764" w14:textId="77777777" w:rsidR="00D84719" w:rsidRP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daljnja izrada i ažuriranje Inventara ispuštanja POPs-ova</w:t>
      </w:r>
    </w:p>
    <w:p w14:paraId="397AF03A" w14:textId="77777777" w:rsidR="00D84719" w:rsidRP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 xml:space="preserve">jačanje kapaciteta nadležnih tijela </w:t>
      </w:r>
      <w:r w:rsidRPr="00D84719">
        <w:rPr>
          <w:rFonts w:ascii="Times New Roman" w:eastAsia="Calibri" w:hAnsi="Times New Roman" w:cs="Times New Roman"/>
          <w:sz w:val="24"/>
        </w:rPr>
        <w:t>državne uprave</w:t>
      </w:r>
      <w:r w:rsidRPr="00D84719">
        <w:rPr>
          <w:rFonts w:ascii="Times New Roman" w:eastAsia="Calibri" w:hAnsi="Times New Roman" w:cs="Times New Roman"/>
          <w:sz w:val="24"/>
          <w:lang w:bidi="en-US"/>
        </w:rPr>
        <w:t xml:space="preserve"> i unaprjeđenje suradnje i razmjene informacija za učinkovitije upravljanje POPs-ovima</w:t>
      </w:r>
    </w:p>
    <w:p w14:paraId="3C5EC64D" w14:textId="77777777" w:rsidR="00D84719" w:rsidRP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program razvoja i širenja informacija i</w:t>
      </w:r>
    </w:p>
    <w:p w14:paraId="1AEA3AA9" w14:textId="77777777" w:rsidR="00D84719" w:rsidRP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 xml:space="preserve">smanjenje i uklanjanje ispuštanja POPs-ova iz Dodatka </w:t>
      </w:r>
      <w:r w:rsidR="00A64981">
        <w:rPr>
          <w:rFonts w:ascii="Times New Roman" w:eastAsia="Calibri" w:hAnsi="Times New Roman" w:cs="Times New Roman"/>
          <w:sz w:val="24"/>
          <w:lang w:bidi="en-US"/>
        </w:rPr>
        <w:t>C</w:t>
      </w:r>
    </w:p>
    <w:p w14:paraId="26D93233" w14:textId="77777777" w:rsidR="00D84719" w:rsidRPr="00D84719" w:rsidRDefault="00D84719" w:rsidP="00D84719">
      <w:pPr>
        <w:spacing w:before="80" w:line="276" w:lineRule="auto"/>
        <w:jc w:val="both"/>
        <w:rPr>
          <w:rFonts w:ascii="Times New Roman" w:eastAsia="Times New Roman" w:hAnsi="Times New Roman" w:cs="Times New Roman"/>
          <w:color w:val="000000"/>
          <w:szCs w:val="24"/>
          <w:lang w:bidi="en-US"/>
        </w:rPr>
      </w:pPr>
    </w:p>
    <w:p w14:paraId="756788F8" w14:textId="77777777" w:rsidR="00D84719" w:rsidRPr="00D84719" w:rsidRDefault="00D84719" w:rsidP="009C4363">
      <w:pPr>
        <w:pStyle w:val="Naslov4"/>
      </w:pPr>
      <w:bookmarkStart w:id="311" w:name="_Toc64460783"/>
      <w:r w:rsidRPr="00D84719">
        <w:t>Daljnja izrada i održavanje Inventara ispuštanja POPs-ova</w:t>
      </w:r>
      <w:bookmarkEnd w:id="311"/>
    </w:p>
    <w:p w14:paraId="1FFE8603"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Predložene mjere:</w:t>
      </w:r>
    </w:p>
    <w:p w14:paraId="0267D492" w14:textId="77777777" w:rsidR="00D84719" w:rsidRP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 xml:space="preserve">usklađivanje zahtjeva temeljem obveza za izradu i izvještavanje prema LRTAP Konvenciji i </w:t>
      </w:r>
      <w:proofErr w:type="spellStart"/>
      <w:r w:rsidRPr="00D84719">
        <w:rPr>
          <w:rFonts w:ascii="Times New Roman" w:eastAsia="Calibri" w:hAnsi="Times New Roman" w:cs="Times New Roman"/>
          <w:sz w:val="24"/>
          <w:lang w:bidi="en-US"/>
        </w:rPr>
        <w:t>Stockholmskoj</w:t>
      </w:r>
      <w:proofErr w:type="spellEnd"/>
      <w:r w:rsidRPr="00D84719">
        <w:rPr>
          <w:rFonts w:ascii="Times New Roman" w:eastAsia="Calibri" w:hAnsi="Times New Roman" w:cs="Times New Roman"/>
          <w:sz w:val="24"/>
          <w:lang w:bidi="en-US"/>
        </w:rPr>
        <w:t xml:space="preserve"> konvenciji</w:t>
      </w:r>
    </w:p>
    <w:p w14:paraId="64529059" w14:textId="77777777" w:rsidR="00D84719" w:rsidRP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izrada uputa/smjernica za prikupljanje podataka i izradu Inventara</w:t>
      </w:r>
    </w:p>
    <w:p w14:paraId="4E787FB9" w14:textId="77777777" w:rsid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periodička revizija Inventara ispuštanja.</w:t>
      </w:r>
    </w:p>
    <w:p w14:paraId="7FC8C16E" w14:textId="77777777" w:rsidR="009C4363" w:rsidRPr="00D84719" w:rsidRDefault="009C4363" w:rsidP="009C4363">
      <w:pPr>
        <w:tabs>
          <w:tab w:val="left" w:pos="1755"/>
        </w:tabs>
        <w:autoSpaceDE w:val="0"/>
        <w:autoSpaceDN w:val="0"/>
        <w:adjustRightInd w:val="0"/>
        <w:spacing w:before="80" w:after="0" w:line="240" w:lineRule="auto"/>
        <w:ind w:left="720"/>
        <w:jc w:val="both"/>
        <w:rPr>
          <w:rFonts w:ascii="Times New Roman" w:eastAsia="Calibri" w:hAnsi="Times New Roman" w:cs="Times New Roman"/>
          <w:sz w:val="24"/>
          <w:lang w:bidi="en-US"/>
        </w:rPr>
      </w:pPr>
    </w:p>
    <w:p w14:paraId="53B1A85F"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Mjere u okviru ove aktivnosti usmjerene su na unaprjeđenje postupaka prikupljanja podataka i buduće revizije Inventara ispuštanja.</w:t>
      </w:r>
    </w:p>
    <w:p w14:paraId="619537D3"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 xml:space="preserve">Prije svega, potrebno je napraviti usporedbu i usklađivanje s obvezama i zahtjevima za izvještavanje prema LRTAP Konvenciji i </w:t>
      </w:r>
      <w:proofErr w:type="spellStart"/>
      <w:r w:rsidRPr="00D84719">
        <w:rPr>
          <w:rFonts w:ascii="Times New Roman" w:eastAsia="Times New Roman" w:hAnsi="Times New Roman" w:cs="Times New Roman"/>
          <w:color w:val="000000"/>
          <w:sz w:val="24"/>
          <w:szCs w:val="24"/>
          <w:lang w:bidi="en-US"/>
        </w:rPr>
        <w:t>Stockholmskoj</w:t>
      </w:r>
      <w:proofErr w:type="spellEnd"/>
      <w:r w:rsidRPr="00D84719">
        <w:rPr>
          <w:rFonts w:ascii="Times New Roman" w:eastAsia="Times New Roman" w:hAnsi="Times New Roman" w:cs="Times New Roman"/>
          <w:color w:val="000000"/>
          <w:sz w:val="24"/>
          <w:szCs w:val="24"/>
          <w:lang w:bidi="en-US"/>
        </w:rPr>
        <w:t xml:space="preserve"> konvenciji, kako bi se omogućio bolji uvid u podatke o aktivnostima po pojedinim kategorijama i klasama izvora, podataka o statusu opreme za smanjenje/ograničavanje emisija i podatke o specifičnim tehnološkim procesima i izbjeglo dupliciranje prikupljanja podataka.</w:t>
      </w:r>
    </w:p>
    <w:p w14:paraId="348B8866"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 xml:space="preserve">Jačanje kapaciteta nadležnih tijela </w:t>
      </w:r>
      <w:r w:rsidRPr="00D84719">
        <w:rPr>
          <w:rFonts w:ascii="Times New Roman" w:eastAsia="Times New Roman" w:hAnsi="Times New Roman" w:cs="Times New Roman"/>
          <w:color w:val="000000"/>
          <w:sz w:val="24"/>
          <w:szCs w:val="24"/>
        </w:rPr>
        <w:t>državne uprave</w:t>
      </w:r>
      <w:r w:rsidRPr="00D84719">
        <w:rPr>
          <w:rFonts w:ascii="Times New Roman" w:eastAsia="Times New Roman" w:hAnsi="Times New Roman" w:cs="Times New Roman"/>
          <w:color w:val="000000"/>
          <w:sz w:val="24"/>
          <w:szCs w:val="24"/>
          <w:lang w:bidi="en-US"/>
        </w:rPr>
        <w:t xml:space="preserve"> i unaprjeđenje međusobne suradnje i razmjene informacija za učinkovitije upravljanje POPs-ovima</w:t>
      </w:r>
    </w:p>
    <w:p w14:paraId="67FC765C"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Predložena mjera:</w:t>
      </w:r>
    </w:p>
    <w:p w14:paraId="5B55A84C" w14:textId="77777777" w:rsid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daljnje unaprjeđenje provedbe nadzora nad ispunjavanjem zahtjeva Stockholmske konvencije.</w:t>
      </w:r>
    </w:p>
    <w:p w14:paraId="002655A3" w14:textId="77777777" w:rsidR="009C4363" w:rsidRPr="00D84719" w:rsidRDefault="009C4363" w:rsidP="009C4363">
      <w:pPr>
        <w:tabs>
          <w:tab w:val="left" w:pos="1755"/>
        </w:tabs>
        <w:autoSpaceDE w:val="0"/>
        <w:autoSpaceDN w:val="0"/>
        <w:adjustRightInd w:val="0"/>
        <w:spacing w:before="80" w:after="0" w:line="240" w:lineRule="auto"/>
        <w:ind w:left="720"/>
        <w:jc w:val="both"/>
        <w:rPr>
          <w:rFonts w:ascii="Times New Roman" w:eastAsia="Calibri" w:hAnsi="Times New Roman" w:cs="Times New Roman"/>
          <w:sz w:val="24"/>
          <w:lang w:bidi="en-US"/>
        </w:rPr>
      </w:pPr>
    </w:p>
    <w:p w14:paraId="59B00283"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 xml:space="preserve">Provedba Stockholmske konvencije i učinkovito gospodarenje POPs-ovima zahtijevaju uključivanje tijela </w:t>
      </w:r>
      <w:r w:rsidRPr="00D84719">
        <w:rPr>
          <w:rFonts w:ascii="Times New Roman" w:eastAsia="Times New Roman" w:hAnsi="Times New Roman" w:cs="Times New Roman"/>
          <w:color w:val="000000"/>
          <w:sz w:val="24"/>
          <w:szCs w:val="24"/>
        </w:rPr>
        <w:t>državne uprave</w:t>
      </w:r>
      <w:r w:rsidRPr="00D84719">
        <w:rPr>
          <w:rFonts w:ascii="Times New Roman" w:eastAsia="Times New Roman" w:hAnsi="Times New Roman" w:cs="Times New Roman"/>
          <w:color w:val="000000"/>
          <w:sz w:val="24"/>
          <w:szCs w:val="24"/>
          <w:lang w:bidi="en-US"/>
        </w:rPr>
        <w:t xml:space="preserve"> i organizacija iz različitih područja odgovornosti. Kako bi se osigurala odgovarajuća suradnja i širenje informacija kao i redovito praćenje provedbe, </w:t>
      </w:r>
      <w:r w:rsidRPr="00D84719">
        <w:rPr>
          <w:rFonts w:ascii="Times New Roman" w:eastAsia="Times New Roman" w:hAnsi="Times New Roman" w:cs="Times New Roman"/>
          <w:color w:val="000000"/>
          <w:sz w:val="24"/>
          <w:szCs w:val="24"/>
          <w:lang w:bidi="en-US"/>
        </w:rPr>
        <w:lastRenderedPageBreak/>
        <w:t>potrebno je daljnje unaprjeđenje provedbe nadzora nad ispunjavanjem zahtjeva Stockholmske konvencije.</w:t>
      </w:r>
    </w:p>
    <w:p w14:paraId="505D538D"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Program razvoja i širenja informacije te smanjenje i uklanjanje ispuštanja POPs-ova iz Dodatka C Predložene mjere:</w:t>
      </w:r>
    </w:p>
    <w:p w14:paraId="275B2908" w14:textId="77777777" w:rsidR="00D84719" w:rsidRP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daljnji rad na promociji i povećanju energetske učinkovitosti u industrijskom i javnom sektoru te kućanstvima, obnovljivim izvorima energije te edukaciji i širenju informacija o pravilnom korištenju goriva i upravljanju uređajima za loženje te o učincima nekontroliranog izgaranja u stambenim objektima i</w:t>
      </w:r>
    </w:p>
    <w:p w14:paraId="6F41E574" w14:textId="77777777" w:rsid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širenje informacija o štetnosti i potencijalnoj opasnosti na zdravlje i okoliš.</w:t>
      </w:r>
    </w:p>
    <w:p w14:paraId="4E0C9344" w14:textId="77777777" w:rsidR="009C4363" w:rsidRPr="00D84719" w:rsidRDefault="009C4363" w:rsidP="009C4363">
      <w:pPr>
        <w:tabs>
          <w:tab w:val="left" w:pos="1755"/>
        </w:tabs>
        <w:autoSpaceDE w:val="0"/>
        <w:autoSpaceDN w:val="0"/>
        <w:adjustRightInd w:val="0"/>
        <w:spacing w:before="80" w:after="0" w:line="240" w:lineRule="auto"/>
        <w:ind w:left="720"/>
        <w:jc w:val="both"/>
        <w:rPr>
          <w:rFonts w:ascii="Times New Roman" w:eastAsia="Calibri" w:hAnsi="Times New Roman" w:cs="Times New Roman"/>
          <w:sz w:val="24"/>
          <w:lang w:bidi="en-US"/>
        </w:rPr>
      </w:pPr>
    </w:p>
    <w:p w14:paraId="537A88EB" w14:textId="128E207C"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Vrlo važna ciljana skupina za smanjenje ispuštanja POPs-ova iz Dodatka C su kućanstva koja sudjeluju s oko 65</w:t>
      </w:r>
      <w:r w:rsidR="00D4589D">
        <w:rPr>
          <w:rFonts w:ascii="Times New Roman" w:eastAsia="Times New Roman" w:hAnsi="Times New Roman" w:cs="Times New Roman"/>
          <w:color w:val="000000"/>
          <w:sz w:val="24"/>
          <w:szCs w:val="24"/>
          <w:lang w:bidi="en-US"/>
        </w:rPr>
        <w:t xml:space="preserve"> %</w:t>
      </w:r>
      <w:r w:rsidRPr="00D84719">
        <w:rPr>
          <w:rFonts w:ascii="Times New Roman" w:eastAsia="Times New Roman" w:hAnsi="Times New Roman" w:cs="Times New Roman"/>
          <w:color w:val="000000"/>
          <w:sz w:val="24"/>
          <w:szCs w:val="24"/>
          <w:lang w:bidi="en-US"/>
        </w:rPr>
        <w:t xml:space="preserve"> u ukupnim emisijama PCDD/PCDF-a u zrak. Mjere za smanjenje ovih ispuštanja uključuju informiranje i programe povećanja svijesti i edukacije javnosti o pravilnom odabiru uređaja za loženje i goriva te o učincima nekontroliranog izgaranja u stambenim objektima.</w:t>
      </w:r>
    </w:p>
    <w:p w14:paraId="1EE38AD2"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Uz navedeno, tijekom izrade inventara POPs-ova u prvom i drugom NIP-u nije nedvojbeno utvrđeno postojanje onečišćenih lokacija POPs-ovima iz Dodatka C, nego su se samo preliminarno prepoznale moguće onečišćene lokacije.</w:t>
      </w:r>
    </w:p>
    <w:p w14:paraId="1A515FE6"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Za utvrđivanje onečišćenih lokacija potrebno je razviti postupke ili upute za procjenu onečišćenja, ocjenu utjecaja na ljude i okoliš i određivanje prioriteta za sanaciju. Preduvjet za utvrđivanje onečišćenih lokacija je razmatranje/prilagodba postojećih i/ili izrada novih propisa kojima će se odrediti granične vrijednosti onečišćujućih tvari u tlima različite namjene.</w:t>
      </w:r>
    </w:p>
    <w:p w14:paraId="3ED8CA94"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Predmetna zakonska regulativa postoji za tlo koje se koristi u poljoprivrednoj namjeni, sukladno Pravilniku o zaštiti poljoprivrednog zemljišta od onečišćenja. Opis mjera i aktivnosti koje je potrebno provesti u cilju ispunjenja svih obveza iz Stockholmske konvencije, a koje se odnose na smanjenje ispuštanja iz nenamjerne proizvodnje u Republici Hrvatskoj, utvrđivanje institucija odgovornih za njihovu provedbu te vremenski plan i procijenjena potrebna financijska sredstva dani su u tablici 4.</w:t>
      </w:r>
      <w:r w:rsidR="00F05F33">
        <w:rPr>
          <w:rFonts w:ascii="Times New Roman" w:eastAsia="Times New Roman" w:hAnsi="Times New Roman" w:cs="Times New Roman"/>
          <w:color w:val="000000"/>
          <w:sz w:val="24"/>
          <w:szCs w:val="24"/>
          <w:lang w:bidi="en-US"/>
        </w:rPr>
        <w:t>2</w:t>
      </w:r>
      <w:r w:rsidRPr="00D84719">
        <w:rPr>
          <w:rFonts w:ascii="Times New Roman" w:eastAsia="Times New Roman" w:hAnsi="Times New Roman" w:cs="Times New Roman"/>
          <w:color w:val="000000"/>
          <w:sz w:val="24"/>
          <w:szCs w:val="24"/>
          <w:lang w:bidi="en-US"/>
        </w:rPr>
        <w:t>-</w:t>
      </w:r>
      <w:r w:rsidR="00F05F33">
        <w:rPr>
          <w:rFonts w:ascii="Times New Roman" w:eastAsia="Times New Roman" w:hAnsi="Times New Roman" w:cs="Times New Roman"/>
          <w:color w:val="000000"/>
          <w:sz w:val="24"/>
          <w:szCs w:val="24"/>
          <w:lang w:bidi="en-US"/>
        </w:rPr>
        <w:t>7</w:t>
      </w:r>
      <w:r w:rsidRPr="00D84719">
        <w:rPr>
          <w:rFonts w:ascii="Times New Roman" w:eastAsia="Times New Roman" w:hAnsi="Times New Roman" w:cs="Times New Roman"/>
          <w:color w:val="000000"/>
          <w:sz w:val="24"/>
          <w:szCs w:val="24"/>
          <w:lang w:bidi="en-US"/>
        </w:rPr>
        <w:t>.</w:t>
      </w:r>
    </w:p>
    <w:p w14:paraId="1DE0694F" w14:textId="77777777" w:rsidR="00D84719" w:rsidRPr="00D84719" w:rsidRDefault="00D84719" w:rsidP="00D84719">
      <w:pPr>
        <w:keepNext/>
        <w:spacing w:before="80" w:after="0" w:line="276" w:lineRule="auto"/>
        <w:jc w:val="both"/>
        <w:rPr>
          <w:rFonts w:ascii="Times New Roman" w:eastAsia="Times New Roman" w:hAnsi="Times New Roman" w:cs="Times New Roman"/>
          <w:b/>
          <w:bCs/>
          <w:i/>
          <w:sz w:val="20"/>
          <w:szCs w:val="20"/>
        </w:rPr>
      </w:pPr>
      <w:r w:rsidRPr="00D84719">
        <w:rPr>
          <w:rFonts w:ascii="Times New Roman" w:eastAsia="Times New Roman" w:hAnsi="Times New Roman" w:cs="Times New Roman"/>
          <w:b/>
          <w:bCs/>
          <w:i/>
          <w:sz w:val="20"/>
          <w:szCs w:val="20"/>
        </w:rPr>
        <w:t xml:space="preserve">Tablica </w:t>
      </w:r>
      <w:r w:rsidR="00F05F33">
        <w:rPr>
          <w:rFonts w:ascii="Times New Roman" w:eastAsia="Times New Roman" w:hAnsi="Times New Roman" w:cs="Times New Roman"/>
          <w:b/>
          <w:bCs/>
          <w:i/>
          <w:sz w:val="20"/>
          <w:szCs w:val="20"/>
        </w:rPr>
        <w:t>4.2</w:t>
      </w:r>
      <w:r w:rsidRPr="00D84719">
        <w:rPr>
          <w:rFonts w:ascii="Times New Roman" w:eastAsia="Times New Roman" w:hAnsi="Times New Roman" w:cs="Times New Roman"/>
          <w:b/>
          <w:bCs/>
          <w:i/>
          <w:sz w:val="20"/>
          <w:szCs w:val="20"/>
        </w:rPr>
        <w:noBreakHyphen/>
      </w:r>
      <w:r w:rsidRPr="00D84719">
        <w:rPr>
          <w:rFonts w:ascii="Times New Roman" w:eastAsia="Times New Roman" w:hAnsi="Times New Roman" w:cs="Times New Roman"/>
          <w:b/>
          <w:bCs/>
          <w:i/>
          <w:sz w:val="20"/>
          <w:szCs w:val="20"/>
        </w:rPr>
        <w:fldChar w:fldCharType="begin"/>
      </w:r>
      <w:r w:rsidRPr="00D84719">
        <w:rPr>
          <w:rFonts w:ascii="Times New Roman" w:eastAsia="Times New Roman" w:hAnsi="Times New Roman" w:cs="Times New Roman"/>
          <w:b/>
          <w:bCs/>
          <w:i/>
          <w:sz w:val="20"/>
          <w:szCs w:val="20"/>
        </w:rPr>
        <w:instrText xml:space="preserve"> SEQ Tablica \* ARABIC \s 2 </w:instrText>
      </w:r>
      <w:r w:rsidRPr="00D84719">
        <w:rPr>
          <w:rFonts w:ascii="Times New Roman" w:eastAsia="Times New Roman" w:hAnsi="Times New Roman" w:cs="Times New Roman"/>
          <w:b/>
          <w:bCs/>
          <w:i/>
          <w:sz w:val="20"/>
          <w:szCs w:val="20"/>
        </w:rPr>
        <w:fldChar w:fldCharType="separate"/>
      </w:r>
      <w:r w:rsidRPr="00D84719">
        <w:rPr>
          <w:rFonts w:ascii="Times New Roman" w:eastAsia="Times New Roman" w:hAnsi="Times New Roman" w:cs="Times New Roman"/>
          <w:b/>
          <w:bCs/>
          <w:i/>
          <w:sz w:val="20"/>
          <w:szCs w:val="20"/>
        </w:rPr>
        <w:t>7</w:t>
      </w:r>
      <w:r w:rsidRPr="00D84719">
        <w:rPr>
          <w:rFonts w:ascii="Times New Roman" w:eastAsia="Times New Roman" w:hAnsi="Times New Roman" w:cs="Times New Roman"/>
          <w:b/>
          <w:bCs/>
          <w:i/>
          <w:sz w:val="20"/>
          <w:szCs w:val="20"/>
        </w:rPr>
        <w:fldChar w:fldCharType="end"/>
      </w:r>
      <w:r w:rsidRPr="00D84719">
        <w:rPr>
          <w:rFonts w:ascii="Times New Roman" w:eastAsia="Times New Roman" w:hAnsi="Times New Roman" w:cs="Times New Roman"/>
          <w:b/>
          <w:bCs/>
          <w:i/>
          <w:sz w:val="20"/>
          <w:szCs w:val="20"/>
        </w:rPr>
        <w:t>: Aktivnosti plan: Mjere za smanjenje i kontrolu ispuštanja iz nenamjerne proizvodnje</w:t>
      </w:r>
    </w:p>
    <w:tbl>
      <w:tblPr>
        <w:tblStyle w:val="Reetkatablice11"/>
        <w:tblW w:w="0" w:type="auto"/>
        <w:jc w:val="center"/>
        <w:tblLook w:val="04A0" w:firstRow="1" w:lastRow="0" w:firstColumn="1" w:lastColumn="0" w:noHBand="0" w:noVBand="1"/>
      </w:tblPr>
      <w:tblGrid>
        <w:gridCol w:w="3505"/>
        <w:gridCol w:w="2765"/>
        <w:gridCol w:w="1439"/>
        <w:gridCol w:w="1256"/>
      </w:tblGrid>
      <w:tr w:rsidR="00D84719" w:rsidRPr="00D84719" w14:paraId="546C81F3" w14:textId="77777777" w:rsidTr="00F831D6">
        <w:trPr>
          <w:tblHeader/>
          <w:jc w:val="center"/>
        </w:trPr>
        <w:tc>
          <w:tcPr>
            <w:tcW w:w="3505" w:type="dxa"/>
            <w:shd w:val="clear" w:color="auto" w:fill="BFBFBF"/>
            <w:vAlign w:val="center"/>
          </w:tcPr>
          <w:p w14:paraId="4534B17F" w14:textId="77777777" w:rsidR="00D84719" w:rsidRPr="00D84719" w:rsidRDefault="00D84719" w:rsidP="00D84719">
            <w:pPr>
              <w:jc w:val="center"/>
              <w:rPr>
                <w:rFonts w:ascii="Times New Roman" w:eastAsia="Calibri" w:hAnsi="Times New Roman" w:cs="Times New Roman"/>
                <w:b/>
                <w:bCs/>
                <w:sz w:val="20"/>
                <w:szCs w:val="20"/>
              </w:rPr>
            </w:pPr>
            <w:r w:rsidRPr="00D84719">
              <w:rPr>
                <w:rFonts w:ascii="Times New Roman" w:eastAsia="Calibri" w:hAnsi="Times New Roman" w:cs="Times New Roman"/>
                <w:b/>
                <w:bCs/>
                <w:sz w:val="20"/>
                <w:szCs w:val="20"/>
              </w:rPr>
              <w:t>CILJEVI/MJERE</w:t>
            </w:r>
          </w:p>
        </w:tc>
        <w:tc>
          <w:tcPr>
            <w:tcW w:w="2765" w:type="dxa"/>
            <w:shd w:val="clear" w:color="auto" w:fill="BFBFBF"/>
            <w:vAlign w:val="center"/>
          </w:tcPr>
          <w:p w14:paraId="118A3F03" w14:textId="77777777" w:rsidR="00D84719" w:rsidRPr="00D84719" w:rsidRDefault="00D84719" w:rsidP="00D84719">
            <w:pPr>
              <w:jc w:val="center"/>
              <w:rPr>
                <w:rFonts w:ascii="Times New Roman" w:eastAsia="Calibri" w:hAnsi="Times New Roman" w:cs="Times New Roman"/>
                <w:b/>
                <w:bCs/>
                <w:sz w:val="20"/>
                <w:szCs w:val="20"/>
              </w:rPr>
            </w:pPr>
            <w:r w:rsidRPr="00D84719">
              <w:rPr>
                <w:rFonts w:ascii="Times New Roman" w:eastAsia="Calibri" w:hAnsi="Times New Roman" w:cs="Times New Roman"/>
                <w:b/>
                <w:bCs/>
                <w:sz w:val="20"/>
                <w:szCs w:val="20"/>
              </w:rPr>
              <w:t>NOSITELJ (STRUČNA I TEHNIČKA POTPORA</w:t>
            </w:r>
          </w:p>
        </w:tc>
        <w:tc>
          <w:tcPr>
            <w:tcW w:w="1439" w:type="dxa"/>
            <w:shd w:val="clear" w:color="auto" w:fill="BFBFBF"/>
            <w:vAlign w:val="center"/>
          </w:tcPr>
          <w:p w14:paraId="7FA022D0" w14:textId="77777777" w:rsidR="00D84719" w:rsidRPr="00D84719" w:rsidRDefault="00D84719" w:rsidP="00D84719">
            <w:pPr>
              <w:jc w:val="center"/>
              <w:rPr>
                <w:rFonts w:ascii="Times New Roman" w:eastAsia="Calibri" w:hAnsi="Times New Roman" w:cs="Times New Roman"/>
                <w:b/>
                <w:bCs/>
                <w:sz w:val="20"/>
                <w:szCs w:val="20"/>
              </w:rPr>
            </w:pPr>
            <w:r w:rsidRPr="00D84719">
              <w:rPr>
                <w:rFonts w:ascii="Times New Roman" w:eastAsia="Calibri" w:hAnsi="Times New Roman" w:cs="Times New Roman"/>
                <w:b/>
                <w:bCs/>
                <w:sz w:val="20"/>
                <w:szCs w:val="20"/>
              </w:rPr>
              <w:t>RAZDOBLJE PROVEDBE</w:t>
            </w:r>
          </w:p>
        </w:tc>
        <w:tc>
          <w:tcPr>
            <w:tcW w:w="1256" w:type="dxa"/>
            <w:shd w:val="clear" w:color="auto" w:fill="BFBFBF"/>
            <w:vAlign w:val="center"/>
          </w:tcPr>
          <w:p w14:paraId="3D6485C4" w14:textId="77777777" w:rsidR="00D84719" w:rsidRPr="00D84719" w:rsidRDefault="00D84719" w:rsidP="00D84719">
            <w:pPr>
              <w:jc w:val="center"/>
              <w:rPr>
                <w:rFonts w:ascii="Times New Roman" w:eastAsia="Calibri" w:hAnsi="Times New Roman" w:cs="Times New Roman"/>
                <w:b/>
                <w:bCs/>
                <w:sz w:val="20"/>
                <w:szCs w:val="20"/>
              </w:rPr>
            </w:pPr>
            <w:r w:rsidRPr="00D84719">
              <w:rPr>
                <w:rFonts w:ascii="Times New Roman" w:eastAsia="Calibri" w:hAnsi="Times New Roman" w:cs="Times New Roman"/>
                <w:b/>
                <w:bCs/>
                <w:sz w:val="20"/>
                <w:szCs w:val="20"/>
              </w:rPr>
              <w:t>TROŠAK (HRK)</w:t>
            </w:r>
          </w:p>
        </w:tc>
      </w:tr>
      <w:tr w:rsidR="00D84719" w:rsidRPr="00D84719" w14:paraId="70776251" w14:textId="77777777" w:rsidTr="00F831D6">
        <w:trPr>
          <w:jc w:val="center"/>
        </w:trPr>
        <w:tc>
          <w:tcPr>
            <w:tcW w:w="8965" w:type="dxa"/>
            <w:gridSpan w:val="4"/>
            <w:vAlign w:val="center"/>
          </w:tcPr>
          <w:p w14:paraId="61C227A2" w14:textId="77777777" w:rsidR="00D84719" w:rsidRPr="00D84719" w:rsidRDefault="00D84719" w:rsidP="00D84719">
            <w:pPr>
              <w:rPr>
                <w:rFonts w:ascii="Times New Roman" w:eastAsia="Calibri" w:hAnsi="Times New Roman" w:cs="Times New Roman"/>
                <w:b/>
                <w:sz w:val="20"/>
                <w:szCs w:val="20"/>
              </w:rPr>
            </w:pPr>
            <w:r w:rsidRPr="00D84719">
              <w:rPr>
                <w:rFonts w:ascii="Times New Roman" w:eastAsia="Calibri" w:hAnsi="Times New Roman" w:cs="Times New Roman"/>
                <w:b/>
                <w:sz w:val="20"/>
                <w:szCs w:val="20"/>
              </w:rPr>
              <w:t>GLAVNI CILJ: SMANJENJE ISPUŠTANJA IZ NENAMJERNE PROIZVODNE U REPUBLICI HRVATSKOJ</w:t>
            </w:r>
          </w:p>
        </w:tc>
      </w:tr>
      <w:tr w:rsidR="00D84719" w:rsidRPr="00D84719" w14:paraId="3B8092D4" w14:textId="77777777" w:rsidTr="00F831D6">
        <w:trPr>
          <w:jc w:val="center"/>
        </w:trPr>
        <w:tc>
          <w:tcPr>
            <w:tcW w:w="8965" w:type="dxa"/>
            <w:gridSpan w:val="4"/>
            <w:vAlign w:val="center"/>
          </w:tcPr>
          <w:p w14:paraId="2F03AFEB" w14:textId="77777777" w:rsidR="00D84719" w:rsidRPr="00D84719" w:rsidRDefault="00D84719" w:rsidP="00D84719">
            <w:pPr>
              <w:rPr>
                <w:rFonts w:ascii="Times New Roman" w:eastAsia="Calibri" w:hAnsi="Times New Roman" w:cs="Times New Roman"/>
                <w:i/>
                <w:sz w:val="20"/>
                <w:szCs w:val="20"/>
              </w:rPr>
            </w:pPr>
            <w:r w:rsidRPr="00D84719">
              <w:rPr>
                <w:rFonts w:ascii="Times New Roman" w:eastAsia="Calibri" w:hAnsi="Times New Roman" w:cs="Times New Roman"/>
                <w:i/>
                <w:sz w:val="20"/>
                <w:szCs w:val="20"/>
              </w:rPr>
              <w:t>Specifični cilj 1: Daljnja izrada i održavanje Inventara ispuštanja POPs-ova</w:t>
            </w:r>
          </w:p>
        </w:tc>
      </w:tr>
      <w:tr w:rsidR="00D84719" w:rsidRPr="00D84719" w14:paraId="221300B4" w14:textId="77777777" w:rsidTr="00F831D6">
        <w:trPr>
          <w:jc w:val="center"/>
        </w:trPr>
        <w:tc>
          <w:tcPr>
            <w:tcW w:w="3505" w:type="dxa"/>
            <w:vAlign w:val="center"/>
          </w:tcPr>
          <w:p w14:paraId="4E8D9B4B" w14:textId="77777777" w:rsidR="00D84719" w:rsidRPr="00D84719" w:rsidRDefault="00D84719" w:rsidP="00D84719">
            <w:pPr>
              <w:rPr>
                <w:rFonts w:ascii="Times New Roman" w:eastAsia="Calibri" w:hAnsi="Times New Roman" w:cs="Times New Roman"/>
                <w:sz w:val="20"/>
                <w:szCs w:val="20"/>
              </w:rPr>
            </w:pPr>
            <w:r w:rsidRPr="00D84719">
              <w:rPr>
                <w:rFonts w:ascii="Times New Roman" w:eastAsia="Calibri" w:hAnsi="Times New Roman" w:cs="Times New Roman"/>
                <w:sz w:val="20"/>
                <w:szCs w:val="20"/>
              </w:rPr>
              <w:t>Mjera 1.1: Izrada godišnjeg inventara po zahtjevima Stockholmske konvencije uz periodičku reviziju inventara svake treće godine</w:t>
            </w:r>
          </w:p>
        </w:tc>
        <w:tc>
          <w:tcPr>
            <w:tcW w:w="2765" w:type="dxa"/>
            <w:vAlign w:val="center"/>
          </w:tcPr>
          <w:p w14:paraId="298B62A4" w14:textId="77777777" w:rsidR="00D84719" w:rsidRPr="00D84719" w:rsidRDefault="00D84719" w:rsidP="00D84719">
            <w:pPr>
              <w:jc w:val="center"/>
              <w:rPr>
                <w:rFonts w:ascii="Times New Roman" w:eastAsia="Calibri" w:hAnsi="Times New Roman" w:cs="Times New Roman"/>
                <w:sz w:val="20"/>
                <w:szCs w:val="20"/>
              </w:rPr>
            </w:pPr>
            <w:r w:rsidRPr="00D84719">
              <w:rPr>
                <w:rFonts w:ascii="Times New Roman" w:eastAsia="Calibri" w:hAnsi="Times New Roman" w:cs="Times New Roman"/>
                <w:sz w:val="20"/>
                <w:szCs w:val="20"/>
              </w:rPr>
              <w:t>MINGOR</w:t>
            </w:r>
          </w:p>
        </w:tc>
        <w:tc>
          <w:tcPr>
            <w:tcW w:w="1439" w:type="dxa"/>
            <w:vAlign w:val="center"/>
          </w:tcPr>
          <w:p w14:paraId="6353F19C" w14:textId="77777777" w:rsidR="00D84719" w:rsidRPr="00D84719" w:rsidRDefault="00D84719" w:rsidP="00D84719">
            <w:pPr>
              <w:jc w:val="center"/>
              <w:rPr>
                <w:rFonts w:ascii="Times New Roman" w:eastAsia="Calibri" w:hAnsi="Times New Roman" w:cs="Times New Roman"/>
                <w:sz w:val="20"/>
                <w:szCs w:val="20"/>
              </w:rPr>
            </w:pPr>
            <w:r w:rsidRPr="00D84719">
              <w:rPr>
                <w:rFonts w:ascii="Times New Roman" w:eastAsia="Calibri" w:hAnsi="Times New Roman" w:cs="Times New Roman"/>
                <w:sz w:val="20"/>
                <w:szCs w:val="20"/>
              </w:rPr>
              <w:t>kontinuirano</w:t>
            </w:r>
          </w:p>
        </w:tc>
        <w:tc>
          <w:tcPr>
            <w:tcW w:w="1256" w:type="dxa"/>
            <w:vAlign w:val="center"/>
          </w:tcPr>
          <w:p w14:paraId="2668EB2E" w14:textId="77777777" w:rsidR="00D84719" w:rsidRPr="00D84719" w:rsidRDefault="00D84719" w:rsidP="00D84719">
            <w:pPr>
              <w:jc w:val="center"/>
              <w:rPr>
                <w:rFonts w:ascii="Times New Roman" w:eastAsia="Calibri" w:hAnsi="Times New Roman" w:cs="Times New Roman"/>
                <w:sz w:val="20"/>
                <w:szCs w:val="20"/>
              </w:rPr>
            </w:pPr>
            <w:r w:rsidRPr="00D84719">
              <w:rPr>
                <w:rFonts w:ascii="Times New Roman" w:eastAsia="Calibri" w:hAnsi="Times New Roman" w:cs="Times New Roman"/>
                <w:sz w:val="20"/>
                <w:szCs w:val="20"/>
              </w:rPr>
              <w:t>0</w:t>
            </w:r>
          </w:p>
        </w:tc>
      </w:tr>
      <w:tr w:rsidR="00D84719" w:rsidRPr="00D84719" w14:paraId="73CD3DB5" w14:textId="77777777" w:rsidTr="00F831D6">
        <w:trPr>
          <w:jc w:val="center"/>
        </w:trPr>
        <w:tc>
          <w:tcPr>
            <w:tcW w:w="3505" w:type="dxa"/>
            <w:vAlign w:val="center"/>
          </w:tcPr>
          <w:p w14:paraId="4E0ECDAF" w14:textId="77777777" w:rsidR="00D84719" w:rsidRPr="00D84719" w:rsidRDefault="00D84719" w:rsidP="00D84719">
            <w:pPr>
              <w:rPr>
                <w:rFonts w:ascii="Times New Roman" w:eastAsia="Calibri" w:hAnsi="Times New Roman" w:cs="Times New Roman"/>
                <w:b/>
                <w:sz w:val="20"/>
                <w:szCs w:val="20"/>
              </w:rPr>
            </w:pPr>
            <w:r w:rsidRPr="00D84719">
              <w:rPr>
                <w:rFonts w:ascii="Times New Roman" w:eastAsia="Calibri" w:hAnsi="Times New Roman" w:cs="Times New Roman"/>
                <w:b/>
                <w:sz w:val="20"/>
                <w:szCs w:val="20"/>
              </w:rPr>
              <w:t>UKUPNO</w:t>
            </w:r>
          </w:p>
        </w:tc>
        <w:tc>
          <w:tcPr>
            <w:tcW w:w="2765" w:type="dxa"/>
            <w:vAlign w:val="center"/>
          </w:tcPr>
          <w:p w14:paraId="28F599AD" w14:textId="77777777" w:rsidR="00D84719" w:rsidRPr="00D84719" w:rsidRDefault="00D84719" w:rsidP="00D84719">
            <w:pPr>
              <w:jc w:val="center"/>
              <w:rPr>
                <w:rFonts w:ascii="Times New Roman" w:eastAsia="Calibri" w:hAnsi="Times New Roman" w:cs="Times New Roman"/>
                <w:sz w:val="20"/>
                <w:szCs w:val="20"/>
              </w:rPr>
            </w:pPr>
          </w:p>
        </w:tc>
        <w:tc>
          <w:tcPr>
            <w:tcW w:w="1439" w:type="dxa"/>
            <w:vAlign w:val="center"/>
          </w:tcPr>
          <w:p w14:paraId="71155949" w14:textId="77777777" w:rsidR="00D84719" w:rsidRPr="00D84719" w:rsidRDefault="00D84719" w:rsidP="00D84719">
            <w:pPr>
              <w:jc w:val="center"/>
              <w:rPr>
                <w:rFonts w:ascii="Times New Roman" w:eastAsia="Calibri" w:hAnsi="Times New Roman" w:cs="Times New Roman"/>
                <w:sz w:val="20"/>
                <w:szCs w:val="20"/>
              </w:rPr>
            </w:pPr>
          </w:p>
        </w:tc>
        <w:tc>
          <w:tcPr>
            <w:tcW w:w="1256" w:type="dxa"/>
            <w:vAlign w:val="center"/>
          </w:tcPr>
          <w:p w14:paraId="5B0F44BF" w14:textId="77777777" w:rsidR="00D84719" w:rsidRPr="00D84719" w:rsidRDefault="00D84719" w:rsidP="00D84719">
            <w:pPr>
              <w:jc w:val="center"/>
              <w:rPr>
                <w:rFonts w:ascii="Times New Roman" w:eastAsia="Calibri" w:hAnsi="Times New Roman" w:cs="Times New Roman"/>
                <w:b/>
                <w:sz w:val="20"/>
                <w:szCs w:val="20"/>
              </w:rPr>
            </w:pPr>
            <w:r w:rsidRPr="00D84719">
              <w:rPr>
                <w:rFonts w:ascii="Times New Roman" w:eastAsia="Calibri" w:hAnsi="Times New Roman" w:cs="Times New Roman"/>
                <w:b/>
                <w:sz w:val="20"/>
                <w:szCs w:val="20"/>
              </w:rPr>
              <w:t>0</w:t>
            </w:r>
          </w:p>
        </w:tc>
      </w:tr>
    </w:tbl>
    <w:p w14:paraId="23C53F4B" w14:textId="77777777" w:rsidR="00D84719" w:rsidRPr="00D84719" w:rsidRDefault="00D84719" w:rsidP="00D84719">
      <w:pPr>
        <w:spacing w:before="80" w:line="276" w:lineRule="auto"/>
        <w:jc w:val="both"/>
        <w:rPr>
          <w:rFonts w:ascii="Times New Roman" w:eastAsia="Times New Roman" w:hAnsi="Times New Roman" w:cs="Times New Roman"/>
          <w:color w:val="000000"/>
          <w:szCs w:val="24"/>
          <w:lang w:bidi="en-US"/>
        </w:rPr>
      </w:pPr>
    </w:p>
    <w:p w14:paraId="6119E182" w14:textId="77777777" w:rsidR="00D84719" w:rsidRPr="00D84719" w:rsidRDefault="00D84719" w:rsidP="00C74901">
      <w:pPr>
        <w:pStyle w:val="Naslov3"/>
      </w:pPr>
      <w:bookmarkStart w:id="312" w:name="_Toc40439467"/>
      <w:bookmarkStart w:id="313" w:name="_Toc50635637"/>
      <w:bookmarkStart w:id="314" w:name="_Toc64460784"/>
      <w:r w:rsidRPr="00D84719">
        <w:t>Aktivnost: Mjere za smanjenje ispuštanja iz zaliha i otpada (članak 6.)</w:t>
      </w:r>
      <w:bookmarkEnd w:id="312"/>
      <w:bookmarkEnd w:id="313"/>
      <w:bookmarkEnd w:id="314"/>
    </w:p>
    <w:p w14:paraId="38ED1A15"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Članak 6. Stockholmske konvencije zahtijeva od stranaka:</w:t>
      </w:r>
    </w:p>
    <w:p w14:paraId="7B0E7A02" w14:textId="77777777" w:rsidR="00D84719" w:rsidRP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lastRenderedPageBreak/>
        <w:t>razvoj odgovarajućih strategija za identifikaciju zaliha i otpada (uključujući proizvode i predmete koji su postali otpad) koji sadrži, sastoji se od ili je kontaminiran kemikalijama navedenima u Dodacima A, B ili C</w:t>
      </w:r>
    </w:p>
    <w:p w14:paraId="756B8B85" w14:textId="77777777" w:rsidR="00D84719" w:rsidRP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prepoznavanje i upravljanje zalihama na siguran, učinkovit i okolišno prihvatljiv način</w:t>
      </w:r>
    </w:p>
    <w:p w14:paraId="39D463A1" w14:textId="77777777" w:rsidR="00D84719" w:rsidRP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provedbu mjera za smanjenje ili uklanjanje ispuštanja iz zaliha i otpada koji sadrže kemikalije navedene u Dodacima A, B ili C na način koji štiti zdravlje ljudi i okoliš</w:t>
      </w:r>
    </w:p>
    <w:p w14:paraId="23FEEA23" w14:textId="77777777" w:rsidR="00D84719" w:rsidRP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poduzimanje odgovarajućih mjera kako bi se osiguralo rukovanje otpadnim tvarima i predmetima koji sadrže kemikalije navedene u Dodacima A, B ili C na okolišno prihvatljiv način</w:t>
      </w:r>
    </w:p>
    <w:p w14:paraId="0569019B" w14:textId="77777777" w:rsidR="00D84719" w:rsidRP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zbrinjavanje otpadnih tvari i predmeta koji sadrže kemikalije navedene u Dodacima A, B ili C na način da se uništi ili nepovratno transformira sadržaj POPs-ova, uzimajući u obzir međunarodna pravila, standarde i smjernice</w:t>
      </w:r>
    </w:p>
    <w:p w14:paraId="286F5653" w14:textId="77777777" w:rsidR="00D84719" w:rsidRP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razvoj strategija za prepoznavanje lokacija onečišćenih kemikalijama navedenima u Dodacima A, B ili C ako je potrebna sanacija, to mora biti učinjeno na okolišno prihvatljiv način i</w:t>
      </w:r>
    </w:p>
    <w:p w14:paraId="524F7EC6" w14:textId="77777777" w:rsid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 xml:space="preserve">suradnju u aktivnostima provedbe </w:t>
      </w:r>
      <w:proofErr w:type="spellStart"/>
      <w:r w:rsidRPr="00D84719">
        <w:rPr>
          <w:rFonts w:ascii="Times New Roman" w:eastAsia="Calibri" w:hAnsi="Times New Roman" w:cs="Times New Roman"/>
          <w:sz w:val="24"/>
          <w:lang w:bidi="en-US"/>
        </w:rPr>
        <w:t>Baselske</w:t>
      </w:r>
      <w:proofErr w:type="spellEnd"/>
      <w:r w:rsidRPr="00D84719">
        <w:rPr>
          <w:rFonts w:ascii="Times New Roman" w:eastAsia="Calibri" w:hAnsi="Times New Roman" w:cs="Times New Roman"/>
          <w:sz w:val="24"/>
          <w:lang w:bidi="en-US"/>
        </w:rPr>
        <w:t xml:space="preserve"> konvencije o nadzoru prekograničnog prometa opasnog otpada i njegovu odlaganju.</w:t>
      </w:r>
    </w:p>
    <w:p w14:paraId="4EBF5CDA" w14:textId="77777777" w:rsidR="009C4363" w:rsidRPr="00D84719" w:rsidRDefault="009C4363" w:rsidP="009C4363">
      <w:pPr>
        <w:tabs>
          <w:tab w:val="left" w:pos="1755"/>
        </w:tabs>
        <w:autoSpaceDE w:val="0"/>
        <w:autoSpaceDN w:val="0"/>
        <w:adjustRightInd w:val="0"/>
        <w:spacing w:before="80" w:after="0" w:line="240" w:lineRule="auto"/>
        <w:ind w:left="720"/>
        <w:jc w:val="both"/>
        <w:rPr>
          <w:rFonts w:ascii="Times New Roman" w:eastAsia="Calibri" w:hAnsi="Times New Roman" w:cs="Times New Roman"/>
          <w:sz w:val="24"/>
          <w:lang w:bidi="en-US"/>
        </w:rPr>
      </w:pPr>
    </w:p>
    <w:p w14:paraId="1E59F8C1"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Navedeno treba biti uzeto u obzir prilikom provođenja mjera navedenih u poglavljima:</w:t>
      </w:r>
    </w:p>
    <w:p w14:paraId="7CA8CA9E" w14:textId="77777777" w:rsidR="00D84719" w:rsidRP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4.</w:t>
      </w:r>
      <w:r w:rsidR="00F05F33">
        <w:rPr>
          <w:rFonts w:ascii="Times New Roman" w:eastAsia="Calibri" w:hAnsi="Times New Roman" w:cs="Times New Roman"/>
          <w:sz w:val="24"/>
          <w:lang w:bidi="en-US"/>
        </w:rPr>
        <w:t>2</w:t>
      </w:r>
      <w:r w:rsidRPr="00D84719">
        <w:rPr>
          <w:rFonts w:ascii="Times New Roman" w:eastAsia="Calibri" w:hAnsi="Times New Roman" w:cs="Times New Roman"/>
          <w:sz w:val="24"/>
          <w:lang w:bidi="en-US"/>
        </w:rPr>
        <w:t>.3 Aktivnost: Proizvodnja, uvoz i izvoz, uporaba, zalihe, otpad pesticida i ostaci (rezidue) (Dodatak A, dio I.)</w:t>
      </w:r>
    </w:p>
    <w:p w14:paraId="72720CAD" w14:textId="77777777" w:rsidR="00D84719" w:rsidRP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4.</w:t>
      </w:r>
      <w:r w:rsidR="00F05F33">
        <w:rPr>
          <w:rFonts w:ascii="Times New Roman" w:eastAsia="Calibri" w:hAnsi="Times New Roman" w:cs="Times New Roman"/>
          <w:sz w:val="24"/>
          <w:lang w:bidi="en-US"/>
        </w:rPr>
        <w:t>2</w:t>
      </w:r>
      <w:r w:rsidRPr="00D84719">
        <w:rPr>
          <w:rFonts w:ascii="Times New Roman" w:eastAsia="Calibri" w:hAnsi="Times New Roman" w:cs="Times New Roman"/>
          <w:sz w:val="24"/>
          <w:lang w:bidi="en-US"/>
        </w:rPr>
        <w:t>.4 Aktivnost: Proizvodnja, uvoz i izvoz, uporaba, identifikacija, označavanje, dekontaminacija, skladištenje i zbrinjavanje PCB-a i opreme koja sadrži PCB (Dodatak A, dio II.)</w:t>
      </w:r>
    </w:p>
    <w:p w14:paraId="1C5D3DAA" w14:textId="77777777" w:rsidR="00D84719" w:rsidRP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4.</w:t>
      </w:r>
      <w:r w:rsidR="00F05F33">
        <w:rPr>
          <w:rFonts w:ascii="Times New Roman" w:eastAsia="Calibri" w:hAnsi="Times New Roman" w:cs="Times New Roman"/>
          <w:sz w:val="24"/>
          <w:lang w:bidi="en-US"/>
        </w:rPr>
        <w:t>2</w:t>
      </w:r>
      <w:r w:rsidRPr="00D84719">
        <w:rPr>
          <w:rFonts w:ascii="Times New Roman" w:eastAsia="Calibri" w:hAnsi="Times New Roman" w:cs="Times New Roman"/>
          <w:sz w:val="24"/>
          <w:lang w:bidi="en-US"/>
        </w:rPr>
        <w:t xml:space="preserve">.5 Aktivnost: Proizvodnja, uvoz i izvoz, uporaba, zalihe i otpad </w:t>
      </w:r>
      <w:proofErr w:type="spellStart"/>
      <w:r w:rsidRPr="00D84719">
        <w:rPr>
          <w:rFonts w:ascii="Times New Roman" w:eastAsia="Calibri" w:hAnsi="Times New Roman" w:cs="Times New Roman"/>
          <w:sz w:val="24"/>
          <w:lang w:bidi="en-US"/>
        </w:rPr>
        <w:t>heksaBDE</w:t>
      </w:r>
      <w:proofErr w:type="spellEnd"/>
      <w:r w:rsidRPr="00D84719">
        <w:rPr>
          <w:rFonts w:ascii="Times New Roman" w:eastAsia="Calibri" w:hAnsi="Times New Roman" w:cs="Times New Roman"/>
          <w:sz w:val="24"/>
          <w:lang w:bidi="en-US"/>
        </w:rPr>
        <w:t xml:space="preserve"> i heptaBDE (Dodatak A, dio IV.) i </w:t>
      </w:r>
      <w:proofErr w:type="spellStart"/>
      <w:r w:rsidRPr="00D84719">
        <w:rPr>
          <w:rFonts w:ascii="Times New Roman" w:eastAsia="Calibri" w:hAnsi="Times New Roman" w:cs="Times New Roman"/>
          <w:sz w:val="24"/>
          <w:lang w:bidi="en-US"/>
        </w:rPr>
        <w:t>tetraBDE</w:t>
      </w:r>
      <w:proofErr w:type="spellEnd"/>
      <w:r w:rsidRPr="00D84719">
        <w:rPr>
          <w:rFonts w:ascii="Times New Roman" w:eastAsia="Calibri" w:hAnsi="Times New Roman" w:cs="Times New Roman"/>
          <w:sz w:val="24"/>
          <w:lang w:bidi="en-US"/>
        </w:rPr>
        <w:t xml:space="preserve"> i pentaBDE (Dodatak A, dio V.) i HBB, gdje je primjenjivo (Dodatak A, dio I.)</w:t>
      </w:r>
    </w:p>
    <w:p w14:paraId="40135D21" w14:textId="77777777" w:rsidR="00D84719" w:rsidRP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4.</w:t>
      </w:r>
      <w:r w:rsidR="00F05F33">
        <w:rPr>
          <w:rFonts w:ascii="Times New Roman" w:eastAsia="Calibri" w:hAnsi="Times New Roman" w:cs="Times New Roman"/>
          <w:sz w:val="24"/>
          <w:lang w:bidi="en-US"/>
        </w:rPr>
        <w:t>2</w:t>
      </w:r>
      <w:r w:rsidRPr="00D84719">
        <w:rPr>
          <w:rFonts w:ascii="Times New Roman" w:eastAsia="Calibri" w:hAnsi="Times New Roman" w:cs="Times New Roman"/>
          <w:sz w:val="24"/>
          <w:lang w:bidi="en-US"/>
        </w:rPr>
        <w:t>.7 Aktivnost: Proizvodnja, uvoz i izvoz, uporaba, zalihe i otpad PFOS-a, njegovih soli i PFOSF-a (Dodatak B, dio III.)</w:t>
      </w:r>
    </w:p>
    <w:p w14:paraId="41E88192" w14:textId="77777777" w:rsidR="00D84719" w:rsidRP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4.</w:t>
      </w:r>
      <w:r w:rsidR="00F05F33">
        <w:rPr>
          <w:rFonts w:ascii="Times New Roman" w:eastAsia="Calibri" w:hAnsi="Times New Roman" w:cs="Times New Roman"/>
          <w:sz w:val="24"/>
          <w:lang w:bidi="en-US"/>
        </w:rPr>
        <w:t>2</w:t>
      </w:r>
      <w:r w:rsidRPr="00D84719">
        <w:rPr>
          <w:rFonts w:ascii="Times New Roman" w:eastAsia="Calibri" w:hAnsi="Times New Roman" w:cs="Times New Roman"/>
          <w:sz w:val="24"/>
          <w:lang w:bidi="en-US"/>
        </w:rPr>
        <w:t>.8 Aktivnost: Proizvodnja, uvoz i izvoz, uporaba, zalihe i otpad HBCD-a.</w:t>
      </w:r>
    </w:p>
    <w:p w14:paraId="0FBF9BED" w14:textId="77777777" w:rsidR="00D84719" w:rsidRPr="00D84719" w:rsidRDefault="00D84719" w:rsidP="00D84719">
      <w:pPr>
        <w:spacing w:before="80" w:line="276" w:lineRule="auto"/>
        <w:ind w:left="720"/>
        <w:jc w:val="both"/>
        <w:rPr>
          <w:rFonts w:ascii="Times New Roman" w:eastAsia="Times New Roman" w:hAnsi="Times New Roman" w:cs="Times New Roman"/>
          <w:color w:val="000000"/>
          <w:sz w:val="24"/>
          <w:szCs w:val="24"/>
          <w:lang w:bidi="en-US"/>
        </w:rPr>
      </w:pPr>
    </w:p>
    <w:p w14:paraId="44CD9D6D" w14:textId="77777777" w:rsidR="00D84719" w:rsidRPr="00D84719" w:rsidRDefault="00D84719" w:rsidP="00C74901">
      <w:pPr>
        <w:pStyle w:val="Naslov3"/>
      </w:pPr>
      <w:bookmarkStart w:id="315" w:name="_Toc40439468"/>
      <w:bookmarkStart w:id="316" w:name="_Toc50635638"/>
      <w:bookmarkStart w:id="317" w:name="_Toc64460785"/>
      <w:r w:rsidRPr="00D84719">
        <w:t>Strategija: Identifikacija zaliha, predmeta u uporabi i otpadu</w:t>
      </w:r>
      <w:bookmarkEnd w:id="315"/>
      <w:bookmarkEnd w:id="316"/>
      <w:bookmarkEnd w:id="317"/>
    </w:p>
    <w:p w14:paraId="1F1D3FA2"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Strategija za identifikaciju zaliha, predmeta u uporabi i otpada nije zasebno analizirana</w:t>
      </w:r>
      <w:r w:rsidR="00950C18">
        <w:rPr>
          <w:rFonts w:ascii="Times New Roman" w:eastAsia="Times New Roman" w:hAnsi="Times New Roman" w:cs="Times New Roman"/>
          <w:color w:val="000000"/>
          <w:sz w:val="24"/>
          <w:szCs w:val="24"/>
          <w:lang w:bidi="en-US"/>
        </w:rPr>
        <w:t>,</w:t>
      </w:r>
      <w:r w:rsidRPr="00D84719">
        <w:rPr>
          <w:rFonts w:ascii="Times New Roman" w:eastAsia="Times New Roman" w:hAnsi="Times New Roman" w:cs="Times New Roman"/>
          <w:color w:val="000000"/>
          <w:sz w:val="24"/>
          <w:szCs w:val="24"/>
          <w:lang w:bidi="en-US"/>
        </w:rPr>
        <w:t xml:space="preserve"> jer je sadržana u okviru sljedećih poglavlja:</w:t>
      </w:r>
    </w:p>
    <w:p w14:paraId="401EE5F2" w14:textId="77777777" w:rsidR="00D84719" w:rsidRP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4.</w:t>
      </w:r>
      <w:r w:rsidR="00F05F33">
        <w:rPr>
          <w:rFonts w:ascii="Times New Roman" w:eastAsia="Calibri" w:hAnsi="Times New Roman" w:cs="Times New Roman"/>
          <w:sz w:val="24"/>
          <w:lang w:bidi="en-US"/>
        </w:rPr>
        <w:t>2</w:t>
      </w:r>
      <w:r w:rsidRPr="00D84719">
        <w:rPr>
          <w:rFonts w:ascii="Times New Roman" w:eastAsia="Calibri" w:hAnsi="Times New Roman" w:cs="Times New Roman"/>
          <w:sz w:val="24"/>
          <w:lang w:bidi="en-US"/>
        </w:rPr>
        <w:t>.3 Aktivnost: Proizvodnja, uvoz i izvoz, uporaba, zalihe, otpad pesticida i ostaci (rezidue) (Dodatak A, dio I.)</w:t>
      </w:r>
    </w:p>
    <w:p w14:paraId="7C684250" w14:textId="77777777" w:rsidR="00D84719" w:rsidRP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4.</w:t>
      </w:r>
      <w:r w:rsidR="00F05F33">
        <w:rPr>
          <w:rFonts w:ascii="Times New Roman" w:eastAsia="Calibri" w:hAnsi="Times New Roman" w:cs="Times New Roman"/>
          <w:sz w:val="24"/>
          <w:lang w:bidi="en-US"/>
        </w:rPr>
        <w:t>2</w:t>
      </w:r>
      <w:r w:rsidRPr="00D84719">
        <w:rPr>
          <w:rFonts w:ascii="Times New Roman" w:eastAsia="Calibri" w:hAnsi="Times New Roman" w:cs="Times New Roman"/>
          <w:sz w:val="24"/>
          <w:lang w:bidi="en-US"/>
        </w:rPr>
        <w:t>.4 Aktivnost: Proizvodnja, uvoz i izvoz, uporaba, identifikacija, označavanje, dekontaminacija, skladištenje i zbrinjavanje PCB-a i opreme koja sadrži PCB (Dodatak A, dio II.)</w:t>
      </w:r>
    </w:p>
    <w:p w14:paraId="46C4E941" w14:textId="77777777" w:rsidR="00D84719" w:rsidRP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4.</w:t>
      </w:r>
      <w:r w:rsidR="00F05F33">
        <w:rPr>
          <w:rFonts w:ascii="Times New Roman" w:eastAsia="Calibri" w:hAnsi="Times New Roman" w:cs="Times New Roman"/>
          <w:sz w:val="24"/>
          <w:lang w:bidi="en-US"/>
        </w:rPr>
        <w:t>2</w:t>
      </w:r>
      <w:r w:rsidRPr="00D84719">
        <w:rPr>
          <w:rFonts w:ascii="Times New Roman" w:eastAsia="Calibri" w:hAnsi="Times New Roman" w:cs="Times New Roman"/>
          <w:sz w:val="24"/>
          <w:lang w:bidi="en-US"/>
        </w:rPr>
        <w:t xml:space="preserve">.5 Aktivnost: Proizvodnja, uvoz i izvoz, uporaba, zalihe i otpad </w:t>
      </w:r>
      <w:proofErr w:type="spellStart"/>
      <w:r w:rsidRPr="00D84719">
        <w:rPr>
          <w:rFonts w:ascii="Times New Roman" w:eastAsia="Calibri" w:hAnsi="Times New Roman" w:cs="Times New Roman"/>
          <w:sz w:val="24"/>
          <w:lang w:bidi="en-US"/>
        </w:rPr>
        <w:t>heksaBDE</w:t>
      </w:r>
      <w:proofErr w:type="spellEnd"/>
      <w:r w:rsidRPr="00D84719">
        <w:rPr>
          <w:rFonts w:ascii="Times New Roman" w:eastAsia="Calibri" w:hAnsi="Times New Roman" w:cs="Times New Roman"/>
          <w:sz w:val="24"/>
          <w:lang w:bidi="en-US"/>
        </w:rPr>
        <w:t xml:space="preserve"> i heptaBDE (Dodatak A, dio IV.) i </w:t>
      </w:r>
      <w:proofErr w:type="spellStart"/>
      <w:r w:rsidRPr="00D84719">
        <w:rPr>
          <w:rFonts w:ascii="Times New Roman" w:eastAsia="Calibri" w:hAnsi="Times New Roman" w:cs="Times New Roman"/>
          <w:sz w:val="24"/>
          <w:lang w:bidi="en-US"/>
        </w:rPr>
        <w:t>tetraBDE</w:t>
      </w:r>
      <w:proofErr w:type="spellEnd"/>
      <w:r w:rsidRPr="00D84719">
        <w:rPr>
          <w:rFonts w:ascii="Times New Roman" w:eastAsia="Calibri" w:hAnsi="Times New Roman" w:cs="Times New Roman"/>
          <w:sz w:val="24"/>
          <w:lang w:bidi="en-US"/>
        </w:rPr>
        <w:t xml:space="preserve"> i pentaBDE (Dodatak A, dio V.) i HBB, gdje je primjenjivo (Dodatak A, dio I.)</w:t>
      </w:r>
    </w:p>
    <w:p w14:paraId="0B353590" w14:textId="77777777" w:rsidR="00D84719" w:rsidRP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lastRenderedPageBreak/>
        <w:t>4.</w:t>
      </w:r>
      <w:r w:rsidR="00F05F33">
        <w:rPr>
          <w:rFonts w:ascii="Times New Roman" w:eastAsia="Calibri" w:hAnsi="Times New Roman" w:cs="Times New Roman"/>
          <w:sz w:val="24"/>
          <w:lang w:bidi="en-US"/>
        </w:rPr>
        <w:t>2</w:t>
      </w:r>
      <w:r w:rsidRPr="00D84719">
        <w:rPr>
          <w:rFonts w:ascii="Times New Roman" w:eastAsia="Calibri" w:hAnsi="Times New Roman" w:cs="Times New Roman"/>
          <w:sz w:val="24"/>
          <w:lang w:bidi="en-US"/>
        </w:rPr>
        <w:t>.7 Aktivnost: Proizvodnja, uvoz i izvoz, uporaba, zalihe i otpad PFOS-a, njegovih soli i PFOSF-a (Dodatak B, dio III.)</w:t>
      </w:r>
    </w:p>
    <w:p w14:paraId="13548BB7" w14:textId="77777777" w:rsidR="00D84719" w:rsidRP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4.</w:t>
      </w:r>
      <w:r w:rsidR="00F05F33">
        <w:rPr>
          <w:rFonts w:ascii="Times New Roman" w:eastAsia="Calibri" w:hAnsi="Times New Roman" w:cs="Times New Roman"/>
          <w:sz w:val="24"/>
          <w:lang w:bidi="en-US"/>
        </w:rPr>
        <w:t>2</w:t>
      </w:r>
      <w:r w:rsidRPr="00D84719">
        <w:rPr>
          <w:rFonts w:ascii="Times New Roman" w:eastAsia="Calibri" w:hAnsi="Times New Roman" w:cs="Times New Roman"/>
          <w:sz w:val="24"/>
          <w:lang w:bidi="en-US"/>
        </w:rPr>
        <w:t>.8 Aktivnost: Proizvodnja, uvoz i izvoz, uporaba, zalihe i otpad HBCD-a.</w:t>
      </w:r>
    </w:p>
    <w:p w14:paraId="2D809A03" w14:textId="77777777" w:rsidR="00D84719" w:rsidRPr="00D84719" w:rsidRDefault="00D84719" w:rsidP="00D84719">
      <w:pPr>
        <w:spacing w:before="80" w:line="276" w:lineRule="auto"/>
        <w:jc w:val="both"/>
        <w:rPr>
          <w:rFonts w:ascii="Times New Roman" w:eastAsia="Times New Roman" w:hAnsi="Times New Roman" w:cs="Times New Roman"/>
          <w:color w:val="000000"/>
          <w:szCs w:val="24"/>
          <w:lang w:bidi="en-US"/>
        </w:rPr>
      </w:pPr>
    </w:p>
    <w:p w14:paraId="39A13736" w14:textId="77777777" w:rsidR="00D84719" w:rsidRPr="00D84719" w:rsidRDefault="00D84719" w:rsidP="00C74901">
      <w:pPr>
        <w:pStyle w:val="Naslov3"/>
      </w:pPr>
      <w:bookmarkStart w:id="318" w:name="_Toc40439469"/>
      <w:bookmarkStart w:id="319" w:name="_Toc50635639"/>
      <w:bookmarkStart w:id="320" w:name="_Toc64460786"/>
      <w:r w:rsidRPr="00D84719">
        <w:t>Strategija: Identifikacija kontaminiranih lokacija (Dodatak A, B i C) i sanacija na okolišno prihvatljiv način</w:t>
      </w:r>
      <w:bookmarkEnd w:id="318"/>
      <w:bookmarkEnd w:id="319"/>
      <w:bookmarkEnd w:id="320"/>
    </w:p>
    <w:p w14:paraId="78CFEF73"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S obzirom da tijekom izrade preliminarnog inventara nije nedvojbeno utvrđeno postojanje lokacija onečišćenih POPs-ovima, nego su samo preliminarno utvrđene moguće onečišćene lokacije, u ovom poglavlju će se navesti potrebne aktivnosti i mjere za mogući razvoj nacionalnog Programa utvrđivanja onečišćenih lokacija, njihovog opsega onečišćenosti i moguće okolišno prihvatljive sanacije te će se navesti tehničke mjere potrebne za pravovremenu provedbu Programa.</w:t>
      </w:r>
    </w:p>
    <w:p w14:paraId="5C221100"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Tijekom izrade inventara POPs-ova, a temeljem dostupnih podataka, nije utvrđeno postojanje lokacija onečišćenih POPs pesticidima. No, s obzirom na činjenicu da su se u Republici Hrvatskoj pesticidi proizvodili, upotrebljavali, uvozili i izvozili, potrebno je provesti daljnja istraživanja na onim područjima gdje su se pesticidi primjenjivali u većoj količini dok su bili u uporabi.</w:t>
      </w:r>
    </w:p>
    <w:p w14:paraId="21F32184" w14:textId="61192A46"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Ova ispitivanja bi trebalo provesti na području Osječko-baranjske, Vukovarsko-srijemske i Bjelovarsko-bilogorske županije. S obzirom na prijašnje i trenutno postojanje opreme koja sadrži PCB u Republici Hrvatskoj (transformatori i kondenzatori) te na proteklo ratno razdoblje (1991.-1995</w:t>
      </w:r>
      <w:r w:rsidR="005C26BD">
        <w:rPr>
          <w:rFonts w:ascii="Times New Roman" w:eastAsia="Times New Roman" w:hAnsi="Times New Roman" w:cs="Times New Roman"/>
          <w:color w:val="000000"/>
          <w:sz w:val="24"/>
          <w:szCs w:val="24"/>
          <w:lang w:bidi="en-US"/>
        </w:rPr>
        <w:t>.</w:t>
      </w:r>
      <w:r w:rsidRPr="00D84719">
        <w:rPr>
          <w:rFonts w:ascii="Times New Roman" w:eastAsia="Times New Roman" w:hAnsi="Times New Roman" w:cs="Times New Roman"/>
          <w:color w:val="000000"/>
          <w:sz w:val="24"/>
          <w:szCs w:val="24"/>
          <w:lang w:bidi="en-US"/>
        </w:rPr>
        <w:t xml:space="preserve">) kada je došlo do znatnih razaranja, u kojima su uništavana i granatirana i električna postrojenja, nakon završetka rata rađeno je preliminarno utvrđivanje lokacija na kojima je moglo doći do onečišćenja okoliša PCB-om. Na tim lokacijama utvrđena je prisutnost PCB spojeva u tlu i u zraku. Temeljem prijašnjih ispitivanja i provedene inventarizacije utvrđene su tri lokacije na obalnom području (Zadar, Rijeka Dubrovačka i </w:t>
      </w:r>
      <w:proofErr w:type="spellStart"/>
      <w:r w:rsidRPr="00D84719">
        <w:rPr>
          <w:rFonts w:ascii="Times New Roman" w:eastAsia="Times New Roman" w:hAnsi="Times New Roman" w:cs="Times New Roman"/>
          <w:color w:val="000000"/>
          <w:sz w:val="24"/>
          <w:szCs w:val="24"/>
          <w:lang w:bidi="en-US"/>
        </w:rPr>
        <w:t>Bilice</w:t>
      </w:r>
      <w:proofErr w:type="spellEnd"/>
      <w:r w:rsidRPr="00D84719">
        <w:rPr>
          <w:rFonts w:ascii="Times New Roman" w:eastAsia="Times New Roman" w:hAnsi="Times New Roman" w:cs="Times New Roman"/>
          <w:color w:val="000000"/>
          <w:sz w:val="24"/>
          <w:szCs w:val="24"/>
          <w:lang w:bidi="en-US"/>
        </w:rPr>
        <w:t xml:space="preserve"> kod Šibenika) na kojima je potrebno provesti daljnja ispitivanja, kako bi se nedvojbeno utvrdilo njihovo stvarno stanje i eventualni stupanj onečišćenja.</w:t>
      </w:r>
    </w:p>
    <w:p w14:paraId="075989BE"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Potrebno je provesti dodatna istraživanja za utvrđivanje mogućih područja onečišćenih PCDD/PCDF-om, s obzirom na to da ne postoje podaci o istima. Pri određivanju mogućih onečišćenih lokacija treba razmotriti lokacije oko potencijalnih izvora emisija ovih spojeva u okoliš te sve lokacije na kojima je preliminarno utvrđena prisutnost PCB-a u tlu, jer se tamo vjerojatno nalaze i određene količine PCDD-a/PCDF-a.</w:t>
      </w:r>
    </w:p>
    <w:p w14:paraId="1105E7C3"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Glavni cilj ove strategije je smanjenje onečišćenja okoliša kroz sanaciju i oporavak identificiranih lokacija kontaminiranih POPs-ovima.</w:t>
      </w:r>
    </w:p>
    <w:p w14:paraId="2A98DDFC"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Specifični cilj je sljedeći:</w:t>
      </w:r>
    </w:p>
    <w:p w14:paraId="4588E496" w14:textId="77777777" w:rsidR="00D84719" w:rsidRDefault="00D84719" w:rsidP="00D84719">
      <w:pPr>
        <w:numPr>
          <w:ilvl w:val="0"/>
          <w:numId w:val="7"/>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uspostava sustava upravljanja kontaminiranim područjima.</w:t>
      </w:r>
    </w:p>
    <w:p w14:paraId="2FB638BE" w14:textId="77777777" w:rsidR="009C4363" w:rsidRPr="00D84719" w:rsidRDefault="009C4363" w:rsidP="009C4363">
      <w:pPr>
        <w:tabs>
          <w:tab w:val="left" w:pos="1755"/>
        </w:tabs>
        <w:autoSpaceDE w:val="0"/>
        <w:autoSpaceDN w:val="0"/>
        <w:adjustRightInd w:val="0"/>
        <w:spacing w:before="80" w:after="0" w:line="240" w:lineRule="auto"/>
        <w:ind w:left="720"/>
        <w:jc w:val="both"/>
        <w:rPr>
          <w:rFonts w:ascii="Times New Roman" w:eastAsia="Calibri" w:hAnsi="Times New Roman" w:cs="Times New Roman"/>
          <w:sz w:val="24"/>
          <w:lang w:bidi="en-US"/>
        </w:rPr>
      </w:pPr>
    </w:p>
    <w:p w14:paraId="7CAB9A3A" w14:textId="77777777" w:rsidR="00D84719" w:rsidRPr="00D84719" w:rsidRDefault="00D84719" w:rsidP="009C4363">
      <w:pPr>
        <w:pStyle w:val="Naslov4"/>
      </w:pPr>
      <w:bookmarkStart w:id="321" w:name="_Toc64460787"/>
      <w:r w:rsidRPr="00D84719">
        <w:t>Uspostava sustava upravljanja kontaminiranim područjima</w:t>
      </w:r>
      <w:bookmarkEnd w:id="321"/>
    </w:p>
    <w:p w14:paraId="5E488EAA"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Predložene mjere:</w:t>
      </w:r>
    </w:p>
    <w:p w14:paraId="209609AB" w14:textId="77777777" w:rsidR="00D84719" w:rsidRPr="00D84719" w:rsidRDefault="00D84719" w:rsidP="00D84719">
      <w:pPr>
        <w:numPr>
          <w:ilvl w:val="0"/>
          <w:numId w:val="7"/>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lastRenderedPageBreak/>
        <w:t>izvršiti detaljno istraživanje utvrđenih lokacija kontaminiranih POPs-ovima</w:t>
      </w:r>
    </w:p>
    <w:p w14:paraId="36FDACE7" w14:textId="77777777" w:rsidR="00D84719" w:rsidRPr="00D84719" w:rsidRDefault="00D84719" w:rsidP="00D84719">
      <w:pPr>
        <w:numPr>
          <w:ilvl w:val="0"/>
          <w:numId w:val="7"/>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utvrditi prioritetne kontaminirane lokacije</w:t>
      </w:r>
    </w:p>
    <w:p w14:paraId="3CDEF435" w14:textId="77777777" w:rsidR="00D84719" w:rsidRPr="00D84719" w:rsidRDefault="00D84719" w:rsidP="00D84719">
      <w:pPr>
        <w:numPr>
          <w:ilvl w:val="0"/>
          <w:numId w:val="7"/>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izraditi planove sanacije lokacija kontaminiranih POPs-ovima</w:t>
      </w:r>
    </w:p>
    <w:p w14:paraId="504B6A5F" w14:textId="77777777" w:rsidR="00D84719" w:rsidRPr="00D84719" w:rsidRDefault="00D84719" w:rsidP="00D84719">
      <w:pPr>
        <w:numPr>
          <w:ilvl w:val="0"/>
          <w:numId w:val="7"/>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provesti sanaciju kontaminiranih područja (s prvenstvom prioritetnih područja) i</w:t>
      </w:r>
    </w:p>
    <w:p w14:paraId="783CA589" w14:textId="77777777" w:rsidR="00D84719" w:rsidRDefault="00D84719" w:rsidP="00D84719">
      <w:pPr>
        <w:numPr>
          <w:ilvl w:val="0"/>
          <w:numId w:val="7"/>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pratiti učinke sanacije.</w:t>
      </w:r>
    </w:p>
    <w:p w14:paraId="49A76F9B" w14:textId="77777777" w:rsidR="009C4363" w:rsidRPr="00D84719" w:rsidRDefault="009C4363" w:rsidP="009C4363">
      <w:pPr>
        <w:tabs>
          <w:tab w:val="left" w:pos="1755"/>
        </w:tabs>
        <w:autoSpaceDE w:val="0"/>
        <w:autoSpaceDN w:val="0"/>
        <w:adjustRightInd w:val="0"/>
        <w:spacing w:before="80" w:after="0" w:line="240" w:lineRule="auto"/>
        <w:ind w:left="720"/>
        <w:jc w:val="both"/>
        <w:rPr>
          <w:rFonts w:ascii="Times New Roman" w:eastAsia="Calibri" w:hAnsi="Times New Roman" w:cs="Times New Roman"/>
          <w:sz w:val="24"/>
          <w:lang w:bidi="en-US"/>
        </w:rPr>
      </w:pPr>
    </w:p>
    <w:p w14:paraId="37716A72"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Tijekom razdoblja 2018. – 2020. drugim NIP-om provedene su mjere preliminarnog istraživanja potencijalnih lokacija kontaminiranih POPs-ovima, uspostavljanje registra kontaminiranih područja te definiranje smjernica za sanaciju kontaminiranih područja.</w:t>
      </w:r>
    </w:p>
    <w:p w14:paraId="150D68CA"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Potrebno je na stručnoj razini razviti postupke ili upute za identifikaciju lokacija onečišćenih POPs-ovima i procjenu njihove razine onečišćenja (uz određivanje prioriteta za sanaciju). Nadležna tijela državne uprave te nadležne javne ustanove trebaju provesti preliminarno istraživanje na lokacijama potencijalno kontaminiranih POPs-ovima, odabranih na temelju dogovorenih kriterija, kao što su vrste industrijske aktivnosti povezane s emisijom/ispuštanjem POPs-ova u sastavnice okoliša, prirodnih značajki i osjetljivosti područja, kao i postojećih dostupnih podataka praćenja POPs-ova u Republici Hrvatskoj (vidi poglavlje 2.3.10). Podaci prikupljeni tijekom preliminarnog istraživanja služit će za uspostavu registra kontaminiranih područja. Nakon utvrđenih prioritetnih lokacija za sanaciju potrebno je izraditi upute i postupke za provedbu okolišno prihvatljive sanacije onečišćenih lokacija. Vlasnici kontaminiranih lokacija u suradnji s nadležnim ministarstvima moraju izraditi planove sanacije i dekontaminacije tih lokacija. Dinamika praćenja sanacije/dekontaminacije eventualno utvrđenih onečišćenih lokacija će se provoditi ovisno o specifičnosti svakog pojedinog slučaja.</w:t>
      </w:r>
    </w:p>
    <w:p w14:paraId="3E79CAE6"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Svakako jedan od potencijalnih izvora ispuštanja u okoliš te potencijalna opasnost za okoliš predstavljaju ilegalna odlagališta otpada i za sada, nesanirana odlagališta komunalnog otpada.</w:t>
      </w:r>
    </w:p>
    <w:p w14:paraId="6169B843" w14:textId="5119409E"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No, napravljen je veliki napredak vezano uz sanaciju odlagališta otpada diljem Republike Hrvatske. Prema podacima HAOP-a (ZZOP, MINGOR), tijekom 2015</w:t>
      </w:r>
      <w:r w:rsidR="005C26BD">
        <w:rPr>
          <w:rFonts w:ascii="Times New Roman" w:eastAsia="Times New Roman" w:hAnsi="Times New Roman" w:cs="Times New Roman"/>
          <w:color w:val="000000"/>
          <w:sz w:val="24"/>
          <w:szCs w:val="24"/>
          <w:lang w:bidi="en-US"/>
        </w:rPr>
        <w:t>.</w:t>
      </w:r>
      <w:r w:rsidRPr="00D84719">
        <w:rPr>
          <w:rFonts w:ascii="Times New Roman" w:eastAsia="Times New Roman" w:hAnsi="Times New Roman" w:cs="Times New Roman"/>
          <w:color w:val="000000"/>
          <w:sz w:val="24"/>
          <w:szCs w:val="24"/>
          <w:lang w:bidi="en-US"/>
        </w:rPr>
        <w:t xml:space="preserve"> otpad se odlagao na 148 odlagališta otpada. Na 135 odlagališta odlagao se komunalni otpad, dok se na 13 lokacija odlagao isključivo proizvodni otpad. Tijekom 2015</w:t>
      </w:r>
      <w:r w:rsidR="005C26BD">
        <w:rPr>
          <w:rFonts w:ascii="Times New Roman" w:eastAsia="Times New Roman" w:hAnsi="Times New Roman" w:cs="Times New Roman"/>
          <w:color w:val="000000"/>
          <w:sz w:val="24"/>
          <w:szCs w:val="24"/>
          <w:lang w:bidi="en-US"/>
        </w:rPr>
        <w:t>.</w:t>
      </w:r>
      <w:r w:rsidRPr="00D84719">
        <w:rPr>
          <w:rFonts w:ascii="Times New Roman" w:eastAsia="Times New Roman" w:hAnsi="Times New Roman" w:cs="Times New Roman"/>
          <w:color w:val="000000"/>
          <w:sz w:val="24"/>
          <w:szCs w:val="24"/>
          <w:lang w:bidi="en-US"/>
        </w:rPr>
        <w:t xml:space="preserve"> ukupno je odloženo 1.889.201 t (svih vrsta otpada), što je smanjenje od 5,35</w:t>
      </w:r>
      <w:r w:rsidR="00D4589D">
        <w:rPr>
          <w:rFonts w:ascii="Times New Roman" w:eastAsia="Times New Roman" w:hAnsi="Times New Roman" w:cs="Times New Roman"/>
          <w:color w:val="000000"/>
          <w:sz w:val="24"/>
          <w:szCs w:val="24"/>
          <w:lang w:bidi="en-US"/>
        </w:rPr>
        <w:t xml:space="preserve"> %</w:t>
      </w:r>
      <w:r w:rsidRPr="00D84719">
        <w:rPr>
          <w:rFonts w:ascii="Times New Roman" w:eastAsia="Times New Roman" w:hAnsi="Times New Roman" w:cs="Times New Roman"/>
          <w:color w:val="000000"/>
          <w:sz w:val="24"/>
          <w:szCs w:val="24"/>
          <w:lang w:bidi="en-US"/>
        </w:rPr>
        <w:t xml:space="preserve"> u odnosu na 2010</w:t>
      </w:r>
      <w:r w:rsidR="004C449C">
        <w:rPr>
          <w:rFonts w:ascii="Times New Roman" w:eastAsia="Times New Roman" w:hAnsi="Times New Roman" w:cs="Times New Roman"/>
          <w:color w:val="000000"/>
          <w:sz w:val="24"/>
          <w:szCs w:val="24"/>
          <w:lang w:bidi="en-US"/>
        </w:rPr>
        <w:t>.</w:t>
      </w:r>
      <w:r w:rsidRPr="00D84719">
        <w:rPr>
          <w:rFonts w:ascii="Times New Roman" w:eastAsia="Times New Roman" w:hAnsi="Times New Roman" w:cs="Times New Roman"/>
          <w:color w:val="000000"/>
          <w:sz w:val="24"/>
          <w:szCs w:val="24"/>
          <w:lang w:bidi="en-US"/>
        </w:rPr>
        <w:t xml:space="preserve"> kada je ukupno odloženo 1.995.954 t otpada. Do kraja 2015</w:t>
      </w:r>
      <w:r w:rsidR="005C26BD">
        <w:rPr>
          <w:rFonts w:ascii="Times New Roman" w:eastAsia="Times New Roman" w:hAnsi="Times New Roman" w:cs="Times New Roman"/>
          <w:color w:val="000000"/>
          <w:sz w:val="24"/>
          <w:szCs w:val="24"/>
          <w:lang w:bidi="en-US"/>
        </w:rPr>
        <w:t>.</w:t>
      </w:r>
      <w:r w:rsidRPr="00D84719">
        <w:rPr>
          <w:rFonts w:ascii="Times New Roman" w:eastAsia="Times New Roman" w:hAnsi="Times New Roman" w:cs="Times New Roman"/>
          <w:color w:val="000000"/>
          <w:sz w:val="24"/>
          <w:szCs w:val="24"/>
          <w:lang w:bidi="en-US"/>
        </w:rPr>
        <w:t xml:space="preserve"> zatvoreno je 174 odlagališta, a s 83 lokacije na kojoj su se nekoć nalazila odlagališta otpad je izmješten. Od 2008. do kraja 2015</w:t>
      </w:r>
      <w:r w:rsidR="005C26BD">
        <w:rPr>
          <w:rFonts w:ascii="Times New Roman" w:eastAsia="Times New Roman" w:hAnsi="Times New Roman" w:cs="Times New Roman"/>
          <w:color w:val="000000"/>
          <w:sz w:val="24"/>
          <w:szCs w:val="24"/>
          <w:lang w:bidi="en-US"/>
        </w:rPr>
        <w:t>.</w:t>
      </w:r>
      <w:r w:rsidRPr="00D84719">
        <w:rPr>
          <w:rFonts w:ascii="Times New Roman" w:eastAsia="Times New Roman" w:hAnsi="Times New Roman" w:cs="Times New Roman"/>
          <w:color w:val="000000"/>
          <w:sz w:val="24"/>
          <w:szCs w:val="24"/>
          <w:lang w:bidi="en-US"/>
        </w:rPr>
        <w:t xml:space="preserve"> povećao se broj saniranih odlagališta otpada s 63 na 171, a u pripremi ili u tijeku je sanacija na 134 lokacije.</w:t>
      </w:r>
    </w:p>
    <w:p w14:paraId="2FCED2F5"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Opis mjera i aktivnosti koje je potrebno provesti u cilju ispunjenja svih obveza iz Stockholmske konvencije koje se odnose na identifikaciju i sanaciju kontaminiranih lokacija u Republici Hrvatskoj, utvrđivanje institucija odgovornih za njihovu provedbu te vremenski plan i procijenjena potrebna financijska sredstva dani su u tablici 4.</w:t>
      </w:r>
      <w:r w:rsidR="00F05F33">
        <w:rPr>
          <w:rFonts w:ascii="Times New Roman" w:eastAsia="Times New Roman" w:hAnsi="Times New Roman" w:cs="Times New Roman"/>
          <w:color w:val="000000"/>
          <w:sz w:val="24"/>
          <w:szCs w:val="24"/>
          <w:lang w:bidi="en-US"/>
        </w:rPr>
        <w:t>2</w:t>
      </w:r>
      <w:r w:rsidRPr="00D84719">
        <w:rPr>
          <w:rFonts w:ascii="Times New Roman" w:eastAsia="Times New Roman" w:hAnsi="Times New Roman" w:cs="Times New Roman"/>
          <w:color w:val="000000"/>
          <w:sz w:val="24"/>
          <w:szCs w:val="24"/>
          <w:lang w:bidi="en-US"/>
        </w:rPr>
        <w:t>-</w:t>
      </w:r>
      <w:r w:rsidR="00F05F33">
        <w:rPr>
          <w:rFonts w:ascii="Times New Roman" w:eastAsia="Times New Roman" w:hAnsi="Times New Roman" w:cs="Times New Roman"/>
          <w:color w:val="000000"/>
          <w:sz w:val="24"/>
          <w:szCs w:val="24"/>
          <w:lang w:bidi="en-US"/>
        </w:rPr>
        <w:t>8</w:t>
      </w:r>
      <w:r w:rsidRPr="00D84719">
        <w:rPr>
          <w:rFonts w:ascii="Times New Roman" w:eastAsia="Times New Roman" w:hAnsi="Times New Roman" w:cs="Times New Roman"/>
          <w:color w:val="000000"/>
          <w:sz w:val="24"/>
          <w:szCs w:val="24"/>
          <w:lang w:bidi="en-US"/>
        </w:rPr>
        <w:t>.</w:t>
      </w:r>
    </w:p>
    <w:p w14:paraId="2C7FDB12" w14:textId="77777777" w:rsidR="00D84719" w:rsidRPr="00D84719" w:rsidRDefault="00D84719" w:rsidP="00D84719">
      <w:pPr>
        <w:keepNext/>
        <w:spacing w:before="80" w:after="0" w:line="276" w:lineRule="auto"/>
        <w:jc w:val="both"/>
        <w:rPr>
          <w:rFonts w:ascii="Times New Roman" w:eastAsia="Times New Roman" w:hAnsi="Times New Roman" w:cs="Times New Roman"/>
          <w:b/>
          <w:bCs/>
          <w:i/>
          <w:sz w:val="20"/>
          <w:szCs w:val="20"/>
        </w:rPr>
      </w:pPr>
      <w:r w:rsidRPr="00D84719">
        <w:rPr>
          <w:rFonts w:ascii="Times New Roman" w:eastAsia="Times New Roman" w:hAnsi="Times New Roman" w:cs="Times New Roman"/>
          <w:b/>
          <w:bCs/>
          <w:i/>
          <w:sz w:val="20"/>
          <w:szCs w:val="20"/>
        </w:rPr>
        <w:t xml:space="preserve">Tablica </w:t>
      </w:r>
      <w:r w:rsidR="00F05F33">
        <w:rPr>
          <w:rFonts w:ascii="Times New Roman" w:eastAsia="Times New Roman" w:hAnsi="Times New Roman" w:cs="Times New Roman"/>
          <w:b/>
          <w:bCs/>
          <w:i/>
          <w:sz w:val="20"/>
          <w:szCs w:val="20"/>
        </w:rPr>
        <w:t>4.2</w:t>
      </w:r>
      <w:r w:rsidRPr="00D84719">
        <w:rPr>
          <w:rFonts w:ascii="Times New Roman" w:eastAsia="Times New Roman" w:hAnsi="Times New Roman" w:cs="Times New Roman"/>
          <w:b/>
          <w:bCs/>
          <w:i/>
          <w:sz w:val="20"/>
          <w:szCs w:val="20"/>
        </w:rPr>
        <w:noBreakHyphen/>
      </w:r>
      <w:r w:rsidRPr="00D84719">
        <w:rPr>
          <w:rFonts w:ascii="Times New Roman" w:eastAsia="Times New Roman" w:hAnsi="Times New Roman" w:cs="Times New Roman"/>
          <w:b/>
          <w:bCs/>
          <w:i/>
          <w:sz w:val="20"/>
          <w:szCs w:val="20"/>
        </w:rPr>
        <w:fldChar w:fldCharType="begin"/>
      </w:r>
      <w:r w:rsidRPr="00D84719">
        <w:rPr>
          <w:rFonts w:ascii="Times New Roman" w:eastAsia="Times New Roman" w:hAnsi="Times New Roman" w:cs="Times New Roman"/>
          <w:b/>
          <w:bCs/>
          <w:i/>
          <w:sz w:val="20"/>
          <w:szCs w:val="20"/>
        </w:rPr>
        <w:instrText xml:space="preserve"> SEQ Tablica \* ARABIC \s 2 </w:instrText>
      </w:r>
      <w:r w:rsidRPr="00D84719">
        <w:rPr>
          <w:rFonts w:ascii="Times New Roman" w:eastAsia="Times New Roman" w:hAnsi="Times New Roman" w:cs="Times New Roman"/>
          <w:b/>
          <w:bCs/>
          <w:i/>
          <w:sz w:val="20"/>
          <w:szCs w:val="20"/>
        </w:rPr>
        <w:fldChar w:fldCharType="separate"/>
      </w:r>
      <w:r w:rsidRPr="00D84719">
        <w:rPr>
          <w:rFonts w:ascii="Times New Roman" w:eastAsia="Times New Roman" w:hAnsi="Times New Roman" w:cs="Times New Roman"/>
          <w:b/>
          <w:bCs/>
          <w:i/>
          <w:sz w:val="20"/>
          <w:szCs w:val="20"/>
        </w:rPr>
        <w:t>8</w:t>
      </w:r>
      <w:r w:rsidRPr="00D84719">
        <w:rPr>
          <w:rFonts w:ascii="Times New Roman" w:eastAsia="Times New Roman" w:hAnsi="Times New Roman" w:cs="Times New Roman"/>
          <w:b/>
          <w:bCs/>
          <w:i/>
          <w:sz w:val="20"/>
          <w:szCs w:val="20"/>
        </w:rPr>
        <w:fldChar w:fldCharType="end"/>
      </w:r>
      <w:r w:rsidRPr="00D84719">
        <w:rPr>
          <w:rFonts w:ascii="Times New Roman" w:eastAsia="Times New Roman" w:hAnsi="Times New Roman" w:cs="Times New Roman"/>
          <w:b/>
          <w:bCs/>
          <w:i/>
          <w:sz w:val="20"/>
          <w:szCs w:val="20"/>
        </w:rPr>
        <w:t>: Aktivnost: Identifikacija kontaminiranih lokacija i dekontaminacija na okolišno prihvatljiv način</w:t>
      </w:r>
    </w:p>
    <w:tbl>
      <w:tblPr>
        <w:tblStyle w:val="Reetkatablice11"/>
        <w:tblW w:w="0" w:type="auto"/>
        <w:jc w:val="center"/>
        <w:tblLayout w:type="fixed"/>
        <w:tblLook w:val="04A0" w:firstRow="1" w:lastRow="0" w:firstColumn="1" w:lastColumn="0" w:noHBand="0" w:noVBand="1"/>
      </w:tblPr>
      <w:tblGrid>
        <w:gridCol w:w="2785"/>
        <w:gridCol w:w="2790"/>
        <w:gridCol w:w="1440"/>
        <w:gridCol w:w="2047"/>
      </w:tblGrid>
      <w:tr w:rsidR="00D84719" w:rsidRPr="00D84719" w14:paraId="6475D790" w14:textId="77777777" w:rsidTr="00F831D6">
        <w:trPr>
          <w:tblHeader/>
          <w:jc w:val="center"/>
        </w:trPr>
        <w:tc>
          <w:tcPr>
            <w:tcW w:w="2785" w:type="dxa"/>
            <w:shd w:val="clear" w:color="auto" w:fill="BFBFBF"/>
            <w:vAlign w:val="center"/>
          </w:tcPr>
          <w:p w14:paraId="400401C1" w14:textId="77777777" w:rsidR="00D84719" w:rsidRPr="00D84719" w:rsidRDefault="00D84719" w:rsidP="00D84719">
            <w:pPr>
              <w:jc w:val="center"/>
              <w:rPr>
                <w:rFonts w:ascii="Times New Roman" w:eastAsia="Calibri" w:hAnsi="Times New Roman" w:cs="Times New Roman"/>
                <w:b/>
                <w:bCs/>
                <w:sz w:val="20"/>
                <w:szCs w:val="20"/>
              </w:rPr>
            </w:pPr>
            <w:r w:rsidRPr="00D84719">
              <w:rPr>
                <w:rFonts w:ascii="Times New Roman" w:eastAsia="Calibri" w:hAnsi="Times New Roman" w:cs="Times New Roman"/>
                <w:b/>
                <w:bCs/>
                <w:sz w:val="20"/>
                <w:szCs w:val="20"/>
              </w:rPr>
              <w:t>CILJEVI/MJERE</w:t>
            </w:r>
          </w:p>
        </w:tc>
        <w:tc>
          <w:tcPr>
            <w:tcW w:w="2790" w:type="dxa"/>
            <w:shd w:val="clear" w:color="auto" w:fill="BFBFBF"/>
            <w:vAlign w:val="center"/>
          </w:tcPr>
          <w:p w14:paraId="74C41623" w14:textId="77777777" w:rsidR="00D84719" w:rsidRPr="00D84719" w:rsidRDefault="00D84719" w:rsidP="00D84719">
            <w:pPr>
              <w:jc w:val="center"/>
              <w:rPr>
                <w:rFonts w:ascii="Times New Roman" w:eastAsia="Calibri" w:hAnsi="Times New Roman" w:cs="Times New Roman"/>
                <w:b/>
                <w:bCs/>
                <w:sz w:val="20"/>
                <w:szCs w:val="20"/>
              </w:rPr>
            </w:pPr>
            <w:r w:rsidRPr="00D84719">
              <w:rPr>
                <w:rFonts w:ascii="Times New Roman" w:eastAsia="Calibri" w:hAnsi="Times New Roman" w:cs="Times New Roman"/>
                <w:b/>
                <w:bCs/>
                <w:sz w:val="20"/>
                <w:szCs w:val="20"/>
              </w:rPr>
              <w:t>NOSITELJ (STRUČNA I TEHNIČKA POTPORA)</w:t>
            </w:r>
          </w:p>
        </w:tc>
        <w:tc>
          <w:tcPr>
            <w:tcW w:w="1440" w:type="dxa"/>
            <w:shd w:val="clear" w:color="auto" w:fill="BFBFBF"/>
            <w:vAlign w:val="center"/>
          </w:tcPr>
          <w:p w14:paraId="2192326E" w14:textId="77777777" w:rsidR="00D84719" w:rsidRPr="00D84719" w:rsidRDefault="00D84719" w:rsidP="00D84719">
            <w:pPr>
              <w:jc w:val="center"/>
              <w:rPr>
                <w:rFonts w:ascii="Times New Roman" w:eastAsia="Calibri" w:hAnsi="Times New Roman" w:cs="Times New Roman"/>
                <w:b/>
                <w:bCs/>
                <w:sz w:val="20"/>
                <w:szCs w:val="20"/>
              </w:rPr>
            </w:pPr>
            <w:r w:rsidRPr="00D84719">
              <w:rPr>
                <w:rFonts w:ascii="Times New Roman" w:eastAsia="Calibri" w:hAnsi="Times New Roman" w:cs="Times New Roman"/>
                <w:b/>
                <w:bCs/>
                <w:sz w:val="20"/>
                <w:szCs w:val="20"/>
              </w:rPr>
              <w:t>RAZDOBLJE PROVEDBE</w:t>
            </w:r>
          </w:p>
        </w:tc>
        <w:tc>
          <w:tcPr>
            <w:tcW w:w="2047" w:type="dxa"/>
            <w:shd w:val="clear" w:color="auto" w:fill="BFBFBF"/>
            <w:vAlign w:val="center"/>
          </w:tcPr>
          <w:p w14:paraId="00A5673A" w14:textId="77777777" w:rsidR="00D84719" w:rsidRPr="00D84719" w:rsidRDefault="00D84719" w:rsidP="00D84719">
            <w:pPr>
              <w:jc w:val="center"/>
              <w:rPr>
                <w:rFonts w:ascii="Times New Roman" w:eastAsia="Calibri" w:hAnsi="Times New Roman" w:cs="Times New Roman"/>
                <w:b/>
                <w:bCs/>
                <w:sz w:val="20"/>
                <w:szCs w:val="20"/>
              </w:rPr>
            </w:pPr>
            <w:r w:rsidRPr="00D84719">
              <w:rPr>
                <w:rFonts w:ascii="Times New Roman" w:eastAsia="Calibri" w:hAnsi="Times New Roman" w:cs="Times New Roman"/>
                <w:b/>
                <w:bCs/>
                <w:sz w:val="20"/>
                <w:szCs w:val="20"/>
              </w:rPr>
              <w:t>TROŠAK (HRK)</w:t>
            </w:r>
          </w:p>
        </w:tc>
      </w:tr>
      <w:tr w:rsidR="00D84719" w:rsidRPr="00D84719" w14:paraId="5D712B8F" w14:textId="77777777" w:rsidTr="00F831D6">
        <w:trPr>
          <w:jc w:val="center"/>
        </w:trPr>
        <w:tc>
          <w:tcPr>
            <w:tcW w:w="9062" w:type="dxa"/>
            <w:gridSpan w:val="4"/>
            <w:vAlign w:val="center"/>
          </w:tcPr>
          <w:p w14:paraId="17DB91B3" w14:textId="77777777" w:rsidR="00D84719" w:rsidRPr="00D84719" w:rsidRDefault="00D84719" w:rsidP="00D84719">
            <w:pPr>
              <w:rPr>
                <w:rFonts w:ascii="Times New Roman" w:eastAsia="Calibri" w:hAnsi="Times New Roman" w:cs="Times New Roman"/>
                <w:b/>
                <w:sz w:val="20"/>
                <w:szCs w:val="20"/>
              </w:rPr>
            </w:pPr>
            <w:r w:rsidRPr="00D84719">
              <w:rPr>
                <w:rFonts w:ascii="Times New Roman" w:eastAsia="Calibri" w:hAnsi="Times New Roman" w:cs="Times New Roman"/>
                <w:b/>
                <w:sz w:val="20"/>
                <w:szCs w:val="20"/>
              </w:rPr>
              <w:t>GLAVNI CILJ: SMANJENJE ONEČIŠĆENJA OKOLIŠA KROZ SANACIJU I OPORAVAK IDENTIFICIRANIH LOKACIJA KONTAMINIRANIH POPS-OVIMA</w:t>
            </w:r>
          </w:p>
        </w:tc>
      </w:tr>
      <w:tr w:rsidR="00D84719" w:rsidRPr="00D84719" w14:paraId="0FD361C1" w14:textId="77777777" w:rsidTr="00F831D6">
        <w:trPr>
          <w:jc w:val="center"/>
        </w:trPr>
        <w:tc>
          <w:tcPr>
            <w:tcW w:w="9062" w:type="dxa"/>
            <w:gridSpan w:val="4"/>
            <w:vAlign w:val="center"/>
          </w:tcPr>
          <w:p w14:paraId="59A0FB3E" w14:textId="77777777" w:rsidR="00D84719" w:rsidRPr="00D84719" w:rsidRDefault="00D84719" w:rsidP="00D84719">
            <w:pPr>
              <w:rPr>
                <w:rFonts w:ascii="Times New Roman" w:eastAsia="Calibri" w:hAnsi="Times New Roman" w:cs="Times New Roman"/>
                <w:b/>
                <w:i/>
                <w:sz w:val="20"/>
                <w:szCs w:val="20"/>
              </w:rPr>
            </w:pPr>
            <w:r w:rsidRPr="00D84719">
              <w:rPr>
                <w:rFonts w:ascii="Times New Roman" w:eastAsia="Calibri" w:hAnsi="Times New Roman" w:cs="Times New Roman"/>
                <w:b/>
                <w:i/>
                <w:sz w:val="20"/>
                <w:szCs w:val="20"/>
              </w:rPr>
              <w:lastRenderedPageBreak/>
              <w:t>Specifični cilj 1: Uspostava sustava upravljanja kontaminiranim područjima</w:t>
            </w:r>
          </w:p>
        </w:tc>
      </w:tr>
      <w:tr w:rsidR="00D84719" w:rsidRPr="00D84719" w14:paraId="3C416845" w14:textId="77777777" w:rsidTr="00F831D6">
        <w:trPr>
          <w:jc w:val="center"/>
        </w:trPr>
        <w:tc>
          <w:tcPr>
            <w:tcW w:w="2785" w:type="dxa"/>
            <w:vAlign w:val="center"/>
          </w:tcPr>
          <w:p w14:paraId="3B59CFA1" w14:textId="77777777" w:rsidR="00D84719" w:rsidRPr="00D84719" w:rsidRDefault="00D84719" w:rsidP="00D84719">
            <w:pPr>
              <w:rPr>
                <w:rFonts w:ascii="Times New Roman" w:eastAsia="Calibri" w:hAnsi="Times New Roman" w:cs="Times New Roman"/>
                <w:sz w:val="20"/>
                <w:szCs w:val="20"/>
              </w:rPr>
            </w:pPr>
            <w:r w:rsidRPr="00D84719">
              <w:rPr>
                <w:rFonts w:ascii="Times New Roman" w:eastAsia="Calibri" w:hAnsi="Times New Roman" w:cs="Times New Roman"/>
                <w:sz w:val="20"/>
                <w:szCs w:val="20"/>
              </w:rPr>
              <w:t>Mjera 1.1: Detaljno istraživanje lokacija kontaminiranih POPs-ovima, uz utvrđivanje prioritetnih kontaminiranih lokacija</w:t>
            </w:r>
          </w:p>
        </w:tc>
        <w:tc>
          <w:tcPr>
            <w:tcW w:w="2790" w:type="dxa"/>
            <w:vAlign w:val="center"/>
          </w:tcPr>
          <w:p w14:paraId="7F7F14E6" w14:textId="77777777" w:rsidR="00D84719" w:rsidRPr="00D84719" w:rsidRDefault="00D84719" w:rsidP="00D84719">
            <w:pPr>
              <w:jc w:val="center"/>
              <w:rPr>
                <w:rFonts w:ascii="Times New Roman" w:eastAsia="Calibri" w:hAnsi="Times New Roman" w:cs="Times New Roman"/>
                <w:color w:val="000000"/>
                <w:sz w:val="20"/>
                <w:szCs w:val="24"/>
              </w:rPr>
            </w:pPr>
            <w:r w:rsidRPr="00D84719">
              <w:rPr>
                <w:rFonts w:ascii="Times New Roman" w:eastAsia="Calibri" w:hAnsi="Times New Roman" w:cs="Times New Roman"/>
                <w:color w:val="000000"/>
                <w:sz w:val="20"/>
                <w:szCs w:val="20"/>
              </w:rPr>
              <w:t>MINGOR</w:t>
            </w:r>
            <w:r w:rsidRPr="00D84719">
              <w:rPr>
                <w:rFonts w:ascii="Times New Roman" w:eastAsia="Calibri" w:hAnsi="Times New Roman" w:cs="Times New Roman"/>
                <w:color w:val="000000"/>
                <w:sz w:val="20"/>
                <w:szCs w:val="24"/>
              </w:rPr>
              <w:t>/MP/</w:t>
            </w:r>
          </w:p>
          <w:p w14:paraId="4951AB59" w14:textId="77777777" w:rsidR="00D84719" w:rsidRPr="00D84719" w:rsidRDefault="00D84719" w:rsidP="00D84719">
            <w:pPr>
              <w:jc w:val="center"/>
              <w:rPr>
                <w:rFonts w:ascii="Times New Roman" w:eastAsia="Calibri" w:hAnsi="Times New Roman" w:cs="Times New Roman"/>
                <w:color w:val="000000"/>
                <w:sz w:val="20"/>
                <w:szCs w:val="24"/>
              </w:rPr>
            </w:pPr>
            <w:r w:rsidRPr="00D84719">
              <w:rPr>
                <w:rFonts w:ascii="Times New Roman" w:eastAsia="Calibri" w:hAnsi="Times New Roman" w:cs="Times New Roman"/>
                <w:color w:val="000000"/>
                <w:sz w:val="20"/>
                <w:szCs w:val="24"/>
              </w:rPr>
              <w:t>HAPIH/MORH/</w:t>
            </w:r>
          </w:p>
          <w:p w14:paraId="5D274F78" w14:textId="77777777" w:rsidR="00D84719" w:rsidRPr="00D84719" w:rsidRDefault="00D84719" w:rsidP="00D84719">
            <w:pPr>
              <w:jc w:val="center"/>
              <w:rPr>
                <w:rFonts w:ascii="Times New Roman" w:eastAsia="Calibri" w:hAnsi="Times New Roman" w:cs="Times New Roman"/>
                <w:sz w:val="20"/>
                <w:szCs w:val="20"/>
              </w:rPr>
            </w:pPr>
            <w:r w:rsidRPr="00D84719">
              <w:rPr>
                <w:rFonts w:ascii="Times New Roman" w:eastAsia="Calibri" w:hAnsi="Times New Roman" w:cs="Times New Roman"/>
                <w:color w:val="000000"/>
                <w:sz w:val="20"/>
                <w:szCs w:val="24"/>
              </w:rPr>
              <w:t>JLP(R)S</w:t>
            </w:r>
            <w:r w:rsidR="0064472D">
              <w:rPr>
                <w:rFonts w:ascii="Times New Roman" w:eastAsia="Calibri" w:hAnsi="Times New Roman" w:cs="Times New Roman"/>
                <w:color w:val="000000"/>
                <w:sz w:val="20"/>
                <w:szCs w:val="24"/>
              </w:rPr>
              <w:t xml:space="preserve"> (</w:t>
            </w:r>
            <w:r w:rsidR="009C2757">
              <w:rPr>
                <w:rFonts w:ascii="Times New Roman" w:eastAsia="Calibri" w:hAnsi="Times New Roman" w:cs="Times New Roman"/>
                <w:color w:val="000000"/>
                <w:sz w:val="20"/>
                <w:szCs w:val="24"/>
              </w:rPr>
              <w:t>MUP-</w:t>
            </w:r>
            <w:r w:rsidR="0064472D">
              <w:rPr>
                <w:rFonts w:ascii="Times New Roman" w:eastAsia="Calibri" w:hAnsi="Times New Roman" w:cs="Times New Roman"/>
                <w:color w:val="000000"/>
                <w:sz w:val="20"/>
                <w:szCs w:val="24"/>
              </w:rPr>
              <w:t>Civilna zaštita)</w:t>
            </w:r>
          </w:p>
        </w:tc>
        <w:tc>
          <w:tcPr>
            <w:tcW w:w="1440" w:type="dxa"/>
            <w:vAlign w:val="center"/>
          </w:tcPr>
          <w:p w14:paraId="48209C24" w14:textId="77777777" w:rsidR="00D84719" w:rsidRPr="00D84719" w:rsidRDefault="00D84719" w:rsidP="00D84719">
            <w:pPr>
              <w:jc w:val="center"/>
              <w:rPr>
                <w:rFonts w:ascii="Times New Roman" w:eastAsia="Calibri" w:hAnsi="Times New Roman" w:cs="Times New Roman"/>
                <w:color w:val="000000"/>
                <w:sz w:val="20"/>
                <w:szCs w:val="24"/>
              </w:rPr>
            </w:pPr>
            <w:r w:rsidRPr="00D84719">
              <w:rPr>
                <w:rFonts w:ascii="Times New Roman" w:eastAsia="Calibri" w:hAnsi="Times New Roman" w:cs="Times New Roman"/>
                <w:color w:val="000000"/>
                <w:sz w:val="20"/>
                <w:szCs w:val="20"/>
              </w:rPr>
              <w:t>2021.-2023.</w:t>
            </w:r>
          </w:p>
        </w:tc>
        <w:tc>
          <w:tcPr>
            <w:tcW w:w="2047" w:type="dxa"/>
            <w:vAlign w:val="center"/>
          </w:tcPr>
          <w:p w14:paraId="2612D9FC" w14:textId="77777777" w:rsidR="00D84719" w:rsidRPr="00D84719" w:rsidRDefault="00D84719" w:rsidP="00D84719">
            <w:pPr>
              <w:jc w:val="center"/>
              <w:rPr>
                <w:rFonts w:ascii="Times New Roman" w:eastAsia="Calibri" w:hAnsi="Times New Roman" w:cs="Times New Roman"/>
                <w:color w:val="000000"/>
                <w:sz w:val="20"/>
                <w:szCs w:val="24"/>
              </w:rPr>
            </w:pPr>
            <w:r w:rsidRPr="00D84719">
              <w:rPr>
                <w:rFonts w:ascii="Times New Roman" w:eastAsia="Calibri" w:hAnsi="Times New Roman" w:cs="Times New Roman"/>
                <w:color w:val="000000"/>
                <w:sz w:val="20"/>
                <w:szCs w:val="24"/>
              </w:rPr>
              <w:t>U okviru redovnih sredstava osiguranih za obavljanje aktivnosti pojedinih institucija</w:t>
            </w:r>
          </w:p>
        </w:tc>
      </w:tr>
      <w:tr w:rsidR="00D84719" w:rsidRPr="00D84719" w14:paraId="24A54F24" w14:textId="77777777" w:rsidTr="00F831D6">
        <w:trPr>
          <w:jc w:val="center"/>
        </w:trPr>
        <w:tc>
          <w:tcPr>
            <w:tcW w:w="2785" w:type="dxa"/>
            <w:vAlign w:val="center"/>
          </w:tcPr>
          <w:p w14:paraId="344A0319" w14:textId="77777777" w:rsidR="00D84719" w:rsidRPr="00D84719" w:rsidRDefault="00D84719" w:rsidP="00D84719">
            <w:pPr>
              <w:rPr>
                <w:rFonts w:ascii="Times New Roman" w:eastAsia="Calibri" w:hAnsi="Times New Roman" w:cs="Times New Roman"/>
                <w:sz w:val="20"/>
                <w:szCs w:val="20"/>
              </w:rPr>
            </w:pPr>
            <w:r w:rsidRPr="00D84719">
              <w:rPr>
                <w:rFonts w:ascii="Times New Roman" w:eastAsia="Calibri" w:hAnsi="Times New Roman" w:cs="Times New Roman"/>
                <w:sz w:val="20"/>
                <w:szCs w:val="20"/>
              </w:rPr>
              <w:t>Mjera 1.2: Izraditi planove sanacije lokacija kontaminiranih POPs-ovima</w:t>
            </w:r>
          </w:p>
        </w:tc>
        <w:tc>
          <w:tcPr>
            <w:tcW w:w="2790" w:type="dxa"/>
            <w:vAlign w:val="center"/>
          </w:tcPr>
          <w:p w14:paraId="16659C5E" w14:textId="77777777" w:rsidR="00D84719" w:rsidRPr="00D84719" w:rsidRDefault="00D84719" w:rsidP="00D84719">
            <w:pPr>
              <w:jc w:val="center"/>
              <w:rPr>
                <w:rFonts w:ascii="Times New Roman" w:eastAsia="Calibri" w:hAnsi="Times New Roman" w:cs="Times New Roman"/>
                <w:sz w:val="20"/>
                <w:szCs w:val="20"/>
              </w:rPr>
            </w:pPr>
            <w:r w:rsidRPr="00D84719">
              <w:rPr>
                <w:rFonts w:ascii="Times New Roman" w:eastAsia="Calibri" w:hAnsi="Times New Roman" w:cs="Times New Roman"/>
                <w:sz w:val="20"/>
                <w:szCs w:val="20"/>
              </w:rPr>
              <w:t>Vlasnici, JLP(R)S</w:t>
            </w:r>
          </w:p>
        </w:tc>
        <w:tc>
          <w:tcPr>
            <w:tcW w:w="1440" w:type="dxa"/>
            <w:vAlign w:val="center"/>
          </w:tcPr>
          <w:p w14:paraId="532C8429" w14:textId="77777777" w:rsidR="00D84719" w:rsidRPr="00D84719" w:rsidRDefault="00D84719" w:rsidP="00D84719">
            <w:pPr>
              <w:jc w:val="center"/>
              <w:rPr>
                <w:rFonts w:ascii="Times New Roman" w:eastAsia="Calibri" w:hAnsi="Times New Roman" w:cs="Times New Roman"/>
                <w:sz w:val="20"/>
                <w:szCs w:val="20"/>
              </w:rPr>
            </w:pPr>
            <w:r w:rsidRPr="00D84719">
              <w:rPr>
                <w:rFonts w:ascii="Times New Roman" w:eastAsia="Calibri" w:hAnsi="Times New Roman" w:cs="Times New Roman"/>
                <w:sz w:val="20"/>
                <w:szCs w:val="20"/>
              </w:rPr>
              <w:t>2021.-2023</w:t>
            </w:r>
          </w:p>
        </w:tc>
        <w:tc>
          <w:tcPr>
            <w:tcW w:w="2047" w:type="dxa"/>
            <w:vAlign w:val="center"/>
          </w:tcPr>
          <w:p w14:paraId="6DD6F3B5" w14:textId="77777777" w:rsidR="00D84719" w:rsidRPr="00D84719" w:rsidRDefault="00D84719" w:rsidP="00D84719">
            <w:pPr>
              <w:jc w:val="center"/>
              <w:rPr>
                <w:rFonts w:ascii="Times New Roman" w:eastAsia="Calibri" w:hAnsi="Times New Roman" w:cs="Times New Roman"/>
                <w:sz w:val="20"/>
                <w:szCs w:val="20"/>
              </w:rPr>
            </w:pPr>
            <w:r w:rsidRPr="00D84719">
              <w:rPr>
                <w:rFonts w:ascii="Times New Roman" w:eastAsia="Calibri" w:hAnsi="Times New Roman" w:cs="Times New Roman"/>
                <w:sz w:val="20"/>
                <w:szCs w:val="20"/>
              </w:rPr>
              <w:t>Privatni vlasnici: vlastito financiranje; Županije, općine, gradovi u okviru raspoloživih sredstava</w:t>
            </w:r>
          </w:p>
          <w:p w14:paraId="6A504649" w14:textId="77777777" w:rsidR="00D84719" w:rsidRPr="00D84719" w:rsidRDefault="00D84719" w:rsidP="00D84719">
            <w:pPr>
              <w:jc w:val="center"/>
              <w:rPr>
                <w:rFonts w:ascii="Times New Roman" w:eastAsia="Calibri" w:hAnsi="Times New Roman" w:cs="Times New Roman"/>
                <w:sz w:val="20"/>
                <w:szCs w:val="20"/>
              </w:rPr>
            </w:pPr>
          </w:p>
        </w:tc>
      </w:tr>
      <w:tr w:rsidR="00D84719" w:rsidRPr="00D84719" w14:paraId="31F28FA0" w14:textId="77777777" w:rsidTr="00F831D6">
        <w:trPr>
          <w:jc w:val="center"/>
        </w:trPr>
        <w:tc>
          <w:tcPr>
            <w:tcW w:w="2785" w:type="dxa"/>
            <w:vAlign w:val="center"/>
          </w:tcPr>
          <w:p w14:paraId="74D9CBC7" w14:textId="77777777" w:rsidR="00D84719" w:rsidRPr="00D84719" w:rsidRDefault="00D84719" w:rsidP="00D84719">
            <w:pPr>
              <w:rPr>
                <w:rFonts w:ascii="Times New Roman" w:eastAsia="Calibri" w:hAnsi="Times New Roman" w:cs="Times New Roman"/>
                <w:sz w:val="20"/>
                <w:szCs w:val="20"/>
              </w:rPr>
            </w:pPr>
            <w:r w:rsidRPr="00D84719">
              <w:rPr>
                <w:rFonts w:ascii="Times New Roman" w:eastAsia="Calibri" w:hAnsi="Times New Roman" w:cs="Times New Roman"/>
                <w:sz w:val="20"/>
                <w:szCs w:val="20"/>
              </w:rPr>
              <w:t>Mjera 1.3. Provesti sanaciju kontaminiranih područja (s prvenstvom prioritetnih područja)</w:t>
            </w:r>
          </w:p>
        </w:tc>
        <w:tc>
          <w:tcPr>
            <w:tcW w:w="2790" w:type="dxa"/>
            <w:vAlign w:val="center"/>
          </w:tcPr>
          <w:p w14:paraId="626B77DE" w14:textId="5B20E4B6" w:rsidR="00D84719" w:rsidRPr="00D84719" w:rsidRDefault="00D84719" w:rsidP="00D84719">
            <w:pPr>
              <w:jc w:val="center"/>
              <w:rPr>
                <w:rFonts w:ascii="Times New Roman" w:eastAsia="Calibri" w:hAnsi="Times New Roman" w:cs="Times New Roman"/>
                <w:sz w:val="20"/>
                <w:szCs w:val="20"/>
              </w:rPr>
            </w:pPr>
            <w:r w:rsidRPr="00D84719">
              <w:rPr>
                <w:rFonts w:ascii="Times New Roman" w:eastAsia="Calibri" w:hAnsi="Times New Roman" w:cs="Times New Roman"/>
                <w:sz w:val="20"/>
                <w:szCs w:val="20"/>
              </w:rPr>
              <w:t>Vlasnici,</w:t>
            </w:r>
            <w:r w:rsidR="00A22D2C">
              <w:rPr>
                <w:rFonts w:ascii="Times New Roman" w:eastAsia="Calibri" w:hAnsi="Times New Roman" w:cs="Times New Roman"/>
                <w:sz w:val="20"/>
                <w:szCs w:val="20"/>
              </w:rPr>
              <w:t xml:space="preserve"> FZOEU</w:t>
            </w:r>
            <w:r w:rsidRPr="00D84719">
              <w:rPr>
                <w:rFonts w:ascii="Times New Roman" w:eastAsia="Calibri" w:hAnsi="Times New Roman" w:cs="Times New Roman"/>
                <w:sz w:val="20"/>
                <w:szCs w:val="20"/>
              </w:rPr>
              <w:t xml:space="preserve"> (MINGOR)</w:t>
            </w:r>
          </w:p>
        </w:tc>
        <w:tc>
          <w:tcPr>
            <w:tcW w:w="1440" w:type="dxa"/>
            <w:vAlign w:val="center"/>
          </w:tcPr>
          <w:p w14:paraId="4FE2731D" w14:textId="77777777" w:rsidR="00D84719" w:rsidRPr="00D84719" w:rsidRDefault="00D84719" w:rsidP="00D84719">
            <w:pPr>
              <w:jc w:val="center"/>
              <w:rPr>
                <w:rFonts w:ascii="Times New Roman" w:eastAsia="Calibri" w:hAnsi="Times New Roman" w:cs="Times New Roman"/>
                <w:sz w:val="20"/>
                <w:szCs w:val="20"/>
              </w:rPr>
            </w:pPr>
            <w:r w:rsidRPr="00D84719">
              <w:rPr>
                <w:rFonts w:ascii="Times New Roman" w:eastAsia="Calibri" w:hAnsi="Times New Roman" w:cs="Times New Roman"/>
                <w:sz w:val="20"/>
                <w:szCs w:val="20"/>
              </w:rPr>
              <w:t>2021-2025.</w:t>
            </w:r>
          </w:p>
        </w:tc>
        <w:tc>
          <w:tcPr>
            <w:tcW w:w="2047" w:type="dxa"/>
            <w:vAlign w:val="center"/>
          </w:tcPr>
          <w:p w14:paraId="3D66F5DA" w14:textId="7298C608" w:rsidR="00D84719" w:rsidRPr="00D84719" w:rsidRDefault="00D84719" w:rsidP="00D84719">
            <w:pPr>
              <w:jc w:val="center"/>
              <w:rPr>
                <w:rFonts w:ascii="Times New Roman" w:eastAsia="Calibri" w:hAnsi="Times New Roman" w:cs="Times New Roman"/>
                <w:sz w:val="20"/>
                <w:szCs w:val="20"/>
              </w:rPr>
            </w:pPr>
            <w:r w:rsidRPr="00D84719">
              <w:rPr>
                <w:rFonts w:ascii="Times New Roman" w:eastAsia="Calibri" w:hAnsi="Times New Roman" w:cs="Times New Roman"/>
                <w:sz w:val="20"/>
                <w:szCs w:val="20"/>
              </w:rPr>
              <w:t>Za provedbu ove aktivnosti potrebno je osigurati</w:t>
            </w:r>
            <w:r w:rsidR="00790BBA">
              <w:rPr>
                <w:rFonts w:ascii="Times New Roman" w:eastAsia="Calibri" w:hAnsi="Times New Roman" w:cs="Times New Roman"/>
                <w:sz w:val="20"/>
                <w:szCs w:val="20"/>
              </w:rPr>
              <w:t xml:space="preserve"> dodatna </w:t>
            </w:r>
            <w:r w:rsidRPr="00D84719">
              <w:rPr>
                <w:rFonts w:ascii="Times New Roman" w:eastAsia="Calibri" w:hAnsi="Times New Roman" w:cs="Times New Roman"/>
                <w:sz w:val="20"/>
                <w:szCs w:val="20"/>
              </w:rPr>
              <w:t xml:space="preserve"> sredstva iz </w:t>
            </w:r>
            <w:r w:rsidR="00790BBA">
              <w:rPr>
                <w:rFonts w:ascii="Times New Roman" w:eastAsia="Calibri" w:hAnsi="Times New Roman" w:cs="Times New Roman"/>
                <w:sz w:val="20"/>
                <w:szCs w:val="20"/>
              </w:rPr>
              <w:t xml:space="preserve">programa sanacije FZOEU i </w:t>
            </w:r>
            <w:r w:rsidRPr="00D84719">
              <w:rPr>
                <w:rFonts w:ascii="Times New Roman" w:eastAsia="Calibri" w:hAnsi="Times New Roman" w:cs="Times New Roman"/>
                <w:sz w:val="20"/>
                <w:szCs w:val="20"/>
              </w:rPr>
              <w:t>međunarodnih fondova (donacije, projekti). Točan iznos koji je potreban bit će moguće odrediti nakon provedenih detaljnih istraživanja i izrađenih planova remedijacije</w:t>
            </w:r>
          </w:p>
        </w:tc>
      </w:tr>
      <w:tr w:rsidR="00D84719" w:rsidRPr="00D84719" w14:paraId="4B901B5C" w14:textId="77777777" w:rsidTr="00F831D6">
        <w:trPr>
          <w:jc w:val="center"/>
        </w:trPr>
        <w:tc>
          <w:tcPr>
            <w:tcW w:w="2785" w:type="dxa"/>
            <w:vAlign w:val="center"/>
          </w:tcPr>
          <w:p w14:paraId="417CC863" w14:textId="77777777" w:rsidR="00D84719" w:rsidRPr="00D84719" w:rsidRDefault="00D84719" w:rsidP="00D84719">
            <w:pPr>
              <w:rPr>
                <w:rFonts w:ascii="Times New Roman" w:eastAsia="Calibri" w:hAnsi="Times New Roman" w:cs="Times New Roman"/>
                <w:sz w:val="20"/>
                <w:szCs w:val="20"/>
              </w:rPr>
            </w:pPr>
            <w:r w:rsidRPr="00D84719">
              <w:rPr>
                <w:rFonts w:ascii="Times New Roman" w:eastAsia="Calibri" w:hAnsi="Times New Roman" w:cs="Times New Roman"/>
                <w:sz w:val="20"/>
                <w:szCs w:val="20"/>
              </w:rPr>
              <w:t>Mjera 1.4. Pratiti učinke sanacije</w:t>
            </w:r>
          </w:p>
        </w:tc>
        <w:tc>
          <w:tcPr>
            <w:tcW w:w="2790" w:type="dxa"/>
            <w:vAlign w:val="center"/>
          </w:tcPr>
          <w:p w14:paraId="6B2060F1" w14:textId="77777777" w:rsidR="00D84719" w:rsidRPr="00D84719" w:rsidRDefault="00D84719" w:rsidP="00D84719">
            <w:pPr>
              <w:jc w:val="center"/>
              <w:rPr>
                <w:rFonts w:ascii="Times New Roman" w:eastAsia="Calibri" w:hAnsi="Times New Roman" w:cs="Times New Roman"/>
                <w:sz w:val="20"/>
                <w:szCs w:val="20"/>
              </w:rPr>
            </w:pPr>
            <w:r w:rsidRPr="00D84719">
              <w:rPr>
                <w:rFonts w:ascii="Times New Roman" w:eastAsia="Calibri" w:hAnsi="Times New Roman" w:cs="Times New Roman"/>
                <w:sz w:val="20"/>
                <w:szCs w:val="20"/>
              </w:rPr>
              <w:t>MINGOR/MP</w:t>
            </w:r>
          </w:p>
        </w:tc>
        <w:tc>
          <w:tcPr>
            <w:tcW w:w="1440" w:type="dxa"/>
            <w:vAlign w:val="center"/>
          </w:tcPr>
          <w:p w14:paraId="5433FBBB" w14:textId="77777777" w:rsidR="00D84719" w:rsidRPr="00D84719" w:rsidRDefault="00D84719" w:rsidP="00D84719">
            <w:pPr>
              <w:jc w:val="center"/>
              <w:rPr>
                <w:rFonts w:ascii="Times New Roman" w:eastAsia="Calibri" w:hAnsi="Times New Roman" w:cs="Times New Roman"/>
                <w:sz w:val="20"/>
                <w:szCs w:val="20"/>
              </w:rPr>
            </w:pPr>
            <w:r w:rsidRPr="00D84719">
              <w:rPr>
                <w:rFonts w:ascii="Times New Roman" w:eastAsia="Calibri" w:hAnsi="Times New Roman" w:cs="Times New Roman"/>
                <w:sz w:val="20"/>
                <w:szCs w:val="20"/>
              </w:rPr>
              <w:t>-</w:t>
            </w:r>
          </w:p>
        </w:tc>
        <w:tc>
          <w:tcPr>
            <w:tcW w:w="2047" w:type="dxa"/>
            <w:vAlign w:val="center"/>
          </w:tcPr>
          <w:p w14:paraId="694D0A46" w14:textId="77777777" w:rsidR="00D84719" w:rsidRPr="00D84719" w:rsidRDefault="00D84719" w:rsidP="00D84719">
            <w:pPr>
              <w:jc w:val="center"/>
              <w:rPr>
                <w:rFonts w:ascii="Times New Roman" w:eastAsia="Calibri" w:hAnsi="Times New Roman" w:cs="Times New Roman"/>
                <w:sz w:val="20"/>
                <w:szCs w:val="20"/>
              </w:rPr>
            </w:pPr>
            <w:r w:rsidRPr="00D84719">
              <w:rPr>
                <w:rFonts w:ascii="Times New Roman" w:eastAsia="Calibri" w:hAnsi="Times New Roman" w:cs="Times New Roman"/>
                <w:sz w:val="20"/>
                <w:szCs w:val="20"/>
              </w:rPr>
              <w:t>Dinamika praćenja onečišćenih lokacija i iznos potrebnih financijskih sredstava će se utvrditi ovisno o svakom pojedinom slučaju</w:t>
            </w:r>
          </w:p>
        </w:tc>
      </w:tr>
      <w:tr w:rsidR="00113672" w:rsidRPr="00D84719" w14:paraId="573C8E35" w14:textId="77777777" w:rsidTr="0044324D">
        <w:trPr>
          <w:jc w:val="center"/>
        </w:trPr>
        <w:tc>
          <w:tcPr>
            <w:tcW w:w="7015" w:type="dxa"/>
            <w:gridSpan w:val="3"/>
            <w:vAlign w:val="center"/>
          </w:tcPr>
          <w:p w14:paraId="727682E4" w14:textId="77777777" w:rsidR="00113672" w:rsidRPr="00D84719" w:rsidRDefault="00113672" w:rsidP="00113672">
            <w:pPr>
              <w:rPr>
                <w:rFonts w:ascii="Times New Roman" w:eastAsia="Calibri" w:hAnsi="Times New Roman" w:cs="Times New Roman"/>
                <w:sz w:val="20"/>
                <w:szCs w:val="20"/>
              </w:rPr>
            </w:pPr>
            <w:r w:rsidRPr="00D84719">
              <w:rPr>
                <w:rFonts w:ascii="Times New Roman" w:eastAsia="Calibri" w:hAnsi="Times New Roman" w:cs="Times New Roman"/>
                <w:b/>
                <w:sz w:val="20"/>
                <w:szCs w:val="20"/>
              </w:rPr>
              <w:t>UKUPNO</w:t>
            </w:r>
          </w:p>
        </w:tc>
        <w:tc>
          <w:tcPr>
            <w:tcW w:w="2047" w:type="dxa"/>
            <w:vAlign w:val="center"/>
          </w:tcPr>
          <w:p w14:paraId="4788694D" w14:textId="77777777" w:rsidR="00113672" w:rsidRPr="00D84719" w:rsidRDefault="00113672" w:rsidP="00D84719">
            <w:pPr>
              <w:jc w:val="center"/>
              <w:rPr>
                <w:rFonts w:ascii="Times New Roman" w:eastAsia="Calibri" w:hAnsi="Times New Roman" w:cs="Times New Roman"/>
                <w:b/>
                <w:sz w:val="20"/>
                <w:szCs w:val="20"/>
              </w:rPr>
            </w:pPr>
            <w:r w:rsidRPr="00D84719">
              <w:rPr>
                <w:rFonts w:ascii="Times New Roman" w:eastAsia="Calibri" w:hAnsi="Times New Roman" w:cs="Times New Roman"/>
                <w:b/>
                <w:sz w:val="20"/>
                <w:szCs w:val="20"/>
              </w:rPr>
              <w:t>Ukupna sredstva trenutno nije moguće procijeniti</w:t>
            </w:r>
          </w:p>
        </w:tc>
      </w:tr>
    </w:tbl>
    <w:p w14:paraId="49285BEC" w14:textId="77777777" w:rsidR="00D84719" w:rsidRPr="00D84719" w:rsidRDefault="00D84719" w:rsidP="00D84719">
      <w:pPr>
        <w:spacing w:before="80" w:line="276" w:lineRule="auto"/>
        <w:jc w:val="both"/>
        <w:rPr>
          <w:rFonts w:ascii="Times New Roman" w:eastAsia="Times New Roman" w:hAnsi="Times New Roman" w:cs="Times New Roman"/>
          <w:color w:val="000000"/>
          <w:szCs w:val="24"/>
          <w:lang w:bidi="en-US"/>
        </w:rPr>
      </w:pPr>
    </w:p>
    <w:p w14:paraId="2C5B5051" w14:textId="77777777" w:rsidR="00D84719" w:rsidRPr="00D84719" w:rsidRDefault="00D84719" w:rsidP="00C74901">
      <w:pPr>
        <w:pStyle w:val="Naslov3"/>
      </w:pPr>
      <w:bookmarkStart w:id="322" w:name="_Toc40439470"/>
      <w:bookmarkStart w:id="323" w:name="_Toc50635640"/>
      <w:bookmarkStart w:id="324" w:name="_Toc64460788"/>
      <w:r w:rsidRPr="00D84719">
        <w:t>Aktivnost: Omogućavanje ili provođenje razmjene informacija i uključenost interesnih grupa</w:t>
      </w:r>
      <w:bookmarkEnd w:id="322"/>
      <w:bookmarkEnd w:id="323"/>
      <w:bookmarkEnd w:id="324"/>
    </w:p>
    <w:p w14:paraId="4624F643"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Razina informacija o POPs-ovima u Republici Hrvatskoj nije na zadovoljavajućoj razini. Glavni cilj aktivnosti je unaprijediti razmjenu informacija i omogućiti/osigurati razmjenu informacija o proizvodnji, uporabi i ispuštanju POPs-ova te o njihovim zamjenskim rješenjima, uključujući i informacije o štetnim svojstvima te o financijskim ii socioekonomskim pitanjima koji mogu biti uzrokovani njima.</w:t>
      </w:r>
    </w:p>
    <w:p w14:paraId="13084315"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Stranke konvencije mogu te informacije izmjenjivati međusobno u izravnom kontaktu ili putem Tajništva Stockholmske konvencije.</w:t>
      </w:r>
    </w:p>
    <w:p w14:paraId="3F022ED5"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Glavna zadaća nacionalne kontakt točke je uloga poveznice između Stockholmske konvencije i svih zainteresiranih strana u zemlji, odnosno svih dionika koji će sudjelovati u razmjeni informacija na međunarodnoj i državnoj razini. Dosadašnja praksa je bila razmjena dostupnih informacija između nadležnih tijela državne uprave ili znanstvenih institucija.</w:t>
      </w:r>
    </w:p>
    <w:p w14:paraId="51CB6FAE"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lastRenderedPageBreak/>
        <w:t>Utvrđeni specifični cilj je sljedeći:</w:t>
      </w:r>
    </w:p>
    <w:p w14:paraId="048838F0" w14:textId="77777777" w:rsidR="00D84719" w:rsidRPr="00D84719" w:rsidRDefault="00D84719" w:rsidP="00D84719">
      <w:pPr>
        <w:numPr>
          <w:ilvl w:val="0"/>
          <w:numId w:val="8"/>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razvoj sustava razmjene informacija između odgovornih institucija u Republici Hrvatskoj i Nacionalne kontakt točke.</w:t>
      </w:r>
    </w:p>
    <w:p w14:paraId="78FCF0AD" w14:textId="77777777" w:rsidR="00D84719" w:rsidRPr="00D84719" w:rsidRDefault="00D84719" w:rsidP="00D84719">
      <w:pPr>
        <w:tabs>
          <w:tab w:val="left" w:pos="1755"/>
        </w:tabs>
        <w:autoSpaceDE w:val="0"/>
        <w:autoSpaceDN w:val="0"/>
        <w:adjustRightInd w:val="0"/>
        <w:spacing w:after="0" w:line="240" w:lineRule="auto"/>
        <w:ind w:left="720"/>
        <w:jc w:val="both"/>
        <w:rPr>
          <w:rFonts w:ascii="Times New Roman" w:eastAsia="Calibri" w:hAnsi="Times New Roman" w:cs="Times New Roman"/>
          <w:sz w:val="24"/>
          <w:lang w:bidi="en-US"/>
        </w:rPr>
      </w:pPr>
    </w:p>
    <w:p w14:paraId="1AAA2478" w14:textId="77777777" w:rsidR="00D84719" w:rsidRPr="00D84719" w:rsidRDefault="00D84719" w:rsidP="009C4363">
      <w:pPr>
        <w:pStyle w:val="Naslov4"/>
      </w:pPr>
      <w:bookmarkStart w:id="325" w:name="_Toc64460789"/>
      <w:r w:rsidRPr="00D84719">
        <w:t>Razvoj sustava razmjene informacija između odgovornih institucija u Republici Hrvatskoj i Nacionalne kontakt točke</w:t>
      </w:r>
      <w:bookmarkEnd w:id="325"/>
    </w:p>
    <w:p w14:paraId="0C45E0BF"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Predložene mjere:</w:t>
      </w:r>
    </w:p>
    <w:p w14:paraId="6FCBA7FF" w14:textId="77777777" w:rsidR="00D84719" w:rsidRPr="00D84719" w:rsidRDefault="00D84719" w:rsidP="00D84719">
      <w:pPr>
        <w:numPr>
          <w:ilvl w:val="0"/>
          <w:numId w:val="8"/>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proširivanje radne skupine nadležne za provedbu NIP-a i izvješćivanje Vlade Republike Hrvatske od strane ministarstva nadležnog za zaštitu okoliša</w:t>
      </w:r>
    </w:p>
    <w:p w14:paraId="72F8CCB5" w14:textId="77777777" w:rsidR="00D84719" w:rsidRPr="00D84719" w:rsidRDefault="00D84719" w:rsidP="00D84719">
      <w:pPr>
        <w:numPr>
          <w:ilvl w:val="0"/>
          <w:numId w:val="8"/>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imenovanje osoba za kontakt za prikupljanje podataka i razmjenu informacija ovisno o problematici i zahtjevima Stockholmske konvencije, uključivanje predstavnika gospodarstva, znanstvenika, udruga i ostalih dionika i</w:t>
      </w:r>
    </w:p>
    <w:p w14:paraId="4DD22B52" w14:textId="77777777" w:rsidR="00D84719" w:rsidRDefault="00D84719" w:rsidP="00D84719">
      <w:pPr>
        <w:numPr>
          <w:ilvl w:val="0"/>
          <w:numId w:val="8"/>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unaprijediti sustav razmjene informacija između svih dionika.</w:t>
      </w:r>
    </w:p>
    <w:p w14:paraId="12D4D477" w14:textId="77777777" w:rsidR="009C4363" w:rsidRPr="00D84719" w:rsidRDefault="009C4363" w:rsidP="009C4363">
      <w:pPr>
        <w:tabs>
          <w:tab w:val="left" w:pos="1755"/>
        </w:tabs>
        <w:autoSpaceDE w:val="0"/>
        <w:autoSpaceDN w:val="0"/>
        <w:adjustRightInd w:val="0"/>
        <w:spacing w:before="80" w:after="0" w:line="240" w:lineRule="auto"/>
        <w:ind w:left="720"/>
        <w:jc w:val="both"/>
        <w:rPr>
          <w:rFonts w:ascii="Times New Roman" w:eastAsia="Calibri" w:hAnsi="Times New Roman" w:cs="Times New Roman"/>
          <w:sz w:val="24"/>
          <w:lang w:bidi="en-US"/>
        </w:rPr>
      </w:pPr>
    </w:p>
    <w:p w14:paraId="09E78D62" w14:textId="77777777" w:rsid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Ustanovljena je potreba za unaprjeđenjem sustava razmjene informacija između organizacija civilnog društva, vladinog sektora i institucija nadležnih za provođenje Stockholmske konvencije.</w:t>
      </w:r>
    </w:p>
    <w:p w14:paraId="1327AC44" w14:textId="77777777" w:rsidR="009C4363" w:rsidRPr="00D84719" w:rsidRDefault="009C4363" w:rsidP="00D84719">
      <w:pPr>
        <w:spacing w:before="80" w:line="276" w:lineRule="auto"/>
        <w:jc w:val="both"/>
        <w:rPr>
          <w:rFonts w:ascii="Times New Roman" w:eastAsia="Times New Roman" w:hAnsi="Times New Roman" w:cs="Times New Roman"/>
          <w:color w:val="000000"/>
          <w:sz w:val="24"/>
          <w:szCs w:val="24"/>
          <w:lang w:bidi="en-US"/>
        </w:rPr>
      </w:pPr>
    </w:p>
    <w:p w14:paraId="74086100" w14:textId="77777777" w:rsidR="00D84719" w:rsidRPr="00D84719" w:rsidRDefault="00D84719" w:rsidP="00C74901">
      <w:pPr>
        <w:pStyle w:val="Naslov3"/>
      </w:pPr>
      <w:bookmarkStart w:id="326" w:name="_Toc40439471"/>
      <w:bookmarkStart w:id="327" w:name="_Toc50635641"/>
      <w:bookmarkStart w:id="328" w:name="_Toc64460790"/>
      <w:r w:rsidRPr="00D84719">
        <w:t>Aktivnost: Podizanje svijesti, informiranje i edukacija javnosti (članak 10.)</w:t>
      </w:r>
      <w:bookmarkEnd w:id="326"/>
      <w:bookmarkEnd w:id="327"/>
      <w:bookmarkEnd w:id="328"/>
    </w:p>
    <w:p w14:paraId="007E34F7"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Potrebno je raditi na unaprjeđenju svijesti javnosti i razine obrazovanja o problematici POPs-ova. Razina svijesti javnosti o utjecaju POPs-ova na ljude i okoliš nije zadovoljavajuća, što može rezultirati nepravilnim postupanjem kemikalijama i otpadom, a osobito vezano uz tzv. nove POPs-ove.</w:t>
      </w:r>
    </w:p>
    <w:p w14:paraId="04C293DE" w14:textId="77777777" w:rsid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Potrebno je donijeti pojedinačne programe educiranja i podizanja svijesti javnosti za svaku od detektiranih ciljnih skupina. Krajnji cilj takvih programa je prvenstveno informiranost javnosti o potencijalnim izvorima tzv. novih POPs-ova, njihovoj potencijalnoj štetnosti na zdravlje i okoliš, jer je proizvodnja i uporaba zabranjena, odnosno ograničena. No, treba raditi na prevenciji ispuštanja u okoliš i osiguravanje zbrinjavanja otpada koji sadrže POPs-ove na okolišno prihvatljiv način.</w:t>
      </w:r>
    </w:p>
    <w:p w14:paraId="37AF5E9A" w14:textId="77777777" w:rsidR="00FD0A00" w:rsidRPr="00D84719" w:rsidRDefault="00FD0A00" w:rsidP="00D84719">
      <w:pPr>
        <w:spacing w:before="80" w:line="276" w:lineRule="auto"/>
        <w:jc w:val="both"/>
        <w:rPr>
          <w:rFonts w:ascii="Times New Roman" w:eastAsia="Times New Roman" w:hAnsi="Times New Roman" w:cs="Times New Roman"/>
          <w:color w:val="000000"/>
          <w:sz w:val="24"/>
          <w:szCs w:val="24"/>
          <w:lang w:bidi="en-US"/>
        </w:rPr>
      </w:pPr>
    </w:p>
    <w:p w14:paraId="5DCD0CB3" w14:textId="77777777" w:rsidR="00D84719" w:rsidRPr="00D84719" w:rsidRDefault="00D84719" w:rsidP="00C74901">
      <w:pPr>
        <w:pStyle w:val="Naslov3"/>
      </w:pPr>
      <w:bookmarkStart w:id="329" w:name="_Toc40439472"/>
      <w:bookmarkStart w:id="330" w:name="_Toc50635642"/>
      <w:bookmarkStart w:id="331" w:name="_Toc64460791"/>
      <w:r w:rsidRPr="00D84719">
        <w:t>Aktivnost: Ocjena učinkovitosti (Članak 16.)</w:t>
      </w:r>
      <w:bookmarkEnd w:id="329"/>
      <w:bookmarkEnd w:id="330"/>
      <w:bookmarkEnd w:id="331"/>
    </w:p>
    <w:p w14:paraId="1E6D05F2"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Konferencija stranaka Stockholmske konvencije odredila je mehanizme periodične ocjene učinkovitosti provedbe Stockholmske konvencije.</w:t>
      </w:r>
    </w:p>
    <w:p w14:paraId="5789E35D"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 xml:space="preserve">Zahtjevi Stockholmske konvencije u pogledu tzv. novih POPs-ova, između ostalog obuhvaćaju i uključivanje </w:t>
      </w:r>
      <w:r w:rsidR="00292F53">
        <w:rPr>
          <w:rFonts w:ascii="Times New Roman" w:eastAsia="Times New Roman" w:hAnsi="Times New Roman" w:cs="Times New Roman"/>
          <w:color w:val="000000"/>
          <w:sz w:val="24"/>
          <w:szCs w:val="24"/>
          <w:lang w:bidi="en-US"/>
        </w:rPr>
        <w:t>„</w:t>
      </w:r>
      <w:r w:rsidRPr="00D84719">
        <w:rPr>
          <w:rFonts w:ascii="Times New Roman" w:eastAsia="Times New Roman" w:hAnsi="Times New Roman" w:cs="Times New Roman"/>
          <w:color w:val="000000"/>
          <w:sz w:val="24"/>
          <w:szCs w:val="24"/>
          <w:lang w:bidi="en-US"/>
        </w:rPr>
        <w:t>novih</w:t>
      </w:r>
      <w:r w:rsidR="00292F53">
        <w:rPr>
          <w:rFonts w:ascii="Times New Roman" w:eastAsia="Times New Roman" w:hAnsi="Times New Roman" w:cs="Times New Roman"/>
          <w:color w:val="000000"/>
          <w:sz w:val="24"/>
          <w:szCs w:val="24"/>
          <w:lang w:bidi="en-US"/>
        </w:rPr>
        <w:t>“</w:t>
      </w:r>
      <w:r w:rsidRPr="00D84719">
        <w:rPr>
          <w:rFonts w:ascii="Times New Roman" w:eastAsia="Times New Roman" w:hAnsi="Times New Roman" w:cs="Times New Roman"/>
          <w:color w:val="000000"/>
          <w:sz w:val="24"/>
          <w:szCs w:val="24"/>
          <w:lang w:bidi="en-US"/>
        </w:rPr>
        <w:t xml:space="preserve"> kemikalija/POPs-ova u program za ocjenu učinkovitosti (članak 16.). S ciljem pružanja podataka konferenciji stranaka o praćenju prisutnosti POPs-ova navedenih u Dodacima A, B i C Stockholmske konvencije te o njihovoj regionalnoj i međunarodnoj prisutnosti/raspodjeli, ministarstvo nadležno za zaštitu okoliša kao nacionalna kontakt točka će </w:t>
      </w:r>
      <w:r w:rsidRPr="00D84719">
        <w:rPr>
          <w:rFonts w:ascii="Times New Roman" w:eastAsia="Times New Roman" w:hAnsi="Times New Roman" w:cs="Times New Roman"/>
          <w:color w:val="000000"/>
          <w:sz w:val="24"/>
          <w:szCs w:val="24"/>
          <w:lang w:bidi="en-US"/>
        </w:rPr>
        <w:lastRenderedPageBreak/>
        <w:t>izvještavati u svrhu potrebne ocjene uspješnosti provedbe i ispunjavanja zahtjeva Stockholmske konvencije povezano s člankom 15. i redovnim četverogodišnjim izvješćem. Republika Hrvatska je sudjelovala u prvoj i drugoj fazi istraživanja UNEP/WHO, kao i RECETOX Instituta (Češka, Regionalni centar Stockholmske konvencije) vezano uz analize ključne dvije od četiri matrice; praćenje kvalitete zraka pasivnim uzorkivačima i analiza ljudskog mlijeka, starih pa i nekih novih POPs-ova.</w:t>
      </w:r>
    </w:p>
    <w:p w14:paraId="5FE44771" w14:textId="1B98A3CA" w:rsid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Rezultati se mogu pronaći u dokumentima Prvo izvješće o regionalnom monitoringu za zemlje centralne i istočne Europe iz rujna 2008</w:t>
      </w:r>
      <w:r w:rsidR="005C26BD">
        <w:rPr>
          <w:rFonts w:ascii="Times New Roman" w:eastAsia="Times New Roman" w:hAnsi="Times New Roman" w:cs="Times New Roman"/>
          <w:color w:val="000000"/>
          <w:sz w:val="24"/>
          <w:szCs w:val="24"/>
          <w:lang w:bidi="en-US"/>
        </w:rPr>
        <w:t>.</w:t>
      </w:r>
      <w:r w:rsidRPr="00D84719">
        <w:rPr>
          <w:rFonts w:ascii="Times New Roman" w:eastAsia="Times New Roman" w:hAnsi="Times New Roman" w:cs="Times New Roman"/>
          <w:color w:val="000000"/>
          <w:sz w:val="24"/>
          <w:szCs w:val="24"/>
          <w:lang w:bidi="en-US"/>
        </w:rPr>
        <w:t xml:space="preserve"> i Drugo izvješće o regionalnom monitoringu za zemlje centralne i istočne Europe iz prosinca 2014</w:t>
      </w:r>
      <w:r w:rsidR="005C26BD">
        <w:rPr>
          <w:rFonts w:ascii="Times New Roman" w:eastAsia="Times New Roman" w:hAnsi="Times New Roman" w:cs="Times New Roman"/>
          <w:color w:val="000000"/>
          <w:sz w:val="24"/>
          <w:szCs w:val="24"/>
          <w:lang w:bidi="en-US"/>
        </w:rPr>
        <w:t>.</w:t>
      </w:r>
      <w:r w:rsidRPr="00D84719">
        <w:rPr>
          <w:rFonts w:ascii="Times New Roman" w:eastAsia="Times New Roman" w:hAnsi="Times New Roman" w:cs="Times New Roman"/>
          <w:color w:val="000000"/>
          <w:sz w:val="24"/>
          <w:szCs w:val="24"/>
          <w:lang w:bidi="en-US"/>
        </w:rPr>
        <w:t xml:space="preserve"> (</w:t>
      </w:r>
      <w:hyperlink r:id="rId49" w:history="1">
        <w:r w:rsidR="00D02EC8" w:rsidRPr="00583887">
          <w:rPr>
            <w:rStyle w:val="Hiperveza"/>
            <w:rFonts w:ascii="Times New Roman" w:eastAsia="Times New Roman" w:hAnsi="Times New Roman" w:cs="Times New Roman"/>
            <w:sz w:val="24"/>
            <w:szCs w:val="24"/>
            <w:lang w:bidi="en-US"/>
          </w:rPr>
          <w:t>http://chm.pops.int/Implementation/GlobalMonitoringPlan/MonitoringReports/tabid/525/Default.aspx</w:t>
        </w:r>
      </w:hyperlink>
      <w:r w:rsidRPr="00D84719">
        <w:rPr>
          <w:rFonts w:ascii="Times New Roman" w:eastAsia="Times New Roman" w:hAnsi="Times New Roman" w:cs="Times New Roman"/>
          <w:color w:val="000000"/>
          <w:sz w:val="24"/>
          <w:szCs w:val="24"/>
          <w:lang w:bidi="en-US"/>
        </w:rPr>
        <w:t xml:space="preserve">). U COP-7 dokumentu UNEP/POPS/COP.7/INF/39 predstavljen je i </w:t>
      </w:r>
      <w:r w:rsidR="00292F53">
        <w:rPr>
          <w:rFonts w:ascii="Times New Roman" w:eastAsia="Times New Roman" w:hAnsi="Times New Roman" w:cs="Times New Roman"/>
          <w:color w:val="000000"/>
          <w:sz w:val="24"/>
          <w:szCs w:val="24"/>
          <w:lang w:bidi="en-US"/>
        </w:rPr>
        <w:t>„</w:t>
      </w:r>
      <w:r w:rsidRPr="00D84719">
        <w:rPr>
          <w:rFonts w:ascii="Times New Roman" w:eastAsia="Times New Roman" w:hAnsi="Times New Roman" w:cs="Times New Roman"/>
          <w:color w:val="000000"/>
          <w:sz w:val="24"/>
          <w:szCs w:val="24"/>
          <w:lang w:bidi="en-US"/>
        </w:rPr>
        <w:t>Vodič za međunarodni plan praćenja postojanih organskih onečišćujućih tvari</w:t>
      </w:r>
      <w:r w:rsidR="00292F53">
        <w:rPr>
          <w:rFonts w:ascii="Times New Roman" w:eastAsia="Times New Roman" w:hAnsi="Times New Roman" w:cs="Times New Roman"/>
          <w:color w:val="000000"/>
          <w:sz w:val="24"/>
          <w:szCs w:val="24"/>
          <w:lang w:bidi="en-US"/>
        </w:rPr>
        <w:t>“</w:t>
      </w:r>
      <w:r w:rsidRPr="00D84719">
        <w:rPr>
          <w:rFonts w:ascii="Times New Roman" w:eastAsia="Times New Roman" w:hAnsi="Times New Roman" w:cs="Times New Roman"/>
          <w:color w:val="000000"/>
          <w:sz w:val="24"/>
          <w:szCs w:val="24"/>
          <w:lang w:bidi="en-US"/>
        </w:rPr>
        <w:t>, uključujući stare i tzv. nove POPs-ove s odgovarajućim preporukama.</w:t>
      </w:r>
    </w:p>
    <w:p w14:paraId="5395A007" w14:textId="77777777" w:rsidR="00FD0A00" w:rsidRPr="00D84719" w:rsidRDefault="00FD0A00" w:rsidP="00D84719">
      <w:pPr>
        <w:spacing w:before="80" w:line="276" w:lineRule="auto"/>
        <w:jc w:val="both"/>
        <w:rPr>
          <w:rFonts w:ascii="Times New Roman" w:eastAsia="Times New Roman" w:hAnsi="Times New Roman" w:cs="Times New Roman"/>
          <w:color w:val="000000"/>
          <w:sz w:val="24"/>
          <w:szCs w:val="24"/>
          <w:lang w:bidi="en-US"/>
        </w:rPr>
      </w:pPr>
    </w:p>
    <w:p w14:paraId="2E290E8D" w14:textId="77777777" w:rsidR="00D84719" w:rsidRPr="00D84719" w:rsidRDefault="00D84719" w:rsidP="00C74901">
      <w:pPr>
        <w:pStyle w:val="Naslov3"/>
      </w:pPr>
      <w:bookmarkStart w:id="332" w:name="_Toc40439473"/>
      <w:bookmarkStart w:id="333" w:name="_Toc50635643"/>
      <w:bookmarkStart w:id="334" w:name="_Toc64460792"/>
      <w:r w:rsidRPr="00D84719">
        <w:t>Aktivnost: Izvješćivanje (članak 15.)</w:t>
      </w:r>
      <w:bookmarkEnd w:id="332"/>
      <w:bookmarkEnd w:id="333"/>
      <w:bookmarkEnd w:id="334"/>
    </w:p>
    <w:p w14:paraId="7820012C" w14:textId="77777777" w:rsid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Republika Hrvatska izradila je i do sada dostavila Tajništvu Stockholmske konvencije četiri Izvješća temeljem članka 15. Stockholmske konvencije i izvršila obvezu izvješćivanja o poduzetim mjerama, strategijama i zalihama koja su objavljena na mrežnim stranicama Stockholmske konvencije (datumi dostave: 1.) 31. 7. 2008., 2.) 21. 10. 2010., 3.) 16. 9. 2014. i 4.) 05.10.2018.)</w:t>
      </w:r>
    </w:p>
    <w:p w14:paraId="7ED9FFE6" w14:textId="77777777" w:rsidR="00FD0A00" w:rsidRPr="00D84719" w:rsidRDefault="00FD0A00" w:rsidP="00D84719">
      <w:pPr>
        <w:spacing w:before="80" w:line="276" w:lineRule="auto"/>
        <w:jc w:val="both"/>
        <w:rPr>
          <w:rFonts w:ascii="Times New Roman" w:eastAsia="Times New Roman" w:hAnsi="Times New Roman" w:cs="Times New Roman"/>
          <w:color w:val="000000"/>
          <w:sz w:val="24"/>
          <w:szCs w:val="24"/>
          <w:lang w:bidi="en-US"/>
        </w:rPr>
      </w:pPr>
    </w:p>
    <w:p w14:paraId="0C3B11C5" w14:textId="77777777" w:rsidR="00D84719" w:rsidRPr="00D84719" w:rsidRDefault="00D84719" w:rsidP="00C74901">
      <w:pPr>
        <w:pStyle w:val="Naslov3"/>
      </w:pPr>
      <w:bookmarkStart w:id="335" w:name="_Toc40439474"/>
      <w:bookmarkStart w:id="336" w:name="_Toc50635644"/>
      <w:bookmarkStart w:id="337" w:name="_Toc64460793"/>
      <w:r w:rsidRPr="00D84719">
        <w:t>Aktivnost: Istraživanje, razvoj i praćenje (članak 11.)</w:t>
      </w:r>
      <w:bookmarkEnd w:id="335"/>
      <w:bookmarkEnd w:id="336"/>
      <w:bookmarkEnd w:id="337"/>
    </w:p>
    <w:p w14:paraId="512565BE"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Tijekom inventarizacije potvrđeno je da trenutna razina istraživačkih programa nije zadovoljavajuća te se predlaže razmatranje dodatnih istraživačkih programa za učinkovitiju kontrolu i praćenje POPs-ova u okolišu, uključujući i utjecaj ovih spojeva na ljude, a osobito s obzirom na tzv. nove POPs-ove (detaljno opisano u 3.7. Postojeći programi za praćenje ispuštanja POPs-ova i njihov utjecaj na ljudsko zdravlje i okoliš). Nadogradnjom postojećeg praćenja dobit će se cjelovitija slika o stanju okoliša.</w:t>
      </w:r>
    </w:p>
    <w:p w14:paraId="22BD0630"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Glavni cilj ove aktivnosti je unaprjeđenje sustavnog istraživanja i praćenja POPs-ova, a osobito tzv. novih POPs-ova kojim bi se potvrdile i nadopunile informacije o njihovim koncentracijama u okolišu, bioti i ljudima te između ostalog, unaprijedio i proširio opseg dosadašnjih rezultata istraživanja i analiza (npr. analizama kontaminiranih lokacija, predmetima u uporabi, odlagalištima) i potvrdila pretpostavka da POPs-ovi ne predstavljaju značajan problem s obzirom na negativne učinke na zdravlje i okoliš u Republici Hrvatskoj, odnosno prekogranični rizik.</w:t>
      </w:r>
    </w:p>
    <w:p w14:paraId="48A322F3"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Specifični ciljevi su sljedeći:</w:t>
      </w:r>
    </w:p>
    <w:p w14:paraId="35809101" w14:textId="77777777" w:rsidR="00D84719" w:rsidRPr="00D84719" w:rsidRDefault="00D84719" w:rsidP="00D84719">
      <w:pPr>
        <w:numPr>
          <w:ilvl w:val="0"/>
          <w:numId w:val="8"/>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jačanje tehničkih kapaciteta za praćenje POPs-ova u okolišu i ljudima, uključujući nove POPs-ove</w:t>
      </w:r>
    </w:p>
    <w:p w14:paraId="2047AD34" w14:textId="77777777" w:rsidR="00D84719" w:rsidRPr="00D84719" w:rsidRDefault="00D84719" w:rsidP="00D84719">
      <w:pPr>
        <w:numPr>
          <w:ilvl w:val="0"/>
          <w:numId w:val="8"/>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lastRenderedPageBreak/>
        <w:t>analize prisutnosti potencijalnih POPs-ova koji su u procesu razmatranja (POPRC) i štetnih učinaka za zdravlje i okoliš i</w:t>
      </w:r>
    </w:p>
    <w:p w14:paraId="78CC758F" w14:textId="77777777" w:rsidR="00D84719" w:rsidRDefault="00D84719" w:rsidP="00D84719">
      <w:pPr>
        <w:numPr>
          <w:ilvl w:val="0"/>
          <w:numId w:val="8"/>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praćenje u okolišu i ljudima.</w:t>
      </w:r>
    </w:p>
    <w:p w14:paraId="56C6EEB3" w14:textId="77777777" w:rsidR="00FD0A00" w:rsidRPr="00D84719" w:rsidRDefault="00FD0A00" w:rsidP="00FD0A00">
      <w:pPr>
        <w:tabs>
          <w:tab w:val="left" w:pos="1755"/>
        </w:tabs>
        <w:autoSpaceDE w:val="0"/>
        <w:autoSpaceDN w:val="0"/>
        <w:adjustRightInd w:val="0"/>
        <w:spacing w:before="80" w:after="0" w:line="240" w:lineRule="auto"/>
        <w:ind w:left="720"/>
        <w:jc w:val="both"/>
        <w:rPr>
          <w:rFonts w:ascii="Times New Roman" w:eastAsia="Calibri" w:hAnsi="Times New Roman" w:cs="Times New Roman"/>
          <w:sz w:val="24"/>
          <w:lang w:bidi="en-US"/>
        </w:rPr>
      </w:pPr>
    </w:p>
    <w:p w14:paraId="28C03DB1" w14:textId="77777777" w:rsidR="00D84719" w:rsidRPr="00D84719" w:rsidRDefault="00D84719" w:rsidP="00FD0A00">
      <w:pPr>
        <w:pStyle w:val="Naslov4"/>
      </w:pPr>
      <w:bookmarkStart w:id="338" w:name="_Toc64460794"/>
      <w:r w:rsidRPr="00D84719">
        <w:t>Jačanje tehničkih kapaciteta za praćenje POPs-ova u okolišu i ljudima, uključujući nove POPs-ove</w:t>
      </w:r>
      <w:bookmarkEnd w:id="338"/>
    </w:p>
    <w:p w14:paraId="720B8205"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Predložene mjere:</w:t>
      </w:r>
    </w:p>
    <w:p w14:paraId="3E87E809" w14:textId="77777777" w:rsidR="00D84719" w:rsidRPr="00D84719" w:rsidRDefault="00D84719" w:rsidP="00D84719">
      <w:pPr>
        <w:numPr>
          <w:ilvl w:val="0"/>
          <w:numId w:val="8"/>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nastaviti s razvojem istraživačkih programa za učinkovitiju kontrolu i praćenje POPs-ova u okolišu i procjenu utjecaja na ljude i</w:t>
      </w:r>
    </w:p>
    <w:p w14:paraId="7EDD8299" w14:textId="77777777" w:rsidR="00D84719" w:rsidRDefault="00D84719" w:rsidP="00D84719">
      <w:pPr>
        <w:numPr>
          <w:ilvl w:val="0"/>
          <w:numId w:val="8"/>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osigurati uvjete dostatne opremljenosti neophodne za provođenje aktivnosti istraživanja, razvoja i praćenje.</w:t>
      </w:r>
    </w:p>
    <w:p w14:paraId="12E825EA" w14:textId="77777777" w:rsidR="00FD0A00" w:rsidRPr="00D84719" w:rsidRDefault="00FD0A00" w:rsidP="00D84719">
      <w:pPr>
        <w:numPr>
          <w:ilvl w:val="0"/>
          <w:numId w:val="8"/>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p>
    <w:p w14:paraId="6F033F12" w14:textId="77777777" w:rsid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S obzirom na nedostatke postojećih istraživačkih programa i neuključenosti tzv. novih POPs-ova u iste utvrđene tijekom inventarizacije, potrebno je osigurati dodatne programe ili nadopuniti postojeće i osigurati odgovarajuće uvjete za učinkovitiju kontrolu i praćenje POPs-ova u okolišu i procjenu utjecaja na ljude, koju je potrebno provesti u svim regijama Republike Hrvatske.</w:t>
      </w:r>
    </w:p>
    <w:p w14:paraId="6A97972A" w14:textId="77777777" w:rsidR="00FD0A00" w:rsidRPr="00D84719" w:rsidRDefault="00FD0A00" w:rsidP="00D84719">
      <w:pPr>
        <w:spacing w:before="80" w:line="276" w:lineRule="auto"/>
        <w:jc w:val="both"/>
        <w:rPr>
          <w:rFonts w:ascii="Times New Roman" w:eastAsia="Times New Roman" w:hAnsi="Times New Roman" w:cs="Times New Roman"/>
          <w:color w:val="000000"/>
          <w:sz w:val="24"/>
          <w:szCs w:val="24"/>
          <w:lang w:bidi="en-US"/>
        </w:rPr>
      </w:pPr>
    </w:p>
    <w:p w14:paraId="548F0963" w14:textId="77777777" w:rsidR="00D84719" w:rsidRPr="00D84719" w:rsidRDefault="00D84719" w:rsidP="00FD0A00">
      <w:pPr>
        <w:pStyle w:val="Naslov4"/>
      </w:pPr>
      <w:bookmarkStart w:id="339" w:name="_Toc64460795"/>
      <w:r w:rsidRPr="00D84719">
        <w:t>Praćenje POPs-ova u okolišu i ljudima</w:t>
      </w:r>
      <w:bookmarkEnd w:id="339"/>
    </w:p>
    <w:p w14:paraId="0E6800B9"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Predložena mjera:</w:t>
      </w:r>
    </w:p>
    <w:p w14:paraId="46F05FF2" w14:textId="77777777" w:rsidR="00D84719" w:rsidRDefault="00D84719" w:rsidP="00D84719">
      <w:pPr>
        <w:numPr>
          <w:ilvl w:val="0"/>
          <w:numId w:val="8"/>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nastaviti s provođenjem postojećih praćenja uz dopunu programa za kontrolu i praćenje POPs-ova u okolišu i procjenu utjecaja na ljude.</w:t>
      </w:r>
    </w:p>
    <w:p w14:paraId="0E9D9D3C" w14:textId="77777777" w:rsidR="00FD0A00" w:rsidRPr="00D84719" w:rsidRDefault="00FD0A00" w:rsidP="00BE2CA3">
      <w:pPr>
        <w:tabs>
          <w:tab w:val="left" w:pos="1755"/>
        </w:tabs>
        <w:autoSpaceDE w:val="0"/>
        <w:autoSpaceDN w:val="0"/>
        <w:adjustRightInd w:val="0"/>
        <w:spacing w:before="80" w:after="0" w:line="240" w:lineRule="auto"/>
        <w:ind w:left="720"/>
        <w:jc w:val="both"/>
        <w:rPr>
          <w:rFonts w:ascii="Times New Roman" w:eastAsia="Calibri" w:hAnsi="Times New Roman" w:cs="Times New Roman"/>
          <w:sz w:val="24"/>
          <w:lang w:bidi="en-US"/>
        </w:rPr>
      </w:pPr>
    </w:p>
    <w:p w14:paraId="4FA5C3DD"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Opis mjera i aktivnosti koje je potrebno provesti u cilju ispunjenja svih obveza iz Stockholmske konvencije koje se odnose na istraživanje, razvoj i praćenje POPs-ova u Republici Hrvatskoj, utvrđivanje institucija odgovornih za njihovu provedbu te vremenski plan i procijenjena potrebna financijska sredstva dani su u tablici 4.</w:t>
      </w:r>
      <w:r w:rsidR="00F05F33">
        <w:rPr>
          <w:rFonts w:ascii="Times New Roman" w:eastAsia="Times New Roman" w:hAnsi="Times New Roman" w:cs="Times New Roman"/>
          <w:color w:val="000000"/>
          <w:sz w:val="24"/>
          <w:szCs w:val="24"/>
          <w:lang w:bidi="en-US"/>
        </w:rPr>
        <w:t>2</w:t>
      </w:r>
      <w:r w:rsidRPr="00D84719">
        <w:rPr>
          <w:rFonts w:ascii="Times New Roman" w:eastAsia="Times New Roman" w:hAnsi="Times New Roman" w:cs="Times New Roman"/>
          <w:color w:val="000000"/>
          <w:sz w:val="24"/>
          <w:szCs w:val="24"/>
          <w:lang w:bidi="en-US"/>
        </w:rPr>
        <w:t>-</w:t>
      </w:r>
      <w:r w:rsidR="00F05F33">
        <w:rPr>
          <w:rFonts w:ascii="Times New Roman" w:eastAsia="Times New Roman" w:hAnsi="Times New Roman" w:cs="Times New Roman"/>
          <w:color w:val="000000"/>
          <w:sz w:val="24"/>
          <w:szCs w:val="24"/>
          <w:lang w:bidi="en-US"/>
        </w:rPr>
        <w:t>9</w:t>
      </w:r>
      <w:r w:rsidRPr="00D84719">
        <w:rPr>
          <w:rFonts w:ascii="Times New Roman" w:eastAsia="Times New Roman" w:hAnsi="Times New Roman" w:cs="Times New Roman"/>
          <w:color w:val="000000"/>
          <w:sz w:val="24"/>
          <w:szCs w:val="24"/>
          <w:lang w:bidi="en-US"/>
        </w:rPr>
        <w:t>.</w:t>
      </w:r>
    </w:p>
    <w:p w14:paraId="2557D08D" w14:textId="77777777" w:rsidR="00D84719" w:rsidRPr="00D84719" w:rsidRDefault="00D84719" w:rsidP="00D84719">
      <w:pPr>
        <w:keepNext/>
        <w:spacing w:before="80" w:after="0" w:line="276" w:lineRule="auto"/>
        <w:jc w:val="both"/>
        <w:rPr>
          <w:rFonts w:ascii="Times New Roman" w:eastAsia="Times New Roman" w:hAnsi="Times New Roman" w:cs="Times New Roman"/>
          <w:b/>
          <w:bCs/>
          <w:i/>
          <w:sz w:val="20"/>
          <w:szCs w:val="20"/>
        </w:rPr>
      </w:pPr>
      <w:r w:rsidRPr="00D84719">
        <w:rPr>
          <w:rFonts w:ascii="Times New Roman" w:eastAsia="Times New Roman" w:hAnsi="Times New Roman" w:cs="Times New Roman"/>
          <w:b/>
          <w:bCs/>
          <w:i/>
          <w:sz w:val="20"/>
          <w:szCs w:val="20"/>
        </w:rPr>
        <w:t xml:space="preserve">Tablica </w:t>
      </w:r>
      <w:r w:rsidR="00F05F33">
        <w:rPr>
          <w:rFonts w:ascii="Times New Roman" w:eastAsia="Times New Roman" w:hAnsi="Times New Roman" w:cs="Times New Roman"/>
          <w:b/>
          <w:bCs/>
          <w:i/>
          <w:sz w:val="20"/>
          <w:szCs w:val="20"/>
        </w:rPr>
        <w:t>4.2</w:t>
      </w:r>
      <w:r w:rsidRPr="00D84719">
        <w:rPr>
          <w:rFonts w:ascii="Times New Roman" w:eastAsia="Times New Roman" w:hAnsi="Times New Roman" w:cs="Times New Roman"/>
          <w:b/>
          <w:bCs/>
          <w:i/>
          <w:sz w:val="20"/>
          <w:szCs w:val="20"/>
        </w:rPr>
        <w:noBreakHyphen/>
      </w:r>
      <w:r w:rsidRPr="00D84719">
        <w:rPr>
          <w:rFonts w:ascii="Times New Roman" w:eastAsia="Times New Roman" w:hAnsi="Times New Roman" w:cs="Times New Roman"/>
          <w:b/>
          <w:bCs/>
          <w:i/>
          <w:sz w:val="20"/>
          <w:szCs w:val="20"/>
        </w:rPr>
        <w:fldChar w:fldCharType="begin"/>
      </w:r>
      <w:r w:rsidRPr="00D84719">
        <w:rPr>
          <w:rFonts w:ascii="Times New Roman" w:eastAsia="Times New Roman" w:hAnsi="Times New Roman" w:cs="Times New Roman"/>
          <w:b/>
          <w:bCs/>
          <w:i/>
          <w:sz w:val="20"/>
          <w:szCs w:val="20"/>
        </w:rPr>
        <w:instrText xml:space="preserve"> SEQ Tablica \* ARABIC \s 2 </w:instrText>
      </w:r>
      <w:r w:rsidRPr="00D84719">
        <w:rPr>
          <w:rFonts w:ascii="Times New Roman" w:eastAsia="Times New Roman" w:hAnsi="Times New Roman" w:cs="Times New Roman"/>
          <w:b/>
          <w:bCs/>
          <w:i/>
          <w:sz w:val="20"/>
          <w:szCs w:val="20"/>
        </w:rPr>
        <w:fldChar w:fldCharType="separate"/>
      </w:r>
      <w:r w:rsidRPr="00D84719">
        <w:rPr>
          <w:rFonts w:ascii="Times New Roman" w:eastAsia="Times New Roman" w:hAnsi="Times New Roman" w:cs="Times New Roman"/>
          <w:b/>
          <w:bCs/>
          <w:i/>
          <w:sz w:val="20"/>
          <w:szCs w:val="20"/>
        </w:rPr>
        <w:t>9</w:t>
      </w:r>
      <w:r w:rsidRPr="00D84719">
        <w:rPr>
          <w:rFonts w:ascii="Times New Roman" w:eastAsia="Times New Roman" w:hAnsi="Times New Roman" w:cs="Times New Roman"/>
          <w:b/>
          <w:bCs/>
          <w:i/>
          <w:sz w:val="20"/>
          <w:szCs w:val="20"/>
        </w:rPr>
        <w:fldChar w:fldCharType="end"/>
      </w:r>
      <w:r w:rsidRPr="00D84719">
        <w:rPr>
          <w:rFonts w:ascii="Times New Roman" w:eastAsia="Times New Roman" w:hAnsi="Times New Roman" w:cs="Times New Roman"/>
          <w:b/>
          <w:bCs/>
          <w:i/>
          <w:sz w:val="20"/>
          <w:szCs w:val="20"/>
        </w:rPr>
        <w:t>: Aktivnost: Istraživanje, razvoj i praćenje</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3344"/>
        <w:gridCol w:w="1675"/>
        <w:gridCol w:w="1643"/>
      </w:tblGrid>
      <w:tr w:rsidR="00D84719" w:rsidRPr="00D84719" w14:paraId="33192CDA" w14:textId="77777777" w:rsidTr="00D84719">
        <w:trPr>
          <w:trHeight w:val="430"/>
          <w:tblHeader/>
          <w:jc w:val="center"/>
        </w:trPr>
        <w:tc>
          <w:tcPr>
            <w:tcW w:w="2694" w:type="dxa"/>
            <w:tcBorders>
              <w:bottom w:val="single" w:sz="4" w:space="0" w:color="auto"/>
            </w:tcBorders>
            <w:shd w:val="clear" w:color="auto" w:fill="BFBFBF"/>
            <w:vAlign w:val="center"/>
          </w:tcPr>
          <w:p w14:paraId="34E86DD7" w14:textId="77777777" w:rsidR="00D84719" w:rsidRPr="00D84719" w:rsidRDefault="00D84719" w:rsidP="00D84719">
            <w:pPr>
              <w:spacing w:after="0" w:line="240" w:lineRule="auto"/>
              <w:jc w:val="center"/>
              <w:rPr>
                <w:rFonts w:ascii="Times New Roman" w:eastAsia="Times New Roman" w:hAnsi="Times New Roman" w:cs="Times New Roman"/>
                <w:b/>
                <w:color w:val="000000"/>
                <w:sz w:val="20"/>
                <w:szCs w:val="20"/>
              </w:rPr>
            </w:pPr>
            <w:r w:rsidRPr="00D84719">
              <w:rPr>
                <w:rFonts w:ascii="Times New Roman" w:eastAsia="Times New Roman" w:hAnsi="Times New Roman" w:cs="Times New Roman"/>
                <w:b/>
                <w:color w:val="000000"/>
                <w:sz w:val="20"/>
                <w:szCs w:val="20"/>
              </w:rPr>
              <w:t>CILJEVI/MJERE</w:t>
            </w:r>
          </w:p>
        </w:tc>
        <w:tc>
          <w:tcPr>
            <w:tcW w:w="3344" w:type="dxa"/>
            <w:tcBorders>
              <w:bottom w:val="single" w:sz="4" w:space="0" w:color="auto"/>
            </w:tcBorders>
            <w:shd w:val="clear" w:color="auto" w:fill="BFBFBF"/>
            <w:vAlign w:val="center"/>
          </w:tcPr>
          <w:p w14:paraId="53CAA8EC" w14:textId="77777777" w:rsidR="00D84719" w:rsidRPr="00D84719" w:rsidRDefault="00D84719" w:rsidP="00D84719">
            <w:pPr>
              <w:spacing w:after="0" w:line="240" w:lineRule="auto"/>
              <w:jc w:val="center"/>
              <w:rPr>
                <w:rFonts w:ascii="Times New Roman" w:eastAsia="Times New Roman" w:hAnsi="Times New Roman" w:cs="Times New Roman"/>
                <w:b/>
                <w:color w:val="000000"/>
                <w:sz w:val="20"/>
                <w:szCs w:val="20"/>
              </w:rPr>
            </w:pPr>
            <w:r w:rsidRPr="00D84719">
              <w:rPr>
                <w:rFonts w:ascii="Times New Roman" w:eastAsia="Times New Roman" w:hAnsi="Times New Roman" w:cs="Times New Roman"/>
                <w:b/>
                <w:color w:val="000000"/>
                <w:sz w:val="20"/>
                <w:szCs w:val="20"/>
              </w:rPr>
              <w:t>NOSITELJ(I)/STRUČNA, TEHNIČKA I FINANCIJSKA POTPORA</w:t>
            </w:r>
          </w:p>
        </w:tc>
        <w:tc>
          <w:tcPr>
            <w:tcW w:w="1675" w:type="dxa"/>
            <w:tcBorders>
              <w:bottom w:val="single" w:sz="4" w:space="0" w:color="auto"/>
            </w:tcBorders>
            <w:shd w:val="clear" w:color="auto" w:fill="BFBFBF"/>
            <w:vAlign w:val="center"/>
          </w:tcPr>
          <w:p w14:paraId="20BF3B14" w14:textId="77777777" w:rsidR="00D84719" w:rsidRPr="00D84719" w:rsidRDefault="00D84719" w:rsidP="00D84719">
            <w:pPr>
              <w:spacing w:after="0" w:line="240" w:lineRule="auto"/>
              <w:jc w:val="center"/>
              <w:rPr>
                <w:rFonts w:ascii="Times New Roman" w:eastAsia="Times New Roman" w:hAnsi="Times New Roman" w:cs="Times New Roman"/>
                <w:b/>
                <w:color w:val="000000"/>
                <w:sz w:val="20"/>
                <w:szCs w:val="20"/>
              </w:rPr>
            </w:pPr>
            <w:r w:rsidRPr="00D84719">
              <w:rPr>
                <w:rFonts w:ascii="Times New Roman" w:eastAsia="Times New Roman" w:hAnsi="Times New Roman" w:cs="Times New Roman"/>
                <w:b/>
                <w:color w:val="000000"/>
                <w:sz w:val="20"/>
                <w:szCs w:val="20"/>
              </w:rPr>
              <w:t>PROVEDBA</w:t>
            </w:r>
          </w:p>
        </w:tc>
        <w:tc>
          <w:tcPr>
            <w:tcW w:w="1643" w:type="dxa"/>
            <w:tcBorders>
              <w:bottom w:val="single" w:sz="4" w:space="0" w:color="auto"/>
            </w:tcBorders>
            <w:shd w:val="clear" w:color="auto" w:fill="BFBFBF"/>
            <w:vAlign w:val="center"/>
          </w:tcPr>
          <w:p w14:paraId="634A43D5" w14:textId="77777777" w:rsidR="00D84719" w:rsidRPr="00D84719" w:rsidRDefault="00D84719" w:rsidP="00D84719">
            <w:pPr>
              <w:spacing w:after="0" w:line="240" w:lineRule="auto"/>
              <w:jc w:val="center"/>
              <w:rPr>
                <w:rFonts w:ascii="Times New Roman" w:eastAsia="Times New Roman" w:hAnsi="Times New Roman" w:cs="Times New Roman"/>
                <w:b/>
                <w:color w:val="000000"/>
                <w:sz w:val="20"/>
                <w:szCs w:val="20"/>
              </w:rPr>
            </w:pPr>
            <w:r w:rsidRPr="00D84719">
              <w:rPr>
                <w:rFonts w:ascii="Times New Roman" w:eastAsia="Times New Roman" w:hAnsi="Times New Roman" w:cs="Times New Roman"/>
                <w:b/>
                <w:color w:val="000000"/>
                <w:sz w:val="20"/>
                <w:szCs w:val="20"/>
              </w:rPr>
              <w:t>TROŠAK (HRK)</w:t>
            </w:r>
          </w:p>
        </w:tc>
      </w:tr>
      <w:tr w:rsidR="00D84719" w:rsidRPr="00D84719" w14:paraId="4538E092" w14:textId="77777777" w:rsidTr="00F831D6">
        <w:trPr>
          <w:trHeight w:val="64"/>
          <w:jc w:val="center"/>
        </w:trPr>
        <w:tc>
          <w:tcPr>
            <w:tcW w:w="9356" w:type="dxa"/>
            <w:gridSpan w:val="4"/>
            <w:shd w:val="clear" w:color="auto" w:fill="auto"/>
            <w:vAlign w:val="center"/>
          </w:tcPr>
          <w:p w14:paraId="67DA854E" w14:textId="77777777" w:rsidR="00D84719" w:rsidRPr="00D84719" w:rsidRDefault="00D84719" w:rsidP="00D84719">
            <w:pPr>
              <w:autoSpaceDE w:val="0"/>
              <w:autoSpaceDN w:val="0"/>
              <w:adjustRightInd w:val="0"/>
              <w:spacing w:after="0" w:line="240" w:lineRule="auto"/>
              <w:rPr>
                <w:rFonts w:ascii="Times New Roman" w:eastAsia="Times New Roman" w:hAnsi="Times New Roman" w:cs="Times New Roman"/>
                <w:b/>
                <w:color w:val="000000"/>
                <w:sz w:val="20"/>
                <w:szCs w:val="20"/>
              </w:rPr>
            </w:pPr>
            <w:r w:rsidRPr="00D84719">
              <w:rPr>
                <w:rFonts w:ascii="Times New Roman" w:eastAsia="Times New Roman" w:hAnsi="Times New Roman" w:cs="Times New Roman"/>
                <w:b/>
                <w:color w:val="000000"/>
                <w:sz w:val="20"/>
                <w:szCs w:val="20"/>
              </w:rPr>
              <w:t>GLAVNI CILJ: ISTRAŽIVANJE, RAZVOJ I PRAĆENJE POPS-OVA U REPUBLICI HRVATSKOJ</w:t>
            </w:r>
          </w:p>
        </w:tc>
      </w:tr>
      <w:tr w:rsidR="00D84719" w:rsidRPr="00D84719" w14:paraId="14A9A456" w14:textId="77777777" w:rsidTr="00F831D6">
        <w:trPr>
          <w:jc w:val="center"/>
        </w:trPr>
        <w:tc>
          <w:tcPr>
            <w:tcW w:w="9356" w:type="dxa"/>
            <w:gridSpan w:val="4"/>
            <w:shd w:val="clear" w:color="auto" w:fill="auto"/>
            <w:vAlign w:val="center"/>
          </w:tcPr>
          <w:p w14:paraId="320C15B6" w14:textId="77777777" w:rsidR="00D84719" w:rsidRPr="00D84719" w:rsidRDefault="00D84719" w:rsidP="00D84719">
            <w:pPr>
              <w:spacing w:after="0" w:line="240" w:lineRule="auto"/>
              <w:rPr>
                <w:rFonts w:ascii="Times New Roman" w:eastAsia="Times New Roman" w:hAnsi="Times New Roman" w:cs="Times New Roman"/>
                <w:b/>
                <w:i/>
                <w:color w:val="000000"/>
                <w:sz w:val="20"/>
                <w:szCs w:val="20"/>
              </w:rPr>
            </w:pPr>
            <w:r w:rsidRPr="00D84719">
              <w:rPr>
                <w:rFonts w:ascii="Times New Roman" w:eastAsia="Times New Roman" w:hAnsi="Times New Roman" w:cs="Times New Roman"/>
                <w:b/>
                <w:i/>
                <w:color w:val="000000"/>
                <w:sz w:val="20"/>
                <w:szCs w:val="20"/>
              </w:rPr>
              <w:t>Specifični cilj 1: Jačanje tehničkih kapaciteta za praćenje POPs-ova u okolišu i ljudima, uključujući nove POPs-ove</w:t>
            </w:r>
          </w:p>
        </w:tc>
      </w:tr>
      <w:tr w:rsidR="00D84719" w:rsidRPr="00D84719" w14:paraId="7B25ADA2" w14:textId="77777777" w:rsidTr="00F831D6">
        <w:trPr>
          <w:jc w:val="center"/>
        </w:trPr>
        <w:tc>
          <w:tcPr>
            <w:tcW w:w="2694" w:type="dxa"/>
            <w:shd w:val="clear" w:color="auto" w:fill="auto"/>
            <w:vAlign w:val="center"/>
          </w:tcPr>
          <w:p w14:paraId="4B123A14" w14:textId="77777777" w:rsidR="00D84719" w:rsidRPr="00D84719" w:rsidRDefault="00D84719" w:rsidP="00D84719">
            <w:pPr>
              <w:autoSpaceDE w:val="0"/>
              <w:autoSpaceDN w:val="0"/>
              <w:adjustRightInd w:val="0"/>
              <w:spacing w:after="0" w:line="240" w:lineRule="auto"/>
              <w:rPr>
                <w:rFonts w:ascii="Times New Roman" w:eastAsia="Calibri" w:hAnsi="Times New Roman" w:cs="Times New Roman"/>
                <w:color w:val="000000"/>
                <w:sz w:val="20"/>
                <w:szCs w:val="20"/>
              </w:rPr>
            </w:pPr>
            <w:r w:rsidRPr="00D84719">
              <w:rPr>
                <w:rFonts w:ascii="Times New Roman" w:eastAsia="Calibri" w:hAnsi="Times New Roman" w:cs="Times New Roman"/>
                <w:color w:val="000000"/>
                <w:sz w:val="20"/>
                <w:szCs w:val="20"/>
              </w:rPr>
              <w:t>Mjera 1.1: Nastaviti s razvojem istraživačkih programa za učinkovitiju kontrolu i praćenje POPs-ova u okolišu i procjenu utjecaja na ljude</w:t>
            </w:r>
          </w:p>
        </w:tc>
        <w:tc>
          <w:tcPr>
            <w:tcW w:w="3344" w:type="dxa"/>
            <w:shd w:val="clear" w:color="auto" w:fill="auto"/>
            <w:vAlign w:val="center"/>
          </w:tcPr>
          <w:p w14:paraId="154AEC02" w14:textId="77777777" w:rsidR="00D84719" w:rsidRPr="00D84719" w:rsidRDefault="00D84719" w:rsidP="007B366A">
            <w:pPr>
              <w:spacing w:after="0" w:line="240" w:lineRule="auto"/>
              <w:jc w:val="center"/>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MZO (MINGOR, MP, HZJZ, FZOEU)</w:t>
            </w:r>
          </w:p>
        </w:tc>
        <w:tc>
          <w:tcPr>
            <w:tcW w:w="1675" w:type="dxa"/>
            <w:shd w:val="clear" w:color="auto" w:fill="auto"/>
            <w:vAlign w:val="center"/>
          </w:tcPr>
          <w:p w14:paraId="764CBAED" w14:textId="77777777" w:rsidR="00D84719" w:rsidRPr="00D84719" w:rsidRDefault="00D84719" w:rsidP="00D84719">
            <w:pPr>
              <w:spacing w:after="0" w:line="240" w:lineRule="auto"/>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kontinuirano</w:t>
            </w:r>
          </w:p>
        </w:tc>
        <w:tc>
          <w:tcPr>
            <w:tcW w:w="1643" w:type="dxa"/>
            <w:shd w:val="clear" w:color="auto" w:fill="auto"/>
            <w:vAlign w:val="center"/>
          </w:tcPr>
          <w:p w14:paraId="78AC0AC2" w14:textId="77777777" w:rsidR="00D84719" w:rsidRPr="00D84719" w:rsidRDefault="00D84719" w:rsidP="007B366A">
            <w:pPr>
              <w:spacing w:after="0" w:line="240" w:lineRule="auto"/>
              <w:jc w:val="center"/>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U okviru redovnih sredstava osiguranih za obavljanje aktivnosti pojedinih institucija</w:t>
            </w:r>
          </w:p>
        </w:tc>
      </w:tr>
      <w:tr w:rsidR="00D84719" w:rsidRPr="00D84719" w14:paraId="6EDF0258" w14:textId="77777777" w:rsidTr="00F831D6">
        <w:trPr>
          <w:trHeight w:val="108"/>
          <w:jc w:val="center"/>
        </w:trPr>
        <w:tc>
          <w:tcPr>
            <w:tcW w:w="2694" w:type="dxa"/>
            <w:shd w:val="clear" w:color="auto" w:fill="auto"/>
            <w:vAlign w:val="center"/>
          </w:tcPr>
          <w:p w14:paraId="6F83151D" w14:textId="77777777" w:rsidR="00D84719" w:rsidRPr="00D84719" w:rsidRDefault="00D84719" w:rsidP="00D84719">
            <w:pPr>
              <w:spacing w:after="0" w:line="240" w:lineRule="auto"/>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rPr>
              <w:t xml:space="preserve">Mjera 1.2: Osigurati uvjete dostatne opremljenosti neophodne za provođenje </w:t>
            </w:r>
            <w:r w:rsidRPr="00D84719">
              <w:rPr>
                <w:rFonts w:ascii="Times New Roman" w:eastAsia="Times New Roman" w:hAnsi="Times New Roman" w:cs="Times New Roman"/>
                <w:color w:val="000000"/>
                <w:sz w:val="20"/>
                <w:szCs w:val="20"/>
              </w:rPr>
              <w:lastRenderedPageBreak/>
              <w:t xml:space="preserve">aktivnosti istraživanja, razvoja i praćenja </w:t>
            </w:r>
          </w:p>
        </w:tc>
        <w:tc>
          <w:tcPr>
            <w:tcW w:w="3344" w:type="dxa"/>
            <w:shd w:val="clear" w:color="auto" w:fill="auto"/>
            <w:vAlign w:val="center"/>
          </w:tcPr>
          <w:p w14:paraId="12CDDDB8" w14:textId="77777777" w:rsidR="00D84719" w:rsidRPr="00D84719" w:rsidRDefault="00D84719" w:rsidP="007B366A">
            <w:pPr>
              <w:spacing w:after="0" w:line="240" w:lineRule="auto"/>
              <w:ind w:right="-45"/>
              <w:jc w:val="center"/>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lastRenderedPageBreak/>
              <w:t>MZO</w:t>
            </w:r>
            <w:r w:rsidR="00612979">
              <w:rPr>
                <w:rFonts w:ascii="Times New Roman" w:eastAsia="Times New Roman" w:hAnsi="Times New Roman" w:cs="Times New Roman"/>
                <w:color w:val="000000"/>
                <w:sz w:val="20"/>
                <w:szCs w:val="20"/>
              </w:rPr>
              <w:t xml:space="preserve"> </w:t>
            </w:r>
            <w:r w:rsidRPr="00D84719">
              <w:rPr>
                <w:rFonts w:ascii="Times New Roman" w:eastAsia="Times New Roman" w:hAnsi="Times New Roman" w:cs="Times New Roman"/>
                <w:color w:val="000000"/>
                <w:sz w:val="20"/>
                <w:szCs w:val="20"/>
              </w:rPr>
              <w:t>(MINGOR, ostale institucije i organizacije nadležne za provođenje specifičnih istraživanja i praćenja)</w:t>
            </w:r>
          </w:p>
        </w:tc>
        <w:tc>
          <w:tcPr>
            <w:tcW w:w="1675" w:type="dxa"/>
            <w:shd w:val="clear" w:color="auto" w:fill="auto"/>
            <w:vAlign w:val="center"/>
          </w:tcPr>
          <w:p w14:paraId="7EBF89C5" w14:textId="77777777" w:rsidR="00D84719" w:rsidRPr="00D84719" w:rsidRDefault="00D84719" w:rsidP="00D84719">
            <w:pPr>
              <w:spacing w:after="0" w:line="276" w:lineRule="auto"/>
              <w:ind w:right="-44"/>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kontinuirano</w:t>
            </w:r>
          </w:p>
        </w:tc>
        <w:tc>
          <w:tcPr>
            <w:tcW w:w="1643" w:type="dxa"/>
            <w:shd w:val="clear" w:color="auto" w:fill="auto"/>
            <w:vAlign w:val="center"/>
          </w:tcPr>
          <w:p w14:paraId="15155809" w14:textId="77777777" w:rsidR="00D84719" w:rsidRPr="00D84719" w:rsidRDefault="00D84719" w:rsidP="007B366A">
            <w:pPr>
              <w:spacing w:after="0" w:line="240" w:lineRule="auto"/>
              <w:jc w:val="center"/>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 xml:space="preserve">Troškovi ove mjere bit će utvrđeni po </w:t>
            </w:r>
            <w:r w:rsidRPr="00D84719">
              <w:rPr>
                <w:rFonts w:ascii="Times New Roman" w:eastAsia="Times New Roman" w:hAnsi="Times New Roman" w:cs="Times New Roman"/>
                <w:color w:val="000000"/>
                <w:sz w:val="20"/>
                <w:szCs w:val="20"/>
              </w:rPr>
              <w:lastRenderedPageBreak/>
              <w:t>izradi/dopuni pojedinih programa</w:t>
            </w:r>
          </w:p>
        </w:tc>
      </w:tr>
      <w:tr w:rsidR="00D84719" w:rsidRPr="00D84719" w14:paraId="06240D7E" w14:textId="77777777" w:rsidTr="00F831D6">
        <w:trPr>
          <w:trHeight w:val="108"/>
          <w:jc w:val="center"/>
        </w:trPr>
        <w:tc>
          <w:tcPr>
            <w:tcW w:w="9356" w:type="dxa"/>
            <w:gridSpan w:val="4"/>
            <w:shd w:val="clear" w:color="auto" w:fill="auto"/>
            <w:vAlign w:val="center"/>
          </w:tcPr>
          <w:p w14:paraId="7C69E932"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rPr>
            </w:pPr>
            <w:r w:rsidRPr="00D84719">
              <w:rPr>
                <w:rFonts w:ascii="Times New Roman" w:eastAsia="Times New Roman" w:hAnsi="Times New Roman" w:cs="Times New Roman"/>
                <w:b/>
                <w:i/>
                <w:color w:val="000000"/>
                <w:sz w:val="20"/>
                <w:szCs w:val="20"/>
              </w:rPr>
              <w:lastRenderedPageBreak/>
              <w:t>Specifični cilj 2:</w:t>
            </w:r>
            <w:r w:rsidRPr="00D84719">
              <w:rPr>
                <w:rFonts w:ascii="Times New Roman" w:eastAsia="Times New Roman" w:hAnsi="Times New Roman" w:cs="Times New Roman"/>
                <w:color w:val="000000"/>
                <w:sz w:val="20"/>
                <w:szCs w:val="20"/>
              </w:rPr>
              <w:t xml:space="preserve"> </w:t>
            </w:r>
            <w:r w:rsidRPr="00D84719">
              <w:rPr>
                <w:rFonts w:ascii="Times New Roman" w:eastAsia="Times New Roman" w:hAnsi="Times New Roman" w:cs="Times New Roman"/>
                <w:b/>
                <w:i/>
                <w:color w:val="000000"/>
                <w:sz w:val="20"/>
                <w:szCs w:val="20"/>
              </w:rPr>
              <w:t>Praćenje</w:t>
            </w:r>
            <w:r w:rsidRPr="00D84719">
              <w:rPr>
                <w:rFonts w:ascii="Times New Roman" w:eastAsia="Times New Roman" w:hAnsi="Times New Roman" w:cs="Times New Roman"/>
                <w:i/>
                <w:color w:val="000000"/>
                <w:sz w:val="20"/>
                <w:szCs w:val="20"/>
              </w:rPr>
              <w:t xml:space="preserve"> </w:t>
            </w:r>
            <w:r w:rsidRPr="00D84719">
              <w:rPr>
                <w:rFonts w:ascii="Times New Roman" w:eastAsia="Times New Roman" w:hAnsi="Times New Roman" w:cs="Times New Roman"/>
                <w:b/>
                <w:i/>
                <w:color w:val="000000"/>
                <w:sz w:val="20"/>
                <w:szCs w:val="20"/>
              </w:rPr>
              <w:t>POPs-ova u okolišu i ljudima, uključujući nove POPs-ove</w:t>
            </w:r>
          </w:p>
        </w:tc>
      </w:tr>
      <w:tr w:rsidR="00D84719" w:rsidRPr="00D84719" w14:paraId="70AA41B7" w14:textId="77777777" w:rsidTr="00F831D6">
        <w:trPr>
          <w:trHeight w:val="108"/>
          <w:jc w:val="center"/>
        </w:trPr>
        <w:tc>
          <w:tcPr>
            <w:tcW w:w="2694" w:type="dxa"/>
            <w:shd w:val="clear" w:color="auto" w:fill="auto"/>
            <w:vAlign w:val="center"/>
          </w:tcPr>
          <w:p w14:paraId="302644A9" w14:textId="77777777" w:rsidR="00D84719" w:rsidRPr="00D84719" w:rsidRDefault="00D84719" w:rsidP="00D84719">
            <w:pPr>
              <w:spacing w:after="0" w:line="240" w:lineRule="auto"/>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 xml:space="preserve">Mjera 2.1: Nastaviti s provođenjem praćenja prema dopunjenim/proširenim programima </w:t>
            </w:r>
          </w:p>
        </w:tc>
        <w:tc>
          <w:tcPr>
            <w:tcW w:w="3344" w:type="dxa"/>
            <w:shd w:val="clear" w:color="auto" w:fill="auto"/>
            <w:vAlign w:val="center"/>
          </w:tcPr>
          <w:p w14:paraId="4724CF7A" w14:textId="77777777" w:rsidR="00D84719" w:rsidRPr="00D84719" w:rsidRDefault="00D84719" w:rsidP="007B366A">
            <w:pPr>
              <w:jc w:val="center"/>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 xml:space="preserve">MINGOR, </w:t>
            </w:r>
            <w:r w:rsidR="00CD3A30" w:rsidRPr="00D84719">
              <w:rPr>
                <w:rFonts w:ascii="Times New Roman" w:eastAsia="Times New Roman" w:hAnsi="Times New Roman" w:cs="Times New Roman"/>
                <w:color w:val="000000"/>
                <w:sz w:val="20"/>
                <w:szCs w:val="20"/>
              </w:rPr>
              <w:t>MIZ</w:t>
            </w:r>
            <w:r w:rsidR="00CD3A30">
              <w:rPr>
                <w:rFonts w:ascii="Times New Roman" w:eastAsia="Times New Roman" w:hAnsi="Times New Roman" w:cs="Times New Roman"/>
                <w:color w:val="000000"/>
                <w:sz w:val="20"/>
                <w:szCs w:val="20"/>
              </w:rPr>
              <w:t xml:space="preserve"> </w:t>
            </w:r>
            <w:r w:rsidR="00612979">
              <w:rPr>
                <w:rFonts w:ascii="Times New Roman" w:eastAsia="Times New Roman" w:hAnsi="Times New Roman" w:cs="Times New Roman"/>
                <w:color w:val="000000"/>
                <w:sz w:val="20"/>
                <w:szCs w:val="20"/>
              </w:rPr>
              <w:t xml:space="preserve"> </w:t>
            </w:r>
            <w:r w:rsidRPr="00D84719">
              <w:rPr>
                <w:rFonts w:ascii="Times New Roman" w:eastAsia="Times New Roman" w:hAnsi="Times New Roman" w:cs="Times New Roman"/>
                <w:color w:val="000000"/>
                <w:sz w:val="20"/>
                <w:szCs w:val="20"/>
              </w:rPr>
              <w:t>(MP, HZJZ, MZO, HV, HAPIH, FZOEU)</w:t>
            </w:r>
          </w:p>
        </w:tc>
        <w:tc>
          <w:tcPr>
            <w:tcW w:w="1675" w:type="dxa"/>
            <w:shd w:val="clear" w:color="auto" w:fill="auto"/>
            <w:vAlign w:val="center"/>
          </w:tcPr>
          <w:p w14:paraId="6A384B1E" w14:textId="77777777" w:rsidR="00D84719" w:rsidRPr="00D84719" w:rsidRDefault="00D84719" w:rsidP="00D84719">
            <w:pPr>
              <w:spacing w:after="0" w:line="276" w:lineRule="auto"/>
              <w:ind w:right="-44"/>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kontinuirano</w:t>
            </w:r>
          </w:p>
        </w:tc>
        <w:tc>
          <w:tcPr>
            <w:tcW w:w="1643" w:type="dxa"/>
            <w:shd w:val="clear" w:color="auto" w:fill="auto"/>
            <w:vAlign w:val="center"/>
          </w:tcPr>
          <w:p w14:paraId="0CA6A8E6" w14:textId="77777777" w:rsidR="00D84719" w:rsidRPr="00D84719" w:rsidRDefault="00D84719" w:rsidP="007B366A">
            <w:pPr>
              <w:spacing w:after="0" w:line="240" w:lineRule="auto"/>
              <w:jc w:val="center"/>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rPr>
              <w:t>Troškovi ove mjere bit će utvrđeni po izradi/dopuni pojedinih programa</w:t>
            </w:r>
          </w:p>
        </w:tc>
      </w:tr>
      <w:tr w:rsidR="00D84719" w:rsidRPr="00D84719" w14:paraId="54BAED8E" w14:textId="77777777" w:rsidTr="00F831D6">
        <w:trPr>
          <w:trHeight w:val="465"/>
          <w:jc w:val="center"/>
        </w:trPr>
        <w:tc>
          <w:tcPr>
            <w:tcW w:w="2694" w:type="dxa"/>
            <w:shd w:val="clear" w:color="auto" w:fill="auto"/>
            <w:vAlign w:val="center"/>
          </w:tcPr>
          <w:p w14:paraId="4EA7F23B" w14:textId="77777777" w:rsidR="00D84719" w:rsidRPr="00D84719" w:rsidRDefault="00D84719" w:rsidP="00D84719">
            <w:pPr>
              <w:spacing w:after="0" w:line="240" w:lineRule="auto"/>
              <w:rPr>
                <w:rFonts w:ascii="Times New Roman" w:eastAsia="Symbol" w:hAnsi="Times New Roman" w:cs="Times New Roman"/>
                <w:b/>
                <w:color w:val="000000"/>
                <w:sz w:val="20"/>
                <w:szCs w:val="20"/>
              </w:rPr>
            </w:pPr>
            <w:r w:rsidRPr="00D84719">
              <w:rPr>
                <w:rFonts w:ascii="Times New Roman" w:eastAsia="Symbol" w:hAnsi="Times New Roman" w:cs="Times New Roman"/>
                <w:b/>
                <w:color w:val="000000"/>
                <w:sz w:val="20"/>
                <w:szCs w:val="20"/>
              </w:rPr>
              <w:t>UKUPNO</w:t>
            </w:r>
          </w:p>
        </w:tc>
        <w:tc>
          <w:tcPr>
            <w:tcW w:w="3344" w:type="dxa"/>
            <w:shd w:val="clear" w:color="auto" w:fill="auto"/>
            <w:vAlign w:val="center"/>
          </w:tcPr>
          <w:p w14:paraId="1C0498E1" w14:textId="77777777" w:rsidR="00D84719" w:rsidRPr="00D84719" w:rsidRDefault="00D84719" w:rsidP="00D84719">
            <w:pPr>
              <w:spacing w:after="0" w:line="240" w:lineRule="auto"/>
              <w:jc w:val="both"/>
              <w:rPr>
                <w:rFonts w:ascii="Times New Roman" w:eastAsia="Times New Roman" w:hAnsi="Times New Roman" w:cs="Times New Roman"/>
                <w:b/>
                <w:color w:val="000000"/>
                <w:sz w:val="20"/>
                <w:szCs w:val="20"/>
              </w:rPr>
            </w:pPr>
          </w:p>
        </w:tc>
        <w:tc>
          <w:tcPr>
            <w:tcW w:w="1675" w:type="dxa"/>
            <w:shd w:val="clear" w:color="auto" w:fill="auto"/>
            <w:vAlign w:val="center"/>
          </w:tcPr>
          <w:p w14:paraId="7769A23D" w14:textId="77777777" w:rsidR="00D84719" w:rsidRPr="00D84719" w:rsidRDefault="00D84719" w:rsidP="00D84719">
            <w:pPr>
              <w:spacing w:after="0" w:line="240" w:lineRule="auto"/>
              <w:jc w:val="both"/>
              <w:rPr>
                <w:rFonts w:ascii="Times New Roman" w:eastAsia="Times New Roman" w:hAnsi="Times New Roman" w:cs="Times New Roman"/>
                <w:b/>
                <w:color w:val="000000"/>
                <w:sz w:val="20"/>
                <w:szCs w:val="20"/>
              </w:rPr>
            </w:pPr>
          </w:p>
        </w:tc>
        <w:tc>
          <w:tcPr>
            <w:tcW w:w="1643" w:type="dxa"/>
            <w:shd w:val="clear" w:color="auto" w:fill="auto"/>
            <w:vAlign w:val="center"/>
          </w:tcPr>
          <w:p w14:paraId="2A81E856" w14:textId="77777777" w:rsidR="00D84719" w:rsidRPr="00D84719" w:rsidRDefault="00D84719" w:rsidP="007B366A">
            <w:pPr>
              <w:spacing w:after="0" w:line="240" w:lineRule="auto"/>
              <w:jc w:val="center"/>
              <w:rPr>
                <w:rFonts w:ascii="Times New Roman" w:eastAsia="Times New Roman" w:hAnsi="Times New Roman" w:cs="Times New Roman"/>
                <w:b/>
                <w:color w:val="000000"/>
                <w:sz w:val="20"/>
                <w:szCs w:val="20"/>
              </w:rPr>
            </w:pPr>
            <w:r w:rsidRPr="00D84719">
              <w:rPr>
                <w:rFonts w:ascii="Times New Roman" w:eastAsia="Times New Roman" w:hAnsi="Times New Roman" w:cs="Times New Roman"/>
                <w:b/>
                <w:color w:val="000000"/>
                <w:sz w:val="20"/>
                <w:szCs w:val="20"/>
              </w:rPr>
              <w:t>Ukupna sredstva trenutno nije moguće procijeniti</w:t>
            </w:r>
          </w:p>
        </w:tc>
      </w:tr>
    </w:tbl>
    <w:p w14:paraId="223830E9" w14:textId="77777777" w:rsidR="00D84719" w:rsidRPr="00D84719" w:rsidRDefault="00D84719" w:rsidP="00D84719">
      <w:pPr>
        <w:spacing w:before="80" w:line="276" w:lineRule="auto"/>
        <w:jc w:val="both"/>
        <w:rPr>
          <w:rFonts w:ascii="Times New Roman" w:eastAsia="Times New Roman" w:hAnsi="Times New Roman" w:cs="Times New Roman"/>
          <w:color w:val="000000"/>
          <w:szCs w:val="24"/>
          <w:lang w:bidi="en-US"/>
        </w:rPr>
      </w:pPr>
    </w:p>
    <w:p w14:paraId="60B929B1"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 xml:space="preserve">Sažetak informacija o postojećoj razini istraživačkih i razvojnih programa te praćenje POPs-ova. </w:t>
      </w:r>
    </w:p>
    <w:p w14:paraId="3A815D58"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Definirati ciljeve aktivnosti/plana u ovisnosti o rezultatima inventara te provedbu potrebnih mjera, dionike/nositelje, vremenski plan i troškove provedbe mjera.</w:t>
      </w:r>
    </w:p>
    <w:p w14:paraId="0FE6BDFB"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Mjere s ciljem stvaranja kvalitetnijeg i cjelovitijeg praćenja razina POPs-ova (razina u okolišu i praćenja njihovog uklanjanja):</w:t>
      </w:r>
    </w:p>
    <w:p w14:paraId="221304D3" w14:textId="77777777" w:rsidR="00D84719" w:rsidRP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zakonski okvir za stvaranje uvjeta potrebnih za praćenje zaliha, otpada, opreme i razina u okolišu</w:t>
      </w:r>
    </w:p>
    <w:p w14:paraId="4EACE6CC" w14:textId="77777777" w:rsidR="00D84719" w:rsidRP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pregled dostupnih nacionalnih kapaciteta i resursa za praćenje</w:t>
      </w:r>
    </w:p>
    <w:p w14:paraId="5A1EF946" w14:textId="77777777" w:rsidR="00D84719" w:rsidRP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razvoj nacionalnih, regionalnih i lokalnih institucija nadležnih za praćenje (lokacije, medij, učestalost uzorkovanja) i širenje podataka o rezultatima praćenja POPs-ova</w:t>
      </w:r>
    </w:p>
    <w:p w14:paraId="714DD21C" w14:textId="77777777" w:rsidR="00D84719" w:rsidRP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zahtjevi za kapitalnim investicijama, za područja kojima je potrebno povećanje investicija za potrebe implementacije aktivnosti/planova, odnosno za potrebu dopunjavanja nacionalnog inventara POPs-ova (reorganizacija praćenja, nabavka opreme, edukacija osoblja).</w:t>
      </w:r>
    </w:p>
    <w:p w14:paraId="51827AA6"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p>
    <w:p w14:paraId="15A82386" w14:textId="77777777" w:rsidR="00D84719" w:rsidRPr="00D84719" w:rsidRDefault="00D84719" w:rsidP="00C74901">
      <w:pPr>
        <w:pStyle w:val="Naslov3"/>
      </w:pPr>
      <w:bookmarkStart w:id="340" w:name="_Toc40439475"/>
      <w:bookmarkStart w:id="341" w:name="_Toc50635645"/>
      <w:bookmarkStart w:id="342" w:name="_Toc64460796"/>
      <w:r w:rsidRPr="00D84719">
        <w:t>Aktivnost: Tehnička i financijska pomoć (Članci 12. i 13.)</w:t>
      </w:r>
      <w:bookmarkEnd w:id="340"/>
      <w:bookmarkEnd w:id="341"/>
      <w:bookmarkEnd w:id="342"/>
    </w:p>
    <w:p w14:paraId="6E6790C3" w14:textId="77777777" w:rsidR="00D84719" w:rsidRPr="00D84719" w:rsidRDefault="00D84719" w:rsidP="00D84719">
      <w:pPr>
        <w:spacing w:before="80" w:line="276" w:lineRule="auto"/>
        <w:jc w:val="both"/>
        <w:rPr>
          <w:rFonts w:ascii="Times New Roman" w:eastAsia="Times New Roman" w:hAnsi="Times New Roman" w:cs="Times New Roman"/>
          <w:color w:val="000000"/>
          <w:szCs w:val="24"/>
          <w:lang w:bidi="en-US"/>
        </w:rPr>
      </w:pPr>
      <w:r w:rsidRPr="00D84719">
        <w:rPr>
          <w:rFonts w:ascii="Times New Roman" w:eastAsia="Times New Roman" w:hAnsi="Times New Roman" w:cs="Times New Roman"/>
          <w:color w:val="000000"/>
          <w:szCs w:val="24"/>
          <w:lang w:bidi="en-US"/>
        </w:rPr>
        <w:t xml:space="preserve">Uvjeti za uspješnu provedbu NIP-a su osiguranje potrebnih sredstava u okviru državnog proračuna, </w:t>
      </w:r>
      <w:r w:rsidRPr="00D84719">
        <w:rPr>
          <w:rFonts w:ascii="Times New Roman" w:eastAsia="Calibri" w:hAnsi="Times New Roman" w:cs="Times New Roman"/>
          <w:sz w:val="20"/>
          <w:szCs w:val="20"/>
        </w:rPr>
        <w:t>JLP(R)S</w:t>
      </w:r>
      <w:r w:rsidRPr="00D84719">
        <w:rPr>
          <w:rFonts w:ascii="Times New Roman" w:eastAsia="Times New Roman" w:hAnsi="Times New Roman" w:cs="Times New Roman"/>
          <w:color w:val="000000"/>
          <w:szCs w:val="24"/>
          <w:lang w:bidi="en-US"/>
        </w:rPr>
        <w:t>-a, vlastitih izvora financiranja obveznika provedbe, ili nekih drugih oblika financiranja/sufinanciranja temeljem procjena i planiranih aktivnosti.</w:t>
      </w:r>
    </w:p>
    <w:p w14:paraId="162974D0" w14:textId="77777777" w:rsidR="00D84719" w:rsidRPr="00D84719" w:rsidRDefault="00D84719" w:rsidP="00D84719">
      <w:pPr>
        <w:spacing w:before="80" w:line="276" w:lineRule="auto"/>
        <w:jc w:val="both"/>
        <w:rPr>
          <w:rFonts w:ascii="Times New Roman" w:eastAsia="Times New Roman" w:hAnsi="Times New Roman" w:cs="Times New Roman"/>
          <w:color w:val="000000"/>
          <w:szCs w:val="24"/>
          <w:lang w:bidi="en-US"/>
        </w:rPr>
      </w:pPr>
    </w:p>
    <w:p w14:paraId="4F731FA9" w14:textId="77777777" w:rsidR="00D84719" w:rsidRPr="00D84719" w:rsidRDefault="00D84719" w:rsidP="00C74901">
      <w:pPr>
        <w:pStyle w:val="Naslov2"/>
        <w:rPr>
          <w:lang w:bidi="en-US"/>
        </w:rPr>
      </w:pPr>
      <w:bookmarkStart w:id="343" w:name="_Toc40439476"/>
      <w:bookmarkStart w:id="344" w:name="_Toc50635646"/>
      <w:bookmarkStart w:id="345" w:name="_Toc64460797"/>
      <w:r w:rsidRPr="00D84719">
        <w:rPr>
          <w:lang w:bidi="en-US"/>
        </w:rPr>
        <w:t>Područja u kojima je potrebno jačanje trenutnih kapaciteta</w:t>
      </w:r>
      <w:bookmarkEnd w:id="343"/>
      <w:bookmarkEnd w:id="344"/>
      <w:bookmarkEnd w:id="345"/>
    </w:p>
    <w:p w14:paraId="0E9276E8"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Područja u kojima je potrebno jačanje trenutnih kapaciteta definirana su u prikazu pojedinih aktivnosti u sklopu poglavlja 4.3.</w:t>
      </w:r>
    </w:p>
    <w:p w14:paraId="23E853F6"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Kao prioriteti mogu se izdvojiti:</w:t>
      </w:r>
    </w:p>
    <w:p w14:paraId="22E9C841" w14:textId="77777777" w:rsidR="00D84719" w:rsidRPr="00FD0A00" w:rsidRDefault="00D84719" w:rsidP="00FD0A00">
      <w:pPr>
        <w:pStyle w:val="Odlomakpopisa"/>
        <w:numPr>
          <w:ilvl w:val="0"/>
          <w:numId w:val="44"/>
        </w:numPr>
        <w:spacing w:before="80" w:line="276" w:lineRule="auto"/>
        <w:ind w:left="426"/>
        <w:jc w:val="both"/>
        <w:rPr>
          <w:rFonts w:ascii="Times New Roman" w:eastAsia="Times New Roman" w:hAnsi="Times New Roman" w:cs="Times New Roman"/>
          <w:color w:val="000000"/>
          <w:sz w:val="24"/>
          <w:szCs w:val="24"/>
          <w:lang w:bidi="en-US"/>
        </w:rPr>
      </w:pPr>
      <w:r w:rsidRPr="00FD0A00">
        <w:rPr>
          <w:rFonts w:ascii="Times New Roman" w:eastAsia="Times New Roman" w:hAnsi="Times New Roman" w:cs="Times New Roman"/>
          <w:color w:val="000000"/>
          <w:sz w:val="24"/>
          <w:szCs w:val="24"/>
          <w:lang w:bidi="en-US"/>
        </w:rPr>
        <w:lastRenderedPageBreak/>
        <w:t>Jačanje kapaciteta u cilju nastavljanja procesa inventarizacije i praćenja s ciljem izvještavanja prema Tajništvu Stockholmske konvencije</w:t>
      </w:r>
    </w:p>
    <w:p w14:paraId="7DB42ED1" w14:textId="77777777" w:rsidR="00D84719" w:rsidRDefault="00D84719" w:rsidP="00FD0A00">
      <w:pPr>
        <w:numPr>
          <w:ilvl w:val="0"/>
          <w:numId w:val="45"/>
        </w:numPr>
        <w:tabs>
          <w:tab w:val="left" w:pos="1755"/>
        </w:tabs>
        <w:autoSpaceDE w:val="0"/>
        <w:autoSpaceDN w:val="0"/>
        <w:adjustRightInd w:val="0"/>
        <w:spacing w:before="80" w:after="0" w:line="240" w:lineRule="auto"/>
        <w:ind w:left="851"/>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utvrđena je potreba za učinkovitijim postupcima inventarizacije, posebice u području odlagališta, divljih odlagališta i mogućih onečišćenih lokacija.</w:t>
      </w:r>
    </w:p>
    <w:p w14:paraId="0474F387" w14:textId="77777777" w:rsidR="00FD0A00" w:rsidRPr="00D84719" w:rsidRDefault="00FD0A00" w:rsidP="00FD0A00">
      <w:pPr>
        <w:tabs>
          <w:tab w:val="left" w:pos="1755"/>
        </w:tabs>
        <w:autoSpaceDE w:val="0"/>
        <w:autoSpaceDN w:val="0"/>
        <w:adjustRightInd w:val="0"/>
        <w:spacing w:before="80" w:after="0" w:line="240" w:lineRule="auto"/>
        <w:ind w:left="851"/>
        <w:jc w:val="both"/>
        <w:rPr>
          <w:rFonts w:ascii="Times New Roman" w:eastAsia="Calibri" w:hAnsi="Times New Roman" w:cs="Times New Roman"/>
          <w:sz w:val="24"/>
          <w:lang w:bidi="en-US"/>
        </w:rPr>
      </w:pPr>
    </w:p>
    <w:p w14:paraId="15AF2F3A" w14:textId="77777777" w:rsidR="00D84719" w:rsidRPr="00FD0A00" w:rsidRDefault="00D84719" w:rsidP="00FD0A00">
      <w:pPr>
        <w:pStyle w:val="Odlomakpopisa"/>
        <w:numPr>
          <w:ilvl w:val="0"/>
          <w:numId w:val="44"/>
        </w:numPr>
        <w:spacing w:before="80" w:line="276" w:lineRule="auto"/>
        <w:ind w:left="426"/>
        <w:jc w:val="both"/>
        <w:rPr>
          <w:rFonts w:ascii="Times New Roman" w:eastAsia="Times New Roman" w:hAnsi="Times New Roman" w:cs="Times New Roman"/>
          <w:color w:val="000000"/>
          <w:sz w:val="24"/>
          <w:szCs w:val="24"/>
          <w:lang w:bidi="en-US"/>
        </w:rPr>
      </w:pPr>
      <w:r w:rsidRPr="00FD0A00">
        <w:rPr>
          <w:rFonts w:ascii="Times New Roman" w:eastAsia="Times New Roman" w:hAnsi="Times New Roman" w:cs="Times New Roman"/>
          <w:color w:val="000000"/>
          <w:sz w:val="24"/>
          <w:szCs w:val="24"/>
          <w:lang w:bidi="en-US"/>
        </w:rPr>
        <w:t>Unaprjeđenje svijesti javnosti i razine obrazovanja</w:t>
      </w:r>
    </w:p>
    <w:p w14:paraId="7CB38BD9" w14:textId="77777777" w:rsidR="00D84719" w:rsidRDefault="00D84719" w:rsidP="00FD0A00">
      <w:pPr>
        <w:numPr>
          <w:ilvl w:val="0"/>
          <w:numId w:val="4"/>
        </w:numPr>
        <w:tabs>
          <w:tab w:val="left" w:pos="1755"/>
        </w:tabs>
        <w:autoSpaceDE w:val="0"/>
        <w:autoSpaceDN w:val="0"/>
        <w:adjustRightInd w:val="0"/>
        <w:spacing w:before="80" w:after="0" w:line="240" w:lineRule="auto"/>
        <w:ind w:left="851"/>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razina svijesti javnosti o utjecaju POPs-ova na ljude i okoliš nije na zadovoljavajućoj razini, što može rezultirati nepravilnim rukovanjem opremom, proizvodima, ili postupanjem otpadom koji sadrži POPs-ove</w:t>
      </w:r>
    </w:p>
    <w:p w14:paraId="0F09047D" w14:textId="77777777" w:rsidR="00FD0A00" w:rsidRPr="00D84719" w:rsidRDefault="00FD0A00" w:rsidP="00FD0A00">
      <w:pPr>
        <w:tabs>
          <w:tab w:val="left" w:pos="1755"/>
        </w:tabs>
        <w:autoSpaceDE w:val="0"/>
        <w:autoSpaceDN w:val="0"/>
        <w:adjustRightInd w:val="0"/>
        <w:spacing w:before="80" w:after="0" w:line="240" w:lineRule="auto"/>
        <w:ind w:left="851"/>
        <w:jc w:val="both"/>
        <w:rPr>
          <w:rFonts w:ascii="Times New Roman" w:eastAsia="Calibri" w:hAnsi="Times New Roman" w:cs="Times New Roman"/>
          <w:sz w:val="24"/>
          <w:lang w:bidi="en-US"/>
        </w:rPr>
      </w:pPr>
    </w:p>
    <w:p w14:paraId="67FDDE3D" w14:textId="77777777" w:rsidR="00D84719" w:rsidRPr="00FD0A00" w:rsidRDefault="00D84719" w:rsidP="00FD0A00">
      <w:pPr>
        <w:pStyle w:val="Odlomakpopisa"/>
        <w:numPr>
          <w:ilvl w:val="0"/>
          <w:numId w:val="44"/>
        </w:numPr>
        <w:spacing w:before="80" w:line="276" w:lineRule="auto"/>
        <w:ind w:left="426"/>
        <w:jc w:val="both"/>
        <w:rPr>
          <w:rFonts w:ascii="Times New Roman" w:eastAsia="Times New Roman" w:hAnsi="Times New Roman" w:cs="Times New Roman"/>
          <w:color w:val="000000"/>
          <w:sz w:val="24"/>
          <w:szCs w:val="24"/>
          <w:lang w:bidi="en-US"/>
        </w:rPr>
      </w:pPr>
      <w:r w:rsidRPr="00FD0A00">
        <w:rPr>
          <w:rFonts w:ascii="Times New Roman" w:eastAsia="Times New Roman" w:hAnsi="Times New Roman" w:cs="Times New Roman"/>
          <w:color w:val="000000"/>
          <w:sz w:val="24"/>
          <w:szCs w:val="24"/>
          <w:lang w:bidi="en-US"/>
        </w:rPr>
        <w:t>Dodatni istraživački programi za učinkovitiju kontrolu i praćenje POPs-ova u okolišu i ljudima</w:t>
      </w:r>
    </w:p>
    <w:p w14:paraId="1143B828" w14:textId="77777777" w:rsidR="00D84719" w:rsidRDefault="00D84719" w:rsidP="00FD0A00">
      <w:pPr>
        <w:numPr>
          <w:ilvl w:val="0"/>
          <w:numId w:val="4"/>
        </w:numPr>
        <w:tabs>
          <w:tab w:val="left" w:pos="1755"/>
        </w:tabs>
        <w:autoSpaceDE w:val="0"/>
        <w:autoSpaceDN w:val="0"/>
        <w:adjustRightInd w:val="0"/>
        <w:spacing w:before="80" w:after="0" w:line="240" w:lineRule="auto"/>
        <w:ind w:left="851"/>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tijekom inventarizacije i procesa revizije NIP-a utvrđena je potreba proširenja istraživačkih programa na tzv. nove POPs-ove.</w:t>
      </w:r>
    </w:p>
    <w:p w14:paraId="6DFCA2E1" w14:textId="77777777" w:rsidR="00FD0A00" w:rsidRPr="00D84719" w:rsidRDefault="00FD0A00" w:rsidP="00FD0A00">
      <w:pPr>
        <w:tabs>
          <w:tab w:val="left" w:pos="1755"/>
        </w:tabs>
        <w:autoSpaceDE w:val="0"/>
        <w:autoSpaceDN w:val="0"/>
        <w:adjustRightInd w:val="0"/>
        <w:spacing w:before="80" w:after="0" w:line="240" w:lineRule="auto"/>
        <w:ind w:left="851"/>
        <w:jc w:val="both"/>
        <w:rPr>
          <w:rFonts w:ascii="Times New Roman" w:eastAsia="Calibri" w:hAnsi="Times New Roman" w:cs="Times New Roman"/>
          <w:sz w:val="24"/>
          <w:lang w:bidi="en-US"/>
        </w:rPr>
      </w:pPr>
    </w:p>
    <w:p w14:paraId="10019577"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Uvjeti za uspješnu provedbu NIP-a su sljedeći:</w:t>
      </w:r>
    </w:p>
    <w:p w14:paraId="27CFB64C" w14:textId="77777777" w:rsidR="00D84719" w:rsidRPr="00D84719" w:rsidRDefault="00D84719" w:rsidP="00FD0A00">
      <w:pPr>
        <w:numPr>
          <w:ilvl w:val="0"/>
          <w:numId w:val="4"/>
        </w:numPr>
        <w:tabs>
          <w:tab w:val="left" w:pos="1755"/>
        </w:tabs>
        <w:autoSpaceDE w:val="0"/>
        <w:autoSpaceDN w:val="0"/>
        <w:adjustRightInd w:val="0"/>
        <w:spacing w:before="80" w:after="0" w:line="240" w:lineRule="auto"/>
        <w:ind w:left="851"/>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osiguranje potrebnih financijskih sredstava temeljem procjena i planova prikazanih aktivnosti/ mjera i</w:t>
      </w:r>
    </w:p>
    <w:p w14:paraId="669140B2" w14:textId="77777777" w:rsidR="00D84719" w:rsidRPr="00D84719" w:rsidRDefault="00D84719" w:rsidP="00FD0A00">
      <w:pPr>
        <w:numPr>
          <w:ilvl w:val="0"/>
          <w:numId w:val="4"/>
        </w:numPr>
        <w:tabs>
          <w:tab w:val="left" w:pos="1755"/>
        </w:tabs>
        <w:autoSpaceDE w:val="0"/>
        <w:autoSpaceDN w:val="0"/>
        <w:adjustRightInd w:val="0"/>
        <w:spacing w:before="80" w:after="0" w:line="240" w:lineRule="auto"/>
        <w:ind w:left="851"/>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uspješna koordinacija svih aktivnosti iz NIP-a.</w:t>
      </w:r>
    </w:p>
    <w:p w14:paraId="6D6BEA9E" w14:textId="77777777" w:rsidR="00D84719" w:rsidRPr="00D84719" w:rsidRDefault="00D84719" w:rsidP="00D84719">
      <w:pPr>
        <w:spacing w:before="80" w:line="276" w:lineRule="auto"/>
        <w:jc w:val="both"/>
        <w:rPr>
          <w:rFonts w:ascii="Times New Roman" w:eastAsia="Times New Roman" w:hAnsi="Times New Roman" w:cs="Times New Roman"/>
          <w:color w:val="000000"/>
          <w:szCs w:val="24"/>
          <w:lang w:bidi="en-US"/>
        </w:rPr>
      </w:pPr>
    </w:p>
    <w:p w14:paraId="60149633" w14:textId="77777777" w:rsidR="00D84719" w:rsidRPr="00D84719" w:rsidRDefault="00D84719" w:rsidP="00C74901">
      <w:pPr>
        <w:pStyle w:val="Naslov2"/>
        <w:rPr>
          <w:lang w:bidi="en-US"/>
        </w:rPr>
      </w:pPr>
      <w:bookmarkStart w:id="346" w:name="_Toc50635647"/>
      <w:bookmarkStart w:id="347" w:name="_Toc64460798"/>
      <w:r w:rsidRPr="00D84719">
        <w:rPr>
          <w:lang w:bidi="en-US"/>
        </w:rPr>
        <w:t>Vremenski plan provedbe NIP-a</w:t>
      </w:r>
      <w:bookmarkEnd w:id="346"/>
      <w:bookmarkEnd w:id="347"/>
    </w:p>
    <w:p w14:paraId="10D30476"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Procjena vremenskog plana temelji se na procjeni vremena potrebnog za provedbu pojedinih mjera i aktivnosti (vidi poglavlje 4.</w:t>
      </w:r>
      <w:r w:rsidR="00F05F33">
        <w:rPr>
          <w:rFonts w:ascii="Times New Roman" w:eastAsia="Times New Roman" w:hAnsi="Times New Roman" w:cs="Times New Roman"/>
          <w:color w:val="000000"/>
          <w:sz w:val="24"/>
          <w:szCs w:val="24"/>
          <w:lang w:bidi="en-US"/>
        </w:rPr>
        <w:t>2</w:t>
      </w:r>
      <w:r w:rsidRPr="00D84719">
        <w:rPr>
          <w:rFonts w:ascii="Times New Roman" w:eastAsia="Times New Roman" w:hAnsi="Times New Roman" w:cs="Times New Roman"/>
          <w:color w:val="000000"/>
          <w:sz w:val="24"/>
          <w:szCs w:val="24"/>
          <w:lang w:bidi="en-US"/>
        </w:rPr>
        <w:t>/4.</w:t>
      </w:r>
      <w:r w:rsidR="00F05F33">
        <w:rPr>
          <w:rFonts w:ascii="Times New Roman" w:eastAsia="Times New Roman" w:hAnsi="Times New Roman" w:cs="Times New Roman"/>
          <w:color w:val="000000"/>
          <w:sz w:val="24"/>
          <w:szCs w:val="24"/>
          <w:lang w:bidi="en-US"/>
        </w:rPr>
        <w:t>3</w:t>
      </w:r>
      <w:r w:rsidRPr="00D84719">
        <w:rPr>
          <w:rFonts w:ascii="Times New Roman" w:eastAsia="Times New Roman" w:hAnsi="Times New Roman" w:cs="Times New Roman"/>
          <w:color w:val="000000"/>
          <w:sz w:val="24"/>
          <w:szCs w:val="24"/>
          <w:lang w:bidi="en-US"/>
        </w:rPr>
        <w:t>).</w:t>
      </w:r>
    </w:p>
    <w:p w14:paraId="0A5EE5DB"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Preklapanjem provedbe pojedinih mjera i aktivnosti za koje je predložen vremenski plan, može se uočiti da se provedba temelji na:</w:t>
      </w:r>
    </w:p>
    <w:p w14:paraId="75A4C4DE" w14:textId="77777777" w:rsidR="00D84719" w:rsidRP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organizacijskoj fazi</w:t>
      </w:r>
    </w:p>
    <w:p w14:paraId="4D216F56" w14:textId="77777777" w:rsidR="00D84719" w:rsidRP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izradi tehničkih uputa, smjernica, postupaka kojima se osigurava primjena zakonskih propisa i</w:t>
      </w:r>
    </w:p>
    <w:p w14:paraId="16B9054B" w14:textId="77777777" w:rsidR="00D84719" w:rsidRDefault="00D84719" w:rsidP="00D84719">
      <w:pPr>
        <w:numPr>
          <w:ilvl w:val="0"/>
          <w:numId w:val="4"/>
        </w:numPr>
        <w:tabs>
          <w:tab w:val="left" w:pos="1755"/>
        </w:tabs>
        <w:autoSpaceDE w:val="0"/>
        <w:autoSpaceDN w:val="0"/>
        <w:adjustRightInd w:val="0"/>
        <w:spacing w:before="80" w:after="0" w:line="240" w:lineRule="auto"/>
        <w:jc w:val="both"/>
        <w:rPr>
          <w:rFonts w:ascii="Times New Roman" w:eastAsia="Calibri" w:hAnsi="Times New Roman" w:cs="Times New Roman"/>
          <w:sz w:val="24"/>
          <w:lang w:bidi="en-US"/>
        </w:rPr>
      </w:pPr>
      <w:r w:rsidRPr="00D84719">
        <w:rPr>
          <w:rFonts w:ascii="Times New Roman" w:eastAsia="Calibri" w:hAnsi="Times New Roman" w:cs="Times New Roman"/>
          <w:sz w:val="24"/>
          <w:lang w:bidi="en-US"/>
        </w:rPr>
        <w:t>samoj provedbi predloženih mjera u akcijskim planovima/aktivnostima i strategijama.</w:t>
      </w:r>
    </w:p>
    <w:p w14:paraId="530CD9EC" w14:textId="77777777" w:rsidR="00FB6C86" w:rsidRPr="00D84719" w:rsidRDefault="00FB6C86" w:rsidP="00FB6C86">
      <w:pPr>
        <w:tabs>
          <w:tab w:val="left" w:pos="1755"/>
        </w:tabs>
        <w:autoSpaceDE w:val="0"/>
        <w:autoSpaceDN w:val="0"/>
        <w:adjustRightInd w:val="0"/>
        <w:spacing w:before="80" w:after="0" w:line="240" w:lineRule="auto"/>
        <w:ind w:left="720"/>
        <w:jc w:val="both"/>
        <w:rPr>
          <w:rFonts w:ascii="Times New Roman" w:eastAsia="Calibri" w:hAnsi="Times New Roman" w:cs="Times New Roman"/>
          <w:sz w:val="24"/>
          <w:lang w:bidi="en-US"/>
        </w:rPr>
      </w:pPr>
    </w:p>
    <w:p w14:paraId="2F111E1C"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Kao kratkoročni cilj ističe se planiranje određenih aktivnosti. Ova faza je vrlo važna jer se u njoj pravilnom organizacijom i pokretanjem pojedinih aktivnosti može osigurati njihova kontinuirana provedba u budućnosti.</w:t>
      </w:r>
    </w:p>
    <w:p w14:paraId="3EBCD6D0"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Kao srednjoročni cilj nameće se nastavak provedbe započetih mjera koji obuhvaća razdoblje pet-deset godina. U dugoročnom razdoblju (deset i više godina) potrebno je kontinuirano nastaviti s aktivnostima koje proizlaze iz pojedinih mjera i aktivnosti. Trajanje tih aktivnosti ovisi o brzini ispunjavanja aktivnosti u srednjoročnom razdoblju.</w:t>
      </w:r>
    </w:p>
    <w:p w14:paraId="6D89BDB4" w14:textId="77777777" w:rsid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lastRenderedPageBreak/>
        <w:t>U nastavku (tablica 4.</w:t>
      </w:r>
      <w:r w:rsidR="00F05F33">
        <w:rPr>
          <w:rFonts w:ascii="Times New Roman" w:eastAsia="Times New Roman" w:hAnsi="Times New Roman" w:cs="Times New Roman"/>
          <w:color w:val="000000"/>
          <w:sz w:val="24"/>
          <w:szCs w:val="24"/>
          <w:lang w:bidi="en-US"/>
        </w:rPr>
        <w:t>4</w:t>
      </w:r>
      <w:r w:rsidRPr="00D84719">
        <w:rPr>
          <w:rFonts w:ascii="Times New Roman" w:eastAsia="Times New Roman" w:hAnsi="Times New Roman" w:cs="Times New Roman"/>
          <w:color w:val="000000"/>
          <w:sz w:val="24"/>
          <w:szCs w:val="24"/>
          <w:lang w:bidi="en-US"/>
        </w:rPr>
        <w:t>-1) prikazan je redoslijed provedbe, obveznici provedbe mjera/aktivnosti i predviđeni rokovi.</w:t>
      </w:r>
    </w:p>
    <w:p w14:paraId="583FA1EB" w14:textId="77777777" w:rsidR="00FD0A00" w:rsidRPr="00D84719" w:rsidRDefault="00FD0A00" w:rsidP="00D84719">
      <w:pPr>
        <w:spacing w:before="80" w:line="276" w:lineRule="auto"/>
        <w:jc w:val="both"/>
        <w:rPr>
          <w:rFonts w:ascii="Times New Roman" w:eastAsia="Times New Roman" w:hAnsi="Times New Roman" w:cs="Times New Roman"/>
          <w:color w:val="000000"/>
          <w:sz w:val="24"/>
          <w:szCs w:val="24"/>
          <w:lang w:bidi="en-US"/>
        </w:rPr>
      </w:pPr>
    </w:p>
    <w:p w14:paraId="1C339435" w14:textId="77777777" w:rsidR="00D84719" w:rsidRPr="00D84719" w:rsidRDefault="00D84719" w:rsidP="00D84719">
      <w:pPr>
        <w:keepNext/>
        <w:spacing w:before="80" w:after="0" w:line="276" w:lineRule="auto"/>
        <w:jc w:val="both"/>
        <w:rPr>
          <w:rFonts w:ascii="Times New Roman" w:eastAsia="Times New Roman" w:hAnsi="Times New Roman" w:cs="Times New Roman"/>
          <w:b/>
          <w:bCs/>
          <w:i/>
          <w:sz w:val="20"/>
          <w:szCs w:val="20"/>
        </w:rPr>
      </w:pPr>
      <w:r w:rsidRPr="00D84719">
        <w:rPr>
          <w:rFonts w:ascii="Times New Roman" w:eastAsia="Times New Roman" w:hAnsi="Times New Roman" w:cs="Times New Roman"/>
          <w:b/>
          <w:bCs/>
          <w:i/>
          <w:sz w:val="20"/>
          <w:szCs w:val="20"/>
        </w:rPr>
        <w:t xml:space="preserve">Tablica </w:t>
      </w:r>
      <w:r w:rsidR="00F05F33">
        <w:rPr>
          <w:rFonts w:ascii="Times New Roman" w:eastAsia="Times New Roman" w:hAnsi="Times New Roman" w:cs="Times New Roman"/>
          <w:b/>
          <w:bCs/>
          <w:i/>
          <w:sz w:val="20"/>
          <w:szCs w:val="20"/>
        </w:rPr>
        <w:t>4.4</w:t>
      </w:r>
      <w:r w:rsidRPr="00D84719">
        <w:rPr>
          <w:rFonts w:ascii="Times New Roman" w:eastAsia="Times New Roman" w:hAnsi="Times New Roman" w:cs="Times New Roman"/>
          <w:b/>
          <w:bCs/>
          <w:i/>
          <w:sz w:val="20"/>
          <w:szCs w:val="20"/>
        </w:rPr>
        <w:noBreakHyphen/>
      </w:r>
      <w:r w:rsidRPr="00D84719">
        <w:rPr>
          <w:rFonts w:ascii="Times New Roman" w:eastAsia="Times New Roman" w:hAnsi="Times New Roman" w:cs="Times New Roman"/>
          <w:b/>
          <w:bCs/>
          <w:i/>
          <w:sz w:val="20"/>
          <w:szCs w:val="20"/>
        </w:rPr>
        <w:fldChar w:fldCharType="begin"/>
      </w:r>
      <w:r w:rsidRPr="00D84719">
        <w:rPr>
          <w:rFonts w:ascii="Times New Roman" w:eastAsia="Times New Roman" w:hAnsi="Times New Roman" w:cs="Times New Roman"/>
          <w:b/>
          <w:bCs/>
          <w:i/>
          <w:sz w:val="20"/>
          <w:szCs w:val="20"/>
        </w:rPr>
        <w:instrText xml:space="preserve"> SEQ Tablica \* ARABIC \s 2 </w:instrText>
      </w:r>
      <w:r w:rsidRPr="00D84719">
        <w:rPr>
          <w:rFonts w:ascii="Times New Roman" w:eastAsia="Times New Roman" w:hAnsi="Times New Roman" w:cs="Times New Roman"/>
          <w:b/>
          <w:bCs/>
          <w:i/>
          <w:sz w:val="20"/>
          <w:szCs w:val="20"/>
        </w:rPr>
        <w:fldChar w:fldCharType="separate"/>
      </w:r>
      <w:r w:rsidRPr="00D84719">
        <w:rPr>
          <w:rFonts w:ascii="Times New Roman" w:eastAsia="Times New Roman" w:hAnsi="Times New Roman" w:cs="Times New Roman"/>
          <w:b/>
          <w:bCs/>
          <w:i/>
          <w:sz w:val="20"/>
          <w:szCs w:val="20"/>
        </w:rPr>
        <w:t>1</w:t>
      </w:r>
      <w:r w:rsidRPr="00D84719">
        <w:rPr>
          <w:rFonts w:ascii="Times New Roman" w:eastAsia="Times New Roman" w:hAnsi="Times New Roman" w:cs="Times New Roman"/>
          <w:b/>
          <w:bCs/>
          <w:i/>
          <w:sz w:val="20"/>
          <w:szCs w:val="20"/>
        </w:rPr>
        <w:fldChar w:fldCharType="end"/>
      </w:r>
      <w:r w:rsidRPr="00D84719">
        <w:rPr>
          <w:rFonts w:ascii="Times New Roman" w:eastAsia="Times New Roman" w:hAnsi="Times New Roman" w:cs="Times New Roman"/>
          <w:b/>
          <w:bCs/>
          <w:i/>
          <w:sz w:val="20"/>
          <w:szCs w:val="20"/>
        </w:rPr>
        <w:t>: Vremenski plan provedbe NIP-a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0"/>
        <w:gridCol w:w="2763"/>
        <w:gridCol w:w="2069"/>
      </w:tblGrid>
      <w:tr w:rsidR="00D84719" w:rsidRPr="00D84719" w14:paraId="68A6874E" w14:textId="77777777" w:rsidTr="00F831D6">
        <w:trPr>
          <w:trHeight w:val="430"/>
          <w:jc w:val="center"/>
        </w:trPr>
        <w:tc>
          <w:tcPr>
            <w:tcW w:w="4230" w:type="dxa"/>
            <w:tcBorders>
              <w:bottom w:val="single" w:sz="4" w:space="0" w:color="auto"/>
            </w:tcBorders>
            <w:shd w:val="pct10" w:color="auto" w:fill="auto"/>
            <w:vAlign w:val="center"/>
          </w:tcPr>
          <w:p w14:paraId="01C974F2" w14:textId="77777777" w:rsidR="00D84719" w:rsidRPr="00D84719" w:rsidRDefault="00D84719" w:rsidP="00D84719">
            <w:pPr>
              <w:spacing w:after="0" w:line="240" w:lineRule="auto"/>
              <w:jc w:val="center"/>
              <w:rPr>
                <w:rFonts w:ascii="Times New Roman" w:eastAsia="Times New Roman" w:hAnsi="Times New Roman" w:cs="Times New Roman"/>
                <w:b/>
                <w:color w:val="000000"/>
                <w:sz w:val="20"/>
                <w:szCs w:val="20"/>
              </w:rPr>
            </w:pPr>
            <w:r w:rsidRPr="00D84719">
              <w:rPr>
                <w:rFonts w:ascii="Times New Roman" w:eastAsia="Times New Roman" w:hAnsi="Times New Roman" w:cs="Times New Roman"/>
                <w:b/>
                <w:color w:val="000000"/>
                <w:sz w:val="20"/>
                <w:szCs w:val="20"/>
                <w:lang w:eastAsia="hr-HR"/>
              </w:rPr>
              <w:t>Aktivnost/mjera</w:t>
            </w:r>
          </w:p>
        </w:tc>
        <w:tc>
          <w:tcPr>
            <w:tcW w:w="2763" w:type="dxa"/>
            <w:tcBorders>
              <w:bottom w:val="single" w:sz="4" w:space="0" w:color="auto"/>
            </w:tcBorders>
            <w:shd w:val="pct10" w:color="auto" w:fill="auto"/>
            <w:vAlign w:val="center"/>
          </w:tcPr>
          <w:p w14:paraId="28982A87" w14:textId="77777777" w:rsidR="00D84719" w:rsidRPr="00D84719" w:rsidRDefault="00D84719" w:rsidP="00D84719">
            <w:pPr>
              <w:spacing w:after="0" w:line="240" w:lineRule="auto"/>
              <w:jc w:val="center"/>
              <w:rPr>
                <w:rFonts w:ascii="Times New Roman" w:eastAsia="Times New Roman" w:hAnsi="Times New Roman" w:cs="Times New Roman"/>
                <w:b/>
                <w:color w:val="000000"/>
                <w:sz w:val="20"/>
                <w:szCs w:val="20"/>
              </w:rPr>
            </w:pPr>
            <w:r w:rsidRPr="00D84719">
              <w:rPr>
                <w:rFonts w:ascii="Times New Roman" w:eastAsia="Times New Roman" w:hAnsi="Times New Roman" w:cs="Times New Roman"/>
                <w:b/>
                <w:color w:val="000000"/>
                <w:sz w:val="20"/>
                <w:szCs w:val="20"/>
                <w:lang w:eastAsia="hr-HR"/>
              </w:rPr>
              <w:t>Nositelj</w:t>
            </w:r>
            <w:r w:rsidRPr="00D84719">
              <w:rPr>
                <w:rFonts w:ascii="Times New Roman" w:eastAsia="Times New Roman" w:hAnsi="Times New Roman" w:cs="Times New Roman"/>
                <w:b/>
                <w:color w:val="000000"/>
                <w:sz w:val="20"/>
                <w:szCs w:val="20"/>
                <w:vertAlign w:val="superscript"/>
                <w:lang w:eastAsia="hr-HR"/>
              </w:rPr>
              <w:footnoteReference w:id="9"/>
            </w:r>
          </w:p>
        </w:tc>
        <w:tc>
          <w:tcPr>
            <w:tcW w:w="2069" w:type="dxa"/>
            <w:tcBorders>
              <w:bottom w:val="single" w:sz="4" w:space="0" w:color="auto"/>
            </w:tcBorders>
            <w:shd w:val="pct10" w:color="auto" w:fill="auto"/>
            <w:vAlign w:val="center"/>
          </w:tcPr>
          <w:p w14:paraId="70A442E0" w14:textId="77777777" w:rsidR="00D84719" w:rsidRPr="00D84719" w:rsidRDefault="00D84719" w:rsidP="00D84719">
            <w:pPr>
              <w:spacing w:after="0" w:line="240" w:lineRule="auto"/>
              <w:jc w:val="center"/>
              <w:rPr>
                <w:rFonts w:ascii="Times New Roman" w:eastAsia="Times New Roman" w:hAnsi="Times New Roman" w:cs="Times New Roman"/>
                <w:b/>
                <w:color w:val="000000"/>
                <w:sz w:val="20"/>
                <w:szCs w:val="20"/>
              </w:rPr>
            </w:pPr>
            <w:r w:rsidRPr="00D84719">
              <w:rPr>
                <w:rFonts w:ascii="Times New Roman" w:eastAsia="Times New Roman" w:hAnsi="Times New Roman" w:cs="Times New Roman"/>
                <w:b/>
                <w:color w:val="000000"/>
                <w:sz w:val="20"/>
                <w:szCs w:val="20"/>
                <w:lang w:eastAsia="hr-HR"/>
              </w:rPr>
              <w:t>Razdoblje</w:t>
            </w:r>
            <w:r w:rsidRPr="00D84719">
              <w:rPr>
                <w:rFonts w:ascii="Times New Roman" w:eastAsia="Times New Roman" w:hAnsi="Times New Roman" w:cs="Times New Roman"/>
                <w:b/>
                <w:color w:val="000000"/>
                <w:sz w:val="20"/>
                <w:szCs w:val="20"/>
                <w:lang w:eastAsia="hr-HR"/>
              </w:rPr>
              <w:br/>
              <w:t>primjene</w:t>
            </w:r>
          </w:p>
        </w:tc>
      </w:tr>
      <w:tr w:rsidR="00D84719" w:rsidRPr="00D84719" w14:paraId="3BBD7AF9" w14:textId="77777777" w:rsidTr="00F831D6">
        <w:trPr>
          <w:jc w:val="center"/>
        </w:trPr>
        <w:tc>
          <w:tcPr>
            <w:tcW w:w="4230" w:type="dxa"/>
            <w:shd w:val="clear" w:color="auto" w:fill="auto"/>
            <w:vAlign w:val="center"/>
          </w:tcPr>
          <w:p w14:paraId="57A1A5F5"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Plan aktivnosti</w:t>
            </w:r>
          </w:p>
        </w:tc>
        <w:tc>
          <w:tcPr>
            <w:tcW w:w="2763" w:type="dxa"/>
            <w:shd w:val="clear" w:color="auto" w:fill="auto"/>
            <w:vAlign w:val="center"/>
          </w:tcPr>
          <w:p w14:paraId="6F68940C" w14:textId="77777777" w:rsidR="00D84719" w:rsidRPr="00D84719" w:rsidRDefault="00D84719" w:rsidP="007B366A">
            <w:pPr>
              <w:spacing w:after="0" w:line="240" w:lineRule="auto"/>
              <w:jc w:val="center"/>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MINGOR/MP/MIZ/Državni inspektorat/MZO</w:t>
            </w:r>
          </w:p>
        </w:tc>
        <w:tc>
          <w:tcPr>
            <w:tcW w:w="2069" w:type="dxa"/>
            <w:shd w:val="clear" w:color="auto" w:fill="auto"/>
            <w:vAlign w:val="center"/>
          </w:tcPr>
          <w:p w14:paraId="1A048DB8" w14:textId="77777777" w:rsidR="00D84719" w:rsidRPr="00D84719" w:rsidRDefault="00D84719" w:rsidP="007B366A">
            <w:pPr>
              <w:spacing w:after="0" w:line="240" w:lineRule="auto"/>
              <w:jc w:val="center"/>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2021.-2026.</w:t>
            </w:r>
          </w:p>
        </w:tc>
      </w:tr>
      <w:tr w:rsidR="00D84719" w:rsidRPr="00D84719" w14:paraId="6715531C" w14:textId="77777777" w:rsidTr="00F831D6">
        <w:trPr>
          <w:trHeight w:val="108"/>
          <w:jc w:val="center"/>
        </w:trPr>
        <w:tc>
          <w:tcPr>
            <w:tcW w:w="4230" w:type="dxa"/>
            <w:shd w:val="clear" w:color="auto" w:fill="auto"/>
            <w:vAlign w:val="center"/>
          </w:tcPr>
          <w:p w14:paraId="6F2385F6" w14:textId="77777777" w:rsidR="00D84719" w:rsidRPr="00D84719" w:rsidRDefault="00D84719" w:rsidP="00D84719">
            <w:pPr>
              <w:spacing w:after="0" w:line="240" w:lineRule="auto"/>
              <w:jc w:val="both"/>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Provedba mjera, programa i aktivnosti</w:t>
            </w:r>
          </w:p>
        </w:tc>
        <w:tc>
          <w:tcPr>
            <w:tcW w:w="2763" w:type="dxa"/>
            <w:shd w:val="clear" w:color="auto" w:fill="auto"/>
            <w:vAlign w:val="center"/>
          </w:tcPr>
          <w:p w14:paraId="40D71099" w14:textId="77777777" w:rsidR="00D84719" w:rsidRPr="00D84719" w:rsidRDefault="00D84719" w:rsidP="007B366A">
            <w:pPr>
              <w:spacing w:after="0" w:line="240" w:lineRule="auto"/>
              <w:jc w:val="center"/>
              <w:rPr>
                <w:rFonts w:ascii="Times New Roman" w:eastAsia="Times New Roman" w:hAnsi="Times New Roman" w:cs="Times New Roman"/>
                <w:color w:val="000000"/>
                <w:sz w:val="20"/>
                <w:szCs w:val="20"/>
                <w:lang w:eastAsia="hr-HR"/>
              </w:rPr>
            </w:pPr>
            <w:r w:rsidRPr="00D84719">
              <w:rPr>
                <w:rFonts w:ascii="Times New Roman" w:eastAsia="Times New Roman" w:hAnsi="Times New Roman" w:cs="Times New Roman"/>
                <w:color w:val="000000"/>
                <w:sz w:val="20"/>
                <w:szCs w:val="20"/>
                <w:lang w:eastAsia="hr-HR"/>
              </w:rPr>
              <w:t>MINGOR/MP/MIZ/Državni inspektorat/MZO</w:t>
            </w:r>
          </w:p>
        </w:tc>
        <w:tc>
          <w:tcPr>
            <w:tcW w:w="2069" w:type="dxa"/>
            <w:shd w:val="clear" w:color="auto" w:fill="auto"/>
            <w:vAlign w:val="center"/>
          </w:tcPr>
          <w:p w14:paraId="15A49C85" w14:textId="77777777" w:rsidR="00D84719" w:rsidRPr="00D84719" w:rsidRDefault="00D84719" w:rsidP="007B366A">
            <w:pPr>
              <w:spacing w:after="0" w:line="276" w:lineRule="auto"/>
              <w:ind w:right="-44"/>
              <w:jc w:val="center"/>
              <w:rPr>
                <w:rFonts w:ascii="Times New Roman" w:eastAsia="Times New Roman" w:hAnsi="Times New Roman" w:cs="Times New Roman"/>
                <w:color w:val="000000"/>
                <w:sz w:val="20"/>
                <w:szCs w:val="20"/>
              </w:rPr>
            </w:pPr>
            <w:r w:rsidRPr="00D84719">
              <w:rPr>
                <w:rFonts w:ascii="Times New Roman" w:eastAsia="Times New Roman" w:hAnsi="Times New Roman" w:cs="Times New Roman"/>
                <w:color w:val="000000"/>
                <w:sz w:val="20"/>
                <w:szCs w:val="20"/>
                <w:lang w:eastAsia="hr-HR"/>
              </w:rPr>
              <w:t>od 2021. nadalje</w:t>
            </w:r>
          </w:p>
        </w:tc>
      </w:tr>
    </w:tbl>
    <w:p w14:paraId="38224D3D" w14:textId="77777777" w:rsidR="00D84719" w:rsidRPr="00D84719" w:rsidRDefault="00D84719" w:rsidP="00D84719">
      <w:pPr>
        <w:spacing w:before="80" w:line="276" w:lineRule="auto"/>
        <w:jc w:val="both"/>
        <w:rPr>
          <w:rFonts w:ascii="Times New Roman" w:eastAsia="Times New Roman" w:hAnsi="Times New Roman" w:cs="Times New Roman"/>
          <w:color w:val="000000"/>
          <w:szCs w:val="24"/>
          <w:lang w:bidi="en-US"/>
        </w:rPr>
      </w:pPr>
    </w:p>
    <w:p w14:paraId="16F9DE80" w14:textId="77777777" w:rsidR="00D84719" w:rsidRPr="00D84719" w:rsidRDefault="00D84719" w:rsidP="00A843DB">
      <w:pPr>
        <w:pStyle w:val="Naslov2"/>
        <w:rPr>
          <w:lang w:bidi="en-US"/>
        </w:rPr>
      </w:pPr>
      <w:bookmarkStart w:id="348" w:name="_Toc40439478"/>
      <w:bookmarkStart w:id="349" w:name="_Toc50635648"/>
      <w:bookmarkStart w:id="350" w:name="_Toc64460799"/>
      <w:r w:rsidRPr="00D84719">
        <w:rPr>
          <w:lang w:bidi="en-US"/>
        </w:rPr>
        <w:t>FINANCIJSKA SREDSTVA POTREBNA ZA PROVEDBU NIP-a</w:t>
      </w:r>
      <w:bookmarkEnd w:id="348"/>
      <w:bookmarkEnd w:id="349"/>
      <w:bookmarkEnd w:id="350"/>
    </w:p>
    <w:p w14:paraId="0AD996F7"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Financijska sredstva potrebna za provedbu Trećeg/revidiranog NIP-a u Republici Hrvatskoj uključuju okvirnu procjenu troškova za pojedine prethodno analizirane aktivnosti (vidi poglavlja 4.</w:t>
      </w:r>
      <w:r w:rsidR="00F05F33">
        <w:rPr>
          <w:rFonts w:ascii="Times New Roman" w:eastAsia="Times New Roman" w:hAnsi="Times New Roman" w:cs="Times New Roman"/>
          <w:color w:val="000000"/>
          <w:sz w:val="24"/>
          <w:szCs w:val="24"/>
          <w:lang w:bidi="en-US"/>
        </w:rPr>
        <w:t>2</w:t>
      </w:r>
      <w:r w:rsidR="00F05F33" w:rsidRPr="00D84719">
        <w:rPr>
          <w:rFonts w:ascii="Times New Roman" w:eastAsia="Times New Roman" w:hAnsi="Times New Roman" w:cs="Times New Roman"/>
          <w:color w:val="000000"/>
          <w:sz w:val="24"/>
          <w:szCs w:val="24"/>
          <w:lang w:bidi="en-US"/>
        </w:rPr>
        <w:t xml:space="preserve"> </w:t>
      </w:r>
      <w:r w:rsidRPr="00D84719">
        <w:rPr>
          <w:rFonts w:ascii="Times New Roman" w:eastAsia="Times New Roman" w:hAnsi="Times New Roman" w:cs="Times New Roman"/>
          <w:color w:val="000000"/>
          <w:sz w:val="24"/>
          <w:szCs w:val="24"/>
          <w:lang w:bidi="en-US"/>
        </w:rPr>
        <w:t>i 4.</w:t>
      </w:r>
      <w:r w:rsidR="00F05F33">
        <w:rPr>
          <w:rFonts w:ascii="Times New Roman" w:eastAsia="Times New Roman" w:hAnsi="Times New Roman" w:cs="Times New Roman"/>
          <w:color w:val="000000"/>
          <w:sz w:val="24"/>
          <w:szCs w:val="24"/>
          <w:lang w:bidi="en-US"/>
        </w:rPr>
        <w:t>3</w:t>
      </w:r>
      <w:r w:rsidRPr="00D84719">
        <w:rPr>
          <w:rFonts w:ascii="Times New Roman" w:eastAsia="Times New Roman" w:hAnsi="Times New Roman" w:cs="Times New Roman"/>
          <w:color w:val="000000"/>
          <w:sz w:val="24"/>
          <w:szCs w:val="24"/>
          <w:lang w:bidi="en-US"/>
        </w:rPr>
        <w:t>).</w:t>
      </w:r>
    </w:p>
    <w:p w14:paraId="588139A0" w14:textId="77777777" w:rsidR="00D84719" w:rsidRPr="00D84719" w:rsidRDefault="00D84719" w:rsidP="00D84719">
      <w:pPr>
        <w:spacing w:before="80" w:line="276" w:lineRule="auto"/>
        <w:jc w:val="both"/>
        <w:rPr>
          <w:rFonts w:ascii="Times New Roman" w:eastAsia="Times New Roman" w:hAnsi="Times New Roman" w:cs="Times New Roman"/>
          <w:color w:val="000000"/>
          <w:szCs w:val="24"/>
          <w:lang w:bidi="en-US"/>
        </w:rPr>
      </w:pPr>
      <w:r w:rsidRPr="00D84719">
        <w:rPr>
          <w:rFonts w:ascii="Times New Roman" w:eastAsia="Times New Roman" w:hAnsi="Times New Roman" w:cs="Times New Roman"/>
          <w:color w:val="000000"/>
          <w:sz w:val="24"/>
          <w:szCs w:val="24"/>
          <w:lang w:bidi="en-US"/>
        </w:rPr>
        <w:t xml:space="preserve">Kako je ranije već navedeno, potrebno je napomenuti da jedno od ključnih metodoloških pitanja u postupku procjene troškova za pojedine aktivnosti za provedbu Trećeg/revidiranog NIP-a jest odvajanje troškova provedbe NIP-a od ostalih troškova zaštite okoliša. </w:t>
      </w:r>
    </w:p>
    <w:p w14:paraId="708C9C4B"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Vrlo se često utjecaji koji se odnose na POPs-ove manifestiraju zajedno s utjecajima drugih tvari te se stoga mjere i instrumenti za njihovo sprječavanje ili ublažavanje primjenjuju istovremeno.</w:t>
      </w:r>
    </w:p>
    <w:p w14:paraId="5D54DC09" w14:textId="77777777" w:rsidR="00D84719" w:rsidRPr="00D84719" w:rsidRDefault="00D84719" w:rsidP="00D84719">
      <w:pPr>
        <w:spacing w:before="80" w:line="276" w:lineRule="auto"/>
        <w:jc w:val="both"/>
        <w:rPr>
          <w:rFonts w:ascii="Times New Roman" w:eastAsia="Times New Roman" w:hAnsi="Times New Roman" w:cs="Times New Roman"/>
          <w:color w:val="000000"/>
          <w:sz w:val="24"/>
          <w:szCs w:val="24"/>
          <w:lang w:bidi="en-US"/>
        </w:rPr>
      </w:pPr>
      <w:r w:rsidRPr="00D84719">
        <w:rPr>
          <w:rFonts w:ascii="Times New Roman" w:eastAsia="Times New Roman" w:hAnsi="Times New Roman" w:cs="Times New Roman"/>
          <w:color w:val="000000"/>
          <w:sz w:val="24"/>
          <w:szCs w:val="24"/>
          <w:lang w:bidi="en-US"/>
        </w:rPr>
        <w:t xml:space="preserve">Uzimajući u obzir navedeno, ukupan trošak potreban za provedbu NIP-a u njegovim najvažnijim segmentima </w:t>
      </w:r>
      <w:r w:rsidR="00D26E6C" w:rsidRPr="00D26E6C">
        <w:rPr>
          <w:rFonts w:ascii="Times New Roman" w:eastAsia="Times New Roman" w:hAnsi="Times New Roman" w:cs="Times New Roman"/>
          <w:color w:val="000000"/>
          <w:sz w:val="24"/>
          <w:szCs w:val="24"/>
          <w:lang w:bidi="en-US"/>
        </w:rPr>
        <w:t>procjenjuje se na iznos od oko 1.7</w:t>
      </w:r>
      <w:r w:rsidR="00D26E6C">
        <w:rPr>
          <w:rFonts w:ascii="Times New Roman" w:eastAsia="Times New Roman" w:hAnsi="Times New Roman" w:cs="Times New Roman"/>
          <w:color w:val="000000"/>
          <w:sz w:val="24"/>
          <w:szCs w:val="24"/>
          <w:lang w:bidi="en-US"/>
        </w:rPr>
        <w:t>3</w:t>
      </w:r>
      <w:r w:rsidR="00D26E6C" w:rsidRPr="00D26E6C">
        <w:rPr>
          <w:rFonts w:ascii="Times New Roman" w:eastAsia="Times New Roman" w:hAnsi="Times New Roman" w:cs="Times New Roman"/>
          <w:color w:val="000000"/>
          <w:sz w:val="24"/>
          <w:szCs w:val="24"/>
          <w:lang w:bidi="en-US"/>
        </w:rPr>
        <w:t>0.000,00 kn</w:t>
      </w:r>
      <w:r w:rsidR="00D26E6C">
        <w:rPr>
          <w:rFonts w:ascii="Times New Roman" w:eastAsia="Times New Roman" w:hAnsi="Times New Roman" w:cs="Times New Roman"/>
          <w:color w:val="000000"/>
          <w:sz w:val="24"/>
          <w:szCs w:val="24"/>
          <w:lang w:bidi="en-US"/>
        </w:rPr>
        <w:t>,</w:t>
      </w:r>
      <w:r w:rsidR="00D26E6C" w:rsidRPr="00D26E6C">
        <w:rPr>
          <w:rFonts w:ascii="Times New Roman" w:eastAsia="Times New Roman" w:hAnsi="Times New Roman" w:cs="Times New Roman"/>
          <w:color w:val="000000"/>
          <w:sz w:val="24"/>
          <w:szCs w:val="24"/>
          <w:lang w:bidi="en-US"/>
        </w:rPr>
        <w:t xml:space="preserve"> </w:t>
      </w:r>
      <w:r w:rsidRPr="00D84719">
        <w:rPr>
          <w:rFonts w:ascii="Times New Roman" w:eastAsia="Times New Roman" w:hAnsi="Times New Roman" w:cs="Times New Roman"/>
          <w:color w:val="000000"/>
          <w:sz w:val="24"/>
          <w:szCs w:val="24"/>
          <w:lang w:bidi="en-US"/>
        </w:rPr>
        <w:t>uključuje aktivnosti integrirane u već postojeće programe bez uključenih troškova provedbe dodatnih programa istraživanja i praćenja koji će se izraditi po izradi pojedinih programa.</w:t>
      </w:r>
      <w:bookmarkEnd w:id="255"/>
      <w:bookmarkEnd w:id="256"/>
    </w:p>
    <w:p w14:paraId="1B8A299A" w14:textId="77777777" w:rsidR="008274D6" w:rsidRDefault="008274D6"/>
    <w:sectPr w:rsidR="008274D6" w:rsidSect="00A44A1D">
      <w:footerReference w:type="default" r:id="rId50"/>
      <w:pgSz w:w="11906" w:h="16838" w:code="9"/>
      <w:pgMar w:top="1417" w:right="1417" w:bottom="1417" w:left="1417" w:header="57"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C1FBE1" w14:textId="77777777" w:rsidR="00EB1E23" w:rsidRDefault="00EB1E23" w:rsidP="00D84719">
      <w:pPr>
        <w:spacing w:after="0" w:line="240" w:lineRule="auto"/>
      </w:pPr>
      <w:r>
        <w:separator/>
      </w:r>
    </w:p>
  </w:endnote>
  <w:endnote w:type="continuationSeparator" w:id="0">
    <w:p w14:paraId="2322B71B" w14:textId="77777777" w:rsidR="00EB1E23" w:rsidRDefault="00EB1E23" w:rsidP="00D847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vantGardeITCbyBT-Book">
    <w:altName w:val="Arial"/>
    <w:panose1 w:val="00000000000000000000"/>
    <w:charset w:val="00"/>
    <w:family w:val="swiss"/>
    <w:notTrueType/>
    <w:pitch w:val="default"/>
    <w:sig w:usb0="00000001" w:usb1="00000000" w:usb2="00000000" w:usb3="00000000" w:csb0="00000003" w:csb1="00000000"/>
  </w:font>
  <w:font w:name="Adviso OTF Std">
    <w:altName w:val="Arial Narrow"/>
    <w:charset w:val="EE"/>
    <w:family w:val="auto"/>
    <w:pitch w:val="variable"/>
    <w:sig w:usb0="00000007" w:usb1="00000000" w:usb2="00000000" w:usb3="00000000" w:csb0="00000003" w:csb1="00000000"/>
  </w:font>
  <w:font w:name="Century Gothic">
    <w:panose1 w:val="020B0502020202020204"/>
    <w:charset w:val="EE"/>
    <w:family w:val="swiss"/>
    <w:pitch w:val="variable"/>
    <w:sig w:usb0="00000287" w:usb1="00000000" w:usb2="00000000" w:usb3="00000000" w:csb0="0000009F" w:csb1="00000000"/>
  </w:font>
  <w:font w:name="Charter_bold">
    <w:altName w:val="Times New Roman"/>
    <w:panose1 w:val="00000000000000000000"/>
    <w:charset w:val="00"/>
    <w:family w:val="auto"/>
    <w:notTrueType/>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MinionPro-Cn">
    <w:altName w:val="MS Mincho"/>
    <w:charset w:val="80"/>
    <w:family w:val="auto"/>
    <w:pitch w:val="default"/>
    <w:sig w:usb0="00000001" w:usb1="08070000" w:usb2="00000010" w:usb3="00000000" w:csb0="00020000" w:csb1="00000000"/>
  </w:font>
  <w:font w:name="CIDFont+F2">
    <w:altName w:val="MS P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2092047"/>
      <w:docPartObj>
        <w:docPartGallery w:val="Page Numbers (Bottom of Page)"/>
        <w:docPartUnique/>
      </w:docPartObj>
    </w:sdtPr>
    <w:sdtEndPr/>
    <w:sdtContent>
      <w:p w14:paraId="20C56B41" w14:textId="77777777" w:rsidR="006515F5" w:rsidRDefault="006515F5" w:rsidP="002C7054">
        <w:pPr>
          <w:pStyle w:val="Podnoje"/>
        </w:pPr>
        <w:r>
          <w:fldChar w:fldCharType="begin"/>
        </w:r>
        <w:r>
          <w:instrText>PAGE   \* MERGEFORMAT</w:instrText>
        </w:r>
        <w:r>
          <w:fldChar w:fldCharType="separate"/>
        </w:r>
        <w:r>
          <w:rPr>
            <w:noProof/>
          </w:rPr>
          <w:t>1</w:t>
        </w:r>
        <w:r>
          <w:fldChar w:fldCharType="end"/>
        </w:r>
      </w:p>
    </w:sdtContent>
  </w:sdt>
  <w:p w14:paraId="50B0643E" w14:textId="77777777" w:rsidR="006515F5" w:rsidRDefault="006515F5" w:rsidP="002C7054">
    <w:pPr>
      <w:pStyle w:val="Podnoj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2503610"/>
      <w:docPartObj>
        <w:docPartGallery w:val="Page Numbers (Bottom of Page)"/>
        <w:docPartUnique/>
      </w:docPartObj>
    </w:sdtPr>
    <w:sdtEndPr/>
    <w:sdtContent>
      <w:sdt>
        <w:sdtPr>
          <w:id w:val="-1705238520"/>
          <w:docPartObj>
            <w:docPartGallery w:val="Page Numbers (Top of Page)"/>
            <w:docPartUnique/>
          </w:docPartObj>
        </w:sdtPr>
        <w:sdtEndPr/>
        <w:sdtContent>
          <w:p w14:paraId="6F8AAE85" w14:textId="1EFCDFEC" w:rsidR="006515F5" w:rsidRPr="002C7054" w:rsidRDefault="006515F5" w:rsidP="002C7054">
            <w:pPr>
              <w:pStyle w:val="Podnoje"/>
            </w:pPr>
            <w:r w:rsidRPr="00DA17E2">
              <w:rPr>
                <w:b/>
              </w:rPr>
              <w:fldChar w:fldCharType="begin"/>
            </w:r>
            <w:r w:rsidRPr="00DA17E2">
              <w:rPr>
                <w:b/>
              </w:rPr>
              <w:instrText>PAGE</w:instrText>
            </w:r>
            <w:r w:rsidRPr="00DA17E2">
              <w:rPr>
                <w:b/>
              </w:rPr>
              <w:fldChar w:fldCharType="separate"/>
            </w:r>
            <w:r w:rsidR="00D4589D">
              <w:rPr>
                <w:b/>
                <w:noProof/>
              </w:rPr>
              <w:t>35</w:t>
            </w:r>
            <w:r w:rsidRPr="00DA17E2">
              <w:rPr>
                <w:b/>
              </w:rPr>
              <w:fldChar w:fldCharType="end"/>
            </w:r>
          </w:p>
        </w:sdtContent>
      </w:sdt>
    </w:sdtContent>
  </w:sdt>
  <w:p w14:paraId="36560A98" w14:textId="77777777" w:rsidR="006515F5" w:rsidRDefault="006515F5" w:rsidP="002C7054">
    <w:pPr>
      <w:pStyle w:val="Podnoj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54B71E" w14:textId="77777777" w:rsidR="00EB1E23" w:rsidRDefault="00EB1E23" w:rsidP="00D84719">
      <w:pPr>
        <w:spacing w:after="0" w:line="240" w:lineRule="auto"/>
      </w:pPr>
      <w:r>
        <w:separator/>
      </w:r>
    </w:p>
  </w:footnote>
  <w:footnote w:type="continuationSeparator" w:id="0">
    <w:p w14:paraId="2BC4EA8B" w14:textId="77777777" w:rsidR="00EB1E23" w:rsidRDefault="00EB1E23" w:rsidP="00D84719">
      <w:pPr>
        <w:spacing w:after="0" w:line="240" w:lineRule="auto"/>
      </w:pPr>
      <w:r>
        <w:continuationSeparator/>
      </w:r>
    </w:p>
  </w:footnote>
  <w:footnote w:id="1">
    <w:p w14:paraId="0124DDEF" w14:textId="77777777" w:rsidR="006515F5" w:rsidRPr="0063136D" w:rsidRDefault="006515F5" w:rsidP="00D84719">
      <w:pPr>
        <w:pStyle w:val="Tekstfusnote"/>
        <w:rPr>
          <w:rFonts w:ascii="Times New Roman" w:hAnsi="Times New Roman" w:cs="Times New Roman"/>
          <w:sz w:val="18"/>
          <w:szCs w:val="18"/>
        </w:rPr>
      </w:pPr>
      <w:r w:rsidRPr="0063136D">
        <w:rPr>
          <w:rStyle w:val="Referencafusnote"/>
          <w:rFonts w:ascii="Times New Roman" w:hAnsi="Times New Roman" w:cs="Times New Roman"/>
          <w:sz w:val="18"/>
          <w:szCs w:val="18"/>
        </w:rPr>
        <w:footnoteRef/>
      </w:r>
      <w:r w:rsidRPr="0063136D">
        <w:rPr>
          <w:rFonts w:ascii="Times New Roman" w:hAnsi="Times New Roman" w:cs="Times New Roman"/>
          <w:sz w:val="18"/>
          <w:szCs w:val="18"/>
        </w:rPr>
        <w:t xml:space="preserve"> Ministarstvo zaštite okoliša i prirode je u listopadu</w:t>
      </w:r>
      <w:r>
        <w:rPr>
          <w:rFonts w:ascii="Times New Roman" w:hAnsi="Times New Roman" w:cs="Times New Roman"/>
          <w:sz w:val="18"/>
          <w:szCs w:val="18"/>
        </w:rPr>
        <w:t xml:space="preserve"> 20</w:t>
      </w:r>
      <w:r w:rsidRPr="0063136D">
        <w:rPr>
          <w:rFonts w:ascii="Times New Roman" w:hAnsi="Times New Roman" w:cs="Times New Roman"/>
          <w:sz w:val="18"/>
          <w:szCs w:val="18"/>
        </w:rPr>
        <w:t>16., sukladno Zakonu o ustrojstvu i djelokrugu ministarstava i drugih središnjih tijela državne uprave („Narode novine“ br. 93/16 i 104/16) promijenilo naziv u Ministarstvo zaštite okoliša i energetike. Vlada Republike Hrvatske donijela je 24. lipnja</w:t>
      </w:r>
      <w:r>
        <w:rPr>
          <w:rFonts w:ascii="Times New Roman" w:hAnsi="Times New Roman" w:cs="Times New Roman"/>
          <w:sz w:val="18"/>
          <w:szCs w:val="18"/>
        </w:rPr>
        <w:t xml:space="preserve"> 20</w:t>
      </w:r>
      <w:r w:rsidRPr="0063136D">
        <w:rPr>
          <w:rFonts w:ascii="Times New Roman" w:hAnsi="Times New Roman" w:cs="Times New Roman"/>
          <w:sz w:val="18"/>
          <w:szCs w:val="18"/>
        </w:rPr>
        <w:t>15., Uredbu o osnivanju Hrvatske agencije za okoliš i prirodu („Narodne novine“ broj 72/15). Pravni prednici Hrvatske agencije za okoliš i prirodu su Agencija za zaštitu okoliša i Državni zavod za zaštitu prirode, a upisana je u sudski registar Trgovačkog suda u Zagrebu te započela s radom dana 16. rujna</w:t>
      </w:r>
      <w:r>
        <w:rPr>
          <w:rFonts w:ascii="Times New Roman" w:hAnsi="Times New Roman" w:cs="Times New Roman"/>
          <w:sz w:val="18"/>
          <w:szCs w:val="18"/>
        </w:rPr>
        <w:t xml:space="preserve"> 20</w:t>
      </w:r>
      <w:r w:rsidRPr="0063136D">
        <w:rPr>
          <w:rFonts w:ascii="Times New Roman" w:hAnsi="Times New Roman" w:cs="Times New Roman"/>
          <w:sz w:val="18"/>
          <w:szCs w:val="18"/>
        </w:rPr>
        <w:t>15..</w:t>
      </w:r>
    </w:p>
    <w:p w14:paraId="7E62DCCE" w14:textId="77777777" w:rsidR="006515F5" w:rsidRPr="0063136D" w:rsidRDefault="006515F5" w:rsidP="00D84719">
      <w:pPr>
        <w:pStyle w:val="Tekstfusnote"/>
        <w:rPr>
          <w:rFonts w:ascii="Times New Roman" w:hAnsi="Times New Roman" w:cs="Times New Roman"/>
          <w:sz w:val="18"/>
          <w:szCs w:val="18"/>
        </w:rPr>
      </w:pPr>
      <w:r w:rsidRPr="0063136D">
        <w:rPr>
          <w:rFonts w:ascii="Times New Roman" w:hAnsi="Times New Roman" w:cs="Times New Roman"/>
          <w:sz w:val="18"/>
          <w:szCs w:val="18"/>
        </w:rPr>
        <w:t>Sukladno članku 73. stavku 3. Zakona o izmjeni i dopuni Zakona o zaštiti okoliša („Narodne novine“ broj 118/18 od 27. prosinca</w:t>
      </w:r>
      <w:r>
        <w:rPr>
          <w:rFonts w:ascii="Times New Roman" w:hAnsi="Times New Roman" w:cs="Times New Roman"/>
          <w:sz w:val="18"/>
          <w:szCs w:val="18"/>
        </w:rPr>
        <w:t xml:space="preserve"> 20</w:t>
      </w:r>
      <w:r w:rsidRPr="0063136D">
        <w:rPr>
          <w:rFonts w:ascii="Times New Roman" w:hAnsi="Times New Roman" w:cs="Times New Roman"/>
          <w:sz w:val="18"/>
          <w:szCs w:val="18"/>
        </w:rPr>
        <w:t>18.) te brisanjem Hrvatske agencije za okoliš i prirodu (HAOP) iz sudskog registra (17. siječnja</w:t>
      </w:r>
      <w:r>
        <w:rPr>
          <w:rFonts w:ascii="Times New Roman" w:hAnsi="Times New Roman" w:cs="Times New Roman"/>
          <w:sz w:val="18"/>
          <w:szCs w:val="18"/>
        </w:rPr>
        <w:t xml:space="preserve"> 20</w:t>
      </w:r>
      <w:r w:rsidRPr="0063136D">
        <w:rPr>
          <w:rFonts w:ascii="Times New Roman" w:hAnsi="Times New Roman" w:cs="Times New Roman"/>
          <w:sz w:val="18"/>
          <w:szCs w:val="18"/>
        </w:rPr>
        <w:t>19.) Ministarstvo zaštite okoliša i energetike, Radnička cesta 80, 10000 Zagreb, OIB: 19370100881 preuzelo je zaposlenike, poslove, prava i obveze HAOP-a, kao i imovinu, opremu, pismohranu i drugu dokumentaciju. Slijedom navedenog, sve poslove i obveze u daljnjem tekstu koje se odnose na Hrvatsku agenciju za okoliš i prirodu od 1. siječnja</w:t>
      </w:r>
      <w:r>
        <w:rPr>
          <w:rFonts w:ascii="Times New Roman" w:hAnsi="Times New Roman" w:cs="Times New Roman"/>
          <w:sz w:val="18"/>
          <w:szCs w:val="18"/>
        </w:rPr>
        <w:t xml:space="preserve"> 20</w:t>
      </w:r>
      <w:r w:rsidRPr="0063136D">
        <w:rPr>
          <w:rFonts w:ascii="Times New Roman" w:hAnsi="Times New Roman" w:cs="Times New Roman"/>
          <w:sz w:val="18"/>
          <w:szCs w:val="18"/>
        </w:rPr>
        <w:t>19. godine preuzima Ministarstvo.</w:t>
      </w:r>
    </w:p>
    <w:p w14:paraId="31BDD9E0" w14:textId="77777777" w:rsidR="006515F5" w:rsidRPr="0063136D" w:rsidRDefault="006515F5" w:rsidP="00D84719">
      <w:pPr>
        <w:pStyle w:val="Tekstfusnote"/>
        <w:rPr>
          <w:rFonts w:ascii="Times New Roman" w:hAnsi="Times New Roman" w:cs="Times New Roman"/>
        </w:rPr>
      </w:pPr>
      <w:r w:rsidRPr="0063136D">
        <w:rPr>
          <w:rFonts w:ascii="Times New Roman" w:hAnsi="Times New Roman" w:cs="Times New Roman"/>
          <w:sz w:val="18"/>
          <w:szCs w:val="18"/>
        </w:rPr>
        <w:t>Ministarstvo zaštite okoliša i energetike je u srpnju 2020. sukladno Zakonu o ustrojstvu i djelokrugu tijela državne uprave („Narode novine“ broj 85/20) promijenilo naziv u Ministarstvo gospodarstva i održivog razvoja.</w:t>
      </w:r>
    </w:p>
  </w:footnote>
  <w:footnote w:id="2">
    <w:p w14:paraId="5B5C4250" w14:textId="77777777" w:rsidR="006515F5" w:rsidRPr="009978AC" w:rsidRDefault="006515F5" w:rsidP="00D84719">
      <w:pPr>
        <w:pStyle w:val="Tekstfusnote"/>
        <w:rPr>
          <w:rFonts w:ascii="Times New Roman" w:hAnsi="Times New Roman" w:cs="Times New Roman"/>
          <w:sz w:val="18"/>
          <w:szCs w:val="18"/>
        </w:rPr>
      </w:pPr>
      <w:r w:rsidRPr="009978AC">
        <w:rPr>
          <w:rStyle w:val="Referencafusnote"/>
          <w:rFonts w:ascii="Times New Roman" w:hAnsi="Times New Roman" w:cs="Times New Roman"/>
          <w:sz w:val="18"/>
          <w:szCs w:val="18"/>
        </w:rPr>
        <w:footnoteRef/>
      </w:r>
      <w:r w:rsidRPr="009978AC">
        <w:rPr>
          <w:rFonts w:ascii="Times New Roman" w:hAnsi="Times New Roman" w:cs="Times New Roman"/>
          <w:sz w:val="18"/>
          <w:szCs w:val="18"/>
        </w:rPr>
        <w:t xml:space="preserve"> Uredbe broj 757/2010, 519/2012, 1342/2014, 2015/2030, 2016/293 i 2016/460, 1195/2006, 172/2007, 323/2007, 219/2009, 304/2009 i 756/2010.</w:t>
      </w:r>
    </w:p>
  </w:footnote>
  <w:footnote w:id="3">
    <w:p w14:paraId="7D68CC07" w14:textId="77777777" w:rsidR="006515F5" w:rsidRPr="00B54098" w:rsidRDefault="006515F5" w:rsidP="00D84719">
      <w:pPr>
        <w:rPr>
          <w:rFonts w:ascii="Times New Roman" w:hAnsi="Times New Roman" w:cs="Times New Roman"/>
          <w:sz w:val="18"/>
          <w:szCs w:val="18"/>
        </w:rPr>
      </w:pPr>
      <w:r w:rsidRPr="00B54098">
        <w:rPr>
          <w:rFonts w:ascii="Times New Roman" w:hAnsi="Times New Roman" w:cs="Times New Roman"/>
          <w:sz w:val="18"/>
          <w:szCs w:val="18"/>
        </w:rPr>
        <w:footnoteRef/>
      </w:r>
      <w:r w:rsidRPr="00B54098">
        <w:rPr>
          <w:rFonts w:ascii="Times New Roman" w:hAnsi="Times New Roman" w:cs="Times New Roman"/>
          <w:sz w:val="18"/>
          <w:szCs w:val="18"/>
        </w:rPr>
        <w:t xml:space="preserve"> Inventar „starih“ </w:t>
      </w:r>
      <w:proofErr w:type="spellStart"/>
      <w:r w:rsidRPr="00B54098">
        <w:rPr>
          <w:rFonts w:ascii="Times New Roman" w:hAnsi="Times New Roman" w:cs="Times New Roman"/>
          <w:sz w:val="18"/>
          <w:szCs w:val="18"/>
        </w:rPr>
        <w:t>UPOPs</w:t>
      </w:r>
      <w:proofErr w:type="spellEnd"/>
      <w:r w:rsidRPr="00B54098">
        <w:rPr>
          <w:rFonts w:ascii="Times New Roman" w:hAnsi="Times New Roman" w:cs="Times New Roman"/>
          <w:sz w:val="18"/>
          <w:szCs w:val="18"/>
        </w:rPr>
        <w:t xml:space="preserve">-a koristeći UNEP odnosno LRTAP metodologiju obrađen je u poglavlju „Procjena i inventar nenamjerne proizvodnje i ispuštanja kemikalija“ ovog dokumenta. </w:t>
      </w:r>
    </w:p>
  </w:footnote>
  <w:footnote w:id="4">
    <w:p w14:paraId="386827FF" w14:textId="77777777" w:rsidR="006515F5" w:rsidRPr="00900566" w:rsidRDefault="006515F5" w:rsidP="00D84719">
      <w:pPr>
        <w:rPr>
          <w:rFonts w:ascii="Times New Roman" w:hAnsi="Times New Roman" w:cs="Times New Roman"/>
        </w:rPr>
      </w:pPr>
      <w:r w:rsidRPr="00900566">
        <w:rPr>
          <w:rFonts w:ascii="Times New Roman" w:hAnsi="Times New Roman" w:cs="Times New Roman"/>
          <w:sz w:val="18"/>
          <w:szCs w:val="18"/>
          <w:vertAlign w:val="superscript"/>
        </w:rPr>
        <w:footnoteRef/>
      </w:r>
      <w:r w:rsidRPr="00900566">
        <w:rPr>
          <w:rFonts w:ascii="Times New Roman" w:hAnsi="Times New Roman" w:cs="Times New Roman"/>
          <w:sz w:val="18"/>
          <w:szCs w:val="18"/>
        </w:rPr>
        <w:t xml:space="preserve"> Sukladno </w:t>
      </w:r>
      <w:proofErr w:type="spellStart"/>
      <w:r w:rsidRPr="00900566">
        <w:rPr>
          <w:rFonts w:ascii="Times New Roman" w:hAnsi="Times New Roman" w:cs="Times New Roman"/>
          <w:sz w:val="18"/>
          <w:szCs w:val="18"/>
        </w:rPr>
        <w:t>Stockholmskoj</w:t>
      </w:r>
      <w:proofErr w:type="spellEnd"/>
      <w:r w:rsidRPr="00900566">
        <w:rPr>
          <w:rFonts w:ascii="Times New Roman" w:hAnsi="Times New Roman" w:cs="Times New Roman"/>
          <w:sz w:val="18"/>
          <w:szCs w:val="18"/>
        </w:rPr>
        <w:t xml:space="preserve"> konvenciji uporaba PCB-a u opremi (npr. transformatorima i kondenzatorima) dopuštena je najkasnije do 2025..</w:t>
      </w:r>
    </w:p>
  </w:footnote>
  <w:footnote w:id="5">
    <w:p w14:paraId="0ED33A6E" w14:textId="77777777" w:rsidR="006515F5" w:rsidRPr="00562DD1" w:rsidRDefault="006515F5" w:rsidP="00D84719">
      <w:pPr>
        <w:pStyle w:val="Tekstfusnote"/>
        <w:rPr>
          <w:rFonts w:ascii="Times New Roman" w:hAnsi="Times New Roman" w:cs="Times New Roman"/>
          <w:sz w:val="18"/>
          <w:szCs w:val="18"/>
        </w:rPr>
      </w:pPr>
      <w:r w:rsidRPr="00562DD1">
        <w:rPr>
          <w:rStyle w:val="Referencafusnote"/>
          <w:rFonts w:ascii="Times New Roman" w:hAnsi="Times New Roman" w:cs="Times New Roman"/>
          <w:sz w:val="18"/>
          <w:szCs w:val="18"/>
        </w:rPr>
        <w:footnoteRef/>
      </w:r>
      <w:r w:rsidRPr="00562DD1">
        <w:rPr>
          <w:rFonts w:ascii="Times New Roman" w:hAnsi="Times New Roman" w:cs="Times New Roman"/>
          <w:sz w:val="18"/>
          <w:szCs w:val="18"/>
        </w:rPr>
        <w:t xml:space="preserve"> U skupinu ko</w:t>
      </w:r>
      <w:r>
        <w:rPr>
          <w:rFonts w:ascii="Times New Roman" w:hAnsi="Times New Roman" w:cs="Times New Roman"/>
          <w:sz w:val="18"/>
          <w:szCs w:val="18"/>
        </w:rPr>
        <w:t>n</w:t>
      </w:r>
      <w:r w:rsidRPr="00562DD1">
        <w:rPr>
          <w:rFonts w:ascii="Times New Roman" w:hAnsi="Times New Roman" w:cs="Times New Roman"/>
          <w:sz w:val="18"/>
          <w:szCs w:val="18"/>
        </w:rPr>
        <w:t xml:space="preserve">genera obitelji bromiranih difenil etera svrstan je i </w:t>
      </w:r>
      <w:r w:rsidRPr="00562DD1">
        <w:rPr>
          <w:rFonts w:ascii="Times New Roman" w:hAnsi="Times New Roman" w:cs="Times New Roman"/>
          <w:sz w:val="18"/>
          <w:szCs w:val="18"/>
          <w:lang w:bidi="en-US"/>
        </w:rPr>
        <w:t xml:space="preserve">dekabromodifenil eter (BDE-209) prisutan u komercijalnom dekabromodifenil eteru (c-dekaBDE) naveden u Dodatku </w:t>
      </w:r>
      <w:r>
        <w:rPr>
          <w:rFonts w:ascii="Times New Roman" w:hAnsi="Times New Roman" w:cs="Times New Roman"/>
          <w:sz w:val="18"/>
          <w:szCs w:val="18"/>
          <w:lang w:bidi="en-US"/>
        </w:rPr>
        <w:t>A</w:t>
      </w:r>
      <w:r w:rsidRPr="00562DD1">
        <w:rPr>
          <w:rFonts w:ascii="Times New Roman" w:hAnsi="Times New Roman" w:cs="Times New Roman"/>
          <w:sz w:val="18"/>
          <w:szCs w:val="18"/>
          <w:lang w:bidi="en-US"/>
        </w:rPr>
        <w:t xml:space="preserve"> Konvencije s posebnim izuzećima, usvojen na COP-8. </w:t>
      </w:r>
    </w:p>
  </w:footnote>
  <w:footnote w:id="6">
    <w:p w14:paraId="58754ACD" w14:textId="77777777" w:rsidR="006515F5" w:rsidRPr="007906A2" w:rsidRDefault="006515F5" w:rsidP="00693C2C">
      <w:pPr>
        <w:jc w:val="both"/>
        <w:rPr>
          <w:rFonts w:ascii="Times New Roman" w:hAnsi="Times New Roman" w:cs="Times New Roman"/>
          <w:sz w:val="18"/>
          <w:szCs w:val="18"/>
        </w:rPr>
      </w:pPr>
      <w:r w:rsidRPr="00693C2C">
        <w:rPr>
          <w:rFonts w:ascii="Times New Roman" w:hAnsi="Times New Roman" w:cs="Times New Roman"/>
          <w:sz w:val="18"/>
          <w:szCs w:val="18"/>
          <w:vertAlign w:val="superscript"/>
        </w:rPr>
        <w:footnoteRef/>
      </w:r>
      <w:r w:rsidRPr="007906A2">
        <w:rPr>
          <w:rFonts w:ascii="Times New Roman" w:hAnsi="Times New Roman" w:cs="Times New Roman"/>
          <w:sz w:val="18"/>
          <w:szCs w:val="18"/>
        </w:rPr>
        <w:t xml:space="preserve"> </w:t>
      </w:r>
      <w:r w:rsidRPr="007906A2">
        <w:rPr>
          <w:rFonts w:ascii="Times New Roman" w:hAnsi="Times New Roman" w:cs="Times New Roman"/>
          <w:bCs/>
          <w:sz w:val="18"/>
          <w:szCs w:val="18"/>
        </w:rPr>
        <w:t xml:space="preserve">Inventar „starih“ </w:t>
      </w:r>
      <w:proofErr w:type="spellStart"/>
      <w:r w:rsidRPr="007906A2">
        <w:rPr>
          <w:rFonts w:ascii="Times New Roman" w:hAnsi="Times New Roman" w:cs="Times New Roman"/>
          <w:bCs/>
          <w:sz w:val="18"/>
          <w:szCs w:val="18"/>
        </w:rPr>
        <w:t>UPOPs</w:t>
      </w:r>
      <w:proofErr w:type="spellEnd"/>
      <w:r w:rsidRPr="007906A2">
        <w:rPr>
          <w:rFonts w:ascii="Times New Roman" w:hAnsi="Times New Roman" w:cs="Times New Roman"/>
          <w:bCs/>
          <w:sz w:val="18"/>
          <w:szCs w:val="18"/>
        </w:rPr>
        <w:t>-a koristeći UNEP odnosno LRTAP metodologiju obrađen je u poglavlju „Procjena i inventar nenamjerne proizvodnje i ispuštanja kemikalija“ ovog dokumenta.</w:t>
      </w:r>
      <w:r w:rsidRPr="007906A2">
        <w:rPr>
          <w:rFonts w:ascii="Times New Roman" w:hAnsi="Times New Roman" w:cs="Times New Roman"/>
          <w:sz w:val="18"/>
          <w:szCs w:val="18"/>
        </w:rPr>
        <w:t xml:space="preserve"> </w:t>
      </w:r>
    </w:p>
  </w:footnote>
  <w:footnote w:id="7">
    <w:p w14:paraId="26C38732" w14:textId="77777777" w:rsidR="006515F5" w:rsidRPr="007901A7" w:rsidRDefault="006515F5" w:rsidP="00D84719">
      <w:pPr>
        <w:pStyle w:val="Tekstfusnote"/>
        <w:rPr>
          <w:rFonts w:ascii="Times New Roman" w:hAnsi="Times New Roman" w:cs="Times New Roman"/>
        </w:rPr>
      </w:pPr>
      <w:r w:rsidRPr="007901A7">
        <w:rPr>
          <w:rStyle w:val="Referencafusnote"/>
          <w:rFonts w:ascii="Times New Roman" w:hAnsi="Times New Roman" w:cs="Times New Roman"/>
          <w:sz w:val="18"/>
          <w:szCs w:val="18"/>
        </w:rPr>
        <w:footnoteRef/>
      </w:r>
      <w:r w:rsidRPr="007901A7">
        <w:rPr>
          <w:rFonts w:ascii="Times New Roman" w:hAnsi="Times New Roman" w:cs="Times New Roman"/>
          <w:sz w:val="18"/>
          <w:szCs w:val="18"/>
        </w:rPr>
        <w:t xml:space="preserve"> Uredba o standardu kakvoće voda („Narodne novine“ broj 96/19, Prilog 2c, tablice 5. - 9. i tablica 14. za ekološko stanje te Prilog 5 za kemijsko stanje.</w:t>
      </w:r>
    </w:p>
  </w:footnote>
  <w:footnote w:id="8">
    <w:p w14:paraId="36265225" w14:textId="77777777" w:rsidR="006515F5" w:rsidRPr="00BF5D86" w:rsidRDefault="006515F5" w:rsidP="00D84719">
      <w:pPr>
        <w:pStyle w:val="Tekstfusnote"/>
        <w:rPr>
          <w:rFonts w:ascii="Times New Roman" w:hAnsi="Times New Roman" w:cs="Times New Roman"/>
        </w:rPr>
      </w:pPr>
      <w:r w:rsidRPr="00BF5D86">
        <w:rPr>
          <w:rStyle w:val="Referencafusnote"/>
          <w:rFonts w:ascii="Times New Roman" w:hAnsi="Times New Roman" w:cs="Times New Roman"/>
        </w:rPr>
        <w:footnoteRef/>
      </w:r>
      <w:r w:rsidRPr="00BF5D86">
        <w:rPr>
          <w:rFonts w:ascii="Times New Roman" w:hAnsi="Times New Roman" w:cs="Times New Roman"/>
        </w:rPr>
        <w:t xml:space="preserve"> </w:t>
      </w:r>
      <w:hyperlink r:id="rId1" w:history="1">
        <w:r w:rsidRPr="00583887">
          <w:rPr>
            <w:rStyle w:val="Hiperveza"/>
            <w:rFonts w:ascii="Times New Roman" w:hAnsi="Times New Roman" w:cs="Times New Roman"/>
          </w:rPr>
          <w:t>http://roo.azo.hr/</w:t>
        </w:r>
      </w:hyperlink>
    </w:p>
  </w:footnote>
  <w:footnote w:id="9">
    <w:p w14:paraId="772A2C21" w14:textId="77777777" w:rsidR="006515F5" w:rsidRPr="00A843DB" w:rsidRDefault="006515F5" w:rsidP="00D84719">
      <w:pPr>
        <w:pStyle w:val="Tekstfusnote"/>
        <w:rPr>
          <w:rFonts w:ascii="Times New Roman" w:hAnsi="Times New Roman" w:cs="Times New Roman"/>
        </w:rPr>
      </w:pPr>
      <w:r w:rsidRPr="00A843DB">
        <w:rPr>
          <w:rStyle w:val="Referencafusnote"/>
          <w:rFonts w:ascii="Times New Roman" w:hAnsi="Times New Roman" w:cs="Times New Roman"/>
        </w:rPr>
        <w:footnoteRef/>
      </w:r>
      <w:r w:rsidRPr="00A843DB">
        <w:rPr>
          <w:rFonts w:ascii="Times New Roman" w:hAnsi="Times New Roman" w:cs="Times New Roman"/>
        </w:rPr>
        <w:t xml:space="preserve"> Nositelji su definirani sukladno članku 3. </w:t>
      </w:r>
      <w:r w:rsidRPr="00A544D6">
        <w:rPr>
          <w:rFonts w:ascii="Times New Roman" w:hAnsi="Times New Roman" w:cs="Times New Roman"/>
        </w:rPr>
        <w:t>Zakon</w:t>
      </w:r>
      <w:r>
        <w:rPr>
          <w:rFonts w:ascii="Times New Roman" w:hAnsi="Times New Roman" w:cs="Times New Roman"/>
        </w:rPr>
        <w:t>a</w:t>
      </w:r>
      <w:r w:rsidRPr="00A544D6">
        <w:rPr>
          <w:rFonts w:ascii="Times New Roman" w:hAnsi="Times New Roman" w:cs="Times New Roman"/>
        </w:rPr>
        <w:t xml:space="preserve"> o provedbi POPs Uredbe</w:t>
      </w:r>
      <w:r w:rsidRPr="00A843DB">
        <w:rPr>
          <w:rFonts w:ascii="Times New Roman" w:hAnsi="Times New Roman" w:cs="Times New Roman"/>
        </w:rPr>
        <w:t xml:space="preserve"> i ovim NIP-om.</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7BE735" w14:textId="77777777" w:rsidR="006515F5" w:rsidRDefault="006515F5" w:rsidP="00F831D6">
    <w:pPr>
      <w:pStyle w:val="Zaglavlje1"/>
      <w:jc w:val="both"/>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929A9E34"/>
    <w:lvl w:ilvl="0">
      <w:start w:val="1"/>
      <w:numFmt w:val="decimal"/>
      <w:pStyle w:val="Brojevi"/>
      <w:lvlText w:val="%1."/>
      <w:lvlJc w:val="left"/>
      <w:pPr>
        <w:tabs>
          <w:tab w:val="num" w:pos="360"/>
        </w:tabs>
        <w:ind w:left="360" w:hanging="360"/>
      </w:pPr>
      <w:rPr>
        <w:rFonts w:hint="default"/>
      </w:rPr>
    </w:lvl>
  </w:abstractNum>
  <w:abstractNum w:abstractNumId="1" w15:restartNumberingAfterBreak="0">
    <w:nsid w:val="04BC4EA1"/>
    <w:multiLevelType w:val="hybridMultilevel"/>
    <w:tmpl w:val="686ED4C6"/>
    <w:lvl w:ilvl="0" w:tplc="02BAD1F6">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9BA4B99"/>
    <w:multiLevelType w:val="hybridMultilevel"/>
    <w:tmpl w:val="145691A4"/>
    <w:lvl w:ilvl="0" w:tplc="041A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C9BA6476">
      <w:start w:val="1"/>
      <w:numFmt w:val="decimal"/>
      <w:lvlText w:val="%6."/>
      <w:lvlJc w:val="center"/>
      <w:pPr>
        <w:ind w:left="4320" w:hanging="18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527B62"/>
    <w:multiLevelType w:val="hybridMultilevel"/>
    <w:tmpl w:val="4C920BD2"/>
    <w:lvl w:ilvl="0" w:tplc="D8C0F338">
      <w:start w:val="2021"/>
      <w:numFmt w:val="bullet"/>
      <w:lvlText w:val="-"/>
      <w:lvlJc w:val="left"/>
      <w:pPr>
        <w:ind w:left="720" w:hanging="360"/>
      </w:pPr>
      <w:rPr>
        <w:rFonts w:ascii="Calibri" w:eastAsiaTheme="minorEastAsia"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D453171"/>
    <w:multiLevelType w:val="hybridMultilevel"/>
    <w:tmpl w:val="E5E662E0"/>
    <w:lvl w:ilvl="0" w:tplc="D8C0F338">
      <w:start w:val="2021"/>
      <w:numFmt w:val="bullet"/>
      <w:lvlText w:val="-"/>
      <w:lvlJc w:val="left"/>
      <w:pPr>
        <w:ind w:left="720" w:hanging="360"/>
      </w:pPr>
      <w:rPr>
        <w:rFonts w:ascii="Calibri" w:eastAsiaTheme="minorEastAsia"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23829AE"/>
    <w:multiLevelType w:val="hybridMultilevel"/>
    <w:tmpl w:val="77160F80"/>
    <w:lvl w:ilvl="0" w:tplc="D8C0F338">
      <w:start w:val="2021"/>
      <w:numFmt w:val="bullet"/>
      <w:lvlText w:val="-"/>
      <w:lvlJc w:val="left"/>
      <w:pPr>
        <w:ind w:left="720" w:hanging="360"/>
      </w:pPr>
      <w:rPr>
        <w:rFonts w:ascii="Calibri" w:eastAsiaTheme="minorEastAsia"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13C533AE"/>
    <w:multiLevelType w:val="hybridMultilevel"/>
    <w:tmpl w:val="1D1C008A"/>
    <w:lvl w:ilvl="0" w:tplc="D8C0F338">
      <w:start w:val="2021"/>
      <w:numFmt w:val="bullet"/>
      <w:lvlText w:val="-"/>
      <w:lvlJc w:val="left"/>
      <w:pPr>
        <w:ind w:left="720" w:hanging="360"/>
      </w:pPr>
      <w:rPr>
        <w:rFonts w:ascii="Calibri" w:eastAsiaTheme="minorEastAsia"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4EE168B"/>
    <w:multiLevelType w:val="hybridMultilevel"/>
    <w:tmpl w:val="02189554"/>
    <w:lvl w:ilvl="0" w:tplc="D8C0F338">
      <w:start w:val="2021"/>
      <w:numFmt w:val="bullet"/>
      <w:lvlText w:val="-"/>
      <w:lvlJc w:val="left"/>
      <w:pPr>
        <w:ind w:left="720" w:hanging="360"/>
      </w:pPr>
      <w:rPr>
        <w:rFonts w:ascii="Calibri" w:eastAsiaTheme="minorEastAsia" w:hAnsi="Calibri" w:cs="Calibri" w:hint="default"/>
      </w:rPr>
    </w:lvl>
    <w:lvl w:ilvl="1" w:tplc="4210BDC6">
      <w:numFmt w:val="bullet"/>
      <w:lvlText w:val="•"/>
      <w:lvlJc w:val="left"/>
      <w:pPr>
        <w:ind w:left="1440" w:hanging="360"/>
      </w:pPr>
      <w:rPr>
        <w:rFonts w:ascii="Times New Roman" w:eastAsia="Times New Roman" w:hAnsi="Times New Roman" w:cs="Times New Roman" w:hint="default"/>
        <w:sz w:val="24"/>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5FE67FB"/>
    <w:multiLevelType w:val="hybridMultilevel"/>
    <w:tmpl w:val="B846FF0C"/>
    <w:lvl w:ilvl="0" w:tplc="D8C0F338">
      <w:start w:val="2021"/>
      <w:numFmt w:val="bullet"/>
      <w:lvlText w:val="-"/>
      <w:lvlJc w:val="left"/>
      <w:pPr>
        <w:ind w:left="1440" w:hanging="360"/>
      </w:pPr>
      <w:rPr>
        <w:rFonts w:ascii="Calibri" w:eastAsiaTheme="minorEastAsia" w:hAnsi="Calibri" w:cs="Calibri"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9" w15:restartNumberingAfterBreak="0">
    <w:nsid w:val="17C16BE7"/>
    <w:multiLevelType w:val="hybridMultilevel"/>
    <w:tmpl w:val="74EAD6E0"/>
    <w:lvl w:ilvl="0" w:tplc="D8C0F338">
      <w:start w:val="2021"/>
      <w:numFmt w:val="bullet"/>
      <w:lvlText w:val="-"/>
      <w:lvlJc w:val="left"/>
      <w:pPr>
        <w:ind w:left="720" w:hanging="360"/>
      </w:pPr>
      <w:rPr>
        <w:rFonts w:ascii="Calibri" w:eastAsiaTheme="minorEastAsia"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18C44AAF"/>
    <w:multiLevelType w:val="hybridMultilevel"/>
    <w:tmpl w:val="A0B238EA"/>
    <w:lvl w:ilvl="0" w:tplc="4B96486A">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18E36251"/>
    <w:multiLevelType w:val="hybridMultilevel"/>
    <w:tmpl w:val="EFCADA46"/>
    <w:lvl w:ilvl="0" w:tplc="D8C0F338">
      <w:start w:val="2021"/>
      <w:numFmt w:val="bullet"/>
      <w:lvlText w:val="-"/>
      <w:lvlJc w:val="left"/>
      <w:pPr>
        <w:ind w:left="720" w:hanging="360"/>
      </w:pPr>
      <w:rPr>
        <w:rFonts w:ascii="Calibri" w:eastAsiaTheme="minorEastAsia"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1AEE5E88"/>
    <w:multiLevelType w:val="hybridMultilevel"/>
    <w:tmpl w:val="A87ACBEA"/>
    <w:lvl w:ilvl="0" w:tplc="D8C0F338">
      <w:start w:val="202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47333B"/>
    <w:multiLevelType w:val="hybridMultilevel"/>
    <w:tmpl w:val="22742F1C"/>
    <w:lvl w:ilvl="0" w:tplc="D8C0F338">
      <w:start w:val="2021"/>
      <w:numFmt w:val="bullet"/>
      <w:lvlText w:val="-"/>
      <w:lvlJc w:val="left"/>
      <w:pPr>
        <w:ind w:left="720" w:hanging="360"/>
      </w:pPr>
      <w:rPr>
        <w:rFonts w:ascii="Calibri" w:eastAsiaTheme="minorEastAsia"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21795C6D"/>
    <w:multiLevelType w:val="hybridMultilevel"/>
    <w:tmpl w:val="06B47A66"/>
    <w:lvl w:ilvl="0" w:tplc="8C588CF2">
      <w:start w:val="3"/>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BC4F1C"/>
    <w:multiLevelType w:val="hybridMultilevel"/>
    <w:tmpl w:val="31BAF95C"/>
    <w:lvl w:ilvl="0" w:tplc="65784B90">
      <w:start w:val="1"/>
      <w:numFmt w:val="decimal"/>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300621E4"/>
    <w:multiLevelType w:val="hybridMultilevel"/>
    <w:tmpl w:val="C81C84FE"/>
    <w:lvl w:ilvl="0" w:tplc="15C0D4A0">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31251043"/>
    <w:multiLevelType w:val="hybridMultilevel"/>
    <w:tmpl w:val="92F8B64A"/>
    <w:lvl w:ilvl="0" w:tplc="B2888928">
      <w:numFmt w:val="bullet"/>
      <w:pStyle w:val="Naglaencita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38C821B4"/>
    <w:multiLevelType w:val="hybridMultilevel"/>
    <w:tmpl w:val="422A9646"/>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3ABF6244"/>
    <w:multiLevelType w:val="hybridMultilevel"/>
    <w:tmpl w:val="7DEE8B5C"/>
    <w:lvl w:ilvl="0" w:tplc="D8C0F338">
      <w:start w:val="202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CE00BE"/>
    <w:multiLevelType w:val="hybridMultilevel"/>
    <w:tmpl w:val="DBB89DCC"/>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47204EA0"/>
    <w:multiLevelType w:val="hybridMultilevel"/>
    <w:tmpl w:val="4426D8A0"/>
    <w:lvl w:ilvl="0" w:tplc="D8C0F338">
      <w:start w:val="2021"/>
      <w:numFmt w:val="bullet"/>
      <w:lvlText w:val="-"/>
      <w:lvlJc w:val="left"/>
      <w:pPr>
        <w:ind w:left="720" w:hanging="360"/>
      </w:pPr>
      <w:rPr>
        <w:rFonts w:ascii="Calibri" w:eastAsiaTheme="minorEastAsia"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50B61814"/>
    <w:multiLevelType w:val="hybridMultilevel"/>
    <w:tmpl w:val="C3620244"/>
    <w:lvl w:ilvl="0" w:tplc="91FE4880">
      <w:start w:val="1"/>
      <w:numFmt w:val="bullet"/>
      <w:lvlText w:val="-"/>
      <w:lvlJc w:val="left"/>
      <w:pPr>
        <w:ind w:left="644" w:hanging="360"/>
      </w:pPr>
      <w:rPr>
        <w:rFonts w:ascii="Times New Roman" w:hAnsi="Times New Roman" w:cs="Times New Roman" w:hint="default"/>
      </w:rPr>
    </w:lvl>
    <w:lvl w:ilvl="1" w:tplc="041A0003" w:tentative="1">
      <w:start w:val="1"/>
      <w:numFmt w:val="bullet"/>
      <w:lvlText w:val="o"/>
      <w:lvlJc w:val="left"/>
      <w:pPr>
        <w:ind w:left="1364" w:hanging="360"/>
      </w:pPr>
      <w:rPr>
        <w:rFonts w:ascii="Courier New" w:hAnsi="Courier New" w:cs="Courier New" w:hint="default"/>
      </w:rPr>
    </w:lvl>
    <w:lvl w:ilvl="2" w:tplc="041A0005" w:tentative="1">
      <w:start w:val="1"/>
      <w:numFmt w:val="bullet"/>
      <w:lvlText w:val=""/>
      <w:lvlJc w:val="left"/>
      <w:pPr>
        <w:ind w:left="2084" w:hanging="360"/>
      </w:pPr>
      <w:rPr>
        <w:rFonts w:ascii="Wingdings" w:hAnsi="Wingdings" w:hint="default"/>
      </w:rPr>
    </w:lvl>
    <w:lvl w:ilvl="3" w:tplc="041A0001" w:tentative="1">
      <w:start w:val="1"/>
      <w:numFmt w:val="bullet"/>
      <w:lvlText w:val=""/>
      <w:lvlJc w:val="left"/>
      <w:pPr>
        <w:ind w:left="2804" w:hanging="360"/>
      </w:pPr>
      <w:rPr>
        <w:rFonts w:ascii="Symbol" w:hAnsi="Symbol" w:hint="default"/>
      </w:rPr>
    </w:lvl>
    <w:lvl w:ilvl="4" w:tplc="041A0003" w:tentative="1">
      <w:start w:val="1"/>
      <w:numFmt w:val="bullet"/>
      <w:lvlText w:val="o"/>
      <w:lvlJc w:val="left"/>
      <w:pPr>
        <w:ind w:left="3524" w:hanging="360"/>
      </w:pPr>
      <w:rPr>
        <w:rFonts w:ascii="Courier New" w:hAnsi="Courier New" w:cs="Courier New" w:hint="default"/>
      </w:rPr>
    </w:lvl>
    <w:lvl w:ilvl="5" w:tplc="041A0005" w:tentative="1">
      <w:start w:val="1"/>
      <w:numFmt w:val="bullet"/>
      <w:lvlText w:val=""/>
      <w:lvlJc w:val="left"/>
      <w:pPr>
        <w:ind w:left="4244" w:hanging="360"/>
      </w:pPr>
      <w:rPr>
        <w:rFonts w:ascii="Wingdings" w:hAnsi="Wingdings" w:hint="default"/>
      </w:rPr>
    </w:lvl>
    <w:lvl w:ilvl="6" w:tplc="041A0001" w:tentative="1">
      <w:start w:val="1"/>
      <w:numFmt w:val="bullet"/>
      <w:lvlText w:val=""/>
      <w:lvlJc w:val="left"/>
      <w:pPr>
        <w:ind w:left="4964" w:hanging="360"/>
      </w:pPr>
      <w:rPr>
        <w:rFonts w:ascii="Symbol" w:hAnsi="Symbol" w:hint="default"/>
      </w:rPr>
    </w:lvl>
    <w:lvl w:ilvl="7" w:tplc="041A0003" w:tentative="1">
      <w:start w:val="1"/>
      <w:numFmt w:val="bullet"/>
      <w:lvlText w:val="o"/>
      <w:lvlJc w:val="left"/>
      <w:pPr>
        <w:ind w:left="5684" w:hanging="360"/>
      </w:pPr>
      <w:rPr>
        <w:rFonts w:ascii="Courier New" w:hAnsi="Courier New" w:cs="Courier New" w:hint="default"/>
      </w:rPr>
    </w:lvl>
    <w:lvl w:ilvl="8" w:tplc="041A0005" w:tentative="1">
      <w:start w:val="1"/>
      <w:numFmt w:val="bullet"/>
      <w:lvlText w:val=""/>
      <w:lvlJc w:val="left"/>
      <w:pPr>
        <w:ind w:left="6404" w:hanging="360"/>
      </w:pPr>
      <w:rPr>
        <w:rFonts w:ascii="Wingdings" w:hAnsi="Wingdings" w:hint="default"/>
      </w:rPr>
    </w:lvl>
  </w:abstractNum>
  <w:abstractNum w:abstractNumId="23" w15:restartNumberingAfterBreak="0">
    <w:nsid w:val="532B4E1F"/>
    <w:multiLevelType w:val="hybridMultilevel"/>
    <w:tmpl w:val="5D367752"/>
    <w:lvl w:ilvl="0" w:tplc="041A0011">
      <w:start w:val="1"/>
      <w:numFmt w:val="decimal"/>
      <w:lvlText w:val="%1)"/>
      <w:lvlJc w:val="left"/>
      <w:pPr>
        <w:ind w:left="720" w:hanging="360"/>
      </w:pPr>
    </w:lvl>
    <w:lvl w:ilvl="1" w:tplc="016496B4">
      <w:start w:val="1"/>
      <w:numFmt w:val="decimal"/>
      <w:lvlText w:val="%2."/>
      <w:lvlJc w:val="left"/>
      <w:pPr>
        <w:ind w:left="1785" w:hanging="705"/>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53551EBE"/>
    <w:multiLevelType w:val="hybridMultilevel"/>
    <w:tmpl w:val="17C06E5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59F13B17"/>
    <w:multiLevelType w:val="multilevel"/>
    <w:tmpl w:val="5D18C468"/>
    <w:lvl w:ilvl="0">
      <w:start w:val="1"/>
      <w:numFmt w:val="decimal"/>
      <w:lvlText w:val="%1"/>
      <w:lvlJc w:val="left"/>
      <w:pPr>
        <w:ind w:left="432" w:hanging="432"/>
      </w:pPr>
      <w:rPr>
        <w:rFonts w:hint="default"/>
      </w:rPr>
    </w:lvl>
    <w:lvl w:ilvl="1">
      <w:start w:val="1"/>
      <w:numFmt w:val="decimal"/>
      <w:pStyle w:val="Naslov21"/>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Naslov41"/>
      <w:lvlText w:val="%1.%2.%3.%4"/>
      <w:lvlJc w:val="left"/>
      <w:pPr>
        <w:ind w:left="864" w:hanging="864"/>
      </w:pPr>
      <w:rPr>
        <w:rFonts w:hint="default"/>
      </w:rPr>
    </w:lvl>
    <w:lvl w:ilvl="4">
      <w:start w:val="1"/>
      <w:numFmt w:val="decimal"/>
      <w:pStyle w:val="Naslov51"/>
      <w:lvlText w:val="%1.%2.%3.%4.%5"/>
      <w:lvlJc w:val="left"/>
      <w:pPr>
        <w:ind w:left="1008" w:hanging="1008"/>
      </w:pPr>
      <w:rPr>
        <w:rFonts w:hint="default"/>
      </w:rPr>
    </w:lvl>
    <w:lvl w:ilvl="5">
      <w:start w:val="1"/>
      <w:numFmt w:val="decimal"/>
      <w:pStyle w:val="Naslov61"/>
      <w:lvlText w:val="%1.%2.%3.%4.%5.%6"/>
      <w:lvlJc w:val="left"/>
      <w:pPr>
        <w:ind w:left="1152" w:hanging="1152"/>
      </w:pPr>
      <w:rPr>
        <w:rFonts w:hint="default"/>
      </w:rPr>
    </w:lvl>
    <w:lvl w:ilvl="6">
      <w:start w:val="1"/>
      <w:numFmt w:val="decimal"/>
      <w:pStyle w:val="Naslov71"/>
      <w:lvlText w:val="%1.%2.%3.%4.%5.%6.%7"/>
      <w:lvlJc w:val="left"/>
      <w:pPr>
        <w:ind w:left="1296" w:hanging="1296"/>
      </w:pPr>
      <w:rPr>
        <w:rFonts w:hint="default"/>
      </w:rPr>
    </w:lvl>
    <w:lvl w:ilvl="7">
      <w:start w:val="1"/>
      <w:numFmt w:val="decimal"/>
      <w:pStyle w:val="Naslov81"/>
      <w:lvlText w:val="%1.%2.%3.%4.%5.%6.%7.%8"/>
      <w:lvlJc w:val="left"/>
      <w:pPr>
        <w:ind w:left="1440" w:hanging="1440"/>
      </w:pPr>
      <w:rPr>
        <w:rFonts w:hint="default"/>
      </w:rPr>
    </w:lvl>
    <w:lvl w:ilvl="8">
      <w:start w:val="1"/>
      <w:numFmt w:val="decimal"/>
      <w:pStyle w:val="Naslov91"/>
      <w:lvlText w:val="%1.%2.%3.%4.%5.%6.%7.%8.%9"/>
      <w:lvlJc w:val="left"/>
      <w:pPr>
        <w:ind w:left="1584" w:hanging="1584"/>
      </w:pPr>
      <w:rPr>
        <w:rFonts w:hint="default"/>
      </w:rPr>
    </w:lvl>
  </w:abstractNum>
  <w:abstractNum w:abstractNumId="26" w15:restartNumberingAfterBreak="0">
    <w:nsid w:val="5AC920E9"/>
    <w:multiLevelType w:val="hybridMultilevel"/>
    <w:tmpl w:val="7A0C7CB4"/>
    <w:lvl w:ilvl="0" w:tplc="15C0D4A0">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62093F45"/>
    <w:multiLevelType w:val="multilevel"/>
    <w:tmpl w:val="9FFC2AC4"/>
    <w:lvl w:ilvl="0">
      <w:start w:val="1"/>
      <w:numFmt w:val="decimal"/>
      <w:pStyle w:val="Naslov1"/>
      <w:lvlText w:val="%1"/>
      <w:lvlJc w:val="left"/>
      <w:pPr>
        <w:ind w:left="432" w:hanging="432"/>
      </w:pPr>
      <w:rPr>
        <w:rFonts w:hint="default"/>
      </w:rPr>
    </w:lvl>
    <w:lvl w:ilvl="1">
      <w:start w:val="1"/>
      <w:numFmt w:val="decimal"/>
      <w:pStyle w:val="Naslov2"/>
      <w:lvlText w:val="%1.%2"/>
      <w:lvlJc w:val="left"/>
      <w:pPr>
        <w:ind w:left="4829"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rPr>
        <w:b/>
      </w:r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28" w15:restartNumberingAfterBreak="0">
    <w:nsid w:val="62400B3B"/>
    <w:multiLevelType w:val="hybridMultilevel"/>
    <w:tmpl w:val="05365CB4"/>
    <w:lvl w:ilvl="0" w:tplc="D8C0F338">
      <w:start w:val="202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F4386B"/>
    <w:multiLevelType w:val="hybridMultilevel"/>
    <w:tmpl w:val="1B2CD99E"/>
    <w:lvl w:ilvl="0" w:tplc="D8C0F338">
      <w:start w:val="2021"/>
      <w:numFmt w:val="bullet"/>
      <w:lvlText w:val="-"/>
      <w:lvlJc w:val="left"/>
      <w:pPr>
        <w:ind w:left="720" w:hanging="360"/>
      </w:pPr>
      <w:rPr>
        <w:rFonts w:ascii="Calibri" w:eastAsiaTheme="minorEastAsia"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65901697"/>
    <w:multiLevelType w:val="hybridMultilevel"/>
    <w:tmpl w:val="630A0AB8"/>
    <w:lvl w:ilvl="0" w:tplc="D8C0F338">
      <w:start w:val="2021"/>
      <w:numFmt w:val="bullet"/>
      <w:lvlText w:val="-"/>
      <w:lvlJc w:val="left"/>
      <w:pPr>
        <w:ind w:left="720" w:hanging="360"/>
      </w:pPr>
      <w:rPr>
        <w:rFonts w:ascii="Calibri" w:eastAsiaTheme="minorEastAsia"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67A90ABE"/>
    <w:multiLevelType w:val="hybridMultilevel"/>
    <w:tmpl w:val="BEB2579E"/>
    <w:lvl w:ilvl="0" w:tplc="15C0D4A0">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6CCC27D4"/>
    <w:multiLevelType w:val="hybridMultilevel"/>
    <w:tmpl w:val="6CA22448"/>
    <w:lvl w:ilvl="0" w:tplc="D8C0F338">
      <w:start w:val="2021"/>
      <w:numFmt w:val="bullet"/>
      <w:lvlText w:val="-"/>
      <w:lvlJc w:val="left"/>
      <w:pPr>
        <w:ind w:left="720" w:hanging="360"/>
      </w:pPr>
      <w:rPr>
        <w:rFonts w:ascii="Calibri" w:eastAsiaTheme="minorEastAsia"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71261936"/>
    <w:multiLevelType w:val="hybridMultilevel"/>
    <w:tmpl w:val="22FECFA6"/>
    <w:lvl w:ilvl="0" w:tplc="D8C0F338">
      <w:start w:val="2021"/>
      <w:numFmt w:val="bullet"/>
      <w:lvlText w:val="-"/>
      <w:lvlJc w:val="left"/>
      <w:pPr>
        <w:ind w:left="720" w:hanging="360"/>
      </w:pPr>
      <w:rPr>
        <w:rFonts w:ascii="Calibri" w:eastAsiaTheme="minorEastAsia"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71F93F15"/>
    <w:multiLevelType w:val="hybridMultilevel"/>
    <w:tmpl w:val="794CFC96"/>
    <w:lvl w:ilvl="0" w:tplc="D8C0F338">
      <w:start w:val="2021"/>
      <w:numFmt w:val="bullet"/>
      <w:lvlText w:val="-"/>
      <w:lvlJc w:val="left"/>
      <w:pPr>
        <w:ind w:left="720" w:hanging="360"/>
      </w:pPr>
      <w:rPr>
        <w:rFonts w:ascii="Calibri" w:eastAsiaTheme="minorEastAsia"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75E6383F"/>
    <w:multiLevelType w:val="hybridMultilevel"/>
    <w:tmpl w:val="FBB4D078"/>
    <w:lvl w:ilvl="0" w:tplc="041A0011">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7BA54360"/>
    <w:multiLevelType w:val="hybridMultilevel"/>
    <w:tmpl w:val="329E5848"/>
    <w:lvl w:ilvl="0" w:tplc="041A0011">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7D910216"/>
    <w:multiLevelType w:val="hybridMultilevel"/>
    <w:tmpl w:val="B8D2E63E"/>
    <w:lvl w:ilvl="0" w:tplc="15C0D4A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5"/>
  </w:num>
  <w:num w:numId="3">
    <w:abstractNumId w:val="17"/>
  </w:num>
  <w:num w:numId="4">
    <w:abstractNumId w:val="37"/>
  </w:num>
  <w:num w:numId="5">
    <w:abstractNumId w:val="31"/>
  </w:num>
  <w:num w:numId="6">
    <w:abstractNumId w:val="10"/>
  </w:num>
  <w:num w:numId="7">
    <w:abstractNumId w:val="26"/>
  </w:num>
  <w:num w:numId="8">
    <w:abstractNumId w:val="16"/>
  </w:num>
  <w:num w:numId="9">
    <w:abstractNumId w:val="11"/>
  </w:num>
  <w:num w:numId="10">
    <w:abstractNumId w:val="33"/>
  </w:num>
  <w:num w:numId="11">
    <w:abstractNumId w:val="30"/>
  </w:num>
  <w:num w:numId="12">
    <w:abstractNumId w:val="6"/>
  </w:num>
  <w:num w:numId="13">
    <w:abstractNumId w:val="29"/>
  </w:num>
  <w:num w:numId="14">
    <w:abstractNumId w:val="9"/>
  </w:num>
  <w:num w:numId="15">
    <w:abstractNumId w:val="24"/>
  </w:num>
  <w:num w:numId="16">
    <w:abstractNumId w:val="19"/>
  </w:num>
  <w:num w:numId="17">
    <w:abstractNumId w:val="14"/>
  </w:num>
  <w:num w:numId="18">
    <w:abstractNumId w:val="2"/>
  </w:num>
  <w:num w:numId="19">
    <w:abstractNumId w:val="1"/>
  </w:num>
  <w:num w:numId="20">
    <w:abstractNumId w:val="22"/>
  </w:num>
  <w:num w:numId="21">
    <w:abstractNumId w:val="27"/>
  </w:num>
  <w:num w:numId="22">
    <w:abstractNumId w:val="8"/>
  </w:num>
  <w:num w:numId="23">
    <w:abstractNumId w:val="27"/>
  </w:num>
  <w:num w:numId="24">
    <w:abstractNumId w:val="7"/>
  </w:num>
  <w:num w:numId="25">
    <w:abstractNumId w:val="34"/>
  </w:num>
  <w:num w:numId="26">
    <w:abstractNumId w:val="32"/>
  </w:num>
  <w:num w:numId="27">
    <w:abstractNumId w:val="13"/>
  </w:num>
  <w:num w:numId="28">
    <w:abstractNumId w:val="28"/>
  </w:num>
  <w:num w:numId="29">
    <w:abstractNumId w:val="18"/>
  </w:num>
  <w:num w:numId="30">
    <w:abstractNumId w:val="20"/>
  </w:num>
  <w:num w:numId="31">
    <w:abstractNumId w:val="35"/>
  </w:num>
  <w:num w:numId="32">
    <w:abstractNumId w:val="15"/>
  </w:num>
  <w:num w:numId="33">
    <w:abstractNumId w:val="27"/>
  </w:num>
  <w:num w:numId="34">
    <w:abstractNumId w:val="27"/>
  </w:num>
  <w:num w:numId="35">
    <w:abstractNumId w:val="27"/>
  </w:num>
  <w:num w:numId="36">
    <w:abstractNumId w:val="27"/>
  </w:num>
  <w:num w:numId="37">
    <w:abstractNumId w:val="27"/>
  </w:num>
  <w:num w:numId="38">
    <w:abstractNumId w:val="21"/>
  </w:num>
  <w:num w:numId="39">
    <w:abstractNumId w:val="5"/>
  </w:num>
  <w:num w:numId="40">
    <w:abstractNumId w:val="4"/>
  </w:num>
  <w:num w:numId="41">
    <w:abstractNumId w:val="3"/>
  </w:num>
  <w:num w:numId="42">
    <w:abstractNumId w:val="27"/>
  </w:num>
  <w:num w:numId="43">
    <w:abstractNumId w:val="23"/>
  </w:num>
  <w:num w:numId="44">
    <w:abstractNumId w:val="36"/>
  </w:num>
  <w:num w:numId="45">
    <w:abstractNumId w:val="1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removePersonalInformation/>
  <w:removeDateAndTime/>
  <w:hideSpellingErrors/>
  <w:hideGrammaticalError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4719"/>
    <w:rsid w:val="00012077"/>
    <w:rsid w:val="000219A9"/>
    <w:rsid w:val="000338C5"/>
    <w:rsid w:val="000541D8"/>
    <w:rsid w:val="000562A3"/>
    <w:rsid w:val="00070835"/>
    <w:rsid w:val="00070FBE"/>
    <w:rsid w:val="00081159"/>
    <w:rsid w:val="000860FC"/>
    <w:rsid w:val="000861BD"/>
    <w:rsid w:val="000949BB"/>
    <w:rsid w:val="000A016F"/>
    <w:rsid w:val="000A68D4"/>
    <w:rsid w:val="000B1FC0"/>
    <w:rsid w:val="000B302B"/>
    <w:rsid w:val="000B4180"/>
    <w:rsid w:val="000B6CBB"/>
    <w:rsid w:val="000D60F7"/>
    <w:rsid w:val="000D66B0"/>
    <w:rsid w:val="000F38D2"/>
    <w:rsid w:val="00111C92"/>
    <w:rsid w:val="00112BD8"/>
    <w:rsid w:val="00113672"/>
    <w:rsid w:val="001173D4"/>
    <w:rsid w:val="00121DAD"/>
    <w:rsid w:val="001231BF"/>
    <w:rsid w:val="00134B26"/>
    <w:rsid w:val="00140DA4"/>
    <w:rsid w:val="00142B84"/>
    <w:rsid w:val="00150F47"/>
    <w:rsid w:val="00154EC2"/>
    <w:rsid w:val="00156E75"/>
    <w:rsid w:val="00160275"/>
    <w:rsid w:val="001629F8"/>
    <w:rsid w:val="001674CD"/>
    <w:rsid w:val="001715E3"/>
    <w:rsid w:val="001716FA"/>
    <w:rsid w:val="00174970"/>
    <w:rsid w:val="0018316D"/>
    <w:rsid w:val="001901CE"/>
    <w:rsid w:val="0019231E"/>
    <w:rsid w:val="00195AD0"/>
    <w:rsid w:val="001A38F4"/>
    <w:rsid w:val="001A6D35"/>
    <w:rsid w:val="001B5C46"/>
    <w:rsid w:val="001C384F"/>
    <w:rsid w:val="001E4276"/>
    <w:rsid w:val="001F145E"/>
    <w:rsid w:val="001F458E"/>
    <w:rsid w:val="00205AF4"/>
    <w:rsid w:val="002209CB"/>
    <w:rsid w:val="00222CA7"/>
    <w:rsid w:val="002276C7"/>
    <w:rsid w:val="00235818"/>
    <w:rsid w:val="00235826"/>
    <w:rsid w:val="002441B2"/>
    <w:rsid w:val="002462BE"/>
    <w:rsid w:val="002506E7"/>
    <w:rsid w:val="00250E47"/>
    <w:rsid w:val="002559AD"/>
    <w:rsid w:val="002721C9"/>
    <w:rsid w:val="002731FB"/>
    <w:rsid w:val="00276656"/>
    <w:rsid w:val="00286AC3"/>
    <w:rsid w:val="00286EE9"/>
    <w:rsid w:val="00292F53"/>
    <w:rsid w:val="002A69DF"/>
    <w:rsid w:val="002B143C"/>
    <w:rsid w:val="002B26F1"/>
    <w:rsid w:val="002C1BDA"/>
    <w:rsid w:val="002C3FF3"/>
    <w:rsid w:val="002C5186"/>
    <w:rsid w:val="002C6468"/>
    <w:rsid w:val="002C7054"/>
    <w:rsid w:val="00300AB2"/>
    <w:rsid w:val="003026C1"/>
    <w:rsid w:val="00303106"/>
    <w:rsid w:val="003102DF"/>
    <w:rsid w:val="00331207"/>
    <w:rsid w:val="0033398D"/>
    <w:rsid w:val="00336F65"/>
    <w:rsid w:val="003427B3"/>
    <w:rsid w:val="00353AA6"/>
    <w:rsid w:val="00363798"/>
    <w:rsid w:val="0038557C"/>
    <w:rsid w:val="003920A8"/>
    <w:rsid w:val="0039231E"/>
    <w:rsid w:val="00396C40"/>
    <w:rsid w:val="003B0DF7"/>
    <w:rsid w:val="003B29EB"/>
    <w:rsid w:val="003B464A"/>
    <w:rsid w:val="003D1921"/>
    <w:rsid w:val="003F5EBD"/>
    <w:rsid w:val="003F6B1F"/>
    <w:rsid w:val="0040304A"/>
    <w:rsid w:val="00406889"/>
    <w:rsid w:val="00415B43"/>
    <w:rsid w:val="00422B8D"/>
    <w:rsid w:val="0043489C"/>
    <w:rsid w:val="00434F1B"/>
    <w:rsid w:val="0044324D"/>
    <w:rsid w:val="00447C09"/>
    <w:rsid w:val="00456AF4"/>
    <w:rsid w:val="004628FB"/>
    <w:rsid w:val="00463368"/>
    <w:rsid w:val="0046687E"/>
    <w:rsid w:val="00467FFE"/>
    <w:rsid w:val="004727DB"/>
    <w:rsid w:val="00475AE9"/>
    <w:rsid w:val="00475E83"/>
    <w:rsid w:val="004814A6"/>
    <w:rsid w:val="0048367C"/>
    <w:rsid w:val="0048487D"/>
    <w:rsid w:val="00491CBA"/>
    <w:rsid w:val="00493D53"/>
    <w:rsid w:val="004A4609"/>
    <w:rsid w:val="004B242E"/>
    <w:rsid w:val="004B2FBA"/>
    <w:rsid w:val="004C344F"/>
    <w:rsid w:val="004C3C0F"/>
    <w:rsid w:val="004C3E53"/>
    <w:rsid w:val="004C449C"/>
    <w:rsid w:val="004D4CF0"/>
    <w:rsid w:val="004E6AED"/>
    <w:rsid w:val="004F2006"/>
    <w:rsid w:val="004F230F"/>
    <w:rsid w:val="004F4B03"/>
    <w:rsid w:val="00514AEA"/>
    <w:rsid w:val="005152BB"/>
    <w:rsid w:val="00520154"/>
    <w:rsid w:val="00521A56"/>
    <w:rsid w:val="00522811"/>
    <w:rsid w:val="005233FB"/>
    <w:rsid w:val="0053114C"/>
    <w:rsid w:val="00531B6E"/>
    <w:rsid w:val="00534842"/>
    <w:rsid w:val="00540A5E"/>
    <w:rsid w:val="005468AD"/>
    <w:rsid w:val="005541F5"/>
    <w:rsid w:val="005625F7"/>
    <w:rsid w:val="00562DD1"/>
    <w:rsid w:val="00570E79"/>
    <w:rsid w:val="00573716"/>
    <w:rsid w:val="00580490"/>
    <w:rsid w:val="0059134B"/>
    <w:rsid w:val="0059268A"/>
    <w:rsid w:val="00594DAE"/>
    <w:rsid w:val="005970B4"/>
    <w:rsid w:val="005A364A"/>
    <w:rsid w:val="005B6D0B"/>
    <w:rsid w:val="005C26BD"/>
    <w:rsid w:val="005C6A75"/>
    <w:rsid w:val="005D5F42"/>
    <w:rsid w:val="005E0217"/>
    <w:rsid w:val="00604F29"/>
    <w:rsid w:val="00605EA4"/>
    <w:rsid w:val="00607FD9"/>
    <w:rsid w:val="00612979"/>
    <w:rsid w:val="00617D42"/>
    <w:rsid w:val="00621B0B"/>
    <w:rsid w:val="0063136D"/>
    <w:rsid w:val="00631A70"/>
    <w:rsid w:val="0063257C"/>
    <w:rsid w:val="00632D56"/>
    <w:rsid w:val="00636BDD"/>
    <w:rsid w:val="0064472D"/>
    <w:rsid w:val="006515F5"/>
    <w:rsid w:val="006529B4"/>
    <w:rsid w:val="006575A1"/>
    <w:rsid w:val="006658EF"/>
    <w:rsid w:val="00666C20"/>
    <w:rsid w:val="006712F5"/>
    <w:rsid w:val="00681A28"/>
    <w:rsid w:val="00682273"/>
    <w:rsid w:val="00682E97"/>
    <w:rsid w:val="006879EF"/>
    <w:rsid w:val="00692606"/>
    <w:rsid w:val="00693C2C"/>
    <w:rsid w:val="006A3884"/>
    <w:rsid w:val="006A445C"/>
    <w:rsid w:val="006A4FA2"/>
    <w:rsid w:val="006A5645"/>
    <w:rsid w:val="006B09B7"/>
    <w:rsid w:val="006C6566"/>
    <w:rsid w:val="006E1EFD"/>
    <w:rsid w:val="006F6BD3"/>
    <w:rsid w:val="00706663"/>
    <w:rsid w:val="00727C34"/>
    <w:rsid w:val="00733260"/>
    <w:rsid w:val="007451FB"/>
    <w:rsid w:val="00751F8F"/>
    <w:rsid w:val="007539DD"/>
    <w:rsid w:val="00760922"/>
    <w:rsid w:val="00761E60"/>
    <w:rsid w:val="0076595F"/>
    <w:rsid w:val="00765FA2"/>
    <w:rsid w:val="007901A7"/>
    <w:rsid w:val="007906A2"/>
    <w:rsid w:val="00790BBA"/>
    <w:rsid w:val="00791903"/>
    <w:rsid w:val="0079783D"/>
    <w:rsid w:val="00797986"/>
    <w:rsid w:val="007A017B"/>
    <w:rsid w:val="007A419E"/>
    <w:rsid w:val="007B1768"/>
    <w:rsid w:val="007B366A"/>
    <w:rsid w:val="007C32C9"/>
    <w:rsid w:val="007C52A9"/>
    <w:rsid w:val="007D497D"/>
    <w:rsid w:val="007D6BAF"/>
    <w:rsid w:val="007F27DA"/>
    <w:rsid w:val="007F5231"/>
    <w:rsid w:val="0080171F"/>
    <w:rsid w:val="00802F0E"/>
    <w:rsid w:val="008031BB"/>
    <w:rsid w:val="008032B6"/>
    <w:rsid w:val="00807336"/>
    <w:rsid w:val="008253BC"/>
    <w:rsid w:val="008274D6"/>
    <w:rsid w:val="00827E2E"/>
    <w:rsid w:val="00831239"/>
    <w:rsid w:val="00836220"/>
    <w:rsid w:val="008404A9"/>
    <w:rsid w:val="00863B93"/>
    <w:rsid w:val="00865E8D"/>
    <w:rsid w:val="0086647B"/>
    <w:rsid w:val="00867A23"/>
    <w:rsid w:val="008746B1"/>
    <w:rsid w:val="00877001"/>
    <w:rsid w:val="00880CE6"/>
    <w:rsid w:val="00886F10"/>
    <w:rsid w:val="0088754E"/>
    <w:rsid w:val="0089360D"/>
    <w:rsid w:val="0089635B"/>
    <w:rsid w:val="00897A1F"/>
    <w:rsid w:val="008A290D"/>
    <w:rsid w:val="008B0DC1"/>
    <w:rsid w:val="008B2BB0"/>
    <w:rsid w:val="008B4B43"/>
    <w:rsid w:val="008E551C"/>
    <w:rsid w:val="008F7C9A"/>
    <w:rsid w:val="00900566"/>
    <w:rsid w:val="00906FD6"/>
    <w:rsid w:val="00910A77"/>
    <w:rsid w:val="00917FD8"/>
    <w:rsid w:val="00923662"/>
    <w:rsid w:val="0092413D"/>
    <w:rsid w:val="00931A02"/>
    <w:rsid w:val="00942F80"/>
    <w:rsid w:val="00943B17"/>
    <w:rsid w:val="00943F25"/>
    <w:rsid w:val="00950C18"/>
    <w:rsid w:val="009524D1"/>
    <w:rsid w:val="00960AAE"/>
    <w:rsid w:val="00960AEC"/>
    <w:rsid w:val="00961741"/>
    <w:rsid w:val="00963412"/>
    <w:rsid w:val="00970344"/>
    <w:rsid w:val="00970A7B"/>
    <w:rsid w:val="00982536"/>
    <w:rsid w:val="009861B3"/>
    <w:rsid w:val="009900FA"/>
    <w:rsid w:val="009978AC"/>
    <w:rsid w:val="009A2BFE"/>
    <w:rsid w:val="009A4BA1"/>
    <w:rsid w:val="009A76F3"/>
    <w:rsid w:val="009A7DCC"/>
    <w:rsid w:val="009B4C49"/>
    <w:rsid w:val="009B7156"/>
    <w:rsid w:val="009C020E"/>
    <w:rsid w:val="009C1360"/>
    <w:rsid w:val="009C2757"/>
    <w:rsid w:val="009C40AD"/>
    <w:rsid w:val="009C4363"/>
    <w:rsid w:val="009D0F7D"/>
    <w:rsid w:val="009D2E73"/>
    <w:rsid w:val="009E2446"/>
    <w:rsid w:val="009F13D5"/>
    <w:rsid w:val="009F3452"/>
    <w:rsid w:val="00A04B3B"/>
    <w:rsid w:val="00A076DD"/>
    <w:rsid w:val="00A11275"/>
    <w:rsid w:val="00A166B2"/>
    <w:rsid w:val="00A20CBB"/>
    <w:rsid w:val="00A21507"/>
    <w:rsid w:val="00A22D2C"/>
    <w:rsid w:val="00A44A1D"/>
    <w:rsid w:val="00A51369"/>
    <w:rsid w:val="00A544D6"/>
    <w:rsid w:val="00A54F9C"/>
    <w:rsid w:val="00A61408"/>
    <w:rsid w:val="00A61921"/>
    <w:rsid w:val="00A621CE"/>
    <w:rsid w:val="00A64195"/>
    <w:rsid w:val="00A64981"/>
    <w:rsid w:val="00A74A9F"/>
    <w:rsid w:val="00A843DB"/>
    <w:rsid w:val="00A87817"/>
    <w:rsid w:val="00AA5348"/>
    <w:rsid w:val="00AC66AA"/>
    <w:rsid w:val="00AD681E"/>
    <w:rsid w:val="00AE7689"/>
    <w:rsid w:val="00AF5B8C"/>
    <w:rsid w:val="00B10002"/>
    <w:rsid w:val="00B12E06"/>
    <w:rsid w:val="00B171EB"/>
    <w:rsid w:val="00B2406E"/>
    <w:rsid w:val="00B271C0"/>
    <w:rsid w:val="00B32320"/>
    <w:rsid w:val="00B34737"/>
    <w:rsid w:val="00B42A1E"/>
    <w:rsid w:val="00B4695D"/>
    <w:rsid w:val="00B54098"/>
    <w:rsid w:val="00B54E38"/>
    <w:rsid w:val="00B5653C"/>
    <w:rsid w:val="00B62344"/>
    <w:rsid w:val="00B82A26"/>
    <w:rsid w:val="00B85CFA"/>
    <w:rsid w:val="00B875BD"/>
    <w:rsid w:val="00B9270A"/>
    <w:rsid w:val="00B9411F"/>
    <w:rsid w:val="00B974B8"/>
    <w:rsid w:val="00BA2A9E"/>
    <w:rsid w:val="00BA61F5"/>
    <w:rsid w:val="00BB4D46"/>
    <w:rsid w:val="00BC16BC"/>
    <w:rsid w:val="00BD3BB4"/>
    <w:rsid w:val="00BD6AE5"/>
    <w:rsid w:val="00BE2CA3"/>
    <w:rsid w:val="00BF4275"/>
    <w:rsid w:val="00BF5D86"/>
    <w:rsid w:val="00BF7CD8"/>
    <w:rsid w:val="00C11DD1"/>
    <w:rsid w:val="00C1666C"/>
    <w:rsid w:val="00C168BA"/>
    <w:rsid w:val="00C17DC8"/>
    <w:rsid w:val="00C309C2"/>
    <w:rsid w:val="00C316CD"/>
    <w:rsid w:val="00C31DF6"/>
    <w:rsid w:val="00C343E5"/>
    <w:rsid w:val="00C34698"/>
    <w:rsid w:val="00C34783"/>
    <w:rsid w:val="00C37198"/>
    <w:rsid w:val="00C43EFE"/>
    <w:rsid w:val="00C54670"/>
    <w:rsid w:val="00C61F97"/>
    <w:rsid w:val="00C63200"/>
    <w:rsid w:val="00C647B4"/>
    <w:rsid w:val="00C74901"/>
    <w:rsid w:val="00C82F02"/>
    <w:rsid w:val="00C8656F"/>
    <w:rsid w:val="00CA3C37"/>
    <w:rsid w:val="00CA7596"/>
    <w:rsid w:val="00CB2221"/>
    <w:rsid w:val="00CB22FF"/>
    <w:rsid w:val="00CB6789"/>
    <w:rsid w:val="00CB6F6A"/>
    <w:rsid w:val="00CC46DE"/>
    <w:rsid w:val="00CC4CB2"/>
    <w:rsid w:val="00CD1924"/>
    <w:rsid w:val="00CD3A30"/>
    <w:rsid w:val="00CD4D4D"/>
    <w:rsid w:val="00CD71D4"/>
    <w:rsid w:val="00CE5610"/>
    <w:rsid w:val="00CE5834"/>
    <w:rsid w:val="00CE6AB8"/>
    <w:rsid w:val="00CF46CA"/>
    <w:rsid w:val="00CF57B9"/>
    <w:rsid w:val="00D003D0"/>
    <w:rsid w:val="00D0241D"/>
    <w:rsid w:val="00D02EC8"/>
    <w:rsid w:val="00D05917"/>
    <w:rsid w:val="00D06A8B"/>
    <w:rsid w:val="00D1347C"/>
    <w:rsid w:val="00D14E86"/>
    <w:rsid w:val="00D17C76"/>
    <w:rsid w:val="00D26E6C"/>
    <w:rsid w:val="00D37BC5"/>
    <w:rsid w:val="00D41552"/>
    <w:rsid w:val="00D4589D"/>
    <w:rsid w:val="00D46DCD"/>
    <w:rsid w:val="00D75EBA"/>
    <w:rsid w:val="00D84719"/>
    <w:rsid w:val="00D848EB"/>
    <w:rsid w:val="00D90D7F"/>
    <w:rsid w:val="00DA17E2"/>
    <w:rsid w:val="00DA1CB8"/>
    <w:rsid w:val="00DC226E"/>
    <w:rsid w:val="00DD1F08"/>
    <w:rsid w:val="00DD202F"/>
    <w:rsid w:val="00DF02E3"/>
    <w:rsid w:val="00DF3221"/>
    <w:rsid w:val="00E00F34"/>
    <w:rsid w:val="00E066A0"/>
    <w:rsid w:val="00E20E6C"/>
    <w:rsid w:val="00E2469D"/>
    <w:rsid w:val="00E24DDF"/>
    <w:rsid w:val="00E25BD4"/>
    <w:rsid w:val="00E4733B"/>
    <w:rsid w:val="00E5046F"/>
    <w:rsid w:val="00E509F0"/>
    <w:rsid w:val="00E55280"/>
    <w:rsid w:val="00E55CDC"/>
    <w:rsid w:val="00E62308"/>
    <w:rsid w:val="00E6325F"/>
    <w:rsid w:val="00E8042C"/>
    <w:rsid w:val="00E81D17"/>
    <w:rsid w:val="00E83098"/>
    <w:rsid w:val="00E85CFB"/>
    <w:rsid w:val="00EA1CDB"/>
    <w:rsid w:val="00EA455B"/>
    <w:rsid w:val="00EB1E23"/>
    <w:rsid w:val="00EB4DE8"/>
    <w:rsid w:val="00EB68BB"/>
    <w:rsid w:val="00EB6995"/>
    <w:rsid w:val="00EC30D9"/>
    <w:rsid w:val="00EC7DC5"/>
    <w:rsid w:val="00EE2566"/>
    <w:rsid w:val="00EE647E"/>
    <w:rsid w:val="00EE7B1F"/>
    <w:rsid w:val="00EE7E59"/>
    <w:rsid w:val="00F05F33"/>
    <w:rsid w:val="00F16ED9"/>
    <w:rsid w:val="00F17579"/>
    <w:rsid w:val="00F249AE"/>
    <w:rsid w:val="00F309A1"/>
    <w:rsid w:val="00F312B7"/>
    <w:rsid w:val="00F32974"/>
    <w:rsid w:val="00F32DE2"/>
    <w:rsid w:val="00F33F67"/>
    <w:rsid w:val="00F33FD1"/>
    <w:rsid w:val="00F359DF"/>
    <w:rsid w:val="00F56103"/>
    <w:rsid w:val="00F61CE7"/>
    <w:rsid w:val="00F62004"/>
    <w:rsid w:val="00F75878"/>
    <w:rsid w:val="00F76C07"/>
    <w:rsid w:val="00F831D6"/>
    <w:rsid w:val="00F95549"/>
    <w:rsid w:val="00FA3611"/>
    <w:rsid w:val="00FA426F"/>
    <w:rsid w:val="00FA4AF3"/>
    <w:rsid w:val="00FA60FF"/>
    <w:rsid w:val="00FB1C04"/>
    <w:rsid w:val="00FB214D"/>
    <w:rsid w:val="00FB3249"/>
    <w:rsid w:val="00FB6C86"/>
    <w:rsid w:val="00FC2990"/>
    <w:rsid w:val="00FD0A00"/>
    <w:rsid w:val="00FD23AC"/>
    <w:rsid w:val="00FD2E5F"/>
    <w:rsid w:val="00FD602F"/>
    <w:rsid w:val="00FE29A2"/>
    <w:rsid w:val="00FF4C25"/>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4BA0A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Naslov1">
    <w:name w:val="heading 1"/>
    <w:basedOn w:val="Normal"/>
    <w:next w:val="Normal"/>
    <w:link w:val="Naslov1Char"/>
    <w:qFormat/>
    <w:rsid w:val="00636BDD"/>
    <w:pPr>
      <w:keepNext/>
      <w:keepLines/>
      <w:pageBreakBefore/>
      <w:numPr>
        <w:numId w:val="21"/>
      </w:numPr>
      <w:spacing w:before="240" w:after="0"/>
      <w:outlineLvl w:val="0"/>
    </w:pPr>
    <w:rPr>
      <w:rFonts w:ascii="Times New Roman" w:eastAsia="Times New Roman" w:hAnsi="Times New Roman" w:cs="Times New Roman"/>
      <w:b/>
      <w:caps/>
      <w:sz w:val="36"/>
      <w:szCs w:val="32"/>
    </w:rPr>
  </w:style>
  <w:style w:type="paragraph" w:styleId="Naslov2">
    <w:name w:val="heading 2"/>
    <w:basedOn w:val="Normal"/>
    <w:next w:val="Normal"/>
    <w:link w:val="Naslov2Char"/>
    <w:autoRedefine/>
    <w:unhideWhenUsed/>
    <w:qFormat/>
    <w:rsid w:val="002559AD"/>
    <w:pPr>
      <w:keepNext/>
      <w:numPr>
        <w:ilvl w:val="1"/>
        <w:numId w:val="21"/>
      </w:numPr>
      <w:spacing w:before="80" w:line="276" w:lineRule="auto"/>
      <w:ind w:left="576"/>
      <w:jc w:val="both"/>
      <w:outlineLvl w:val="1"/>
    </w:pPr>
    <w:rPr>
      <w:rFonts w:ascii="Times New Roman" w:eastAsia="Times New Roman" w:hAnsi="Times New Roman" w:cs="Times New Roman"/>
      <w:b/>
      <w:bCs/>
      <w:smallCaps/>
      <w:sz w:val="28"/>
      <w:szCs w:val="24"/>
    </w:rPr>
  </w:style>
  <w:style w:type="paragraph" w:styleId="Naslov3">
    <w:name w:val="heading 3"/>
    <w:basedOn w:val="Normal"/>
    <w:next w:val="Normal"/>
    <w:link w:val="Naslov3Char"/>
    <w:autoRedefine/>
    <w:qFormat/>
    <w:rsid w:val="002559AD"/>
    <w:pPr>
      <w:keepNext/>
      <w:keepLines/>
      <w:numPr>
        <w:ilvl w:val="2"/>
        <w:numId w:val="21"/>
      </w:numPr>
      <w:spacing w:before="40" w:line="276" w:lineRule="auto"/>
      <w:jc w:val="both"/>
      <w:outlineLvl w:val="2"/>
    </w:pPr>
    <w:rPr>
      <w:rFonts w:ascii="Times New Roman" w:eastAsia="Times New Roman" w:hAnsi="Times New Roman" w:cs="Times New Roman"/>
      <w:b/>
      <w:smallCaps/>
      <w:sz w:val="24"/>
      <w:szCs w:val="24"/>
      <w:lang w:bidi="en-US"/>
    </w:rPr>
  </w:style>
  <w:style w:type="paragraph" w:styleId="Naslov4">
    <w:name w:val="heading 4"/>
    <w:basedOn w:val="Normal"/>
    <w:next w:val="Normal"/>
    <w:link w:val="Naslov4Char"/>
    <w:unhideWhenUsed/>
    <w:qFormat/>
    <w:rsid w:val="008A290D"/>
    <w:pPr>
      <w:keepNext/>
      <w:keepLines/>
      <w:numPr>
        <w:ilvl w:val="3"/>
        <w:numId w:val="21"/>
      </w:numPr>
      <w:spacing w:before="40" w:after="0"/>
      <w:outlineLvl w:val="3"/>
    </w:pPr>
    <w:rPr>
      <w:rFonts w:ascii="Times New Roman" w:eastAsia="Times New Roman" w:hAnsi="Times New Roman" w:cs="Times New Roman"/>
      <w:b/>
      <w:i/>
      <w:iCs/>
      <w:smallCaps/>
      <w:noProof/>
      <w:color w:val="000000"/>
      <w:sz w:val="24"/>
      <w:szCs w:val="24"/>
      <w:lang w:bidi="en-US"/>
    </w:rPr>
  </w:style>
  <w:style w:type="paragraph" w:styleId="Naslov5">
    <w:name w:val="heading 5"/>
    <w:basedOn w:val="Normal"/>
    <w:next w:val="Normal"/>
    <w:link w:val="Naslov5Char"/>
    <w:autoRedefine/>
    <w:unhideWhenUsed/>
    <w:qFormat/>
    <w:rsid w:val="0080171F"/>
    <w:pPr>
      <w:keepNext/>
      <w:keepLines/>
      <w:numPr>
        <w:ilvl w:val="4"/>
        <w:numId w:val="21"/>
      </w:numPr>
      <w:spacing w:before="40" w:after="0"/>
      <w:outlineLvl w:val="4"/>
    </w:pPr>
    <w:rPr>
      <w:rFonts w:ascii="Times New Roman" w:eastAsia="Times New Roman" w:hAnsi="Times New Roman" w:cs="Times New Roman"/>
      <w:b/>
      <w:szCs w:val="24"/>
    </w:rPr>
  </w:style>
  <w:style w:type="paragraph" w:styleId="Naslov6">
    <w:name w:val="heading 6"/>
    <w:basedOn w:val="Normal"/>
    <w:next w:val="Normal"/>
    <w:link w:val="Naslov6Char"/>
    <w:semiHidden/>
    <w:unhideWhenUsed/>
    <w:qFormat/>
    <w:rsid w:val="00D84719"/>
    <w:pPr>
      <w:keepNext/>
      <w:keepLines/>
      <w:numPr>
        <w:ilvl w:val="5"/>
        <w:numId w:val="21"/>
      </w:numPr>
      <w:spacing w:before="40" w:after="0"/>
      <w:outlineLvl w:val="5"/>
    </w:pPr>
    <w:rPr>
      <w:rFonts w:ascii="Arial" w:eastAsia="Times New Roman" w:hAnsi="Arial" w:cs="Times New Roman"/>
      <w:color w:val="54883D"/>
      <w:szCs w:val="24"/>
    </w:rPr>
  </w:style>
  <w:style w:type="paragraph" w:styleId="Naslov7">
    <w:name w:val="heading 7"/>
    <w:basedOn w:val="Normal"/>
    <w:next w:val="Normal"/>
    <w:link w:val="Naslov7Char"/>
    <w:semiHidden/>
    <w:unhideWhenUsed/>
    <w:qFormat/>
    <w:rsid w:val="00D84719"/>
    <w:pPr>
      <w:keepNext/>
      <w:keepLines/>
      <w:numPr>
        <w:ilvl w:val="6"/>
        <w:numId w:val="21"/>
      </w:numPr>
      <w:spacing w:before="40" w:after="0"/>
      <w:outlineLvl w:val="6"/>
    </w:pPr>
    <w:rPr>
      <w:rFonts w:ascii="Arial" w:eastAsia="Times New Roman" w:hAnsi="Arial" w:cs="Times New Roman"/>
      <w:i/>
      <w:iCs/>
      <w:color w:val="54883D"/>
      <w:szCs w:val="24"/>
    </w:rPr>
  </w:style>
  <w:style w:type="paragraph" w:styleId="Naslov8">
    <w:name w:val="heading 8"/>
    <w:basedOn w:val="Normal"/>
    <w:next w:val="Normal"/>
    <w:link w:val="Naslov8Char"/>
    <w:uiPriority w:val="9"/>
    <w:semiHidden/>
    <w:unhideWhenUsed/>
    <w:qFormat/>
    <w:rsid w:val="00D84719"/>
    <w:pPr>
      <w:keepNext/>
      <w:keepLines/>
      <w:numPr>
        <w:ilvl w:val="7"/>
        <w:numId w:val="21"/>
      </w:numPr>
      <w:spacing w:before="40" w:after="0"/>
      <w:outlineLvl w:val="7"/>
    </w:pPr>
    <w:rPr>
      <w:rFonts w:ascii="Cambria" w:eastAsia="Times New Roman" w:hAnsi="Cambria" w:cs="Times New Roman"/>
      <w:color w:val="272727"/>
      <w:sz w:val="21"/>
      <w:szCs w:val="21"/>
    </w:rPr>
  </w:style>
  <w:style w:type="paragraph" w:styleId="Naslov9">
    <w:name w:val="heading 9"/>
    <w:basedOn w:val="Normal"/>
    <w:next w:val="Normal"/>
    <w:link w:val="Naslov9Char"/>
    <w:uiPriority w:val="9"/>
    <w:semiHidden/>
    <w:unhideWhenUsed/>
    <w:qFormat/>
    <w:rsid w:val="00D84719"/>
    <w:pPr>
      <w:keepNext/>
      <w:keepLines/>
      <w:numPr>
        <w:ilvl w:val="8"/>
        <w:numId w:val="21"/>
      </w:numPr>
      <w:spacing w:before="40" w:after="0"/>
      <w:outlineLvl w:val="8"/>
    </w:pPr>
    <w:rPr>
      <w:rFonts w:ascii="Cambria" w:eastAsia="Times New Roman" w:hAnsi="Cambria" w:cs="Times New Roman"/>
      <w:i/>
      <w:iCs/>
      <w:color w:val="272727"/>
      <w:sz w:val="21"/>
      <w:szCs w:val="21"/>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Naslov11">
    <w:name w:val="Naslov 11"/>
    <w:basedOn w:val="Normal"/>
    <w:next w:val="Normal"/>
    <w:autoRedefine/>
    <w:qFormat/>
    <w:rsid w:val="00F32974"/>
    <w:pPr>
      <w:keepNext/>
      <w:keepLines/>
      <w:pageBreakBefore/>
      <w:spacing w:before="240" w:line="276" w:lineRule="auto"/>
      <w:jc w:val="both"/>
      <w:outlineLvl w:val="0"/>
    </w:pPr>
    <w:rPr>
      <w:rFonts w:ascii="Times New Roman" w:eastAsia="Times New Roman" w:hAnsi="Times New Roman" w:cs="Times New Roman"/>
      <w:b/>
      <w:caps/>
      <w:sz w:val="36"/>
      <w:szCs w:val="32"/>
    </w:rPr>
  </w:style>
  <w:style w:type="paragraph" w:customStyle="1" w:styleId="Naslov21">
    <w:name w:val="Naslov 21"/>
    <w:basedOn w:val="Normal"/>
    <w:next w:val="Normal"/>
    <w:autoRedefine/>
    <w:qFormat/>
    <w:rsid w:val="00D84719"/>
    <w:pPr>
      <w:keepNext/>
      <w:numPr>
        <w:ilvl w:val="1"/>
        <w:numId w:val="2"/>
      </w:numPr>
      <w:spacing w:before="80" w:line="276" w:lineRule="auto"/>
      <w:jc w:val="both"/>
      <w:outlineLvl w:val="1"/>
    </w:pPr>
    <w:rPr>
      <w:rFonts w:ascii="Arial" w:eastAsia="Times New Roman" w:hAnsi="Arial" w:cs="Arial"/>
      <w:b/>
      <w:bCs/>
      <w:smallCaps/>
      <w:color w:val="262626"/>
      <w:sz w:val="28"/>
      <w:szCs w:val="24"/>
    </w:rPr>
  </w:style>
  <w:style w:type="character" w:customStyle="1" w:styleId="Naslov3Char">
    <w:name w:val="Naslov 3 Char"/>
    <w:basedOn w:val="Zadanifontodlomka"/>
    <w:link w:val="Naslov3"/>
    <w:rsid w:val="002559AD"/>
    <w:rPr>
      <w:rFonts w:ascii="Times New Roman" w:eastAsia="Times New Roman" w:hAnsi="Times New Roman" w:cs="Times New Roman"/>
      <w:b/>
      <w:smallCaps/>
      <w:sz w:val="24"/>
      <w:szCs w:val="24"/>
      <w:lang w:bidi="en-US"/>
    </w:rPr>
  </w:style>
  <w:style w:type="paragraph" w:customStyle="1" w:styleId="Naslov41">
    <w:name w:val="Naslov 41"/>
    <w:basedOn w:val="Normal"/>
    <w:next w:val="Normal"/>
    <w:autoRedefine/>
    <w:qFormat/>
    <w:rsid w:val="00D84719"/>
    <w:pPr>
      <w:keepNext/>
      <w:keepLines/>
      <w:numPr>
        <w:ilvl w:val="3"/>
        <w:numId w:val="2"/>
      </w:numPr>
      <w:spacing w:before="40" w:line="276" w:lineRule="auto"/>
      <w:jc w:val="both"/>
      <w:outlineLvl w:val="3"/>
    </w:pPr>
    <w:rPr>
      <w:rFonts w:ascii="Arial" w:eastAsia="Times New Roman" w:hAnsi="Arial" w:cs="Times New Roman"/>
      <w:b/>
      <w:i/>
      <w:iCs/>
      <w:smallCaps/>
      <w:noProof/>
      <w:color w:val="000000"/>
      <w:szCs w:val="24"/>
      <w:lang w:bidi="en-US"/>
    </w:rPr>
  </w:style>
  <w:style w:type="paragraph" w:customStyle="1" w:styleId="Naslov51">
    <w:name w:val="Naslov 51"/>
    <w:basedOn w:val="Normal"/>
    <w:next w:val="Normal"/>
    <w:autoRedefine/>
    <w:qFormat/>
    <w:rsid w:val="00D84719"/>
    <w:pPr>
      <w:keepNext/>
      <w:keepLines/>
      <w:numPr>
        <w:ilvl w:val="4"/>
        <w:numId w:val="2"/>
      </w:numPr>
      <w:spacing w:before="40" w:line="276" w:lineRule="auto"/>
      <w:jc w:val="both"/>
      <w:outlineLvl w:val="4"/>
    </w:pPr>
    <w:rPr>
      <w:rFonts w:ascii="Times New Roman" w:eastAsia="Times New Roman" w:hAnsi="Times New Roman" w:cs="Times New Roman"/>
      <w:b/>
      <w:smallCaps/>
      <w:sz w:val="18"/>
      <w:szCs w:val="24"/>
    </w:rPr>
  </w:style>
  <w:style w:type="paragraph" w:customStyle="1" w:styleId="Naslov61">
    <w:name w:val="Naslov 61"/>
    <w:basedOn w:val="Normal"/>
    <w:next w:val="Normal"/>
    <w:autoRedefine/>
    <w:qFormat/>
    <w:rsid w:val="00910A77"/>
    <w:pPr>
      <w:keepNext/>
      <w:keepLines/>
      <w:numPr>
        <w:ilvl w:val="5"/>
        <w:numId w:val="2"/>
      </w:numPr>
      <w:spacing w:before="40" w:line="276" w:lineRule="auto"/>
      <w:jc w:val="both"/>
      <w:outlineLvl w:val="5"/>
    </w:pPr>
    <w:rPr>
      <w:rFonts w:ascii="Arial" w:eastAsia="Times New Roman" w:hAnsi="Arial" w:cs="Times New Roman"/>
      <w:color w:val="4472C4" w:themeColor="accent5"/>
      <w:szCs w:val="24"/>
    </w:rPr>
  </w:style>
  <w:style w:type="paragraph" w:customStyle="1" w:styleId="Naslov71">
    <w:name w:val="Naslov 71"/>
    <w:basedOn w:val="Normal"/>
    <w:next w:val="Normal"/>
    <w:autoRedefine/>
    <w:unhideWhenUsed/>
    <w:qFormat/>
    <w:rsid w:val="00636BDD"/>
    <w:pPr>
      <w:keepNext/>
      <w:keepLines/>
      <w:numPr>
        <w:ilvl w:val="6"/>
        <w:numId w:val="2"/>
      </w:numPr>
      <w:spacing w:before="40" w:line="276" w:lineRule="auto"/>
      <w:jc w:val="both"/>
      <w:outlineLvl w:val="6"/>
    </w:pPr>
    <w:rPr>
      <w:rFonts w:ascii="Arial" w:eastAsia="Times New Roman" w:hAnsi="Arial" w:cs="Times New Roman"/>
      <w:i/>
      <w:iCs/>
      <w:color w:val="4472C4" w:themeColor="accent5"/>
      <w:szCs w:val="24"/>
    </w:rPr>
  </w:style>
  <w:style w:type="paragraph" w:customStyle="1" w:styleId="Naslov81">
    <w:name w:val="Naslov 81"/>
    <w:basedOn w:val="Normal"/>
    <w:next w:val="Normal"/>
    <w:uiPriority w:val="9"/>
    <w:unhideWhenUsed/>
    <w:qFormat/>
    <w:rsid w:val="00D84719"/>
    <w:pPr>
      <w:keepNext/>
      <w:keepLines/>
      <w:numPr>
        <w:ilvl w:val="7"/>
        <w:numId w:val="2"/>
      </w:numPr>
      <w:spacing w:before="40" w:after="0" w:line="276" w:lineRule="auto"/>
      <w:jc w:val="both"/>
      <w:outlineLvl w:val="7"/>
    </w:pPr>
    <w:rPr>
      <w:rFonts w:ascii="Cambria" w:eastAsia="Times New Roman" w:hAnsi="Cambria" w:cs="Times New Roman"/>
      <w:color w:val="272727"/>
      <w:sz w:val="21"/>
      <w:szCs w:val="21"/>
    </w:rPr>
  </w:style>
  <w:style w:type="paragraph" w:customStyle="1" w:styleId="Naslov91">
    <w:name w:val="Naslov 91"/>
    <w:basedOn w:val="Normal"/>
    <w:next w:val="Normal"/>
    <w:uiPriority w:val="9"/>
    <w:unhideWhenUsed/>
    <w:qFormat/>
    <w:rsid w:val="00D84719"/>
    <w:pPr>
      <w:keepNext/>
      <w:keepLines/>
      <w:numPr>
        <w:ilvl w:val="8"/>
        <w:numId w:val="2"/>
      </w:numPr>
      <w:spacing w:before="40" w:after="0" w:line="276" w:lineRule="auto"/>
      <w:jc w:val="both"/>
      <w:outlineLvl w:val="8"/>
    </w:pPr>
    <w:rPr>
      <w:rFonts w:ascii="Cambria" w:eastAsia="Times New Roman" w:hAnsi="Cambria" w:cs="Times New Roman"/>
      <w:i/>
      <w:iCs/>
      <w:color w:val="272727"/>
      <w:sz w:val="21"/>
      <w:szCs w:val="21"/>
    </w:rPr>
  </w:style>
  <w:style w:type="numbering" w:customStyle="1" w:styleId="Bezpopisa1">
    <w:name w:val="Bez popisa1"/>
    <w:next w:val="Bezpopisa"/>
    <w:uiPriority w:val="99"/>
    <w:semiHidden/>
    <w:unhideWhenUsed/>
    <w:rsid w:val="00D84719"/>
  </w:style>
  <w:style w:type="character" w:customStyle="1" w:styleId="Naslov1Char">
    <w:name w:val="Naslov 1 Char"/>
    <w:basedOn w:val="Zadanifontodlomka"/>
    <w:link w:val="Naslov1"/>
    <w:rsid w:val="00F831D6"/>
    <w:rPr>
      <w:rFonts w:ascii="Times New Roman" w:eastAsia="Times New Roman" w:hAnsi="Times New Roman" w:cs="Times New Roman"/>
      <w:b/>
      <w:caps/>
      <w:sz w:val="36"/>
      <w:szCs w:val="32"/>
    </w:rPr>
  </w:style>
  <w:style w:type="character" w:customStyle="1" w:styleId="Naslov2Char">
    <w:name w:val="Naslov 2 Char"/>
    <w:basedOn w:val="Zadanifontodlomka"/>
    <w:link w:val="Naslov2"/>
    <w:rsid w:val="002559AD"/>
    <w:rPr>
      <w:rFonts w:ascii="Times New Roman" w:eastAsia="Times New Roman" w:hAnsi="Times New Roman" w:cs="Times New Roman"/>
      <w:b/>
      <w:bCs/>
      <w:smallCaps/>
      <w:sz w:val="28"/>
      <w:szCs w:val="24"/>
    </w:rPr>
  </w:style>
  <w:style w:type="character" w:customStyle="1" w:styleId="Naslov4Char">
    <w:name w:val="Naslov 4 Char"/>
    <w:basedOn w:val="Zadanifontodlomka"/>
    <w:link w:val="Naslov4"/>
    <w:rsid w:val="008A290D"/>
    <w:rPr>
      <w:rFonts w:ascii="Times New Roman" w:eastAsia="Times New Roman" w:hAnsi="Times New Roman" w:cs="Times New Roman"/>
      <w:b/>
      <w:i/>
      <w:iCs/>
      <w:smallCaps/>
      <w:noProof/>
      <w:color w:val="000000"/>
      <w:sz w:val="24"/>
      <w:szCs w:val="24"/>
      <w:lang w:bidi="en-US"/>
    </w:rPr>
  </w:style>
  <w:style w:type="character" w:customStyle="1" w:styleId="Naslov5Char">
    <w:name w:val="Naslov 5 Char"/>
    <w:basedOn w:val="Zadanifontodlomka"/>
    <w:link w:val="Naslov5"/>
    <w:rsid w:val="0080171F"/>
    <w:rPr>
      <w:rFonts w:ascii="Times New Roman" w:eastAsia="Times New Roman" w:hAnsi="Times New Roman" w:cs="Times New Roman"/>
      <w:b/>
      <w:szCs w:val="24"/>
    </w:rPr>
  </w:style>
  <w:style w:type="character" w:customStyle="1" w:styleId="Naslov6Char">
    <w:name w:val="Naslov 6 Char"/>
    <w:basedOn w:val="Zadanifontodlomka"/>
    <w:link w:val="Naslov6"/>
    <w:rsid w:val="00D84719"/>
    <w:rPr>
      <w:rFonts w:ascii="Arial" w:eastAsia="Times New Roman" w:hAnsi="Arial" w:cs="Times New Roman"/>
      <w:color w:val="54883D"/>
      <w:szCs w:val="24"/>
    </w:rPr>
  </w:style>
  <w:style w:type="character" w:customStyle="1" w:styleId="Naslov7Char">
    <w:name w:val="Naslov 7 Char"/>
    <w:basedOn w:val="Zadanifontodlomka"/>
    <w:link w:val="Naslov7"/>
    <w:rsid w:val="00D84719"/>
    <w:rPr>
      <w:rFonts w:ascii="Arial" w:eastAsia="Times New Roman" w:hAnsi="Arial" w:cs="Times New Roman"/>
      <w:i/>
      <w:iCs/>
      <w:color w:val="54883D"/>
      <w:szCs w:val="24"/>
    </w:rPr>
  </w:style>
  <w:style w:type="character" w:customStyle="1" w:styleId="Naslov8Char">
    <w:name w:val="Naslov 8 Char"/>
    <w:basedOn w:val="Zadanifontodlomka"/>
    <w:link w:val="Naslov8"/>
    <w:uiPriority w:val="9"/>
    <w:rsid w:val="00D84719"/>
    <w:rPr>
      <w:rFonts w:ascii="Cambria" w:eastAsia="Times New Roman" w:hAnsi="Cambria" w:cs="Times New Roman"/>
      <w:color w:val="272727"/>
      <w:sz w:val="21"/>
      <w:szCs w:val="21"/>
    </w:rPr>
  </w:style>
  <w:style w:type="character" w:customStyle="1" w:styleId="Naslov9Char">
    <w:name w:val="Naslov 9 Char"/>
    <w:basedOn w:val="Zadanifontodlomka"/>
    <w:link w:val="Naslov9"/>
    <w:uiPriority w:val="9"/>
    <w:rsid w:val="00D84719"/>
    <w:rPr>
      <w:rFonts w:ascii="Cambria" w:eastAsia="Times New Roman" w:hAnsi="Cambria" w:cs="Times New Roman"/>
      <w:i/>
      <w:iCs/>
      <w:color w:val="272727"/>
      <w:sz w:val="21"/>
      <w:szCs w:val="21"/>
    </w:rPr>
  </w:style>
  <w:style w:type="paragraph" w:styleId="Tekstbalonia">
    <w:name w:val="Balloon Text"/>
    <w:basedOn w:val="Normal"/>
    <w:link w:val="TekstbaloniaChar"/>
    <w:uiPriority w:val="99"/>
    <w:unhideWhenUsed/>
    <w:rsid w:val="00D84719"/>
    <w:pPr>
      <w:spacing w:before="80" w:line="276" w:lineRule="auto"/>
      <w:jc w:val="both"/>
    </w:pPr>
    <w:rPr>
      <w:rFonts w:ascii="Tahoma" w:eastAsia="Times New Roman" w:hAnsi="Tahoma" w:cs="Tahoma"/>
      <w:color w:val="000000"/>
      <w:sz w:val="16"/>
      <w:szCs w:val="16"/>
    </w:rPr>
  </w:style>
  <w:style w:type="character" w:customStyle="1" w:styleId="TekstbaloniaChar">
    <w:name w:val="Tekst balončića Char"/>
    <w:basedOn w:val="Zadanifontodlomka"/>
    <w:link w:val="Tekstbalonia"/>
    <w:uiPriority w:val="99"/>
    <w:rsid w:val="00D84719"/>
    <w:rPr>
      <w:rFonts w:ascii="Tahoma" w:eastAsia="Times New Roman" w:hAnsi="Tahoma" w:cs="Tahoma"/>
      <w:color w:val="000000"/>
      <w:sz w:val="16"/>
      <w:szCs w:val="16"/>
    </w:rPr>
  </w:style>
  <w:style w:type="paragraph" w:customStyle="1" w:styleId="Zaglavlje1">
    <w:name w:val="Zaglavlje1"/>
    <w:basedOn w:val="Normal"/>
    <w:next w:val="Zaglavlje"/>
    <w:link w:val="ZaglavljeChar"/>
    <w:autoRedefine/>
    <w:uiPriority w:val="99"/>
    <w:unhideWhenUsed/>
    <w:rsid w:val="00D84719"/>
    <w:pPr>
      <w:tabs>
        <w:tab w:val="left" w:pos="-142"/>
        <w:tab w:val="center" w:pos="4536"/>
        <w:tab w:val="right" w:pos="9072"/>
        <w:tab w:val="right" w:pos="9923"/>
      </w:tabs>
      <w:spacing w:after="0" w:line="276" w:lineRule="auto"/>
      <w:jc w:val="center"/>
    </w:pPr>
    <w:rPr>
      <w:rFonts w:ascii="Arial" w:eastAsia="Times New Roman" w:hAnsi="Arial" w:cs="Arial"/>
      <w:color w:val="595959"/>
      <w:szCs w:val="24"/>
    </w:rPr>
  </w:style>
  <w:style w:type="character" w:customStyle="1" w:styleId="ZaglavljeChar">
    <w:name w:val="Zaglavlje Char"/>
    <w:basedOn w:val="Zadanifontodlomka"/>
    <w:link w:val="Zaglavlje1"/>
    <w:uiPriority w:val="99"/>
    <w:rsid w:val="00D84719"/>
    <w:rPr>
      <w:rFonts w:ascii="Arial" w:eastAsia="Times New Roman" w:hAnsi="Arial" w:cs="Arial"/>
      <w:color w:val="595959"/>
      <w:szCs w:val="24"/>
    </w:rPr>
  </w:style>
  <w:style w:type="paragraph" w:styleId="Podnoje">
    <w:name w:val="footer"/>
    <w:basedOn w:val="Normal"/>
    <w:link w:val="PodnojeChar"/>
    <w:autoRedefine/>
    <w:uiPriority w:val="99"/>
    <w:unhideWhenUsed/>
    <w:rsid w:val="002C7054"/>
    <w:pPr>
      <w:tabs>
        <w:tab w:val="center" w:pos="4536"/>
        <w:tab w:val="right" w:pos="9072"/>
      </w:tabs>
      <w:spacing w:before="80" w:line="276" w:lineRule="auto"/>
      <w:jc w:val="center"/>
    </w:pPr>
    <w:rPr>
      <w:rFonts w:ascii="Times New Roman" w:eastAsia="Times New Roman" w:hAnsi="Times New Roman" w:cs="Times New Roman"/>
      <w:color w:val="000000"/>
      <w:sz w:val="20"/>
      <w:szCs w:val="20"/>
    </w:rPr>
  </w:style>
  <w:style w:type="character" w:customStyle="1" w:styleId="PodnojeChar">
    <w:name w:val="Podnožje Char"/>
    <w:basedOn w:val="Zadanifontodlomka"/>
    <w:link w:val="Podnoje"/>
    <w:uiPriority w:val="99"/>
    <w:rsid w:val="002C7054"/>
    <w:rPr>
      <w:rFonts w:ascii="Times New Roman" w:eastAsia="Times New Roman" w:hAnsi="Times New Roman" w:cs="Times New Roman"/>
      <w:color w:val="000000"/>
      <w:sz w:val="20"/>
      <w:szCs w:val="20"/>
    </w:rPr>
  </w:style>
  <w:style w:type="character" w:styleId="Hiperveza">
    <w:name w:val="Hyperlink"/>
    <w:basedOn w:val="Zadanifontodlomka"/>
    <w:uiPriority w:val="99"/>
    <w:rsid w:val="00D84719"/>
    <w:rPr>
      <w:rFonts w:ascii="Arial" w:hAnsi="Arial"/>
      <w:color w:val="0000FF"/>
      <w:u w:val="single"/>
    </w:rPr>
  </w:style>
  <w:style w:type="paragraph" w:customStyle="1" w:styleId="naslov110">
    <w:name w:val="naslov 11"/>
    <w:basedOn w:val="Normal"/>
    <w:next w:val="Odlomakpopisa"/>
    <w:link w:val="OdlomakpopisaChar"/>
    <w:autoRedefine/>
    <w:uiPriority w:val="34"/>
    <w:qFormat/>
    <w:rsid w:val="00D84719"/>
    <w:pPr>
      <w:tabs>
        <w:tab w:val="left" w:pos="1755"/>
      </w:tabs>
      <w:autoSpaceDE w:val="0"/>
      <w:autoSpaceDN w:val="0"/>
      <w:adjustRightInd w:val="0"/>
      <w:spacing w:after="0" w:line="240" w:lineRule="auto"/>
      <w:ind w:left="720"/>
      <w:jc w:val="both"/>
    </w:pPr>
    <w:rPr>
      <w:rFonts w:ascii="AvantGardeITCbyBT-Book" w:hAnsi="AvantGardeITCbyBT-Book" w:cs="AvantGardeITCbyBT-Book"/>
    </w:rPr>
  </w:style>
  <w:style w:type="character" w:customStyle="1" w:styleId="OdlomakpopisaChar">
    <w:name w:val="Odlomak popisa Char"/>
    <w:aliases w:val="opsomming 1 Char,2 Char,3 *- Char,Heading 12 Char,naslov 1 Char"/>
    <w:basedOn w:val="Zadanifontodlomka"/>
    <w:link w:val="naslov110"/>
    <w:uiPriority w:val="34"/>
    <w:rsid w:val="00D84719"/>
    <w:rPr>
      <w:rFonts w:ascii="AvantGardeITCbyBT-Book" w:hAnsi="AvantGardeITCbyBT-Book" w:cs="AvantGardeITCbyBT-Book"/>
    </w:rPr>
  </w:style>
  <w:style w:type="paragraph" w:styleId="Naglaencitat">
    <w:name w:val="Intense Quote"/>
    <w:basedOn w:val="Normal"/>
    <w:next w:val="Normal"/>
    <w:link w:val="NaglaencitatChar"/>
    <w:autoRedefine/>
    <w:uiPriority w:val="30"/>
    <w:rsid w:val="00D84719"/>
    <w:pPr>
      <w:numPr>
        <w:numId w:val="3"/>
      </w:numPr>
      <w:spacing w:before="240" w:after="240" w:line="276" w:lineRule="auto"/>
      <w:ind w:right="864"/>
    </w:pPr>
    <w:rPr>
      <w:rFonts w:ascii="Arial" w:eastAsia="Times New Roman" w:hAnsi="Arial" w:cs="Arial"/>
      <w:color w:val="000000"/>
      <w:szCs w:val="24"/>
    </w:rPr>
  </w:style>
  <w:style w:type="character" w:customStyle="1" w:styleId="NaglaencitatChar">
    <w:name w:val="Naglašen citat Char"/>
    <w:basedOn w:val="Zadanifontodlomka"/>
    <w:link w:val="Naglaencitat"/>
    <w:uiPriority w:val="30"/>
    <w:rsid w:val="00D84719"/>
    <w:rPr>
      <w:rFonts w:ascii="Arial" w:eastAsia="Times New Roman" w:hAnsi="Arial" w:cs="Arial"/>
      <w:color w:val="000000"/>
      <w:szCs w:val="24"/>
    </w:rPr>
  </w:style>
  <w:style w:type="character" w:styleId="Naglaeno">
    <w:name w:val="Strong"/>
    <w:basedOn w:val="Zadanifontodlomka"/>
    <w:uiPriority w:val="22"/>
    <w:qFormat/>
    <w:rsid w:val="00D84719"/>
    <w:rPr>
      <w:rFonts w:ascii="Arial" w:hAnsi="Arial"/>
      <w:b/>
      <w:bCs/>
    </w:rPr>
  </w:style>
  <w:style w:type="paragraph" w:styleId="Opisslike">
    <w:name w:val="caption"/>
    <w:aliases w:val="Branko,Map Char,Map Char Char,Map Char Char Char Char Char,Map Char Char Char,Map,Caption Char Char Car Car,Caption Char Char Car Car Car,Map Char Char Char Car Car,Caption Char Char,Caption Char Char Char Char,Graf,SlikaŠŠ,Caption Slika"/>
    <w:basedOn w:val="Normal"/>
    <w:next w:val="Normal"/>
    <w:link w:val="OpisslikeChar"/>
    <w:autoRedefine/>
    <w:uiPriority w:val="99"/>
    <w:unhideWhenUsed/>
    <w:rsid w:val="00D84719"/>
    <w:pPr>
      <w:keepNext/>
      <w:spacing w:before="80" w:after="0" w:line="276" w:lineRule="auto"/>
      <w:jc w:val="both"/>
    </w:pPr>
    <w:rPr>
      <w:rFonts w:ascii="Times New Roman" w:eastAsia="Times New Roman" w:hAnsi="Times New Roman" w:cs="Times New Roman"/>
      <w:b/>
      <w:bCs/>
      <w:i/>
      <w:sz w:val="20"/>
      <w:szCs w:val="20"/>
    </w:rPr>
  </w:style>
  <w:style w:type="character" w:customStyle="1" w:styleId="OpisslikeChar">
    <w:name w:val="Opis slike Char"/>
    <w:aliases w:val="Branko Char,Map Char Char1,Map Char Char Char1,Map Char Char Char Char Char Char,Map Char Char Char Char,Map Char1,Caption Char Char Car Car Char,Caption Char Char Car Car Car Char,Map Char Char Char Car Car Char,Caption Char Char Char"/>
    <w:basedOn w:val="Zadanifontodlomka"/>
    <w:link w:val="Opisslike"/>
    <w:uiPriority w:val="99"/>
    <w:locked/>
    <w:rsid w:val="00D84719"/>
    <w:rPr>
      <w:rFonts w:ascii="Times New Roman" w:eastAsia="Times New Roman" w:hAnsi="Times New Roman" w:cs="Times New Roman"/>
      <w:b/>
      <w:bCs/>
      <w:i/>
      <w:sz w:val="20"/>
      <w:szCs w:val="20"/>
    </w:rPr>
  </w:style>
  <w:style w:type="table" w:customStyle="1" w:styleId="Reetkatablice1">
    <w:name w:val="Rešetka tablice1"/>
    <w:basedOn w:val="Obinatablica"/>
    <w:next w:val="Reetkatablice"/>
    <w:uiPriority w:val="39"/>
    <w:rsid w:val="00D84719"/>
    <w:pPr>
      <w:spacing w:after="0" w:line="240" w:lineRule="auto"/>
    </w:pPr>
    <w:rPr>
      <w:rFonts w:ascii="Times New Roman" w:eastAsia="Times New Roman" w:hAnsi="Times New Roman" w:cs="Times New Roman"/>
      <w:sz w:val="24"/>
      <w:szCs w:val="24"/>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vijetlosjenanje-Isticanje11">
    <w:name w:val="Svijetlo sjenčanje - Isticanje 11"/>
    <w:basedOn w:val="Obinatablica"/>
    <w:uiPriority w:val="60"/>
    <w:rsid w:val="00D84719"/>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Tablicaslika">
    <w:name w:val="table of figures"/>
    <w:basedOn w:val="Normal"/>
    <w:next w:val="Normal"/>
    <w:autoRedefine/>
    <w:uiPriority w:val="99"/>
    <w:unhideWhenUsed/>
    <w:rsid w:val="00D84719"/>
    <w:pPr>
      <w:tabs>
        <w:tab w:val="left" w:pos="851"/>
        <w:tab w:val="right" w:pos="8222"/>
      </w:tabs>
      <w:spacing w:before="80" w:after="0" w:line="276" w:lineRule="auto"/>
    </w:pPr>
    <w:rPr>
      <w:rFonts w:ascii="Arial" w:eastAsia="Times New Roman" w:hAnsi="Arial" w:cs="Arial"/>
      <w:bCs/>
      <w:color w:val="000000"/>
      <w:sz w:val="20"/>
      <w:szCs w:val="20"/>
      <w:u w:val="single"/>
    </w:rPr>
  </w:style>
  <w:style w:type="character" w:styleId="Referencakomentara">
    <w:name w:val="annotation reference"/>
    <w:basedOn w:val="Zadanifontodlomka"/>
    <w:uiPriority w:val="99"/>
    <w:semiHidden/>
    <w:unhideWhenUsed/>
    <w:rsid w:val="00D84719"/>
    <w:rPr>
      <w:sz w:val="16"/>
      <w:szCs w:val="16"/>
    </w:rPr>
  </w:style>
  <w:style w:type="paragraph" w:styleId="Tekstkomentara">
    <w:name w:val="annotation text"/>
    <w:basedOn w:val="Normal"/>
    <w:link w:val="TekstkomentaraChar"/>
    <w:uiPriority w:val="99"/>
    <w:unhideWhenUsed/>
    <w:rsid w:val="00D84719"/>
    <w:pPr>
      <w:spacing w:before="80" w:line="276" w:lineRule="auto"/>
      <w:jc w:val="both"/>
    </w:pPr>
    <w:rPr>
      <w:rFonts w:ascii="Arial" w:eastAsia="Times New Roman" w:hAnsi="Arial" w:cs="Arial"/>
      <w:color w:val="000000"/>
      <w:sz w:val="20"/>
      <w:szCs w:val="20"/>
    </w:rPr>
  </w:style>
  <w:style w:type="character" w:customStyle="1" w:styleId="TekstkomentaraChar">
    <w:name w:val="Tekst komentara Char"/>
    <w:basedOn w:val="Zadanifontodlomka"/>
    <w:link w:val="Tekstkomentara"/>
    <w:uiPriority w:val="99"/>
    <w:rsid w:val="00D84719"/>
    <w:rPr>
      <w:rFonts w:ascii="Arial" w:eastAsia="Times New Roman" w:hAnsi="Arial" w:cs="Arial"/>
      <w:color w:val="000000"/>
      <w:sz w:val="20"/>
      <w:szCs w:val="20"/>
    </w:rPr>
  </w:style>
  <w:style w:type="paragraph" w:styleId="Predmetkomentara">
    <w:name w:val="annotation subject"/>
    <w:basedOn w:val="Tekstkomentara"/>
    <w:next w:val="Tekstkomentara"/>
    <w:link w:val="PredmetkomentaraChar"/>
    <w:uiPriority w:val="99"/>
    <w:semiHidden/>
    <w:unhideWhenUsed/>
    <w:rsid w:val="00D84719"/>
    <w:rPr>
      <w:b/>
      <w:bCs/>
    </w:rPr>
  </w:style>
  <w:style w:type="character" w:customStyle="1" w:styleId="PredmetkomentaraChar">
    <w:name w:val="Predmet komentara Char"/>
    <w:basedOn w:val="TekstkomentaraChar"/>
    <w:link w:val="Predmetkomentara"/>
    <w:uiPriority w:val="99"/>
    <w:semiHidden/>
    <w:rsid w:val="00D84719"/>
    <w:rPr>
      <w:rFonts w:ascii="Arial" w:eastAsia="Times New Roman" w:hAnsi="Arial" w:cs="Arial"/>
      <w:b/>
      <w:bCs/>
      <w:color w:val="000000"/>
      <w:sz w:val="20"/>
      <w:szCs w:val="20"/>
    </w:rPr>
  </w:style>
  <w:style w:type="paragraph" w:styleId="Sadraj1">
    <w:name w:val="toc 1"/>
    <w:basedOn w:val="Normal"/>
    <w:next w:val="Normal"/>
    <w:autoRedefine/>
    <w:uiPriority w:val="39"/>
    <w:unhideWhenUsed/>
    <w:rsid w:val="00D84719"/>
    <w:pPr>
      <w:spacing w:before="360" w:after="360" w:line="276" w:lineRule="auto"/>
      <w:jc w:val="both"/>
    </w:pPr>
    <w:rPr>
      <w:rFonts w:ascii="Arial" w:eastAsia="Times New Roman" w:hAnsi="Arial" w:cs="Arial"/>
      <w:b/>
      <w:bCs/>
      <w:caps/>
      <w:color w:val="000000"/>
      <w:szCs w:val="24"/>
      <w:u w:val="single"/>
    </w:rPr>
  </w:style>
  <w:style w:type="paragraph" w:styleId="Sadraj2">
    <w:name w:val="toc 2"/>
    <w:basedOn w:val="Normal"/>
    <w:next w:val="Normal"/>
    <w:autoRedefine/>
    <w:uiPriority w:val="39"/>
    <w:unhideWhenUsed/>
    <w:rsid w:val="00D84719"/>
    <w:pPr>
      <w:spacing w:before="80" w:after="0" w:line="276" w:lineRule="auto"/>
      <w:jc w:val="both"/>
    </w:pPr>
    <w:rPr>
      <w:rFonts w:ascii="Arial" w:eastAsia="Times New Roman" w:hAnsi="Arial" w:cs="Arial"/>
      <w:b/>
      <w:bCs/>
      <w:smallCaps/>
      <w:color w:val="000000"/>
      <w:szCs w:val="24"/>
    </w:rPr>
  </w:style>
  <w:style w:type="paragraph" w:styleId="Sadraj3">
    <w:name w:val="toc 3"/>
    <w:basedOn w:val="Normal"/>
    <w:next w:val="Normal"/>
    <w:autoRedefine/>
    <w:uiPriority w:val="39"/>
    <w:unhideWhenUsed/>
    <w:rsid w:val="00D84719"/>
    <w:pPr>
      <w:spacing w:before="80" w:after="0" w:line="276" w:lineRule="auto"/>
      <w:jc w:val="both"/>
    </w:pPr>
    <w:rPr>
      <w:rFonts w:ascii="Arial" w:eastAsia="Times New Roman" w:hAnsi="Arial" w:cs="Arial"/>
      <w:smallCaps/>
      <w:color w:val="000000"/>
      <w:szCs w:val="24"/>
    </w:rPr>
  </w:style>
  <w:style w:type="paragraph" w:styleId="Sadraj4">
    <w:name w:val="toc 4"/>
    <w:basedOn w:val="Normal"/>
    <w:next w:val="Normal"/>
    <w:autoRedefine/>
    <w:uiPriority w:val="39"/>
    <w:unhideWhenUsed/>
    <w:rsid w:val="00960AEC"/>
    <w:pPr>
      <w:tabs>
        <w:tab w:val="left" w:pos="893"/>
        <w:tab w:val="left" w:pos="993"/>
        <w:tab w:val="right" w:leader="dot" w:pos="9062"/>
      </w:tabs>
      <w:spacing w:before="80" w:after="0" w:line="276" w:lineRule="auto"/>
      <w:ind w:left="993" w:hanging="993"/>
      <w:jc w:val="both"/>
    </w:pPr>
    <w:rPr>
      <w:rFonts w:ascii="Times New Roman" w:eastAsia="Times New Roman" w:hAnsi="Times New Roman" w:cs="Times New Roman"/>
      <w:noProof/>
      <w:color w:val="000000"/>
      <w:sz w:val="20"/>
      <w:szCs w:val="20"/>
      <w:lang w:bidi="en-US"/>
    </w:rPr>
  </w:style>
  <w:style w:type="paragraph" w:styleId="Sadraj5">
    <w:name w:val="toc 5"/>
    <w:basedOn w:val="Normal"/>
    <w:next w:val="Normal"/>
    <w:autoRedefine/>
    <w:uiPriority w:val="39"/>
    <w:unhideWhenUsed/>
    <w:rsid w:val="00D84719"/>
    <w:pPr>
      <w:spacing w:before="80" w:after="0" w:line="276" w:lineRule="auto"/>
      <w:jc w:val="both"/>
    </w:pPr>
    <w:rPr>
      <w:rFonts w:ascii="Arial" w:eastAsia="Times New Roman" w:hAnsi="Arial" w:cs="Arial"/>
      <w:color w:val="000000"/>
      <w:szCs w:val="24"/>
    </w:rPr>
  </w:style>
  <w:style w:type="paragraph" w:styleId="Sadraj6">
    <w:name w:val="toc 6"/>
    <w:basedOn w:val="Normal"/>
    <w:next w:val="Normal"/>
    <w:autoRedefine/>
    <w:uiPriority w:val="39"/>
    <w:unhideWhenUsed/>
    <w:rsid w:val="00D84719"/>
    <w:pPr>
      <w:spacing w:before="80" w:after="0" w:line="276" w:lineRule="auto"/>
      <w:jc w:val="both"/>
    </w:pPr>
    <w:rPr>
      <w:rFonts w:ascii="Arial" w:eastAsia="Times New Roman" w:hAnsi="Arial" w:cs="Arial"/>
      <w:color w:val="000000"/>
      <w:szCs w:val="24"/>
    </w:rPr>
  </w:style>
  <w:style w:type="paragraph" w:styleId="Sadraj7">
    <w:name w:val="toc 7"/>
    <w:basedOn w:val="Normal"/>
    <w:next w:val="Normal"/>
    <w:autoRedefine/>
    <w:uiPriority w:val="39"/>
    <w:unhideWhenUsed/>
    <w:rsid w:val="00D84719"/>
    <w:pPr>
      <w:spacing w:before="80" w:after="0" w:line="276" w:lineRule="auto"/>
      <w:jc w:val="both"/>
    </w:pPr>
    <w:rPr>
      <w:rFonts w:ascii="Arial" w:eastAsia="Times New Roman" w:hAnsi="Arial" w:cs="Arial"/>
      <w:color w:val="000000"/>
      <w:szCs w:val="24"/>
    </w:rPr>
  </w:style>
  <w:style w:type="paragraph" w:styleId="Sadraj8">
    <w:name w:val="toc 8"/>
    <w:basedOn w:val="Normal"/>
    <w:next w:val="Normal"/>
    <w:autoRedefine/>
    <w:uiPriority w:val="39"/>
    <w:unhideWhenUsed/>
    <w:rsid w:val="00D84719"/>
    <w:pPr>
      <w:spacing w:before="80" w:after="0" w:line="276" w:lineRule="auto"/>
      <w:jc w:val="both"/>
    </w:pPr>
    <w:rPr>
      <w:rFonts w:ascii="Arial" w:eastAsia="Times New Roman" w:hAnsi="Arial" w:cs="Arial"/>
      <w:color w:val="000000"/>
      <w:szCs w:val="24"/>
    </w:rPr>
  </w:style>
  <w:style w:type="paragraph" w:styleId="Sadraj9">
    <w:name w:val="toc 9"/>
    <w:basedOn w:val="Normal"/>
    <w:next w:val="Normal"/>
    <w:autoRedefine/>
    <w:uiPriority w:val="39"/>
    <w:unhideWhenUsed/>
    <w:rsid w:val="00D84719"/>
    <w:pPr>
      <w:spacing w:before="80" w:after="0" w:line="276" w:lineRule="auto"/>
      <w:jc w:val="both"/>
    </w:pPr>
    <w:rPr>
      <w:rFonts w:ascii="Arial" w:eastAsia="Times New Roman" w:hAnsi="Arial" w:cs="Arial"/>
      <w:color w:val="000000"/>
      <w:szCs w:val="24"/>
    </w:rPr>
  </w:style>
  <w:style w:type="paragraph" w:styleId="Tijeloteksta">
    <w:name w:val="Body Text"/>
    <w:basedOn w:val="Normal"/>
    <w:link w:val="TijelotekstaChar"/>
    <w:semiHidden/>
    <w:unhideWhenUsed/>
    <w:rsid w:val="00D84719"/>
    <w:pPr>
      <w:spacing w:before="80" w:after="120" w:line="276" w:lineRule="auto"/>
      <w:jc w:val="both"/>
    </w:pPr>
    <w:rPr>
      <w:rFonts w:ascii="Arial" w:eastAsia="Times New Roman" w:hAnsi="Arial" w:cs="Arial"/>
      <w:color w:val="000000"/>
      <w:szCs w:val="24"/>
    </w:rPr>
  </w:style>
  <w:style w:type="character" w:customStyle="1" w:styleId="TijelotekstaChar">
    <w:name w:val="Tijelo teksta Char"/>
    <w:basedOn w:val="Zadanifontodlomka"/>
    <w:link w:val="Tijeloteksta"/>
    <w:semiHidden/>
    <w:rsid w:val="00D84719"/>
    <w:rPr>
      <w:rFonts w:ascii="Arial" w:eastAsia="Times New Roman" w:hAnsi="Arial" w:cs="Arial"/>
      <w:color w:val="000000"/>
      <w:szCs w:val="24"/>
    </w:rPr>
  </w:style>
  <w:style w:type="paragraph" w:styleId="Tijeloteksta-prvauvlaka">
    <w:name w:val="Body Text First Indent"/>
    <w:basedOn w:val="Tijeloteksta"/>
    <w:link w:val="Tijeloteksta-prvauvlakaChar"/>
    <w:autoRedefine/>
    <w:rsid w:val="00D84719"/>
    <w:pPr>
      <w:spacing w:after="0"/>
      <w:ind w:firstLine="360"/>
    </w:pPr>
  </w:style>
  <w:style w:type="character" w:customStyle="1" w:styleId="Tijeloteksta-prvauvlakaChar">
    <w:name w:val="Tijelo teksta - prva uvlaka Char"/>
    <w:basedOn w:val="TijelotekstaChar"/>
    <w:link w:val="Tijeloteksta-prvauvlaka"/>
    <w:rsid w:val="00D84719"/>
    <w:rPr>
      <w:rFonts w:ascii="Arial" w:eastAsia="Times New Roman" w:hAnsi="Arial" w:cs="Arial"/>
      <w:color w:val="000000"/>
      <w:szCs w:val="24"/>
    </w:rPr>
  </w:style>
  <w:style w:type="character" w:styleId="Naslovknjige">
    <w:name w:val="Book Title"/>
    <w:basedOn w:val="Zadanifontodlomka"/>
    <w:rsid w:val="00D84719"/>
    <w:rPr>
      <w:rFonts w:ascii="Arial" w:hAnsi="Arial"/>
      <w:b/>
      <w:bCs/>
      <w:i/>
      <w:iCs/>
      <w:spacing w:val="5"/>
    </w:rPr>
  </w:style>
  <w:style w:type="paragraph" w:customStyle="1" w:styleId="Bulletlist">
    <w:name w:val="Bullet list"/>
    <w:basedOn w:val="Odlomakpopisa"/>
    <w:autoRedefine/>
    <w:rsid w:val="00D84719"/>
    <w:pPr>
      <w:tabs>
        <w:tab w:val="left" w:pos="1755"/>
      </w:tabs>
      <w:autoSpaceDE w:val="0"/>
      <w:autoSpaceDN w:val="0"/>
      <w:adjustRightInd w:val="0"/>
      <w:spacing w:after="320" w:line="288" w:lineRule="auto"/>
      <w:ind w:left="0"/>
      <w:contextualSpacing w:val="0"/>
      <w:jc w:val="both"/>
    </w:pPr>
    <w:rPr>
      <w:rFonts w:ascii="AvantGardeITCbyBT-Book" w:hAnsi="AvantGardeITCbyBT-Book" w:cs="AvantGardeITCbyBT-Book"/>
    </w:rPr>
  </w:style>
  <w:style w:type="paragraph" w:styleId="Datum">
    <w:name w:val="Date"/>
    <w:basedOn w:val="Normal"/>
    <w:next w:val="Normal"/>
    <w:link w:val="DatumChar"/>
    <w:autoRedefine/>
    <w:rsid w:val="00D84719"/>
    <w:pPr>
      <w:spacing w:before="80" w:line="276" w:lineRule="auto"/>
      <w:jc w:val="right"/>
    </w:pPr>
    <w:rPr>
      <w:rFonts w:ascii="Arial" w:eastAsia="Times New Roman" w:hAnsi="Arial" w:cs="Arial"/>
      <w:b/>
      <w:i/>
      <w:smallCaps/>
      <w:color w:val="000000"/>
    </w:rPr>
  </w:style>
  <w:style w:type="character" w:customStyle="1" w:styleId="DatumChar">
    <w:name w:val="Datum Char"/>
    <w:basedOn w:val="Zadanifontodlomka"/>
    <w:link w:val="Datum"/>
    <w:rsid w:val="00D84719"/>
    <w:rPr>
      <w:rFonts w:ascii="Arial" w:eastAsia="Times New Roman" w:hAnsi="Arial" w:cs="Arial"/>
      <w:b/>
      <w:i/>
      <w:smallCaps/>
      <w:color w:val="000000"/>
    </w:rPr>
  </w:style>
  <w:style w:type="table" w:customStyle="1" w:styleId="DLSLIGHT2015">
    <w:name w:val="DLS LIGHT 2015"/>
    <w:basedOn w:val="Obinatablica"/>
    <w:uiPriority w:val="99"/>
    <w:rsid w:val="00D84719"/>
    <w:pPr>
      <w:spacing w:after="0" w:line="240" w:lineRule="auto"/>
      <w:jc w:val="center"/>
    </w:pPr>
    <w:rPr>
      <w:rFonts w:ascii="Adviso OTF Std" w:eastAsia="Times New Roman" w:hAnsi="Adviso OTF Std" w:cs="Times New Roman"/>
      <w:color w:val="000000"/>
      <w:sz w:val="24"/>
      <w:szCs w:val="24"/>
      <w:lang w:eastAsia="hr-HR"/>
    </w:rPr>
    <w:tblPr>
      <w:tblStyleRowBandSize w:val="1"/>
      <w:jc w:val="center"/>
      <w:tblBorders>
        <w:top w:val="single" w:sz="2" w:space="0" w:color="6EAA42"/>
        <w:bottom w:val="single" w:sz="2" w:space="0" w:color="6EAA42"/>
        <w:insideH w:val="single" w:sz="2" w:space="0" w:color="6EAA42"/>
      </w:tblBorders>
    </w:tblPr>
    <w:trPr>
      <w:jc w:val="center"/>
    </w:trPr>
    <w:tcPr>
      <w:shd w:val="clear" w:color="auto" w:fill="FFFFFF"/>
      <w:vAlign w:val="center"/>
    </w:tcPr>
    <w:tblStylePr w:type="firstRow">
      <w:rPr>
        <w:b/>
      </w:rPr>
      <w:tblPr/>
      <w:tcPr>
        <w:shd w:val="clear" w:color="auto" w:fill="FFFFFF"/>
      </w:tcPr>
    </w:tblStylePr>
    <w:tblStylePr w:type="band1Horz">
      <w:pPr>
        <w:jc w:val="center"/>
      </w:pPr>
      <w:rPr>
        <w:b w:val="0"/>
      </w:rPr>
      <w:tblPr/>
      <w:tcPr>
        <w:shd w:val="clear" w:color="auto" w:fill="DAEBCD"/>
      </w:tcPr>
    </w:tblStylePr>
    <w:tblStylePr w:type="band2Horz">
      <w:rPr>
        <w:b w:val="0"/>
      </w:rPr>
      <w:tblPr/>
      <w:tcPr>
        <w:shd w:val="clear" w:color="auto" w:fill="FFFFFF"/>
      </w:tcPr>
    </w:tblStylePr>
  </w:style>
  <w:style w:type="character" w:styleId="Istaknuto">
    <w:name w:val="Emphasis"/>
    <w:basedOn w:val="Zadanifontodlomka"/>
    <w:uiPriority w:val="20"/>
    <w:qFormat/>
    <w:rsid w:val="00D84719"/>
    <w:rPr>
      <w:rFonts w:ascii="Arial" w:hAnsi="Arial"/>
      <w:i/>
      <w:iCs/>
    </w:rPr>
  </w:style>
  <w:style w:type="character" w:customStyle="1" w:styleId="SlijeenaHiperveza1">
    <w:name w:val="SlijeđenaHiperveza1"/>
    <w:basedOn w:val="Zadanifontodlomka"/>
    <w:uiPriority w:val="99"/>
    <w:rsid w:val="00D84719"/>
    <w:rPr>
      <w:rFonts w:ascii="Arial" w:hAnsi="Arial"/>
      <w:color w:val="800080"/>
      <w:u w:val="single"/>
    </w:rPr>
  </w:style>
  <w:style w:type="table" w:customStyle="1" w:styleId="GridTable2-Accent31">
    <w:name w:val="Grid Table 2 - Accent 31"/>
    <w:basedOn w:val="Obinatablica"/>
    <w:uiPriority w:val="47"/>
    <w:rsid w:val="00D84719"/>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character" w:styleId="Jakoisticanje">
    <w:name w:val="Intense Emphasis"/>
    <w:basedOn w:val="Zadanifontodlomka"/>
    <w:qFormat/>
    <w:rsid w:val="00910A77"/>
    <w:rPr>
      <w:rFonts w:ascii="Times New Roman" w:hAnsi="Times New Roman"/>
      <w:i/>
      <w:iCs/>
      <w:color w:val="4472C4" w:themeColor="accent5"/>
    </w:rPr>
  </w:style>
  <w:style w:type="character" w:styleId="Istaknutareferenca">
    <w:name w:val="Intense Reference"/>
    <w:basedOn w:val="Zadanifontodlomka"/>
    <w:rsid w:val="00D84719"/>
    <w:rPr>
      <w:rFonts w:ascii="Arial" w:hAnsi="Arial"/>
      <w:b/>
      <w:bCs/>
      <w:smallCaps/>
      <w:color w:val="6EAA42"/>
      <w:spacing w:val="5"/>
    </w:rPr>
  </w:style>
  <w:style w:type="table" w:customStyle="1" w:styleId="LightGrid-Accent12">
    <w:name w:val="Light Grid - Accent 12"/>
    <w:basedOn w:val="Obinatablica"/>
    <w:rsid w:val="00D84719"/>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Popis4">
    <w:name w:val="List 4"/>
    <w:basedOn w:val="Normal"/>
    <w:autoRedefine/>
    <w:rsid w:val="00D84719"/>
    <w:pPr>
      <w:spacing w:before="80" w:line="276" w:lineRule="auto"/>
      <w:ind w:left="1132" w:hanging="283"/>
      <w:contextualSpacing/>
      <w:jc w:val="both"/>
    </w:pPr>
    <w:rPr>
      <w:rFonts w:ascii="Arial" w:eastAsia="Times New Roman" w:hAnsi="Arial" w:cs="Arial"/>
      <w:color w:val="000000"/>
      <w:szCs w:val="24"/>
    </w:rPr>
  </w:style>
  <w:style w:type="paragraph" w:styleId="Popis5">
    <w:name w:val="List 5"/>
    <w:basedOn w:val="Normal"/>
    <w:autoRedefine/>
    <w:rsid w:val="00D84719"/>
    <w:pPr>
      <w:spacing w:before="80" w:line="276" w:lineRule="auto"/>
      <w:contextualSpacing/>
      <w:jc w:val="center"/>
    </w:pPr>
    <w:rPr>
      <w:rFonts w:ascii="Arial" w:eastAsia="Times New Roman" w:hAnsi="Arial" w:cs="Arial"/>
      <w:color w:val="000000"/>
      <w:szCs w:val="24"/>
    </w:rPr>
  </w:style>
  <w:style w:type="paragraph" w:styleId="Brojevi">
    <w:name w:val="List Number"/>
    <w:basedOn w:val="Normal"/>
    <w:autoRedefine/>
    <w:rsid w:val="00D84719"/>
    <w:pPr>
      <w:numPr>
        <w:numId w:val="1"/>
      </w:numPr>
      <w:spacing w:before="80" w:line="276" w:lineRule="auto"/>
      <w:contextualSpacing/>
      <w:jc w:val="both"/>
    </w:pPr>
    <w:rPr>
      <w:rFonts w:ascii="Arial" w:eastAsia="Times New Roman" w:hAnsi="Arial" w:cs="Arial"/>
      <w:b/>
      <w:i/>
      <w:color w:val="000000"/>
      <w:sz w:val="28"/>
      <w:szCs w:val="24"/>
      <w:u w:val="single"/>
    </w:rPr>
  </w:style>
  <w:style w:type="table" w:customStyle="1" w:styleId="ListTable2-Accent31">
    <w:name w:val="List Table 2 - Accent 31"/>
    <w:aliases w:val="DLS LIGHT"/>
    <w:basedOn w:val="Obinatablica"/>
    <w:uiPriority w:val="47"/>
    <w:rsid w:val="00D84719"/>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4" w:space="0" w:color="C2D69B"/>
        <w:bottom w:val="single" w:sz="4" w:space="0" w:color="C2D69B"/>
        <w:insideH w:val="single" w:sz="4" w:space="0" w:color="C2D69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cPr>
    </w:tblStylePr>
    <w:tblStylePr w:type="band1Horz">
      <w:pPr>
        <w:jc w:val="left"/>
      </w:pPr>
      <w:tblPr/>
      <w:tcPr>
        <w:shd w:val="clear" w:color="auto" w:fill="DAEBCD"/>
        <w:vAlign w:val="center"/>
      </w:tcPr>
    </w:tblStylePr>
  </w:style>
  <w:style w:type="table" w:customStyle="1" w:styleId="MediumShading1-Accent11">
    <w:name w:val="Medium Shading 1 - Accent 11"/>
    <w:basedOn w:val="Obinatablica"/>
    <w:rsid w:val="00D84719"/>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Bezproreda">
    <w:name w:val="No Spacing"/>
    <w:autoRedefine/>
    <w:uiPriority w:val="1"/>
    <w:rsid w:val="00D84719"/>
    <w:pPr>
      <w:spacing w:after="0" w:line="240" w:lineRule="auto"/>
    </w:pPr>
    <w:rPr>
      <w:rFonts w:ascii="Arial" w:eastAsia="Times New Roman" w:hAnsi="Arial" w:cs="Times New Roman"/>
      <w:sz w:val="24"/>
      <w:szCs w:val="24"/>
    </w:rPr>
  </w:style>
  <w:style w:type="character" w:styleId="Brojstranice">
    <w:name w:val="page number"/>
    <w:basedOn w:val="Zadanifontodlomka"/>
    <w:rsid w:val="00D84719"/>
    <w:rPr>
      <w:rFonts w:ascii="Arial" w:hAnsi="Arial"/>
    </w:rPr>
  </w:style>
  <w:style w:type="character" w:styleId="Tekstrezerviranogmjesta">
    <w:name w:val="Placeholder Text"/>
    <w:basedOn w:val="Zadanifontodlomka"/>
    <w:rsid w:val="00D84719"/>
    <w:rPr>
      <w:rFonts w:ascii="Arial" w:hAnsi="Arial"/>
      <w:color w:val="808080"/>
    </w:rPr>
  </w:style>
  <w:style w:type="table" w:customStyle="1" w:styleId="PlainTable41">
    <w:name w:val="Plain Table 41"/>
    <w:basedOn w:val="Obinatablica"/>
    <w:uiPriority w:val="44"/>
    <w:rsid w:val="00D84719"/>
    <w:pPr>
      <w:spacing w:after="0" w:line="240" w:lineRule="auto"/>
    </w:pPr>
    <w:rPr>
      <w:rFonts w:ascii="Times New Roman" w:eastAsia="Times New Roman" w:hAnsi="Times New Roman" w:cs="Times New Roman"/>
      <w:sz w:val="24"/>
      <w:szCs w:val="24"/>
      <w:lang w:eastAsia="hr-H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Citat1">
    <w:name w:val="Citat1"/>
    <w:basedOn w:val="Normal"/>
    <w:next w:val="Normal"/>
    <w:autoRedefine/>
    <w:rsid w:val="00D84719"/>
    <w:pPr>
      <w:spacing w:before="200" w:line="276" w:lineRule="auto"/>
      <w:ind w:left="864" w:right="864"/>
      <w:jc w:val="center"/>
    </w:pPr>
    <w:rPr>
      <w:rFonts w:ascii="Arial" w:eastAsia="Times New Roman" w:hAnsi="Arial" w:cs="Arial"/>
      <w:i/>
      <w:iCs/>
      <w:color w:val="404040"/>
      <w:szCs w:val="24"/>
    </w:rPr>
  </w:style>
  <w:style w:type="character" w:customStyle="1" w:styleId="CitatChar">
    <w:name w:val="Citat Char"/>
    <w:basedOn w:val="Zadanifontodlomka"/>
    <w:link w:val="Citat"/>
    <w:rsid w:val="00D84719"/>
    <w:rPr>
      <w:rFonts w:ascii="Adviso OTF Std" w:eastAsia="Times New Roman" w:hAnsi="Adviso OTF Std" w:cs="Times New Roman"/>
      <w:i/>
      <w:iCs/>
      <w:color w:val="404040"/>
      <w:sz w:val="24"/>
      <w:szCs w:val="24"/>
    </w:rPr>
  </w:style>
  <w:style w:type="paragraph" w:customStyle="1" w:styleId="sadraopisaBOLD">
    <w:name w:val="sadrža opisa BOLD"/>
    <w:basedOn w:val="Normal"/>
    <w:autoRedefine/>
    <w:qFormat/>
    <w:rsid w:val="00D84719"/>
    <w:pPr>
      <w:spacing w:before="80" w:line="276" w:lineRule="auto"/>
      <w:jc w:val="both"/>
    </w:pPr>
    <w:rPr>
      <w:rFonts w:ascii="Arial" w:eastAsia="Times New Roman" w:hAnsi="Arial" w:cs="Arial"/>
      <w:color w:val="000000"/>
      <w:sz w:val="40"/>
      <w:szCs w:val="40"/>
    </w:rPr>
  </w:style>
  <w:style w:type="paragraph" w:customStyle="1" w:styleId="sadrajopisa">
    <w:name w:val="sadržaj opisa"/>
    <w:basedOn w:val="sadraopisaBOLD"/>
    <w:autoRedefine/>
    <w:qFormat/>
    <w:rsid w:val="00D84719"/>
    <w:rPr>
      <w:sz w:val="28"/>
    </w:rPr>
  </w:style>
  <w:style w:type="paragraph" w:styleId="Pozdrav">
    <w:name w:val="Salutation"/>
    <w:basedOn w:val="Normal"/>
    <w:next w:val="Normal"/>
    <w:link w:val="PozdravChar"/>
    <w:autoRedefine/>
    <w:rsid w:val="00D84719"/>
    <w:pPr>
      <w:spacing w:before="80" w:line="276" w:lineRule="auto"/>
      <w:jc w:val="both"/>
    </w:pPr>
    <w:rPr>
      <w:rFonts w:ascii="Arial" w:eastAsia="Times New Roman" w:hAnsi="Arial" w:cs="Arial"/>
      <w:color w:val="000000"/>
      <w:sz w:val="28"/>
      <w:szCs w:val="24"/>
    </w:rPr>
  </w:style>
  <w:style w:type="character" w:customStyle="1" w:styleId="PozdravChar">
    <w:name w:val="Pozdrav Char"/>
    <w:basedOn w:val="Zadanifontodlomka"/>
    <w:link w:val="Pozdrav"/>
    <w:rsid w:val="00D84719"/>
    <w:rPr>
      <w:rFonts w:ascii="Arial" w:eastAsia="Times New Roman" w:hAnsi="Arial" w:cs="Arial"/>
      <w:color w:val="000000"/>
      <w:sz w:val="28"/>
      <w:szCs w:val="24"/>
    </w:rPr>
  </w:style>
  <w:style w:type="paragraph" w:customStyle="1" w:styleId="Podnaslov1">
    <w:name w:val="Podnaslov1"/>
    <w:basedOn w:val="Normal"/>
    <w:next w:val="Normal"/>
    <w:autoRedefine/>
    <w:rsid w:val="00D84719"/>
    <w:pPr>
      <w:numPr>
        <w:ilvl w:val="1"/>
      </w:numPr>
      <w:spacing w:before="80" w:line="276" w:lineRule="auto"/>
      <w:jc w:val="both"/>
    </w:pPr>
    <w:rPr>
      <w:rFonts w:ascii="Arial" w:eastAsia="Times New Roman" w:hAnsi="Arial"/>
      <w:color w:val="5A5A5A"/>
      <w:spacing w:val="15"/>
    </w:rPr>
  </w:style>
  <w:style w:type="character" w:customStyle="1" w:styleId="PodnaslovChar">
    <w:name w:val="Podnaslov Char"/>
    <w:basedOn w:val="Zadanifontodlomka"/>
    <w:link w:val="Podnaslov"/>
    <w:rsid w:val="00910A77"/>
    <w:rPr>
      <w:rFonts w:ascii="Adviso OTF Std" w:eastAsia="Times New Roman" w:hAnsi="Adviso OTF Std"/>
      <w:color w:val="000000" w:themeColor="text1"/>
      <w:spacing w:val="15"/>
    </w:rPr>
  </w:style>
  <w:style w:type="character" w:customStyle="1" w:styleId="Neupadljivoisticanje1">
    <w:name w:val="Neupadljivo isticanje1"/>
    <w:basedOn w:val="Zadanifontodlomka"/>
    <w:rsid w:val="00D84719"/>
    <w:rPr>
      <w:rFonts w:ascii="Arial" w:hAnsi="Arial"/>
      <w:i/>
      <w:iCs/>
      <w:color w:val="404040"/>
    </w:rPr>
  </w:style>
  <w:style w:type="character" w:customStyle="1" w:styleId="Neupadljivareferenca1">
    <w:name w:val="Neupadljiva referenca1"/>
    <w:basedOn w:val="Zadanifontodlomka"/>
    <w:rsid w:val="00D84719"/>
    <w:rPr>
      <w:rFonts w:ascii="Arial" w:hAnsi="Arial"/>
      <w:smallCaps/>
      <w:color w:val="5A5A5A"/>
    </w:rPr>
  </w:style>
  <w:style w:type="paragraph" w:customStyle="1" w:styleId="Naslov10">
    <w:name w:val="Naslov1"/>
    <w:basedOn w:val="Normal"/>
    <w:next w:val="Normal"/>
    <w:autoRedefine/>
    <w:rsid w:val="00D84719"/>
    <w:pPr>
      <w:spacing w:before="80" w:line="276" w:lineRule="auto"/>
      <w:contextualSpacing/>
      <w:jc w:val="both"/>
    </w:pPr>
    <w:rPr>
      <w:rFonts w:ascii="Arial" w:eastAsia="Times New Roman" w:hAnsi="Arial" w:cs="Times New Roman"/>
      <w:color w:val="000000"/>
      <w:spacing w:val="-10"/>
      <w:kern w:val="28"/>
      <w:sz w:val="56"/>
      <w:szCs w:val="56"/>
    </w:rPr>
  </w:style>
  <w:style w:type="character" w:customStyle="1" w:styleId="NaslovChar">
    <w:name w:val="Naslov Char"/>
    <w:basedOn w:val="Zadanifontodlomka"/>
    <w:link w:val="Naslov"/>
    <w:rsid w:val="00D84719"/>
    <w:rPr>
      <w:rFonts w:ascii="Adviso OTF Std" w:eastAsia="Times New Roman" w:hAnsi="Adviso OTF Std" w:cs="Times New Roman"/>
      <w:spacing w:val="-10"/>
      <w:kern w:val="28"/>
      <w:sz w:val="56"/>
      <w:szCs w:val="56"/>
    </w:rPr>
  </w:style>
  <w:style w:type="table" w:customStyle="1" w:styleId="TableGridLight1">
    <w:name w:val="Table Grid Light1"/>
    <w:basedOn w:val="Obinatablica"/>
    <w:uiPriority w:val="40"/>
    <w:rsid w:val="00D84719"/>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Tekstfusnote">
    <w:name w:val="footnote text"/>
    <w:basedOn w:val="Normal"/>
    <w:link w:val="TekstfusnoteChar"/>
    <w:uiPriority w:val="99"/>
    <w:unhideWhenUsed/>
    <w:rsid w:val="00D84719"/>
    <w:pPr>
      <w:spacing w:after="0" w:line="240" w:lineRule="auto"/>
      <w:jc w:val="both"/>
    </w:pPr>
    <w:rPr>
      <w:rFonts w:ascii="Arial" w:eastAsia="Times New Roman" w:hAnsi="Arial" w:cs="Arial"/>
      <w:color w:val="000000"/>
      <w:sz w:val="20"/>
      <w:szCs w:val="20"/>
    </w:rPr>
  </w:style>
  <w:style w:type="character" w:customStyle="1" w:styleId="TekstfusnoteChar">
    <w:name w:val="Tekst fusnote Char"/>
    <w:basedOn w:val="Zadanifontodlomka"/>
    <w:link w:val="Tekstfusnote"/>
    <w:uiPriority w:val="99"/>
    <w:rsid w:val="00D84719"/>
    <w:rPr>
      <w:rFonts w:ascii="Arial" w:eastAsia="Times New Roman" w:hAnsi="Arial" w:cs="Arial"/>
      <w:color w:val="000000"/>
      <w:sz w:val="20"/>
      <w:szCs w:val="20"/>
    </w:rPr>
  </w:style>
  <w:style w:type="character" w:styleId="Referencafusnote">
    <w:name w:val="footnote reference"/>
    <w:aliases w:val="Footnote"/>
    <w:basedOn w:val="Zadanifontodlomka"/>
    <w:uiPriority w:val="99"/>
    <w:unhideWhenUsed/>
    <w:rsid w:val="00D84719"/>
    <w:rPr>
      <w:vertAlign w:val="superscript"/>
    </w:rPr>
  </w:style>
  <w:style w:type="paragraph" w:customStyle="1" w:styleId="FootnoteDLS">
    <w:name w:val="Footnote DLS"/>
    <w:basedOn w:val="Tekstfusnote"/>
    <w:autoRedefine/>
    <w:qFormat/>
    <w:rsid w:val="00D84719"/>
    <w:rPr>
      <w:sz w:val="18"/>
    </w:rPr>
  </w:style>
  <w:style w:type="table" w:customStyle="1" w:styleId="GridTable1Light1">
    <w:name w:val="Grid Table 1 Light1"/>
    <w:basedOn w:val="Obinatablica"/>
    <w:uiPriority w:val="46"/>
    <w:rsid w:val="00D84719"/>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t-9-8-bez-uvl">
    <w:name w:val="t-9-8-bez-uvl"/>
    <w:basedOn w:val="Normal"/>
    <w:rsid w:val="00D84719"/>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bold">
    <w:name w:val="bold"/>
    <w:basedOn w:val="Zadanifontodlomka"/>
    <w:rsid w:val="00D84719"/>
  </w:style>
  <w:style w:type="paragraph" w:styleId="Uvuenotijeloteksta">
    <w:name w:val="Body Text Indent"/>
    <w:basedOn w:val="Normal"/>
    <w:link w:val="UvuenotijelotekstaChar"/>
    <w:uiPriority w:val="99"/>
    <w:semiHidden/>
    <w:unhideWhenUsed/>
    <w:rsid w:val="00D84719"/>
    <w:pPr>
      <w:spacing w:before="80" w:after="120" w:line="276" w:lineRule="auto"/>
      <w:ind w:left="283"/>
      <w:jc w:val="both"/>
    </w:pPr>
    <w:rPr>
      <w:rFonts w:ascii="Arial" w:eastAsia="Times New Roman" w:hAnsi="Arial" w:cs="Arial"/>
      <w:color w:val="000000"/>
      <w:szCs w:val="24"/>
    </w:rPr>
  </w:style>
  <w:style w:type="character" w:customStyle="1" w:styleId="UvuenotijelotekstaChar">
    <w:name w:val="Uvučeno tijelo teksta Char"/>
    <w:basedOn w:val="Zadanifontodlomka"/>
    <w:link w:val="Uvuenotijeloteksta"/>
    <w:uiPriority w:val="99"/>
    <w:semiHidden/>
    <w:rsid w:val="00D84719"/>
    <w:rPr>
      <w:rFonts w:ascii="Arial" w:eastAsia="Times New Roman" w:hAnsi="Arial" w:cs="Arial"/>
      <w:color w:val="000000"/>
      <w:szCs w:val="24"/>
    </w:rPr>
  </w:style>
  <w:style w:type="paragraph" w:styleId="StandardWeb">
    <w:name w:val="Normal (Web)"/>
    <w:basedOn w:val="Normal"/>
    <w:uiPriority w:val="99"/>
    <w:unhideWhenUsed/>
    <w:rsid w:val="00D84719"/>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Tijeloteksta-uvlaka3">
    <w:name w:val="Body Text Indent 3"/>
    <w:basedOn w:val="Normal"/>
    <w:link w:val="Tijeloteksta-uvlaka3Char"/>
    <w:uiPriority w:val="99"/>
    <w:unhideWhenUsed/>
    <w:rsid w:val="00D84719"/>
    <w:pPr>
      <w:spacing w:before="80" w:after="120" w:line="276" w:lineRule="auto"/>
      <w:ind w:left="283"/>
      <w:jc w:val="both"/>
    </w:pPr>
    <w:rPr>
      <w:rFonts w:ascii="Arial" w:eastAsia="Times New Roman" w:hAnsi="Arial" w:cs="Arial"/>
      <w:color w:val="000000"/>
      <w:sz w:val="16"/>
      <w:szCs w:val="16"/>
    </w:rPr>
  </w:style>
  <w:style w:type="character" w:customStyle="1" w:styleId="Tijeloteksta-uvlaka3Char">
    <w:name w:val="Tijelo teksta - uvlaka 3 Char"/>
    <w:basedOn w:val="Zadanifontodlomka"/>
    <w:link w:val="Tijeloteksta-uvlaka3"/>
    <w:uiPriority w:val="99"/>
    <w:rsid w:val="00D84719"/>
    <w:rPr>
      <w:rFonts w:ascii="Arial" w:eastAsia="Times New Roman" w:hAnsi="Arial" w:cs="Arial"/>
      <w:color w:val="000000"/>
      <w:sz w:val="16"/>
      <w:szCs w:val="16"/>
    </w:rPr>
  </w:style>
  <w:style w:type="paragraph" w:styleId="Tijeloteksta2">
    <w:name w:val="Body Text 2"/>
    <w:basedOn w:val="Normal"/>
    <w:link w:val="Tijeloteksta2Char"/>
    <w:uiPriority w:val="99"/>
    <w:semiHidden/>
    <w:unhideWhenUsed/>
    <w:rsid w:val="00D84719"/>
    <w:pPr>
      <w:spacing w:before="80" w:after="120" w:line="480" w:lineRule="auto"/>
      <w:jc w:val="both"/>
    </w:pPr>
    <w:rPr>
      <w:rFonts w:ascii="Arial" w:eastAsia="Times New Roman" w:hAnsi="Arial" w:cs="Arial"/>
      <w:color w:val="000000"/>
      <w:szCs w:val="24"/>
    </w:rPr>
  </w:style>
  <w:style w:type="character" w:customStyle="1" w:styleId="Tijeloteksta2Char">
    <w:name w:val="Tijelo teksta 2 Char"/>
    <w:basedOn w:val="Zadanifontodlomka"/>
    <w:link w:val="Tijeloteksta2"/>
    <w:uiPriority w:val="99"/>
    <w:semiHidden/>
    <w:rsid w:val="00D84719"/>
    <w:rPr>
      <w:rFonts w:ascii="Arial" w:eastAsia="Times New Roman" w:hAnsi="Arial" w:cs="Arial"/>
      <w:color w:val="000000"/>
      <w:szCs w:val="24"/>
    </w:rPr>
  </w:style>
  <w:style w:type="table" w:customStyle="1" w:styleId="TableGrid1">
    <w:name w:val="Table Grid1"/>
    <w:basedOn w:val="Obinatablica"/>
    <w:next w:val="Reetkatablice"/>
    <w:rsid w:val="00D84719"/>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1">
    <w:name w:val="Grid Table 1 Light11"/>
    <w:basedOn w:val="Obinatablica"/>
    <w:uiPriority w:val="46"/>
    <w:rsid w:val="00D84719"/>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ColorfulList-Accent11">
    <w:name w:val="Colorful List - Accent 11"/>
    <w:basedOn w:val="Normal"/>
    <w:uiPriority w:val="34"/>
    <w:qFormat/>
    <w:rsid w:val="00D84719"/>
    <w:pPr>
      <w:spacing w:after="200" w:line="276" w:lineRule="auto"/>
      <w:ind w:left="720"/>
      <w:contextualSpacing/>
    </w:pPr>
    <w:rPr>
      <w:rFonts w:ascii="Calibri" w:eastAsia="Times New Roman" w:hAnsi="Calibri" w:cs="Times New Roman"/>
    </w:rPr>
  </w:style>
  <w:style w:type="character" w:customStyle="1" w:styleId="kurziv">
    <w:name w:val="kurziv"/>
    <w:basedOn w:val="Zadanifontodlomka"/>
    <w:rsid w:val="00D84719"/>
  </w:style>
  <w:style w:type="paragraph" w:customStyle="1" w:styleId="Default">
    <w:name w:val="Default"/>
    <w:uiPriority w:val="99"/>
    <w:rsid w:val="00D84719"/>
    <w:pPr>
      <w:autoSpaceDE w:val="0"/>
      <w:autoSpaceDN w:val="0"/>
      <w:adjustRightInd w:val="0"/>
      <w:spacing w:after="0" w:line="240" w:lineRule="auto"/>
    </w:pPr>
    <w:rPr>
      <w:rFonts w:ascii="Adviso OTF Std" w:hAnsi="Adviso OTF Std" w:cs="Adviso OTF Std"/>
      <w:color w:val="000000"/>
      <w:sz w:val="24"/>
      <w:szCs w:val="24"/>
    </w:rPr>
  </w:style>
  <w:style w:type="paragraph" w:customStyle="1" w:styleId="TESTO10">
    <w:name w:val="TESTO10"/>
    <w:basedOn w:val="Normal"/>
    <w:rsid w:val="00D84719"/>
    <w:pPr>
      <w:spacing w:after="0" w:line="240" w:lineRule="auto"/>
      <w:jc w:val="both"/>
    </w:pPr>
    <w:rPr>
      <w:rFonts w:ascii="Century Gothic" w:eastAsia="Times New Roman" w:hAnsi="Century Gothic" w:cs="Times New Roman"/>
      <w:sz w:val="20"/>
      <w:szCs w:val="20"/>
      <w:lang w:val="it-IT"/>
    </w:rPr>
  </w:style>
  <w:style w:type="table" w:customStyle="1" w:styleId="TableGrid2">
    <w:name w:val="Table Grid2"/>
    <w:basedOn w:val="Obinatablica"/>
    <w:next w:val="Reetkatablice"/>
    <w:uiPriority w:val="59"/>
    <w:rsid w:val="00D84719"/>
    <w:pPr>
      <w:spacing w:after="0" w:line="240" w:lineRule="auto"/>
    </w:pPr>
    <w:rPr>
      <w:rFonts w:ascii="Times New Roman" w:eastAsia="Times New Roman" w:hAnsi="Times New Roman" w:cs="Times New Roman"/>
      <w:sz w:val="24"/>
      <w:szCs w:val="24"/>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Zadanifontodlomka"/>
    <w:rsid w:val="00D84719"/>
  </w:style>
  <w:style w:type="character" w:customStyle="1" w:styleId="novo">
    <w:name w:val="novo"/>
    <w:rsid w:val="00D84719"/>
    <w:rPr>
      <w:rFonts w:ascii="Calibri" w:hAnsi="Calibri"/>
      <w:color w:val="FF0000"/>
      <w:szCs w:val="24"/>
    </w:rPr>
  </w:style>
  <w:style w:type="paragraph" w:customStyle="1" w:styleId="Tablice">
    <w:name w:val="Tablice"/>
    <w:basedOn w:val="Normal"/>
    <w:rsid w:val="00D84719"/>
    <w:pPr>
      <w:spacing w:before="480" w:after="240" w:line="288" w:lineRule="auto"/>
      <w:ind w:left="1134" w:hanging="1134"/>
      <w:jc w:val="both"/>
    </w:pPr>
    <w:rPr>
      <w:rFonts w:ascii="Arial" w:eastAsia="Times New Roman" w:hAnsi="Arial" w:cs="Times New Roman"/>
      <w:bCs/>
      <w:noProof/>
      <w:color w:val="000000"/>
      <w:szCs w:val="20"/>
      <w:lang w:val="en-GB"/>
    </w:rPr>
  </w:style>
  <w:style w:type="paragraph" w:customStyle="1" w:styleId="Style5">
    <w:name w:val="Style5"/>
    <w:basedOn w:val="StandardWeb"/>
    <w:rsid w:val="00D84719"/>
    <w:rPr>
      <w:b/>
      <w:sz w:val="20"/>
    </w:rPr>
  </w:style>
  <w:style w:type="table" w:customStyle="1" w:styleId="TableGrid">
    <w:name w:val="TableGrid"/>
    <w:rsid w:val="00D84719"/>
    <w:pPr>
      <w:spacing w:after="0" w:line="240" w:lineRule="auto"/>
    </w:pPr>
    <w:rPr>
      <w:rFonts w:eastAsia="Times New Roman"/>
      <w:lang w:eastAsia="hr-HR"/>
    </w:rPr>
    <w:tblPr>
      <w:tblCellMar>
        <w:top w:w="0" w:type="dxa"/>
        <w:left w:w="0" w:type="dxa"/>
        <w:bottom w:w="0" w:type="dxa"/>
        <w:right w:w="0" w:type="dxa"/>
      </w:tblCellMar>
    </w:tblPr>
  </w:style>
  <w:style w:type="paragraph" w:customStyle="1" w:styleId="bodytext">
    <w:name w:val="bodytext"/>
    <w:basedOn w:val="Normal"/>
    <w:rsid w:val="00D84719"/>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To">
    <w:name w:val="To"/>
    <w:basedOn w:val="Normal"/>
    <w:rsid w:val="00D84719"/>
    <w:pPr>
      <w:spacing w:after="0" w:line="240" w:lineRule="auto"/>
      <w:jc w:val="both"/>
    </w:pPr>
    <w:rPr>
      <w:rFonts w:ascii="Charter_bold" w:eastAsia="Times New Roman" w:hAnsi="Charter_bold" w:cs="Times New Roman"/>
      <w:sz w:val="24"/>
      <w:szCs w:val="20"/>
      <w:lang w:val="en-GB"/>
    </w:rPr>
  </w:style>
  <w:style w:type="table" w:customStyle="1" w:styleId="LightShading-Accent111">
    <w:name w:val="Light Shading - Accent 111"/>
    <w:basedOn w:val="Obinatablica"/>
    <w:uiPriority w:val="60"/>
    <w:rsid w:val="00D84719"/>
    <w:pPr>
      <w:spacing w:after="0" w:line="240" w:lineRule="auto"/>
    </w:pPr>
    <w:rPr>
      <w:rFonts w:eastAsia="Times New Roman"/>
      <w:color w:val="365F91"/>
      <w:lang w:val="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ekst">
    <w:name w:val="tekst"/>
    <w:basedOn w:val="Normal"/>
    <w:rsid w:val="00D84719"/>
    <w:pPr>
      <w:spacing w:after="0" w:line="300" w:lineRule="exact"/>
      <w:ind w:firstLine="720"/>
      <w:jc w:val="both"/>
    </w:pPr>
    <w:rPr>
      <w:rFonts w:ascii="Arial" w:eastAsia="Times New Roman" w:hAnsi="Arial" w:cs="Times New Roman"/>
      <w:noProof/>
      <w:szCs w:val="20"/>
    </w:rPr>
  </w:style>
  <w:style w:type="paragraph" w:customStyle="1" w:styleId="Stil">
    <w:name w:val="Stil"/>
    <w:rsid w:val="00D84719"/>
    <w:pPr>
      <w:widowControl w:val="0"/>
      <w:autoSpaceDE w:val="0"/>
      <w:autoSpaceDN w:val="0"/>
      <w:adjustRightInd w:val="0"/>
      <w:spacing w:after="0" w:line="240" w:lineRule="auto"/>
    </w:pPr>
    <w:rPr>
      <w:rFonts w:ascii="Times New Roman" w:eastAsia="Times New Roman" w:hAnsi="Times New Roman" w:cs="Times New Roman"/>
      <w:sz w:val="24"/>
      <w:szCs w:val="24"/>
      <w:lang w:eastAsia="hr-HR"/>
    </w:rPr>
  </w:style>
  <w:style w:type="character" w:customStyle="1" w:styleId="Nerijeenospominjanje1">
    <w:name w:val="Neriješeno spominjanje1"/>
    <w:basedOn w:val="Zadanifontodlomka"/>
    <w:uiPriority w:val="99"/>
    <w:semiHidden/>
    <w:unhideWhenUsed/>
    <w:rsid w:val="00D84719"/>
    <w:rPr>
      <w:color w:val="808080"/>
      <w:shd w:val="clear" w:color="auto" w:fill="E6E6E6"/>
    </w:rPr>
  </w:style>
  <w:style w:type="character" w:customStyle="1" w:styleId="super">
    <w:name w:val="super"/>
    <w:basedOn w:val="Zadanifontodlomka"/>
    <w:rsid w:val="00D84719"/>
  </w:style>
  <w:style w:type="table" w:customStyle="1" w:styleId="Reetkatablice11">
    <w:name w:val="Rešetka tablice11"/>
    <w:basedOn w:val="Obinatablica"/>
    <w:next w:val="Reetkatablice"/>
    <w:uiPriority w:val="39"/>
    <w:rsid w:val="00D847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Zadanifontodlomka"/>
    <w:uiPriority w:val="99"/>
    <w:semiHidden/>
    <w:unhideWhenUsed/>
    <w:rsid w:val="00D84719"/>
    <w:rPr>
      <w:color w:val="605E5C"/>
      <w:shd w:val="clear" w:color="auto" w:fill="E1DFDD"/>
    </w:rPr>
  </w:style>
  <w:style w:type="paragraph" w:customStyle="1" w:styleId="pt-normal-000006">
    <w:name w:val="pt-normal-000006"/>
    <w:basedOn w:val="Normal"/>
    <w:rsid w:val="00D8471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t-zadanifontodlomka-000014">
    <w:name w:val="pt-zadanifontodlomka-000014"/>
    <w:basedOn w:val="Zadanifontodlomka"/>
    <w:rsid w:val="00D84719"/>
  </w:style>
  <w:style w:type="paragraph" w:customStyle="1" w:styleId="msonormal0">
    <w:name w:val="msonormal"/>
    <w:basedOn w:val="Normal"/>
    <w:rsid w:val="00D8471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erijeenospominjanje2">
    <w:name w:val="Neriješeno spominjanje2"/>
    <w:basedOn w:val="Zadanifontodlomka"/>
    <w:uiPriority w:val="99"/>
    <w:semiHidden/>
    <w:unhideWhenUsed/>
    <w:rsid w:val="00D84719"/>
    <w:rPr>
      <w:color w:val="605E5C"/>
      <w:shd w:val="clear" w:color="auto" w:fill="E1DFDD"/>
    </w:rPr>
  </w:style>
  <w:style w:type="character" w:customStyle="1" w:styleId="bold1">
    <w:name w:val="bold1"/>
    <w:rsid w:val="00D84719"/>
    <w:rPr>
      <w:b/>
    </w:rPr>
  </w:style>
  <w:style w:type="paragraph" w:customStyle="1" w:styleId="Slika">
    <w:name w:val="Slika"/>
    <w:basedOn w:val="Normal"/>
    <w:link w:val="SlikaCharChar"/>
    <w:qFormat/>
    <w:rsid w:val="00D84719"/>
    <w:pPr>
      <w:spacing w:before="60" w:after="0" w:line="240" w:lineRule="auto"/>
      <w:jc w:val="center"/>
    </w:pPr>
    <w:rPr>
      <w:rFonts w:ascii="Arial" w:eastAsia="Times New Roman" w:hAnsi="Arial" w:cs="Times New Roman"/>
      <w:i/>
      <w:noProof/>
      <w:szCs w:val="24"/>
      <w:lang w:eastAsia="hr-HR"/>
    </w:rPr>
  </w:style>
  <w:style w:type="character" w:customStyle="1" w:styleId="SlikaCharChar">
    <w:name w:val="Slika Char Char"/>
    <w:link w:val="Slika"/>
    <w:rsid w:val="00D84719"/>
    <w:rPr>
      <w:rFonts w:ascii="Arial" w:eastAsia="Times New Roman" w:hAnsi="Arial" w:cs="Times New Roman"/>
      <w:i/>
      <w:noProof/>
      <w:szCs w:val="24"/>
      <w:lang w:eastAsia="hr-HR"/>
    </w:rPr>
  </w:style>
  <w:style w:type="character" w:customStyle="1" w:styleId="Nerijeenospominjanje3">
    <w:name w:val="Neriješeno spominjanje3"/>
    <w:basedOn w:val="Zadanifontodlomka"/>
    <w:uiPriority w:val="99"/>
    <w:semiHidden/>
    <w:unhideWhenUsed/>
    <w:rsid w:val="00D84719"/>
    <w:rPr>
      <w:color w:val="605E5C"/>
      <w:shd w:val="clear" w:color="auto" w:fill="E1DFDD"/>
    </w:rPr>
  </w:style>
  <w:style w:type="paragraph" w:customStyle="1" w:styleId="uvlaka-minus">
    <w:name w:val="uvlaka-minus"/>
    <w:basedOn w:val="Normal"/>
    <w:rsid w:val="00D84719"/>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UnresolvedMention2">
    <w:name w:val="Unresolved Mention2"/>
    <w:basedOn w:val="Zadanifontodlomka"/>
    <w:uiPriority w:val="99"/>
    <w:semiHidden/>
    <w:unhideWhenUsed/>
    <w:rsid w:val="00D84719"/>
    <w:rPr>
      <w:color w:val="605E5C"/>
      <w:shd w:val="clear" w:color="auto" w:fill="E1DFDD"/>
    </w:rPr>
  </w:style>
  <w:style w:type="paragraph" w:customStyle="1" w:styleId="Revizija1">
    <w:name w:val="Revizija1"/>
    <w:next w:val="Revizija"/>
    <w:hidden/>
    <w:uiPriority w:val="99"/>
    <w:semiHidden/>
    <w:rsid w:val="00D84719"/>
    <w:pPr>
      <w:spacing w:after="0" w:line="240" w:lineRule="auto"/>
    </w:pPr>
    <w:rPr>
      <w:rFonts w:ascii="Arial" w:eastAsia="Times New Roman" w:hAnsi="Arial" w:cs="Arial"/>
      <w:color w:val="000000"/>
      <w:szCs w:val="24"/>
    </w:rPr>
  </w:style>
  <w:style w:type="character" w:customStyle="1" w:styleId="Nerijeenospominjanje4">
    <w:name w:val="Neriješeno spominjanje4"/>
    <w:basedOn w:val="Zadanifontodlomka"/>
    <w:uiPriority w:val="99"/>
    <w:semiHidden/>
    <w:unhideWhenUsed/>
    <w:rsid w:val="00D84719"/>
    <w:rPr>
      <w:color w:val="605E5C"/>
      <w:shd w:val="clear" w:color="auto" w:fill="E1DFDD"/>
    </w:rPr>
  </w:style>
  <w:style w:type="table" w:customStyle="1" w:styleId="TABLICAHAOP1">
    <w:name w:val="TABLICA_HAOP1"/>
    <w:basedOn w:val="Obinatablica"/>
    <w:uiPriority w:val="39"/>
    <w:rsid w:val="00D84719"/>
    <w:pPr>
      <w:spacing w:after="0" w:line="240" w:lineRule="auto"/>
    </w:pPr>
    <w:rPr>
      <w:rFonts w:ascii="Times New Roman" w:eastAsia="Calibri" w:hAnsi="Times New Roman" w:cs="Times New Roman"/>
      <w:sz w:val="20"/>
      <w:szCs w:val="20"/>
    </w:rPr>
    <w:tblPr>
      <w:tblStyleRowBandSize w:val="1"/>
      <w:tblStyleColBandSize w:val="1"/>
      <w:tblBorders>
        <w:top w:val="single" w:sz="4" w:space="0" w:color="003C71"/>
        <w:left w:val="single" w:sz="4" w:space="0" w:color="003C71"/>
        <w:bottom w:val="single" w:sz="4" w:space="0" w:color="003C71"/>
        <w:right w:val="single" w:sz="4" w:space="0" w:color="003C71"/>
        <w:insideH w:val="single" w:sz="4" w:space="0" w:color="003C71"/>
        <w:insideV w:val="single" w:sz="4" w:space="0" w:color="003C71"/>
      </w:tblBorders>
    </w:tblPr>
    <w:tblStylePr w:type="firstRow">
      <w:pPr>
        <w:jc w:val="center"/>
      </w:pPr>
      <w:rPr>
        <w:rFonts w:ascii="Segoe UI" w:hAnsi="Segoe UI"/>
        <w:sz w:val="18"/>
      </w:rPr>
      <w:tblPr/>
      <w:tcPr>
        <w:tcBorders>
          <w:insideV w:val="single" w:sz="4" w:space="0" w:color="FFFFFF"/>
        </w:tcBorders>
        <w:shd w:val="clear" w:color="auto" w:fill="003C71"/>
        <w:vAlign w:val="center"/>
      </w:tcPr>
    </w:tblStylePr>
    <w:tblStylePr w:type="lastRow">
      <w:rPr>
        <w:b w:val="0"/>
      </w:rPr>
    </w:tblStylePr>
    <w:tblStylePr w:type="firstCol">
      <w:rPr>
        <w:rFonts w:ascii="Segoe UI" w:hAnsi="Segoe UI"/>
        <w:sz w:val="18"/>
      </w:rPr>
    </w:tblStylePr>
    <w:tblStylePr w:type="band1Horz">
      <w:tblPr/>
      <w:tcPr>
        <w:shd w:val="clear" w:color="auto" w:fill="D9E2F3"/>
      </w:tcPr>
    </w:tblStylePr>
  </w:style>
  <w:style w:type="character" w:customStyle="1" w:styleId="UnresolvedMention">
    <w:name w:val="Unresolved Mention"/>
    <w:basedOn w:val="Zadanifontodlomka"/>
    <w:uiPriority w:val="99"/>
    <w:semiHidden/>
    <w:unhideWhenUsed/>
    <w:rsid w:val="00D84719"/>
    <w:rPr>
      <w:color w:val="605E5C"/>
      <w:shd w:val="clear" w:color="auto" w:fill="E1DFDD"/>
    </w:rPr>
  </w:style>
  <w:style w:type="character" w:customStyle="1" w:styleId="Naslov1Char1">
    <w:name w:val="Naslov 1 Char1"/>
    <w:basedOn w:val="Zadanifontodlomka"/>
    <w:uiPriority w:val="9"/>
    <w:rsid w:val="00D84719"/>
    <w:rPr>
      <w:rFonts w:asciiTheme="majorHAnsi" w:eastAsiaTheme="majorEastAsia" w:hAnsiTheme="majorHAnsi" w:cstheme="majorBidi"/>
      <w:color w:val="2E74B5" w:themeColor="accent1" w:themeShade="BF"/>
      <w:sz w:val="32"/>
      <w:szCs w:val="32"/>
    </w:rPr>
  </w:style>
  <w:style w:type="character" w:customStyle="1" w:styleId="Naslov2Char1">
    <w:name w:val="Naslov 2 Char1"/>
    <w:basedOn w:val="Zadanifontodlomka"/>
    <w:uiPriority w:val="9"/>
    <w:semiHidden/>
    <w:rsid w:val="00D84719"/>
    <w:rPr>
      <w:rFonts w:asciiTheme="majorHAnsi" w:eastAsiaTheme="majorEastAsia" w:hAnsiTheme="majorHAnsi" w:cstheme="majorBidi"/>
      <w:color w:val="2E74B5" w:themeColor="accent1" w:themeShade="BF"/>
      <w:sz w:val="26"/>
      <w:szCs w:val="26"/>
    </w:rPr>
  </w:style>
  <w:style w:type="character" w:customStyle="1" w:styleId="Naslov4Char1">
    <w:name w:val="Naslov 4 Char1"/>
    <w:basedOn w:val="Zadanifontodlomka"/>
    <w:uiPriority w:val="9"/>
    <w:semiHidden/>
    <w:rsid w:val="00D84719"/>
    <w:rPr>
      <w:rFonts w:asciiTheme="majorHAnsi" w:eastAsiaTheme="majorEastAsia" w:hAnsiTheme="majorHAnsi" w:cstheme="majorBidi"/>
      <w:i/>
      <w:iCs/>
      <w:color w:val="2E74B5" w:themeColor="accent1" w:themeShade="BF"/>
    </w:rPr>
  </w:style>
  <w:style w:type="character" w:customStyle="1" w:styleId="Naslov5Char1">
    <w:name w:val="Naslov 5 Char1"/>
    <w:basedOn w:val="Zadanifontodlomka"/>
    <w:uiPriority w:val="9"/>
    <w:semiHidden/>
    <w:rsid w:val="00D84719"/>
    <w:rPr>
      <w:rFonts w:asciiTheme="majorHAnsi" w:eastAsiaTheme="majorEastAsia" w:hAnsiTheme="majorHAnsi" w:cstheme="majorBidi"/>
      <w:color w:val="2E74B5" w:themeColor="accent1" w:themeShade="BF"/>
    </w:rPr>
  </w:style>
  <w:style w:type="character" w:customStyle="1" w:styleId="Naslov6Char1">
    <w:name w:val="Naslov 6 Char1"/>
    <w:basedOn w:val="Zadanifontodlomka"/>
    <w:uiPriority w:val="9"/>
    <w:semiHidden/>
    <w:rsid w:val="00D84719"/>
    <w:rPr>
      <w:rFonts w:asciiTheme="majorHAnsi" w:eastAsiaTheme="majorEastAsia" w:hAnsiTheme="majorHAnsi" w:cstheme="majorBidi"/>
      <w:color w:val="1F4D78" w:themeColor="accent1" w:themeShade="7F"/>
    </w:rPr>
  </w:style>
  <w:style w:type="character" w:customStyle="1" w:styleId="Naslov7Char1">
    <w:name w:val="Naslov 7 Char1"/>
    <w:basedOn w:val="Zadanifontodlomka"/>
    <w:uiPriority w:val="9"/>
    <w:semiHidden/>
    <w:rsid w:val="00D84719"/>
    <w:rPr>
      <w:rFonts w:asciiTheme="majorHAnsi" w:eastAsiaTheme="majorEastAsia" w:hAnsiTheme="majorHAnsi" w:cstheme="majorBidi"/>
      <w:i/>
      <w:iCs/>
      <w:color w:val="1F4D78" w:themeColor="accent1" w:themeShade="7F"/>
    </w:rPr>
  </w:style>
  <w:style w:type="character" w:customStyle="1" w:styleId="Naslov8Char1">
    <w:name w:val="Naslov 8 Char1"/>
    <w:basedOn w:val="Zadanifontodlomka"/>
    <w:uiPriority w:val="9"/>
    <w:semiHidden/>
    <w:rsid w:val="00D84719"/>
    <w:rPr>
      <w:rFonts w:asciiTheme="majorHAnsi" w:eastAsiaTheme="majorEastAsia" w:hAnsiTheme="majorHAnsi" w:cstheme="majorBidi"/>
      <w:color w:val="272727" w:themeColor="text1" w:themeTint="D8"/>
      <w:sz w:val="21"/>
      <w:szCs w:val="21"/>
    </w:rPr>
  </w:style>
  <w:style w:type="character" w:customStyle="1" w:styleId="Naslov9Char1">
    <w:name w:val="Naslov 9 Char1"/>
    <w:basedOn w:val="Zadanifontodlomka"/>
    <w:uiPriority w:val="9"/>
    <w:semiHidden/>
    <w:rsid w:val="00D84719"/>
    <w:rPr>
      <w:rFonts w:asciiTheme="majorHAnsi" w:eastAsiaTheme="majorEastAsia" w:hAnsiTheme="majorHAnsi" w:cstheme="majorBidi"/>
      <w:i/>
      <w:iCs/>
      <w:color w:val="272727" w:themeColor="text1" w:themeTint="D8"/>
      <w:sz w:val="21"/>
      <w:szCs w:val="21"/>
    </w:rPr>
  </w:style>
  <w:style w:type="paragraph" w:styleId="Zaglavlje">
    <w:name w:val="header"/>
    <w:basedOn w:val="Normal"/>
    <w:link w:val="ZaglavljeChar1"/>
    <w:uiPriority w:val="99"/>
    <w:unhideWhenUsed/>
    <w:rsid w:val="00D84719"/>
    <w:pPr>
      <w:tabs>
        <w:tab w:val="center" w:pos="4536"/>
        <w:tab w:val="right" w:pos="9072"/>
      </w:tabs>
      <w:spacing w:after="0" w:line="240" w:lineRule="auto"/>
    </w:pPr>
  </w:style>
  <w:style w:type="character" w:customStyle="1" w:styleId="ZaglavljeChar1">
    <w:name w:val="Zaglavlje Char1"/>
    <w:basedOn w:val="Zadanifontodlomka"/>
    <w:link w:val="Zaglavlje"/>
    <w:uiPriority w:val="99"/>
    <w:rsid w:val="00D84719"/>
  </w:style>
  <w:style w:type="paragraph" w:styleId="Odlomakpopisa">
    <w:name w:val="List Paragraph"/>
    <w:basedOn w:val="Normal"/>
    <w:uiPriority w:val="34"/>
    <w:qFormat/>
    <w:rsid w:val="00D84719"/>
    <w:pPr>
      <w:ind w:left="720"/>
      <w:contextualSpacing/>
    </w:pPr>
  </w:style>
  <w:style w:type="table" w:styleId="Reetkatablice">
    <w:name w:val="Table Grid"/>
    <w:basedOn w:val="Obinatablica"/>
    <w:uiPriority w:val="39"/>
    <w:rsid w:val="00D847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ijeenaHiperveza">
    <w:name w:val="FollowedHyperlink"/>
    <w:basedOn w:val="Zadanifontodlomka"/>
    <w:uiPriority w:val="99"/>
    <w:semiHidden/>
    <w:unhideWhenUsed/>
    <w:rsid w:val="00D84719"/>
    <w:rPr>
      <w:color w:val="954F72" w:themeColor="followedHyperlink"/>
      <w:u w:val="single"/>
    </w:rPr>
  </w:style>
  <w:style w:type="paragraph" w:styleId="Citat">
    <w:name w:val="Quote"/>
    <w:basedOn w:val="Normal"/>
    <w:next w:val="Normal"/>
    <w:link w:val="CitatChar"/>
    <w:qFormat/>
    <w:rsid w:val="00D84719"/>
    <w:pPr>
      <w:spacing w:before="200"/>
      <w:ind w:left="864" w:right="864"/>
      <w:jc w:val="center"/>
    </w:pPr>
    <w:rPr>
      <w:rFonts w:ascii="Adviso OTF Std" w:eastAsia="Times New Roman" w:hAnsi="Adviso OTF Std" w:cs="Times New Roman"/>
      <w:i/>
      <w:iCs/>
      <w:color w:val="404040"/>
      <w:sz w:val="24"/>
      <w:szCs w:val="24"/>
    </w:rPr>
  </w:style>
  <w:style w:type="character" w:customStyle="1" w:styleId="CitatChar1">
    <w:name w:val="Citat Char1"/>
    <w:basedOn w:val="Zadanifontodlomka"/>
    <w:uiPriority w:val="29"/>
    <w:rsid w:val="00D84719"/>
    <w:rPr>
      <w:i/>
      <w:iCs/>
      <w:color w:val="404040" w:themeColor="text1" w:themeTint="BF"/>
    </w:rPr>
  </w:style>
  <w:style w:type="paragraph" w:styleId="Podnaslov">
    <w:name w:val="Subtitle"/>
    <w:basedOn w:val="Normal"/>
    <w:next w:val="Normal"/>
    <w:link w:val="PodnaslovChar"/>
    <w:qFormat/>
    <w:rsid w:val="00910A77"/>
    <w:pPr>
      <w:numPr>
        <w:ilvl w:val="1"/>
      </w:numPr>
    </w:pPr>
    <w:rPr>
      <w:rFonts w:ascii="Adviso OTF Std" w:eastAsia="Times New Roman" w:hAnsi="Adviso OTF Std"/>
      <w:color w:val="000000" w:themeColor="text1"/>
      <w:spacing w:val="15"/>
    </w:rPr>
  </w:style>
  <w:style w:type="character" w:customStyle="1" w:styleId="PodnaslovChar1">
    <w:name w:val="Podnaslov Char1"/>
    <w:basedOn w:val="Zadanifontodlomka"/>
    <w:uiPriority w:val="11"/>
    <w:rsid w:val="00D84719"/>
    <w:rPr>
      <w:rFonts w:eastAsiaTheme="minorEastAsia"/>
      <w:color w:val="5A5A5A" w:themeColor="text1" w:themeTint="A5"/>
      <w:spacing w:val="15"/>
    </w:rPr>
  </w:style>
  <w:style w:type="character" w:styleId="Neupadljivoisticanje">
    <w:name w:val="Subtle Emphasis"/>
    <w:basedOn w:val="Zadanifontodlomka"/>
    <w:uiPriority w:val="19"/>
    <w:qFormat/>
    <w:rsid w:val="00D84719"/>
    <w:rPr>
      <w:i/>
      <w:iCs/>
      <w:color w:val="404040" w:themeColor="text1" w:themeTint="BF"/>
    </w:rPr>
  </w:style>
  <w:style w:type="character" w:styleId="Neupadljivareferenca">
    <w:name w:val="Subtle Reference"/>
    <w:basedOn w:val="Zadanifontodlomka"/>
    <w:uiPriority w:val="31"/>
    <w:qFormat/>
    <w:rsid w:val="00D84719"/>
    <w:rPr>
      <w:smallCaps/>
      <w:color w:val="5A5A5A" w:themeColor="text1" w:themeTint="A5"/>
    </w:rPr>
  </w:style>
  <w:style w:type="paragraph" w:styleId="Naslov">
    <w:name w:val="Title"/>
    <w:basedOn w:val="Normal"/>
    <w:next w:val="Normal"/>
    <w:link w:val="NaslovChar"/>
    <w:qFormat/>
    <w:rsid w:val="00D84719"/>
    <w:pPr>
      <w:spacing w:after="0" w:line="240" w:lineRule="auto"/>
      <w:contextualSpacing/>
    </w:pPr>
    <w:rPr>
      <w:rFonts w:ascii="Adviso OTF Std" w:eastAsia="Times New Roman" w:hAnsi="Adviso OTF Std" w:cs="Times New Roman"/>
      <w:spacing w:val="-10"/>
      <w:kern w:val="28"/>
      <w:sz w:val="56"/>
      <w:szCs w:val="56"/>
    </w:rPr>
  </w:style>
  <w:style w:type="character" w:customStyle="1" w:styleId="NaslovChar1">
    <w:name w:val="Naslov Char1"/>
    <w:basedOn w:val="Zadanifontodlomka"/>
    <w:uiPriority w:val="10"/>
    <w:rsid w:val="00D84719"/>
    <w:rPr>
      <w:rFonts w:asciiTheme="majorHAnsi" w:eastAsiaTheme="majorEastAsia" w:hAnsiTheme="majorHAnsi" w:cstheme="majorBidi"/>
      <w:spacing w:val="-10"/>
      <w:kern w:val="28"/>
      <w:sz w:val="56"/>
      <w:szCs w:val="56"/>
    </w:rPr>
  </w:style>
  <w:style w:type="paragraph" w:styleId="Revizija">
    <w:name w:val="Revision"/>
    <w:hidden/>
    <w:uiPriority w:val="99"/>
    <w:semiHidden/>
    <w:rsid w:val="00D8471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0087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ippcb.jrc.ec.europa.eu/reference/" TargetMode="Externa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5.wmf"/><Relationship Id="rId21" Type="http://schemas.openxmlformats.org/officeDocument/2006/relationships/image" Target="media/image8.png"/><Relationship Id="rId34" Type="http://schemas.openxmlformats.org/officeDocument/2006/relationships/image" Target="media/image20.wmf"/><Relationship Id="rId42" Type="http://schemas.openxmlformats.org/officeDocument/2006/relationships/image" Target="media/image28.wmf"/><Relationship Id="rId47" Type="http://schemas.openxmlformats.org/officeDocument/2006/relationships/hyperlink" Target="https://www.hzjz.hr/medunarodna-istrazivanja/europska-inicijativa-za-humani-biomonitoring-hbm4eu/" TargetMode="Externa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5.png"/><Relationship Id="rId11" Type="http://schemas.openxmlformats.org/officeDocument/2006/relationships/hyperlink" Target="https://narodne-novine.nn.hr/clanci/sluzbeni/2020_03_25_602.html" TargetMode="External"/><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image" Target="media/image23.wmf"/><Relationship Id="rId40" Type="http://schemas.openxmlformats.org/officeDocument/2006/relationships/image" Target="media/image26.wmf"/><Relationship Id="rId45" Type="http://schemas.openxmlformats.org/officeDocument/2006/relationships/hyperlink" Target="http://www.haop.hr/hr/tematska-podrucja/zrak-klima-tlo/zrak/izvjesca"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chart" Target="charts/chart1.xml"/><Relationship Id="rId28" Type="http://schemas.openxmlformats.org/officeDocument/2006/relationships/image" Target="media/image14.png"/><Relationship Id="rId36" Type="http://schemas.openxmlformats.org/officeDocument/2006/relationships/image" Target="media/image22.wmf"/><Relationship Id="rId49" Type="http://schemas.openxmlformats.org/officeDocument/2006/relationships/hyperlink" Target="http://chm.pops.int/Implementation/GlobalMonitoringPlan/MonitoringReports/tabid/525/Default.aspx" TargetMode="Externa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image" Target="media/image30.w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echa.europa.eu/hr/scip" TargetMode="Externa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wmf"/><Relationship Id="rId43" Type="http://schemas.openxmlformats.org/officeDocument/2006/relationships/image" Target="media/image29.wmf"/><Relationship Id="rId48" Type="http://schemas.openxmlformats.org/officeDocument/2006/relationships/hyperlink" Target="https://www.hbm4eu.eu/" TargetMode="External"/><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hyperlink" Target="http://www.haop.hr/hr/tematska-podrucja/otpad-registri-oneciscavanja-i-ostali-sektorski-pritisci/gospodarenje-otpadom-0" TargetMode="External"/><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image" Target="media/image24.wmf"/><Relationship Id="rId46" Type="http://schemas.openxmlformats.org/officeDocument/2006/relationships/hyperlink" Target="https://mingor.gov.hr/o-ministarstvu-1065/djelokrug-4925/medjunarodna-suradnja/multilateralni-medjunarodni-sporazumi-1138/1138" TargetMode="External"/><Relationship Id="rId20" Type="http://schemas.openxmlformats.org/officeDocument/2006/relationships/image" Target="media/image7.png"/><Relationship Id="rId41" Type="http://schemas.openxmlformats.org/officeDocument/2006/relationships/image" Target="media/image27.wmf"/><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roo.azo.hr/"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korisnik\Desktop\NIP\MZOE\MZOE\MZOIP%20INVENTAR%20POPS\IZVJHES&#780;TAJ%20DODATAK%20C\POGLAVLJA\rezultatigrafovi%20HRV.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342398546335552"/>
          <c:y val="0.13209741187414864"/>
          <c:w val="0.85862729658792647"/>
          <c:h val="0.61498432487605714"/>
        </c:manualLayout>
      </c:layout>
      <c:lineChart>
        <c:grouping val="standard"/>
        <c:varyColors val="0"/>
        <c:ser>
          <c:idx val="0"/>
          <c:order val="0"/>
          <c:tx>
            <c:strRef>
              <c:f>Sheet2!$B$2</c:f>
              <c:strCache>
                <c:ptCount val="1"/>
                <c:pt idx="0">
                  <c:v>Zrak</c:v>
                </c:pt>
              </c:strCache>
            </c:strRef>
          </c:tx>
          <c:spPr>
            <a:ln w="28575" cap="rnd">
              <a:solidFill>
                <a:schemeClr val="accent1"/>
              </a:solidFill>
              <a:round/>
            </a:ln>
            <a:effectLst/>
          </c:spPr>
          <c:marker>
            <c:symbol val="none"/>
          </c:marker>
          <c:cat>
            <c:strRef>
              <c:f>Sheet2!$A$3:$A$9</c:f>
              <c:strCache>
                <c:ptCount val="7"/>
                <c:pt idx="0">
                  <c:v>2001.</c:v>
                </c:pt>
                <c:pt idx="1">
                  <c:v>2007.</c:v>
                </c:pt>
                <c:pt idx="2">
                  <c:v>2009.</c:v>
                </c:pt>
                <c:pt idx="3">
                  <c:v>2011.</c:v>
                </c:pt>
                <c:pt idx="4">
                  <c:v>2013.</c:v>
                </c:pt>
                <c:pt idx="5">
                  <c:v>2015.</c:v>
                </c:pt>
                <c:pt idx="6">
                  <c:v>2017.</c:v>
                </c:pt>
              </c:strCache>
            </c:strRef>
          </c:cat>
          <c:val>
            <c:numRef>
              <c:f>Sheet2!$B$3:$B$9</c:f>
              <c:numCache>
                <c:formatCode>0.00</c:formatCode>
                <c:ptCount val="7"/>
                <c:pt idx="0">
                  <c:v>117.11593320299998</c:v>
                </c:pt>
                <c:pt idx="1">
                  <c:v>14.747302602</c:v>
                </c:pt>
                <c:pt idx="2">
                  <c:v>15.565947642000001</c:v>
                </c:pt>
                <c:pt idx="3">
                  <c:v>20.469874851049997</c:v>
                </c:pt>
                <c:pt idx="4">
                  <c:v>20.522362423549996</c:v>
                </c:pt>
                <c:pt idx="5">
                  <c:v>21.337</c:v>
                </c:pt>
                <c:pt idx="6">
                  <c:v>22.449000000000002</c:v>
                </c:pt>
              </c:numCache>
            </c:numRef>
          </c:val>
          <c:smooth val="0"/>
          <c:extLst>
            <c:ext xmlns:c16="http://schemas.microsoft.com/office/drawing/2014/chart" uri="{C3380CC4-5D6E-409C-BE32-E72D297353CC}">
              <c16:uniqueId val="{00000000-A96A-4D46-9E19-BDEDA031B84B}"/>
            </c:ext>
          </c:extLst>
        </c:ser>
        <c:ser>
          <c:idx val="1"/>
          <c:order val="1"/>
          <c:tx>
            <c:strRef>
              <c:f>Sheet2!$C$2</c:f>
              <c:strCache>
                <c:ptCount val="1"/>
                <c:pt idx="0">
                  <c:v>Voda</c:v>
                </c:pt>
              </c:strCache>
            </c:strRef>
          </c:tx>
          <c:spPr>
            <a:ln w="28575" cap="rnd">
              <a:solidFill>
                <a:schemeClr val="accent2"/>
              </a:solidFill>
              <a:round/>
            </a:ln>
            <a:effectLst/>
          </c:spPr>
          <c:marker>
            <c:symbol val="none"/>
          </c:marker>
          <c:cat>
            <c:strRef>
              <c:f>Sheet2!$A$3:$A$9</c:f>
              <c:strCache>
                <c:ptCount val="7"/>
                <c:pt idx="0">
                  <c:v>2001.</c:v>
                </c:pt>
                <c:pt idx="1">
                  <c:v>2007.</c:v>
                </c:pt>
                <c:pt idx="2">
                  <c:v>2009.</c:v>
                </c:pt>
                <c:pt idx="3">
                  <c:v>2011.</c:v>
                </c:pt>
                <c:pt idx="4">
                  <c:v>2013.</c:v>
                </c:pt>
                <c:pt idx="5">
                  <c:v>2015.</c:v>
                </c:pt>
                <c:pt idx="6">
                  <c:v>2017.</c:v>
                </c:pt>
              </c:strCache>
            </c:strRef>
          </c:cat>
          <c:val>
            <c:numRef>
              <c:f>Sheet2!$C$3:$C$9</c:f>
              <c:numCache>
                <c:formatCode>0.00</c:formatCode>
                <c:ptCount val="7"/>
                <c:pt idx="0" formatCode="0.000">
                  <c:v>8.9999999999999993E-3</c:v>
                </c:pt>
                <c:pt idx="1">
                  <c:v>0.20709420000000001</c:v>
                </c:pt>
                <c:pt idx="2">
                  <c:v>0.31434991000000001</c:v>
                </c:pt>
                <c:pt idx="3">
                  <c:v>0.29731439000000004</c:v>
                </c:pt>
                <c:pt idx="4">
                  <c:v>0.373</c:v>
                </c:pt>
                <c:pt idx="5">
                  <c:v>0.373</c:v>
                </c:pt>
                <c:pt idx="6">
                  <c:v>0.373</c:v>
                </c:pt>
              </c:numCache>
            </c:numRef>
          </c:val>
          <c:smooth val="0"/>
          <c:extLst>
            <c:ext xmlns:c16="http://schemas.microsoft.com/office/drawing/2014/chart" uri="{C3380CC4-5D6E-409C-BE32-E72D297353CC}">
              <c16:uniqueId val="{00000001-A96A-4D46-9E19-BDEDA031B84B}"/>
            </c:ext>
          </c:extLst>
        </c:ser>
        <c:ser>
          <c:idx val="2"/>
          <c:order val="2"/>
          <c:tx>
            <c:strRef>
              <c:f>Sheet2!$D$2</c:f>
              <c:strCache>
                <c:ptCount val="1"/>
                <c:pt idx="0">
                  <c:v>Tlo</c:v>
                </c:pt>
              </c:strCache>
            </c:strRef>
          </c:tx>
          <c:spPr>
            <a:ln w="28575" cap="rnd">
              <a:solidFill>
                <a:schemeClr val="accent3"/>
              </a:solidFill>
              <a:round/>
            </a:ln>
            <a:effectLst/>
          </c:spPr>
          <c:marker>
            <c:symbol val="none"/>
          </c:marker>
          <c:cat>
            <c:strRef>
              <c:f>Sheet2!$A$3:$A$9</c:f>
              <c:strCache>
                <c:ptCount val="7"/>
                <c:pt idx="0">
                  <c:v>2001.</c:v>
                </c:pt>
                <c:pt idx="1">
                  <c:v>2007.</c:v>
                </c:pt>
                <c:pt idx="2">
                  <c:v>2009.</c:v>
                </c:pt>
                <c:pt idx="3">
                  <c:v>2011.</c:v>
                </c:pt>
                <c:pt idx="4">
                  <c:v>2013.</c:v>
                </c:pt>
                <c:pt idx="5">
                  <c:v>2015.</c:v>
                </c:pt>
                <c:pt idx="6">
                  <c:v>2017.</c:v>
                </c:pt>
              </c:strCache>
            </c:strRef>
          </c:cat>
          <c:val>
            <c:numRef>
              <c:f>Sheet2!$D$3:$D$9</c:f>
              <c:numCache>
                <c:formatCode>0.00</c:formatCode>
                <c:ptCount val="7"/>
                <c:pt idx="0">
                  <c:v>0.189</c:v>
                </c:pt>
                <c:pt idx="1">
                  <c:v>1.8942000000000001E-2</c:v>
                </c:pt>
                <c:pt idx="2">
                  <c:v>4.1834999999999997E-3</c:v>
                </c:pt>
                <c:pt idx="3">
                  <c:v>4.9154999999999997E-3</c:v>
                </c:pt>
                <c:pt idx="4">
                  <c:v>0.03</c:v>
                </c:pt>
                <c:pt idx="5">
                  <c:v>3.0000000000000001E-3</c:v>
                </c:pt>
                <c:pt idx="6">
                  <c:v>4.0000000000000001E-3</c:v>
                </c:pt>
              </c:numCache>
            </c:numRef>
          </c:val>
          <c:smooth val="0"/>
          <c:extLst>
            <c:ext xmlns:c16="http://schemas.microsoft.com/office/drawing/2014/chart" uri="{C3380CC4-5D6E-409C-BE32-E72D297353CC}">
              <c16:uniqueId val="{00000002-A96A-4D46-9E19-BDEDA031B84B}"/>
            </c:ext>
          </c:extLst>
        </c:ser>
        <c:ser>
          <c:idx val="3"/>
          <c:order val="3"/>
          <c:tx>
            <c:strRef>
              <c:f>Sheet2!$E$2</c:f>
              <c:strCache>
                <c:ptCount val="1"/>
                <c:pt idx="0">
                  <c:v>Proizvod</c:v>
                </c:pt>
              </c:strCache>
            </c:strRef>
          </c:tx>
          <c:spPr>
            <a:ln w="28575" cap="rnd">
              <a:solidFill>
                <a:schemeClr val="accent4"/>
              </a:solidFill>
              <a:round/>
            </a:ln>
            <a:effectLst/>
          </c:spPr>
          <c:marker>
            <c:symbol val="none"/>
          </c:marker>
          <c:cat>
            <c:strRef>
              <c:f>Sheet2!$A$3:$A$9</c:f>
              <c:strCache>
                <c:ptCount val="7"/>
                <c:pt idx="0">
                  <c:v>2001.</c:v>
                </c:pt>
                <c:pt idx="1">
                  <c:v>2007.</c:v>
                </c:pt>
                <c:pt idx="2">
                  <c:v>2009.</c:v>
                </c:pt>
                <c:pt idx="3">
                  <c:v>2011.</c:v>
                </c:pt>
                <c:pt idx="4">
                  <c:v>2013.</c:v>
                </c:pt>
                <c:pt idx="5">
                  <c:v>2015.</c:v>
                </c:pt>
                <c:pt idx="6">
                  <c:v>2017.</c:v>
                </c:pt>
              </c:strCache>
            </c:strRef>
          </c:cat>
          <c:val>
            <c:numRef>
              <c:f>Sheet2!$E$3:$E$9</c:f>
              <c:numCache>
                <c:formatCode>0.00</c:formatCode>
                <c:ptCount val="7"/>
                <c:pt idx="0">
                  <c:v>8.9999999999999993E-3</c:v>
                </c:pt>
                <c:pt idx="1">
                  <c:v>0.1032604</c:v>
                </c:pt>
                <c:pt idx="2">
                  <c:v>0.91409424599999989</c:v>
                </c:pt>
                <c:pt idx="3">
                  <c:v>0.88754868239999996</c:v>
                </c:pt>
                <c:pt idx="4">
                  <c:v>0.78084907000000003</c:v>
                </c:pt>
                <c:pt idx="5">
                  <c:v>0.77100000000000002</c:v>
                </c:pt>
                <c:pt idx="6">
                  <c:v>0.83499999999999996</c:v>
                </c:pt>
              </c:numCache>
            </c:numRef>
          </c:val>
          <c:smooth val="0"/>
          <c:extLst>
            <c:ext xmlns:c16="http://schemas.microsoft.com/office/drawing/2014/chart" uri="{C3380CC4-5D6E-409C-BE32-E72D297353CC}">
              <c16:uniqueId val="{00000003-A96A-4D46-9E19-BDEDA031B84B}"/>
            </c:ext>
          </c:extLst>
        </c:ser>
        <c:ser>
          <c:idx val="4"/>
          <c:order val="4"/>
          <c:tx>
            <c:strRef>
              <c:f>Sheet2!$F$2</c:f>
              <c:strCache>
                <c:ptCount val="1"/>
                <c:pt idx="0">
                  <c:v>Ostatak</c:v>
                </c:pt>
              </c:strCache>
            </c:strRef>
          </c:tx>
          <c:spPr>
            <a:ln w="28575" cap="rnd">
              <a:solidFill>
                <a:schemeClr val="accent5"/>
              </a:solidFill>
              <a:round/>
            </a:ln>
            <a:effectLst/>
          </c:spPr>
          <c:marker>
            <c:symbol val="none"/>
          </c:marker>
          <c:cat>
            <c:strRef>
              <c:f>Sheet2!$A$3:$A$9</c:f>
              <c:strCache>
                <c:ptCount val="7"/>
                <c:pt idx="0">
                  <c:v>2001.</c:v>
                </c:pt>
                <c:pt idx="1">
                  <c:v>2007.</c:v>
                </c:pt>
                <c:pt idx="2">
                  <c:v>2009.</c:v>
                </c:pt>
                <c:pt idx="3">
                  <c:v>2011.</c:v>
                </c:pt>
                <c:pt idx="4">
                  <c:v>2013.</c:v>
                </c:pt>
                <c:pt idx="5">
                  <c:v>2015.</c:v>
                </c:pt>
                <c:pt idx="6">
                  <c:v>2017.</c:v>
                </c:pt>
              </c:strCache>
            </c:strRef>
          </c:cat>
          <c:val>
            <c:numRef>
              <c:f>Sheet2!$F$3:$F$9</c:f>
              <c:numCache>
                <c:formatCode>0.00</c:formatCode>
                <c:ptCount val="7"/>
                <c:pt idx="0">
                  <c:v>1.774</c:v>
                </c:pt>
                <c:pt idx="1">
                  <c:v>8.4131383</c:v>
                </c:pt>
                <c:pt idx="2">
                  <c:v>9.1305067819999994</c:v>
                </c:pt>
                <c:pt idx="3">
                  <c:v>8.3470174608000001</c:v>
                </c:pt>
                <c:pt idx="4">
                  <c:v>7.89</c:v>
                </c:pt>
                <c:pt idx="5">
                  <c:v>7.91</c:v>
                </c:pt>
                <c:pt idx="6">
                  <c:v>7.9290000000000003</c:v>
                </c:pt>
              </c:numCache>
            </c:numRef>
          </c:val>
          <c:smooth val="0"/>
          <c:extLst>
            <c:ext xmlns:c16="http://schemas.microsoft.com/office/drawing/2014/chart" uri="{C3380CC4-5D6E-409C-BE32-E72D297353CC}">
              <c16:uniqueId val="{00000004-A96A-4D46-9E19-BDEDA031B84B}"/>
            </c:ext>
          </c:extLst>
        </c:ser>
        <c:ser>
          <c:idx val="5"/>
          <c:order val="5"/>
          <c:tx>
            <c:strRef>
              <c:f>Sheet2!$G$2</c:f>
              <c:strCache>
                <c:ptCount val="1"/>
                <c:pt idx="0">
                  <c:v>SVEUKUPNO</c:v>
                </c:pt>
              </c:strCache>
            </c:strRef>
          </c:tx>
          <c:spPr>
            <a:ln w="28575" cap="rnd">
              <a:solidFill>
                <a:schemeClr val="accent6"/>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Sheet2!$A$3:$A$9</c:f>
              <c:strCache>
                <c:ptCount val="7"/>
                <c:pt idx="0">
                  <c:v>2001.</c:v>
                </c:pt>
                <c:pt idx="1">
                  <c:v>2007.</c:v>
                </c:pt>
                <c:pt idx="2">
                  <c:v>2009.</c:v>
                </c:pt>
                <c:pt idx="3">
                  <c:v>2011.</c:v>
                </c:pt>
                <c:pt idx="4">
                  <c:v>2013.</c:v>
                </c:pt>
                <c:pt idx="5">
                  <c:v>2015.</c:v>
                </c:pt>
                <c:pt idx="6">
                  <c:v>2017.</c:v>
                </c:pt>
              </c:strCache>
            </c:strRef>
          </c:cat>
          <c:val>
            <c:numRef>
              <c:f>Sheet2!$G$3:$G$9</c:f>
              <c:numCache>
                <c:formatCode>0.00</c:formatCode>
                <c:ptCount val="7"/>
                <c:pt idx="0">
                  <c:v>152</c:v>
                </c:pt>
                <c:pt idx="1">
                  <c:v>23.489737501999997</c:v>
                </c:pt>
                <c:pt idx="2">
                  <c:v>25.929082080000001</c:v>
                </c:pt>
                <c:pt idx="3">
                  <c:v>30.006670884249996</c:v>
                </c:pt>
                <c:pt idx="4">
                  <c:v>29.596211493549998</c:v>
                </c:pt>
                <c:pt idx="5">
                  <c:v>30.4</c:v>
                </c:pt>
                <c:pt idx="6">
                  <c:v>31.6</c:v>
                </c:pt>
              </c:numCache>
            </c:numRef>
          </c:val>
          <c:smooth val="0"/>
          <c:extLst>
            <c:ext xmlns:c16="http://schemas.microsoft.com/office/drawing/2014/chart" uri="{C3380CC4-5D6E-409C-BE32-E72D297353CC}">
              <c16:uniqueId val="{00000005-A96A-4D46-9E19-BDEDA031B84B}"/>
            </c:ext>
          </c:extLst>
        </c:ser>
        <c:dLbls>
          <c:showLegendKey val="0"/>
          <c:showVal val="0"/>
          <c:showCatName val="0"/>
          <c:showSerName val="0"/>
          <c:showPercent val="0"/>
          <c:showBubbleSize val="0"/>
        </c:dLbls>
        <c:smooth val="0"/>
        <c:axId val="670639480"/>
        <c:axId val="670638304"/>
      </c:lineChart>
      <c:catAx>
        <c:axId val="670639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70638304"/>
        <c:crosses val="autoZero"/>
        <c:auto val="1"/>
        <c:lblAlgn val="ctr"/>
        <c:lblOffset val="100"/>
        <c:noMultiLvlLbl val="0"/>
      </c:catAx>
      <c:valAx>
        <c:axId val="670638304"/>
        <c:scaling>
          <c:orientation val="minMax"/>
        </c:scaling>
        <c:delete val="0"/>
        <c:axPos val="l"/>
        <c:majorGridlines>
          <c:spPr>
            <a:ln w="9525" cap="rnd" cmpd="sng" algn="ctr">
              <a:solidFill>
                <a:schemeClr val="bg1">
                  <a:lumMod val="85000"/>
                </a:schemeClr>
              </a:solidFill>
              <a:round/>
              <a:headEnd type="oval"/>
              <a:tailEnd type="oval"/>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g TEQ/god</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70639480"/>
        <c:crosses val="autoZero"/>
        <c:crossBetween val="between"/>
      </c:valAx>
      <c:spPr>
        <a:noFill/>
        <a:ln w="6350" cap="rnd">
          <a:solidFill>
            <a:schemeClr val="bg1">
              <a:lumMod val="85000"/>
              <a:alpha val="9000"/>
            </a:schemeClr>
          </a:solidFill>
        </a:ln>
        <a:effectLst/>
      </c:spPr>
    </c:plotArea>
    <c:legend>
      <c:legendPos val="b"/>
      <c:layout>
        <c:manualLayout>
          <c:xMode val="edge"/>
          <c:yMode val="edge"/>
          <c:x val="0.23461538461538461"/>
          <c:y val="0.83823847968371046"/>
          <c:w val="0.62820512820512819"/>
          <c:h val="0.1383107319918343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09F985-6CD4-4529-AFF3-994C4778B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149</Pages>
  <Words>57764</Words>
  <Characters>329257</Characters>
  <Application>Microsoft Office Word</Application>
  <DocSecurity>0</DocSecurity>
  <Lines>2743</Lines>
  <Paragraphs>772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386249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2021-04-06T05:20:00Z</dcterms:created>
  <dcterms:modified xsi:type="dcterms:W3CDTF">2021-04-06T09:35:00Z</dcterms:modified>
</cp:coreProperties>
</file>