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02A7" w14:textId="6332DF7A" w:rsidR="005B0BE7" w:rsidRPr="00244C08" w:rsidRDefault="005B0BE7" w:rsidP="005B0BE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5416C9D" w14:textId="7E7DD5CA" w:rsidR="00A91A27" w:rsidRPr="00947C98" w:rsidRDefault="00A91A27" w:rsidP="00244C08">
      <w:pPr>
        <w:spacing w:before="68" w:after="72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Na temelju članka 65.b. i članka 68. Zakona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 radiološkoj i nuklearnoj sigurnosti („Narodne novine“, br. 1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41/13, 39/15, 130/17. i 118/18.)</w:t>
      </w:r>
      <w:r w:rsidR="006F656A">
        <w:rPr>
          <w:rFonts w:ascii="Times New Roman" w:eastAsia="Times New Roman" w:hAnsi="Times New Roman"/>
          <w:sz w:val="24"/>
          <w:szCs w:val="24"/>
          <w:lang w:eastAsia="en-GB"/>
        </w:rPr>
        <w:t xml:space="preserve">, članka 5. stavka 2. Zakona o gradnji („Narodne novine“, br. 153/13, 20/17, 39/19 i 125/19) i </w:t>
      </w:r>
      <w:r w:rsidR="004C4C5F" w:rsidRPr="004C4C5F">
        <w:rPr>
          <w:rFonts w:ascii="Times New Roman" w:hAnsi="Times New Roman"/>
          <w:sz w:val="24"/>
          <w:szCs w:val="24"/>
        </w:rPr>
        <w:t>članka 38. stavka 2. Zakona o sustavu državne uprave („Narodne novine“, br. 66/19)</w:t>
      </w:r>
      <w:r w:rsidRPr="004C4C5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sz w:val="24"/>
          <w:szCs w:val="24"/>
          <w:lang w:eastAsia="en-GB"/>
        </w:rPr>
        <w:t>mi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nistar unutarnjih poslova</w:t>
      </w:r>
      <w:r w:rsidR="00947C98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="00947C98" w:rsidRPr="00947C98">
        <w:rPr>
          <w:rFonts w:ascii="Times New Roman" w:hAnsi="Times New Roman"/>
          <w:sz w:val="24"/>
          <w:szCs w:val="24"/>
        </w:rPr>
        <w:t xml:space="preserve">uz prethodnu suglasnost </w:t>
      </w:r>
      <w:r w:rsidR="006F656A">
        <w:rPr>
          <w:rFonts w:ascii="Times New Roman" w:hAnsi="Times New Roman"/>
          <w:sz w:val="24"/>
          <w:szCs w:val="24"/>
        </w:rPr>
        <w:t xml:space="preserve">ministra nadležnog za graditeljstvo i </w:t>
      </w:r>
      <w:r w:rsidR="00947C98" w:rsidRPr="00947C98">
        <w:rPr>
          <w:rFonts w:ascii="Times New Roman" w:hAnsi="Times New Roman"/>
          <w:sz w:val="24"/>
          <w:szCs w:val="24"/>
        </w:rPr>
        <w:t>ministra vanjskih i europskih poslova</w:t>
      </w:r>
      <w:r w:rsidR="00947C98">
        <w:rPr>
          <w:rFonts w:ascii="Times New Roman" w:hAnsi="Times New Roman"/>
          <w:sz w:val="24"/>
          <w:szCs w:val="24"/>
        </w:rPr>
        <w:t>,</w:t>
      </w:r>
      <w:r w:rsidRPr="00947C98">
        <w:rPr>
          <w:rFonts w:ascii="Times New Roman" w:eastAsia="Times New Roman" w:hAnsi="Times New Roman"/>
          <w:sz w:val="24"/>
          <w:szCs w:val="24"/>
          <w:lang w:eastAsia="en-GB"/>
        </w:rPr>
        <w:t xml:space="preserve"> donosi  </w:t>
      </w:r>
    </w:p>
    <w:p w14:paraId="7C09A496" w14:textId="77777777" w:rsidR="00A91A27" w:rsidRPr="00244C08" w:rsidRDefault="00A91A27" w:rsidP="00A91A27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61BD471D" w14:textId="515618FC" w:rsidR="00244C08" w:rsidRDefault="00A91A27" w:rsidP="005B0B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P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R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V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I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L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N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I</w:t>
      </w:r>
      <w:r w:rsid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K</w:t>
      </w:r>
      <w:r w:rsidR="00D459C0"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</w:p>
    <w:p w14:paraId="6F09559C" w14:textId="77777777" w:rsidR="00AD107A" w:rsidRDefault="00AD107A" w:rsidP="005B0B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5F529ECA" w14:textId="355E1786" w:rsidR="00A91A27" w:rsidRPr="00244C08" w:rsidRDefault="00D459C0" w:rsidP="005B0B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O IZMJENAMA I DOPUNAMA </w:t>
      </w:r>
      <w:r w:rsidR="00EC74C3"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PRAVILNIKA</w:t>
      </w:r>
    </w:p>
    <w:p w14:paraId="4D8632C6" w14:textId="3056A32F" w:rsidR="005B0BE7" w:rsidRPr="00244C08" w:rsidRDefault="007D59E5" w:rsidP="005B0B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 PRAĆENJU STANJA RADIOAKTIVNOSTI</w:t>
      </w:r>
      <w:r w:rsidR="005B0BE7" w:rsidRPr="00244C0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U OKOLIŠU</w:t>
      </w:r>
    </w:p>
    <w:p w14:paraId="594443C2" w14:textId="77777777" w:rsidR="00DC743A" w:rsidRPr="00244C08" w:rsidRDefault="00DC743A" w:rsidP="005B0B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3416FDA1" w14:textId="6C9EF082" w:rsidR="00D459C0" w:rsidRPr="00244C08" w:rsidRDefault="00D459C0" w:rsidP="001E79F7">
      <w:pPr>
        <w:pStyle w:val="Naslov1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  <w:lang w:eastAsia="hr-HR"/>
        </w:rPr>
      </w:pPr>
      <w:r w:rsidRPr="00244C08">
        <w:rPr>
          <w:rFonts w:ascii="Times New Roman" w:hAnsi="Times New Roman"/>
          <w:bCs w:val="0"/>
          <w:color w:val="auto"/>
          <w:sz w:val="24"/>
          <w:szCs w:val="24"/>
          <w:lang w:eastAsia="hr-HR"/>
        </w:rPr>
        <w:t>Članak 1.</w:t>
      </w:r>
    </w:p>
    <w:p w14:paraId="287D9840" w14:textId="77777777" w:rsidR="001E79F7" w:rsidRPr="00244C08" w:rsidRDefault="001E79F7" w:rsidP="001E79F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6390DE2" w14:textId="3304B5F6" w:rsidR="00D459C0" w:rsidRPr="00244C08" w:rsidRDefault="00D459C0" w:rsidP="001E79F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Pravilniku o praćenju stanja radioaktivnosti u okolišu </w:t>
      </w:r>
      <w:r w:rsidR="007F4D94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(„Narodne novine“</w:t>
      </w:r>
      <w:r w:rsidR="00ED4447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="007F4D94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br</w:t>
      </w:r>
      <w:r w:rsid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40/18) u članku 3. stavku 1. </w:t>
      </w:r>
      <w:r w:rsid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točka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3. mijenja se i glasi:</w:t>
      </w:r>
    </w:p>
    <w:p w14:paraId="15436D28" w14:textId="73898330" w:rsidR="00D459C0" w:rsidRPr="00244C08" w:rsidRDefault="00244C08" w:rsidP="00D4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 w:rsidR="00D459C0" w:rsidRPr="00244C08">
        <w:rPr>
          <w:rFonts w:ascii="Times New Roman" w:hAnsi="Times New Roman"/>
          <w:i/>
          <w:sz w:val="24"/>
          <w:szCs w:val="24"/>
        </w:rPr>
        <w:t>građevni materijal</w:t>
      </w:r>
      <w:r w:rsidR="005A1485" w:rsidRPr="00244C08">
        <w:rPr>
          <w:rFonts w:ascii="Times New Roman" w:hAnsi="Times New Roman"/>
          <w:sz w:val="24"/>
          <w:szCs w:val="24"/>
        </w:rPr>
        <w:t xml:space="preserve"> </w:t>
      </w:r>
      <w:r w:rsidR="00D459C0" w:rsidRPr="00244C08">
        <w:rPr>
          <w:rFonts w:ascii="Times New Roman" w:hAnsi="Times New Roman"/>
          <w:sz w:val="24"/>
          <w:szCs w:val="24"/>
        </w:rPr>
        <w:t xml:space="preserve">jest bilo koji građevni proizvod definiran u skladu s propisima kojima su uređeni građevni proizvodi, a koji s obzirom na njegovu trajnu ugradnju u građevinu ili njezine dijelove može imati utjecaj na </w:t>
      </w:r>
      <w:proofErr w:type="spellStart"/>
      <w:r w:rsidR="00D459C0" w:rsidRPr="00244C08">
        <w:rPr>
          <w:rFonts w:ascii="Times New Roman" w:hAnsi="Times New Roman"/>
          <w:sz w:val="24"/>
          <w:szCs w:val="24"/>
        </w:rPr>
        <w:t>ozračenje</w:t>
      </w:r>
      <w:proofErr w:type="spellEnd"/>
      <w:r w:rsidR="00D459C0" w:rsidRPr="00244C08">
        <w:rPr>
          <w:rFonts w:ascii="Times New Roman" w:hAnsi="Times New Roman"/>
          <w:sz w:val="24"/>
          <w:szCs w:val="24"/>
        </w:rPr>
        <w:t xml:space="preserve"> osoba koje borave u toj građevini“. </w:t>
      </w:r>
    </w:p>
    <w:p w14:paraId="05A7418A" w14:textId="10FCC2DC" w:rsidR="00D459C0" w:rsidRPr="00244C08" w:rsidRDefault="00244C08" w:rsidP="00244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točki </w:t>
      </w:r>
      <w:r w:rsidR="00D459C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9. riječ: 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="00D459C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zemljina</w:t>
      </w:r>
      <w:r w:rsidR="008C3A51" w:rsidRPr="00244C08">
        <w:rPr>
          <w:rFonts w:ascii="Times New Roman" w:hAnsi="Times New Roman"/>
          <w:sz w:val="24"/>
          <w:szCs w:val="24"/>
        </w:rPr>
        <w:t>“</w:t>
      </w:r>
      <w:r w:rsidR="00B14E5D" w:rsidRPr="00244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zamjenjuje se riječju: 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="00D459C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Zemljina</w:t>
      </w:r>
      <w:r w:rsidR="008C3A51" w:rsidRPr="00244C08">
        <w:rPr>
          <w:rFonts w:ascii="Times New Roman" w:hAnsi="Times New Roman"/>
          <w:sz w:val="24"/>
          <w:szCs w:val="24"/>
        </w:rPr>
        <w:t>“</w:t>
      </w:r>
      <w:r w:rsidR="00D459C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</w:p>
    <w:p w14:paraId="39C1B867" w14:textId="4B5BD8E7" w:rsidR="00D459C0" w:rsidRPr="00244C08" w:rsidRDefault="00D459C0" w:rsidP="00244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točki 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13. iza </w:t>
      </w:r>
      <w:r w:rsidR="00B14E5D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riječ</w:t>
      </w:r>
      <w:r w:rsidR="00E14BA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="00B14E5D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odnosno mjerenjem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“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dodaje se riječ: </w:t>
      </w:r>
      <w:r w:rsidR="008C3A51" w:rsidRPr="00244C08">
        <w:rPr>
          <w:rFonts w:ascii="Times New Roman" w:hAnsi="Times New Roman"/>
          <w:sz w:val="24"/>
          <w:szCs w:val="24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brzine</w:t>
      </w:r>
      <w:r w:rsidR="008C3A51" w:rsidRPr="00244C08">
        <w:rPr>
          <w:rFonts w:ascii="Times New Roman" w:hAnsi="Times New Roman"/>
          <w:sz w:val="24"/>
          <w:szCs w:val="24"/>
        </w:rPr>
        <w:t>“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</w:p>
    <w:p w14:paraId="454EFC07" w14:textId="02CB6F89" w:rsidR="00D459C0" w:rsidRPr="00244C08" w:rsidRDefault="00D459C0" w:rsidP="00244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</w:t>
      </w:r>
      <w:r w:rsid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točki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14. iza riječ</w:t>
      </w:r>
      <w:r w:rsidR="00E14BA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te mjerenje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“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576E8E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dodaje se riječ</w:t>
      </w:r>
      <w:r w:rsidR="003E5FF0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brzine</w:t>
      </w:r>
      <w:r w:rsidR="008C3A51" w:rsidRPr="00244C08">
        <w:rPr>
          <w:rFonts w:ascii="Times New Roman" w:hAnsi="Times New Roman"/>
          <w:sz w:val="24"/>
          <w:szCs w:val="24"/>
        </w:rPr>
        <w:t>“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</w:p>
    <w:p w14:paraId="3D6F51D1" w14:textId="77777777" w:rsidR="00244C08" w:rsidRDefault="00244C08" w:rsidP="00244C0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Točka 1</w:t>
      </w:r>
      <w:r w:rsidR="00576E8E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6. mijenja se i glasi: </w:t>
      </w:r>
    </w:p>
    <w:p w14:paraId="22EA15E1" w14:textId="16BB2325" w:rsidR="00576E8E" w:rsidRPr="00244C08" w:rsidRDefault="00244C08" w:rsidP="00244C0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 xml:space="preserve">„16. </w:t>
      </w:r>
      <w:r w:rsidR="00576E8E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specifična metoda za ispitivanje vrste i koncentracij</w:t>
      </w:r>
      <w:r w:rsidR="00D57565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e</w:t>
      </w:r>
      <w:r w:rsidR="00576E8E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 aktivnosti pojedinih </w:t>
      </w:r>
      <w:proofErr w:type="spellStart"/>
      <w:r w:rsidR="00576E8E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radionuklida</w:t>
      </w:r>
      <w:proofErr w:type="spellEnd"/>
      <w:r w:rsidR="00576E8E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 </w:t>
      </w:r>
      <w:r w:rsidR="00576E8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jest ispitivanje i mjerenje </w:t>
      </w:r>
      <w:proofErr w:type="spellStart"/>
      <w:r w:rsidR="00576E8E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576E8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koji su iz uzorka izdvojeni radiokemijskom ili nekom drugom metodom i potom mjereni brojačima odnosno odgovarajućim spektrometrima umjerenim odgovarajućim etalonom za alfa, beta ili gama zračenje</w:t>
      </w:r>
      <w:r w:rsidR="008C3A51" w:rsidRPr="00244C08">
        <w:rPr>
          <w:rFonts w:ascii="Times New Roman" w:hAnsi="Times New Roman"/>
          <w:sz w:val="24"/>
          <w:szCs w:val="24"/>
        </w:rPr>
        <w:t>“</w:t>
      </w:r>
      <w:r w:rsidR="00576E8E"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6637308A" w14:textId="77777777" w:rsidR="00244C08" w:rsidRDefault="00244C08" w:rsidP="00244C08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56E796A1" w14:textId="5CEF5FB3" w:rsidR="00244C08" w:rsidRPr="00244C08" w:rsidRDefault="00244C08" w:rsidP="00244C08">
      <w:pPr>
        <w:pStyle w:val="Bezproreda"/>
        <w:ind w:firstLine="708"/>
        <w:rPr>
          <w:rFonts w:ascii="Times New Roman" w:hAnsi="Times New Roman"/>
          <w:sz w:val="24"/>
          <w:szCs w:val="24"/>
          <w:lang w:eastAsia="hr-HR"/>
        </w:rPr>
      </w:pPr>
      <w:r w:rsidRPr="00244C08">
        <w:rPr>
          <w:rFonts w:ascii="Times New Roman" w:hAnsi="Times New Roman"/>
          <w:sz w:val="24"/>
          <w:szCs w:val="24"/>
          <w:lang w:eastAsia="hr-HR"/>
        </w:rPr>
        <w:t xml:space="preserve">Točka </w:t>
      </w:r>
      <w:r w:rsidR="00576E8E" w:rsidRPr="00244C08">
        <w:rPr>
          <w:rFonts w:ascii="Times New Roman" w:hAnsi="Times New Roman"/>
          <w:sz w:val="24"/>
          <w:szCs w:val="24"/>
          <w:lang w:eastAsia="hr-HR"/>
        </w:rPr>
        <w:t>17.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mijenja se i glasi: </w:t>
      </w:r>
    </w:p>
    <w:p w14:paraId="407A1128" w14:textId="04ABE367" w:rsidR="00576E8E" w:rsidRPr="00244C08" w:rsidRDefault="008C3A51" w:rsidP="00244C08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244C08">
        <w:rPr>
          <w:rFonts w:ascii="Times New Roman" w:hAnsi="Times New Roman"/>
          <w:sz w:val="24"/>
          <w:szCs w:val="24"/>
          <w:lang w:eastAsia="hr-HR"/>
        </w:rPr>
        <w:t>„</w:t>
      </w:r>
      <w:r w:rsidR="00244C08">
        <w:rPr>
          <w:rFonts w:ascii="Times New Roman" w:hAnsi="Times New Roman"/>
          <w:sz w:val="24"/>
          <w:szCs w:val="24"/>
          <w:lang w:eastAsia="hr-HR"/>
        </w:rPr>
        <w:t xml:space="preserve">17. </w:t>
      </w:r>
      <w:r w:rsidR="00244C08">
        <w:rPr>
          <w:rFonts w:ascii="Times New Roman" w:hAnsi="Times New Roman"/>
          <w:i/>
          <w:sz w:val="24"/>
          <w:szCs w:val="24"/>
          <w:lang w:eastAsia="hr-HR"/>
        </w:rPr>
        <w:t>u</w:t>
      </w:r>
      <w:r w:rsidR="00106E8F" w:rsidRPr="00244C08">
        <w:rPr>
          <w:rFonts w:ascii="Times New Roman" w:hAnsi="Times New Roman"/>
          <w:i/>
          <w:sz w:val="24"/>
          <w:szCs w:val="24"/>
          <w:lang w:eastAsia="hr-HR"/>
        </w:rPr>
        <w:t>zorak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jest reprezentativni dio zraka, voda (mora, rijeka, jezera, podzemnih voda, oborina), tla, vode za piće, hrane, hrane za životinje, </w:t>
      </w:r>
      <w:proofErr w:type="spellStart"/>
      <w:r w:rsidR="00106E8F" w:rsidRPr="00244C08">
        <w:rPr>
          <w:rFonts w:ascii="Times New Roman" w:hAnsi="Times New Roman"/>
          <w:sz w:val="24"/>
          <w:szCs w:val="24"/>
          <w:lang w:eastAsia="hr-HR"/>
        </w:rPr>
        <w:t>bioindikatora</w:t>
      </w:r>
      <w:proofErr w:type="spellEnd"/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ili drugog materijala koji se uzima na određenom mjestu. Uzorci mogu biti jednokratni, zbirni i sastavljeni. Jednokratni uzorak se uzima pojedinačno u određeno vrijeme. Zbirni uzorak se uzima u određenim vremenskim intervalima i spaja u jedan uzorak. Sastavljeni uzorci su smjesa nekoliko pojedinačnih uzoraka uzetih u istom vremenu specifičnim metodama za ispitivanje aktivnosti pojedinih </w:t>
      </w:r>
      <w:proofErr w:type="spellStart"/>
      <w:r w:rsidR="00106E8F" w:rsidRPr="00244C08">
        <w:rPr>
          <w:rFonts w:ascii="Times New Roman" w:hAnsi="Times New Roman"/>
          <w:sz w:val="24"/>
          <w:szCs w:val="24"/>
          <w:lang w:eastAsia="hr-HR"/>
        </w:rPr>
        <w:t>radionuklida</w:t>
      </w:r>
      <w:proofErr w:type="spellEnd"/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prema preporukama međun</w:t>
      </w:r>
      <w:r w:rsidR="00D16EB2" w:rsidRPr="00244C08">
        <w:rPr>
          <w:rFonts w:ascii="Times New Roman" w:hAnsi="Times New Roman"/>
          <w:sz w:val="24"/>
          <w:szCs w:val="24"/>
          <w:lang w:eastAsia="hr-HR"/>
        </w:rPr>
        <w:t>arodnih institucija (Međunarodne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agencij</w:t>
      </w:r>
      <w:r w:rsidR="00D16EB2" w:rsidRPr="00244C08">
        <w:rPr>
          <w:rFonts w:ascii="Times New Roman" w:hAnsi="Times New Roman"/>
          <w:sz w:val="24"/>
          <w:szCs w:val="24"/>
          <w:lang w:eastAsia="hr-HR"/>
        </w:rPr>
        <w:t>e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za atomsku energiju </w:t>
      </w:r>
      <w:r w:rsidR="00D86530" w:rsidRPr="00244C08">
        <w:rPr>
          <w:rFonts w:ascii="Times New Roman" w:hAnsi="Times New Roman"/>
          <w:sz w:val="24"/>
          <w:szCs w:val="24"/>
          <w:lang w:eastAsia="hr-HR"/>
        </w:rPr>
        <w:t>(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>IAEA</w:t>
      </w:r>
      <w:r w:rsidR="00D86530" w:rsidRPr="00244C08">
        <w:rPr>
          <w:rFonts w:ascii="Times New Roman" w:hAnsi="Times New Roman"/>
          <w:sz w:val="24"/>
          <w:szCs w:val="24"/>
          <w:lang w:eastAsia="hr-HR"/>
        </w:rPr>
        <w:t>)</w:t>
      </w:r>
      <w:r w:rsidR="00D16EB2" w:rsidRPr="00244C08">
        <w:rPr>
          <w:rFonts w:ascii="Times New Roman" w:hAnsi="Times New Roman"/>
          <w:sz w:val="24"/>
          <w:szCs w:val="24"/>
          <w:lang w:eastAsia="hr-HR"/>
        </w:rPr>
        <w:t>, Međunarodne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komisij</w:t>
      </w:r>
      <w:r w:rsidR="00D16EB2" w:rsidRPr="00244C08">
        <w:rPr>
          <w:rFonts w:ascii="Times New Roman" w:hAnsi="Times New Roman"/>
          <w:sz w:val="24"/>
          <w:szCs w:val="24"/>
          <w:lang w:eastAsia="hr-HR"/>
        </w:rPr>
        <w:t>e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 za </w:t>
      </w:r>
      <w:r w:rsidR="00D86530" w:rsidRPr="00244C08">
        <w:rPr>
          <w:rFonts w:ascii="Times New Roman" w:hAnsi="Times New Roman"/>
          <w:sz w:val="24"/>
          <w:szCs w:val="24"/>
          <w:lang w:eastAsia="hr-HR"/>
        </w:rPr>
        <w:t xml:space="preserve">radiološku 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 xml:space="preserve">zaštitu </w:t>
      </w:r>
      <w:r w:rsidR="00D86530" w:rsidRPr="00244C08">
        <w:rPr>
          <w:rFonts w:ascii="Times New Roman" w:hAnsi="Times New Roman"/>
          <w:sz w:val="24"/>
          <w:szCs w:val="24"/>
          <w:lang w:eastAsia="hr-HR"/>
        </w:rPr>
        <w:t>(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>ICRP</w:t>
      </w:r>
      <w:r w:rsidR="00D86530" w:rsidRPr="00244C08">
        <w:rPr>
          <w:rFonts w:ascii="Times New Roman" w:hAnsi="Times New Roman"/>
          <w:sz w:val="24"/>
          <w:szCs w:val="24"/>
          <w:lang w:eastAsia="hr-HR"/>
        </w:rPr>
        <w:t>)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>, Europsk</w:t>
      </w:r>
      <w:r w:rsidR="00D16EB2" w:rsidRPr="00244C08">
        <w:rPr>
          <w:rFonts w:ascii="Times New Roman" w:hAnsi="Times New Roman"/>
          <w:sz w:val="24"/>
          <w:szCs w:val="24"/>
          <w:lang w:eastAsia="hr-HR"/>
        </w:rPr>
        <w:t>e komisije</w:t>
      </w:r>
      <w:r w:rsidR="00106E8F" w:rsidRPr="00244C08">
        <w:rPr>
          <w:rFonts w:ascii="Times New Roman" w:hAnsi="Times New Roman"/>
          <w:sz w:val="24"/>
          <w:szCs w:val="24"/>
          <w:lang w:eastAsia="hr-HR"/>
        </w:rPr>
        <w:t>)“.</w:t>
      </w:r>
      <w:r w:rsidR="00576E8E" w:rsidRPr="00244C08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58FE867F" w14:textId="3BCA7D63" w:rsidR="00576E8E" w:rsidRPr="00244C08" w:rsidRDefault="00576E8E" w:rsidP="00244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</w:t>
      </w:r>
      <w:r w:rsid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točki 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18. iza riječ</w:t>
      </w:r>
      <w:r w:rsid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8C3A51" w:rsidRPr="00244C08">
        <w:rPr>
          <w:rFonts w:ascii="Times New Roman" w:hAnsi="Times New Roman"/>
          <w:sz w:val="24"/>
          <w:szCs w:val="24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te mjerenje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“</w:t>
      </w:r>
      <w:r w:rsidRPr="00244C08">
        <w:rPr>
          <w:rFonts w:ascii="Times New Roman" w:hAnsi="Times New Roman"/>
          <w:sz w:val="24"/>
          <w:szCs w:val="24"/>
        </w:rPr>
        <w:t xml:space="preserve"> 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dodaje se riječ:</w:t>
      </w:r>
      <w:r w:rsidRPr="00244C08">
        <w:rPr>
          <w:rFonts w:ascii="Times New Roman" w:hAnsi="Times New Roman"/>
          <w:sz w:val="24"/>
          <w:szCs w:val="24"/>
        </w:rPr>
        <w:t xml:space="preserve"> </w:t>
      </w:r>
      <w:r w:rsidR="008C3A51" w:rsidRPr="00244C08">
        <w:rPr>
          <w:rFonts w:ascii="Times New Roman" w:hAnsi="Times New Roman"/>
          <w:sz w:val="24"/>
          <w:szCs w:val="24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brzine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“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</w:p>
    <w:p w14:paraId="5A4FAEDE" w14:textId="77777777" w:rsidR="00D74AF0" w:rsidRDefault="00D74AF0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73A52838" w14:textId="5C24E8C0" w:rsidR="007D59E5" w:rsidRPr="00D74AF0" w:rsidRDefault="003E5FF0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D74AF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Članak </w:t>
      </w:r>
      <w:r w:rsidR="00D86530" w:rsidRPr="00D74AF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en-GB"/>
        </w:rPr>
        <w:t>2</w:t>
      </w:r>
      <w:r w:rsidRPr="00D74AF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. </w:t>
      </w:r>
    </w:p>
    <w:p w14:paraId="1F19AA51" w14:textId="77777777" w:rsidR="00B14CA9" w:rsidRPr="00244C08" w:rsidRDefault="00B14CA9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1EB51ED6" w14:textId="77777777" w:rsidR="00D74AF0" w:rsidRDefault="003E5FF0" w:rsidP="00D74AF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 xml:space="preserve">Naslov iznad članka 5. </w:t>
      </w:r>
      <w:r w:rsidR="00D74AF0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 xml:space="preserve">i članak 5. </w:t>
      </w:r>
      <w:r w:rsidRPr="00244C0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mijenj</w:t>
      </w:r>
      <w:r w:rsidR="00D74AF0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 xml:space="preserve">aju </w:t>
      </w:r>
      <w:r w:rsidRPr="00244C0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se i glas</w:t>
      </w:r>
      <w:r w:rsidR="00D74AF0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e</w:t>
      </w:r>
      <w:r w:rsidRPr="00244C0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:</w:t>
      </w:r>
      <w:r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59AE5E70" w14:textId="77777777" w:rsidR="00D74AF0" w:rsidRDefault="00D74AF0" w:rsidP="00D74AF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</w:p>
    <w:p w14:paraId="3097B855" w14:textId="6A88361C" w:rsidR="007D59E5" w:rsidRDefault="00D74AF0" w:rsidP="00D74AF0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lastRenderedPageBreak/>
        <w:t>„</w:t>
      </w:r>
      <w:r w:rsidR="007D59E5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Mjerne metode</w:t>
      </w:r>
      <w:r w:rsidR="00C32EF2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 za mjerenje koncentracije </w:t>
      </w:r>
      <w:proofErr w:type="spellStart"/>
      <w:r w:rsidR="00C32EF2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radionuklida</w:t>
      </w:r>
      <w:proofErr w:type="spellEnd"/>
      <w:r w:rsidR="00C32EF2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 u okolišu</w:t>
      </w:r>
    </w:p>
    <w:p w14:paraId="0690CE81" w14:textId="7C4EE7C7" w:rsidR="00D74AF0" w:rsidRDefault="00D74AF0" w:rsidP="00D74AF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</w:p>
    <w:p w14:paraId="7A1EB0FB" w14:textId="2BB6FE36" w:rsidR="00D74AF0" w:rsidRDefault="00D74AF0" w:rsidP="00D74AF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Članak 5.</w:t>
      </w:r>
    </w:p>
    <w:p w14:paraId="2643343C" w14:textId="77777777" w:rsidR="003C45CC" w:rsidRPr="00D74AF0" w:rsidRDefault="003C45CC" w:rsidP="00D74AF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</w:pPr>
    </w:p>
    <w:p w14:paraId="149A046C" w14:textId="3053BE5D" w:rsidR="003E5FF0" w:rsidRDefault="00D74AF0" w:rsidP="00D74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(1) </w:t>
      </w:r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Mjerenje koncentracije aktivnosti </w:t>
      </w:r>
      <w:proofErr w:type="spellStart"/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uzorcima iz okoliša provodi se gama </w:t>
      </w:r>
      <w:proofErr w:type="spellStart"/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>spektrometrijskim</w:t>
      </w:r>
      <w:proofErr w:type="spellEnd"/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mjerenjima visoke rezolucije, mjerenjima alfa i beta zračenja te specifičnim metodama za ispitivanje aktivnosti pojedinih </w:t>
      </w:r>
      <w:proofErr w:type="spellStart"/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prema preporukama međunarodnih institucija (Međunarodne agencije za atomsku energiju</w:t>
      </w:r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(IAEA)</w:t>
      </w:r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A065AF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 xml:space="preserve"> </w:t>
      </w:r>
      <w:proofErr w:type="spellStart"/>
      <w:r w:rsidR="00B14E5D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>Međunarodne</w:t>
      </w:r>
      <w:proofErr w:type="spellEnd"/>
      <w:r w:rsidR="00B14E5D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 xml:space="preserve"> </w:t>
      </w:r>
      <w:proofErr w:type="spellStart"/>
      <w:r w:rsidR="00B14E5D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>k</w:t>
      </w:r>
      <w:r w:rsidR="00E14BA0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>omisije</w:t>
      </w:r>
      <w:proofErr w:type="spellEnd"/>
      <w:r w:rsidR="00E14BA0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 xml:space="preserve"> za </w:t>
      </w:r>
      <w:proofErr w:type="spellStart"/>
      <w:r w:rsidR="00E14BA0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>radiološku</w:t>
      </w:r>
      <w:proofErr w:type="spellEnd"/>
      <w:r w:rsidR="00E14BA0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 xml:space="preserve"> </w:t>
      </w:r>
      <w:proofErr w:type="spellStart"/>
      <w:r w:rsidR="00E14BA0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>zaštitu</w:t>
      </w:r>
      <w:proofErr w:type="spellEnd"/>
      <w:r w:rsidR="00E14BA0" w:rsidRPr="00244C08">
        <w:rPr>
          <w:rFonts w:ascii="Times New Roman" w:eastAsia="Times New Roman" w:hAnsi="Times New Roman"/>
          <w:bCs/>
          <w:sz w:val="24"/>
          <w:szCs w:val="24"/>
          <w:lang w:val="en" w:eastAsia="hr-HR"/>
        </w:rPr>
        <w:t xml:space="preserve"> (</w:t>
      </w:r>
      <w:r w:rsidR="00F649D2" w:rsidRPr="00244C08">
        <w:rPr>
          <w:rFonts w:ascii="Times New Roman" w:eastAsia="Times New Roman" w:hAnsi="Times New Roman"/>
          <w:sz w:val="24"/>
          <w:szCs w:val="24"/>
          <w:lang w:eastAsia="en-GB"/>
        </w:rPr>
        <w:t>ICRP</w:t>
      </w:r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 Europske komisije)</w:t>
      </w:r>
    </w:p>
    <w:p w14:paraId="17BAC91C" w14:textId="2780965C" w:rsidR="00D74AF0" w:rsidRDefault="00D74AF0" w:rsidP="00D74A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(2) Mjerenje koncentracije aktivnosti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u zraku i njegovih kratkoživućih potomaka provodi se nekom od sljedećih metoda: detektori nuklearnih tragova, ionizacijske komore, scintilacijske komore ili poluvodički detektori.</w:t>
      </w:r>
    </w:p>
    <w:p w14:paraId="0B150B89" w14:textId="6687108B" w:rsidR="00D74AF0" w:rsidRPr="00244C08" w:rsidRDefault="00D74AF0" w:rsidP="00D74A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" w:eastAsia="hr-HR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(3) Minimalni tehnički zahtjevi za mjernu opremu dani su u Prilogu 3. koji je sastavni dio ovoga Pravilnika.</w:t>
      </w:r>
    </w:p>
    <w:p w14:paraId="11876E7D" w14:textId="44650AD4" w:rsidR="00B14E5D" w:rsidRPr="00244C08" w:rsidRDefault="00D74AF0" w:rsidP="00D74AF0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en" w:eastAsia="hr-HR"/>
        </w:rPr>
        <w:t>(4) U</w:t>
      </w:r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slučaju izvanrednog događaja mogu se koristiti mjerne metode niže rezolucije od onih koje se koriste u redovnim uvjetima, na primjer gama spektrometrija niske rezolucije te nespecifične mjerne metode</w:t>
      </w:r>
      <w:proofErr w:type="gramStart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6E3C49D" w14:textId="77777777" w:rsidR="00B14CA9" w:rsidRPr="00244C08" w:rsidRDefault="00B14CA9" w:rsidP="003E5FF0">
      <w:pPr>
        <w:spacing w:after="0" w:line="240" w:lineRule="auto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51C8E214" w14:textId="29FCF7AE" w:rsidR="00B14E5D" w:rsidRPr="00D74AF0" w:rsidRDefault="00B14E5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D74AF0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D86530" w:rsidRPr="00D74AF0">
        <w:rPr>
          <w:rFonts w:ascii="Times New Roman" w:eastAsia="Times New Roman" w:hAnsi="Times New Roman"/>
          <w:b/>
          <w:sz w:val="24"/>
          <w:szCs w:val="24"/>
          <w:lang w:eastAsia="en-GB"/>
        </w:rPr>
        <w:t>3</w:t>
      </w:r>
      <w:r w:rsidRPr="00D74AF0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3D9C64C8" w14:textId="77777777" w:rsidR="007D59E5" w:rsidRPr="00244C08" w:rsidRDefault="007D59E5" w:rsidP="001E79F7">
      <w:pPr>
        <w:spacing w:after="0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73E2357" w14:textId="49205383" w:rsidR="00D74AF0" w:rsidRDefault="00B14E5D" w:rsidP="001E79F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Naslov iznad članka 6. </w:t>
      </w:r>
      <w:r w:rsidR="00D74AF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i članak 6. </w:t>
      </w: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mijenja</w:t>
      </w:r>
      <w:r w:rsidR="00D74AF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ju se</w:t>
      </w: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="00D74AF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i</w:t>
      </w: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glas</w:t>
      </w:r>
      <w:r w:rsidR="00D74AF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e:</w:t>
      </w:r>
    </w:p>
    <w:p w14:paraId="03A4C975" w14:textId="77777777" w:rsidR="00D74AF0" w:rsidRDefault="00D74AF0" w:rsidP="001E79F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</w:pPr>
    </w:p>
    <w:p w14:paraId="22951781" w14:textId="1816143A" w:rsidR="00B14E5D" w:rsidRDefault="00D74AF0" w:rsidP="00D74AF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„</w:t>
      </w:r>
      <w:r w:rsidR="00B14E5D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Mjer</w:t>
      </w:r>
      <w:r w:rsidR="00A065AF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e</w:t>
      </w:r>
      <w:r w:rsidR="00B14E5D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n</w:t>
      </w:r>
      <w:r w:rsidR="00A065AF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j</w:t>
      </w:r>
      <w:r w:rsidR="00B14E5D"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e brzine </w:t>
      </w:r>
      <w:r w:rsidR="00B14E5D" w:rsidRPr="00244C08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ambijentalnog </w:t>
      </w:r>
      <w:proofErr w:type="spellStart"/>
      <w:r w:rsidR="00B14E5D" w:rsidRPr="00244C08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doznog</w:t>
      </w:r>
      <w:proofErr w:type="spellEnd"/>
      <w:r w:rsidR="00B14E5D" w:rsidRPr="00244C08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ekvivalenta</w:t>
      </w:r>
    </w:p>
    <w:p w14:paraId="2212BD14" w14:textId="43EC7119" w:rsidR="00D74AF0" w:rsidRDefault="00D74AF0" w:rsidP="00D74AF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60BB94D6" w14:textId="7B37BABC" w:rsidR="00D74AF0" w:rsidRDefault="00D74AF0" w:rsidP="00D74AF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iCs/>
          <w:sz w:val="24"/>
          <w:szCs w:val="24"/>
          <w:lang w:eastAsia="en-GB"/>
        </w:rPr>
      </w:pPr>
      <w:r>
        <w:rPr>
          <w:rFonts w:ascii="Times New Roman" w:eastAsia="Times New Roman" w:hAnsi="Times New Roman"/>
          <w:iCs/>
          <w:sz w:val="24"/>
          <w:szCs w:val="24"/>
          <w:lang w:eastAsia="en-GB"/>
        </w:rPr>
        <w:t>Članak 6.</w:t>
      </w:r>
    </w:p>
    <w:p w14:paraId="2403AF71" w14:textId="77777777" w:rsidR="003C45CC" w:rsidRPr="00D74AF0" w:rsidRDefault="003C45CC" w:rsidP="00D74AF0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6CC588E0" w14:textId="282D7F8D" w:rsidR="00B14E5D" w:rsidRDefault="00D74AF0" w:rsidP="00D16EB2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(1) </w:t>
      </w:r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Brzina ambijentalnog </w:t>
      </w:r>
      <w:proofErr w:type="spellStart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mjeri se na visini od 1 m iznad neobrađene travnate površine uređajima za neprekidno mjerenje brzine ambijentalnog </w:t>
      </w:r>
      <w:proofErr w:type="spellStart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i/ili pasivnim dozimetrima za mjerenje ambijentalnog </w:t>
      </w:r>
      <w:proofErr w:type="spellStart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</w:t>
      </w:r>
      <w:r w:rsidR="00B14E5D" w:rsidRPr="00244C08">
        <w:rPr>
          <w:rFonts w:ascii="Times New Roman" w:eastAsia="Times New Roman" w:hAnsi="Times New Roman"/>
          <w:i/>
          <w:sz w:val="24"/>
          <w:szCs w:val="24"/>
          <w:lang w:eastAsia="en-GB"/>
        </w:rPr>
        <w:t>H</w:t>
      </w:r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*(10) uz izračun prosječne brzine ambijentalnog </w:t>
      </w:r>
      <w:proofErr w:type="spellStart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="00B14E5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za cjelokupan period mjerenja na pojedinoj lokaciji.</w:t>
      </w:r>
    </w:p>
    <w:p w14:paraId="74830F4C" w14:textId="0B07E56D" w:rsidR="00D74AF0" w:rsidRPr="00244C08" w:rsidRDefault="00D74AF0" w:rsidP="00D16EB2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(2) Rezultati iz stavka 1. ovoga članka izražavaju se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mSv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/h, odnosno preračunavaju se na razinu godišnje efektivne doze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mSv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.“.</w:t>
      </w:r>
    </w:p>
    <w:p w14:paraId="44C3BB77" w14:textId="77777777" w:rsidR="007D59E5" w:rsidRPr="00244C08" w:rsidRDefault="007D59E5" w:rsidP="005B0BE7">
      <w:pPr>
        <w:spacing w:after="0" w:line="240" w:lineRule="auto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06292CE7" w14:textId="77777777" w:rsidR="00B14E5D" w:rsidRPr="00244C08" w:rsidRDefault="00B14E5D" w:rsidP="00B14E5D">
      <w:pPr>
        <w:spacing w:after="0" w:line="240" w:lineRule="auto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6A61E351" w14:textId="3EAAF6D0" w:rsidR="007D59E5" w:rsidRPr="00D74AF0" w:rsidRDefault="00B14E5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D74AF0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D86530" w:rsidRPr="00D74AF0">
        <w:rPr>
          <w:rFonts w:ascii="Times New Roman" w:eastAsia="Times New Roman" w:hAnsi="Times New Roman"/>
          <w:b/>
          <w:sz w:val="24"/>
          <w:szCs w:val="24"/>
          <w:lang w:eastAsia="en-GB"/>
        </w:rPr>
        <w:t>4</w:t>
      </w:r>
      <w:r w:rsidRPr="00D74AF0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D27E4C6" w14:textId="77777777" w:rsidR="00B14CA9" w:rsidRPr="00244C08" w:rsidRDefault="00B14CA9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FB7C2D2" w14:textId="19AE5ADB" w:rsidR="00A364F2" w:rsidRPr="00244C08" w:rsidRDefault="00A364F2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članku 7. stavku 1. riječi: </w:t>
      </w:r>
      <w:r w:rsidR="008C3A51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velike količine</w:t>
      </w:r>
      <w:r w:rsidR="008C3A51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D74AF0">
        <w:rPr>
          <w:rFonts w:ascii="Times New Roman" w:eastAsia="Times New Roman" w:hAnsi="Times New Roman"/>
          <w:sz w:val="24"/>
          <w:szCs w:val="24"/>
          <w:lang w:eastAsia="en-GB"/>
        </w:rPr>
        <w:t xml:space="preserve"> brišu se.</w:t>
      </w:r>
    </w:p>
    <w:p w14:paraId="7132D578" w14:textId="77777777" w:rsidR="00C93B56" w:rsidRPr="00244C08" w:rsidRDefault="00C93B56" w:rsidP="00A065AF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248CB301" w14:textId="4620181A" w:rsidR="00A364F2" w:rsidRPr="00244C08" w:rsidRDefault="00A364F2" w:rsidP="00D74AF0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U stavku 2. riječ</w:t>
      </w:r>
      <w:r w:rsidR="008923C5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="00D74AF0">
        <w:rPr>
          <w:rFonts w:ascii="Times New Roman" w:eastAsia="Times New Roman" w:hAnsi="Times New Roman"/>
          <w:iCs/>
          <w:sz w:val="24"/>
          <w:szCs w:val="24"/>
          <w:lang w:eastAsia="hr-HR"/>
        </w:rPr>
        <w:t>: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8C3A51" w:rsidRPr="00244C08">
        <w:rPr>
          <w:rFonts w:ascii="Times New Roman" w:hAnsi="Times New Roman"/>
          <w:sz w:val="24"/>
          <w:szCs w:val="24"/>
        </w:rPr>
        <w:t>„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Dnevni</w:t>
      </w:r>
      <w:r w:rsidR="008923C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uzorci</w:t>
      </w:r>
      <w:r w:rsidR="005A1485" w:rsidRPr="00244C08">
        <w:rPr>
          <w:rFonts w:ascii="Times New Roman" w:hAnsi="Times New Roman"/>
          <w:sz w:val="24"/>
          <w:szCs w:val="24"/>
        </w:rPr>
        <w:t xml:space="preserve">“ </w:t>
      </w:r>
      <w:r w:rsidR="00D74AF0">
        <w:rPr>
          <w:rFonts w:ascii="Times New Roman" w:hAnsi="Times New Roman"/>
          <w:sz w:val="24"/>
          <w:szCs w:val="24"/>
        </w:rPr>
        <w:t>zamjenjuje se riječju: „</w:t>
      </w:r>
      <w:r w:rsidR="005A1485" w:rsidRPr="00244C08">
        <w:rPr>
          <w:rFonts w:ascii="Times New Roman" w:hAnsi="Times New Roman"/>
          <w:sz w:val="24"/>
          <w:szCs w:val="24"/>
        </w:rPr>
        <w:t>Uzorci“.</w:t>
      </w:r>
    </w:p>
    <w:p w14:paraId="44BBFEA9" w14:textId="7E806DD9" w:rsidR="00A364F2" w:rsidRPr="00244C08" w:rsidRDefault="00A364F2" w:rsidP="00A364F2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00309A8" w14:textId="77777777" w:rsidR="00B14CA9" w:rsidRPr="00244C08" w:rsidRDefault="00B14CA9" w:rsidP="00A364F2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958B4B1" w14:textId="6F6D16EF" w:rsidR="00A065AF" w:rsidRPr="008923C5" w:rsidRDefault="007F4D94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</w:pPr>
      <w:r w:rsidRPr="008923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Članak </w:t>
      </w:r>
      <w:r w:rsidR="00F266B7" w:rsidRPr="008923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  <w:t>5</w:t>
      </w:r>
      <w:r w:rsidRPr="008923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. </w:t>
      </w:r>
    </w:p>
    <w:p w14:paraId="1D498BDC" w14:textId="77777777" w:rsidR="00A065AF" w:rsidRPr="00244C08" w:rsidRDefault="00A065AF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</w:p>
    <w:p w14:paraId="14F382E2" w14:textId="77777777" w:rsidR="008923C5" w:rsidRDefault="00EF756D" w:rsidP="00EF756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ab/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članku 10. stavak 3. mijenja se i glasi: </w:t>
      </w:r>
    </w:p>
    <w:p w14:paraId="20DACF1B" w14:textId="77777777" w:rsidR="008923C5" w:rsidRDefault="008923C5" w:rsidP="00EF756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4440FC65" w14:textId="3294C4C7" w:rsidR="00A065AF" w:rsidRPr="00244C08" w:rsidRDefault="00EF756D" w:rsidP="00EF756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</w:pP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="008923C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(3) 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Rezultati ispitivanja koncentracije aktivnosti </w:t>
      </w:r>
      <w:proofErr w:type="spellStart"/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radionuklida</w:t>
      </w:r>
      <w:proofErr w:type="spellEnd"/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u uzorcima iz stavka 1. ovoga članka iskazuju se u Bqm</w:t>
      </w:r>
      <w:r w:rsidRPr="00244C08">
        <w:rPr>
          <w:rFonts w:ascii="Times New Roman" w:eastAsia="Times New Roman" w:hAnsi="Times New Roman"/>
          <w:iCs/>
          <w:sz w:val="24"/>
          <w:szCs w:val="24"/>
          <w:vertAlign w:val="superscript"/>
          <w:lang w:eastAsia="hr-HR"/>
        </w:rPr>
        <w:t>-3</w:t>
      </w:r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za pojedini </w:t>
      </w:r>
      <w:proofErr w:type="spellStart"/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radionuklid</w:t>
      </w:r>
      <w:proofErr w:type="spellEnd"/>
      <w:r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.“.</w:t>
      </w:r>
    </w:p>
    <w:p w14:paraId="31891249" w14:textId="77777777" w:rsidR="00A065AF" w:rsidRPr="00244C08" w:rsidRDefault="00A065AF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</w:p>
    <w:p w14:paraId="6CA63B17" w14:textId="77777777" w:rsidR="003C45CC" w:rsidRDefault="003C45CC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</w:pPr>
    </w:p>
    <w:p w14:paraId="6B57DC82" w14:textId="77777777" w:rsidR="003C45CC" w:rsidRDefault="003C45CC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</w:pPr>
    </w:p>
    <w:p w14:paraId="0F40B368" w14:textId="77777777" w:rsidR="003C45CC" w:rsidRDefault="003C45CC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</w:pPr>
    </w:p>
    <w:p w14:paraId="4E6B00A0" w14:textId="24B357EC" w:rsidR="00A065AF" w:rsidRPr="008923C5" w:rsidRDefault="00EF756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</w:pPr>
      <w:r w:rsidRPr="008923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Članak </w:t>
      </w:r>
      <w:r w:rsidR="00F266B7" w:rsidRPr="008923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  <w:t>6</w:t>
      </w:r>
      <w:r w:rsidRPr="008923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en-GB"/>
        </w:rPr>
        <w:t>.</w:t>
      </w:r>
    </w:p>
    <w:p w14:paraId="7E18B138" w14:textId="77777777" w:rsidR="00A065AF" w:rsidRPr="008923C5" w:rsidRDefault="00A065AF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iCs/>
          <w:sz w:val="24"/>
          <w:szCs w:val="24"/>
          <w:bdr w:val="none" w:sz="0" w:space="0" w:color="auto" w:frame="1"/>
          <w:lang w:eastAsia="en-GB"/>
        </w:rPr>
      </w:pPr>
    </w:p>
    <w:p w14:paraId="264098E0" w14:textId="6C39C1F8" w:rsidR="007D59E5" w:rsidRDefault="00EF756D" w:rsidP="008923C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Naslov iznad članka 12. mijenj</w:t>
      </w:r>
      <w:r w:rsidR="008923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a se</w:t>
      </w: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i glas</w:t>
      </w:r>
      <w:r w:rsidR="008923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i</w:t>
      </w:r>
      <w:r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:</w:t>
      </w:r>
      <w:r w:rsidR="008923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="008923C5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>„</w:t>
      </w:r>
      <w:r w:rsidRPr="00244C08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Praćenje vrste i aktivnosti </w:t>
      </w:r>
      <w:proofErr w:type="spellStart"/>
      <w:r w:rsidR="008923C5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radionuklida</w:t>
      </w:r>
      <w:proofErr w:type="spellEnd"/>
      <w:r w:rsidR="008923C5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="008923C5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bioindikatorima</w:t>
      </w:r>
      <w:proofErr w:type="spellEnd"/>
      <w:r w:rsidR="008923C5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  <w:t>“.</w:t>
      </w:r>
    </w:p>
    <w:p w14:paraId="0B309AB1" w14:textId="62AB34FE" w:rsidR="008923C5" w:rsidRDefault="008923C5" w:rsidP="008923C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en-GB"/>
        </w:rPr>
      </w:pPr>
    </w:p>
    <w:p w14:paraId="02F768BE" w14:textId="277B336C" w:rsidR="00EF756D" w:rsidRPr="00244C08" w:rsidRDefault="008923C5" w:rsidP="008923C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en-GB"/>
        </w:rPr>
        <w:tab/>
      </w:r>
      <w:r w:rsidR="00EF756D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U članku 12. stav</w:t>
      </w:r>
      <w:r w:rsidR="00D86530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k</w:t>
      </w:r>
      <w:r w:rsidR="00A61691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u</w:t>
      </w:r>
      <w:r w:rsidR="00EF756D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1. riječi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:</w:t>
      </w:r>
      <w:r w:rsidR="00EF756D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„</w:t>
      </w:r>
      <w:proofErr w:type="spellStart"/>
      <w:r w:rsidR="00E40EB2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bioindikatorskih</w:t>
      </w:r>
      <w:proofErr w:type="spellEnd"/>
      <w:r w:rsidR="00E40EB2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 xml:space="preserve"> organizama“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zamjenjuju se riječju: „</w:t>
      </w:r>
      <w:proofErr w:type="spellStart"/>
      <w:r w:rsidR="00EF756D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bioindikatora</w:t>
      </w:r>
      <w:proofErr w:type="spellEnd"/>
      <w:r w:rsidR="00EF756D" w:rsidRPr="00244C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GB"/>
        </w:rPr>
        <w:t>“.</w:t>
      </w:r>
      <w:r w:rsidR="0087358B" w:rsidRPr="00244C08">
        <w:rPr>
          <w:rFonts w:ascii="Times New Roman" w:hAnsi="Times New Roman"/>
          <w:sz w:val="24"/>
          <w:szCs w:val="24"/>
        </w:rPr>
        <w:t xml:space="preserve"> </w:t>
      </w:r>
    </w:p>
    <w:p w14:paraId="63F67360" w14:textId="77777777" w:rsidR="005B0BE7" w:rsidRPr="00244C08" w:rsidRDefault="005B0BE7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71575F" w14:textId="77777777" w:rsidR="005B0BE7" w:rsidRPr="00244C08" w:rsidRDefault="005B0BE7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3F888C" w14:textId="3C7FB460" w:rsidR="007E6CF8" w:rsidRDefault="007E6CF8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266B7"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>7</w:t>
      </w:r>
      <w:r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EA5C380" w14:textId="0887D636" w:rsidR="006F656A" w:rsidRDefault="006F656A" w:rsidP="006F656A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5E3186EB" w14:textId="1FEBCA1D" w:rsidR="006F656A" w:rsidRDefault="006F656A" w:rsidP="006F656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>U članku 13. stavak 1. mijenja se i glasi:</w:t>
      </w:r>
    </w:p>
    <w:p w14:paraId="33B5774E" w14:textId="53AEAAB9" w:rsidR="006F656A" w:rsidRDefault="006F656A" w:rsidP="006F656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ED86EAB" w14:textId="2569BD80" w:rsidR="006F656A" w:rsidRDefault="006F656A" w:rsidP="006F656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>„(1) Uzorci vode za piće uzimaju se na izvorištu, crpilištu, punionicama te mjestu potrošnje vode za piće i iz spremnika za kišnicu.“.</w:t>
      </w:r>
    </w:p>
    <w:p w14:paraId="6497A63F" w14:textId="28D1BB6B" w:rsidR="006F656A" w:rsidRDefault="006F656A" w:rsidP="006F656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10FCD5E" w14:textId="26464C4B" w:rsidR="006F656A" w:rsidRDefault="006F656A" w:rsidP="006F656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1E9951C" w14:textId="06B771D8" w:rsidR="006F656A" w:rsidRPr="006F656A" w:rsidRDefault="006F656A" w:rsidP="006F656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Članak 8.</w:t>
      </w:r>
    </w:p>
    <w:p w14:paraId="4021F212" w14:textId="71506717" w:rsidR="007E6CF8" w:rsidRPr="00244C08" w:rsidRDefault="007E6CF8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48FD34B" w14:textId="192C0F5E" w:rsidR="007E6CF8" w:rsidRPr="00244C08" w:rsidRDefault="007E6CF8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  <w:t>U članku 17. stavku 1. iza riječi</w:t>
      </w:r>
      <w:r w:rsidR="008923C5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„koncentracija“ dodaje se riječ „aktivnosti“.</w:t>
      </w:r>
    </w:p>
    <w:p w14:paraId="76C1CBB7" w14:textId="03B1216C" w:rsidR="007E6CF8" w:rsidRPr="00244C08" w:rsidRDefault="007E6CF8" w:rsidP="007E6CF8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D5BDC1D" w14:textId="08182100" w:rsidR="007E6CF8" w:rsidRPr="00244C08" w:rsidRDefault="007E6CF8" w:rsidP="007E6CF8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0B6B606" w14:textId="30C421FB" w:rsidR="007E6CF8" w:rsidRPr="008923C5" w:rsidRDefault="007E6CF8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9</w:t>
      </w:r>
      <w:r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0524C0C2" w14:textId="6E037671" w:rsidR="007E6CF8" w:rsidRPr="00244C08" w:rsidRDefault="007E6CF8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B380296" w14:textId="77777777" w:rsidR="008923C5" w:rsidRDefault="007E6CF8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Članak 18. mijenja se i glasi: </w:t>
      </w:r>
    </w:p>
    <w:p w14:paraId="3DFCCC0E" w14:textId="77777777" w:rsidR="008923C5" w:rsidRDefault="008923C5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E3AE16" w14:textId="262D05B6" w:rsidR="007E6CF8" w:rsidRPr="00244C08" w:rsidRDefault="007E6CF8" w:rsidP="004245F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„Ispitivanje i praćenje vrste i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okolišu, vodi za piće, hrani, hrani za životinje te stambenim i radnim prostorima te mjerenje brzine ambijentalnog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u okolišu smiju obavljati stručni tehnički servisi za obavljanje poslova radiološke sigurnosti ovlašteni za ispitivanje i praćenje vrste i aktivnosti radioaktivnih tvari u zraku, tlu, moru, rijekama, jezerima, podzemnim vodama, oborinama, vodi za piće, hrani i potrošačkim proizvodima.“</w:t>
      </w:r>
      <w:r w:rsidR="008923C5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746E0A2D" w14:textId="65AE92CE" w:rsidR="00520DFF" w:rsidRPr="00244C08" w:rsidRDefault="00520DFF" w:rsidP="007D59E5">
      <w:pPr>
        <w:spacing w:after="48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542CCB6" w14:textId="53D6BAE8" w:rsidR="00EF756D" w:rsidRPr="00244C08" w:rsidRDefault="00EF756D" w:rsidP="007D59E5">
      <w:pPr>
        <w:spacing w:after="48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FCD4B18" w14:textId="36CE837B" w:rsidR="007E6CF8" w:rsidRPr="008923C5" w:rsidRDefault="007E6CF8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10</w:t>
      </w:r>
      <w:r w:rsidRPr="008923C5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634BC75" w14:textId="602EBED3" w:rsidR="007E6CF8" w:rsidRPr="00244C08" w:rsidRDefault="007E6CF8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777BCB4" w14:textId="56785CD7" w:rsidR="007D59E5" w:rsidRPr="00244C08" w:rsidRDefault="007E6CF8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Članak 19. mijenja se i glasi:</w:t>
      </w:r>
    </w:p>
    <w:p w14:paraId="766AD526" w14:textId="77777777" w:rsidR="007D59E5" w:rsidRPr="00244C08" w:rsidRDefault="007D59E5" w:rsidP="007D59E5">
      <w:pPr>
        <w:spacing w:after="48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4BD749F" w14:textId="5EA27AC3" w:rsidR="007D59E5" w:rsidRPr="00244C08" w:rsidRDefault="007E6CF8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(1) </w:t>
      </w:r>
      <w:r w:rsidR="00CC6086" w:rsidRPr="00244C08">
        <w:rPr>
          <w:rFonts w:ascii="Times New Roman" w:eastAsia="Times New Roman" w:hAnsi="Times New Roman"/>
          <w:sz w:val="24"/>
          <w:szCs w:val="24"/>
          <w:lang w:eastAsia="en-GB"/>
        </w:rPr>
        <w:t>L</w:t>
      </w:r>
      <w:r w:rsidR="008620CD" w:rsidRPr="00244C08">
        <w:rPr>
          <w:rFonts w:ascii="Times New Roman" w:eastAsia="Times New Roman" w:hAnsi="Times New Roman"/>
          <w:sz w:val="24"/>
          <w:szCs w:val="24"/>
          <w:lang w:eastAsia="en-GB"/>
        </w:rPr>
        <w:t>okacije</w:t>
      </w:r>
      <w:r w:rsidR="00E71D91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i/ili mjesta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uzorkovanja, učestalost uzimanja uzoraka i ispitivanje vrste i aktivnosti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te vrstu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koji se ispituju u uzorcima iz okoliša, vodi za piće, hrani, hrani za životinje te stambenim i radnim prostorima za svaku kalendarsku godinu utvrđuje</w:t>
      </w:r>
      <w:r w:rsidR="00CC6086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Ministarstvo </w:t>
      </w:r>
      <w:r w:rsidR="00112631">
        <w:rPr>
          <w:rFonts w:ascii="Times New Roman" w:eastAsia="Times New Roman" w:hAnsi="Times New Roman"/>
          <w:sz w:val="24"/>
          <w:szCs w:val="24"/>
          <w:lang w:eastAsia="en-GB"/>
        </w:rPr>
        <w:t xml:space="preserve">unutarnjih poslova (u daljnjem tekstu: Ministarstvo)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godišnjim programom (u daljnjem tekstu: Godišnji program).</w:t>
      </w:r>
    </w:p>
    <w:p w14:paraId="532FDCFD" w14:textId="77C056AA" w:rsidR="007D59E5" w:rsidRPr="00244C08" w:rsidRDefault="007D59E5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(2) Za svaku kalendarsku godinu, do 30. studenog tekuće godine, Ministarstvo utvrđuje Godišnji program za sljedeću godinu.</w:t>
      </w:r>
    </w:p>
    <w:p w14:paraId="6E3DBEF5" w14:textId="31994E01" w:rsidR="007D59E5" w:rsidRPr="00244C08" w:rsidRDefault="007D59E5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(3) Provedbu Godišnjeg programa </w:t>
      </w:r>
      <w:r w:rsidR="00022046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može obavljati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ovlašteni stručni tehnički servis</w:t>
      </w:r>
      <w:r w:rsidR="00BF3B7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0BAD" w:rsidRPr="00244C08">
        <w:rPr>
          <w:rFonts w:ascii="Times New Roman" w:eastAsia="Times New Roman" w:hAnsi="Times New Roman"/>
          <w:sz w:val="24"/>
          <w:szCs w:val="24"/>
          <w:lang w:eastAsia="en-GB"/>
        </w:rPr>
        <w:t>iz članka 18. ovoga Pravilnika</w:t>
      </w:r>
      <w:r w:rsidR="00CC6086" w:rsidRPr="00244C0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0BA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a </w:t>
      </w:r>
      <w:r w:rsidR="0081432A">
        <w:rPr>
          <w:rFonts w:ascii="Times New Roman" w:eastAsia="Times New Roman" w:hAnsi="Times New Roman"/>
          <w:sz w:val="24"/>
          <w:szCs w:val="24"/>
          <w:lang w:eastAsia="en-GB"/>
        </w:rPr>
        <w:t xml:space="preserve">na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temelj</w:t>
      </w:r>
      <w:r w:rsidR="0081432A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provedenog </w:t>
      </w:r>
      <w:r w:rsidR="00022046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javnog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natječaja.</w:t>
      </w:r>
      <w:r w:rsidR="007E6CF8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</w:p>
    <w:p w14:paraId="488769DD" w14:textId="0DF531CF" w:rsidR="0078456E" w:rsidRPr="00244C08" w:rsidRDefault="0078456E" w:rsidP="005B0BE7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284829B" w14:textId="44E1FED8" w:rsidR="0078456E" w:rsidRPr="00244C08" w:rsidRDefault="0078456E" w:rsidP="007E6CF8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FA783D" w14:textId="540D203E" w:rsidR="007E6CF8" w:rsidRPr="004245F1" w:rsidRDefault="007E6CF8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lastRenderedPageBreak/>
        <w:t>Članak 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1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2A5E4531" w14:textId="77777777" w:rsidR="0078456E" w:rsidRPr="00244C08" w:rsidRDefault="0078456E" w:rsidP="001E79F7">
      <w:pPr>
        <w:spacing w:after="0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1FE1D6A" w14:textId="37712BA8" w:rsidR="004245F1" w:rsidRDefault="00FC512A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  <w:t>U članku 20. stav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ku 1. riječ: „Zavodu“ zamjenjuju se riječju: „Ministarstvu“.</w:t>
      </w:r>
    </w:p>
    <w:p w14:paraId="7A7D6296" w14:textId="373C1F7C" w:rsidR="004245F1" w:rsidRDefault="004245F1" w:rsidP="004245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U stavku 5.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riječ: „Zavod“ zamjenjuje se riječju: „Ministarstvo“.</w:t>
      </w:r>
    </w:p>
    <w:p w14:paraId="7B5B9498" w14:textId="4625F190" w:rsidR="004245F1" w:rsidRDefault="004245F1" w:rsidP="004245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>U stavku 6. riječ: „Zavodu“ zamjenjuju se riječju: „Ministarstvu“.</w:t>
      </w:r>
    </w:p>
    <w:p w14:paraId="1890AFCA" w14:textId="329E3DE2" w:rsidR="004245F1" w:rsidRPr="00244C08" w:rsidRDefault="004245F1" w:rsidP="004245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4A2A2CB" w14:textId="6B7EFC11" w:rsidR="004245F1" w:rsidRDefault="004245F1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EA9BF35" w14:textId="4A6ED554" w:rsidR="00FC512A" w:rsidRPr="004245F1" w:rsidRDefault="00FC512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Članak 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2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2C0B350" w14:textId="65AC09A8" w:rsidR="00FC512A" w:rsidRPr="00244C08" w:rsidRDefault="00FC512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A053DA8" w14:textId="77777777" w:rsidR="004245F1" w:rsidRDefault="00FC512A" w:rsidP="001E79F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  <w:t>Članak 21. mijenja se i glasi:</w:t>
      </w:r>
      <w:r w:rsidRPr="00244C08">
        <w:rPr>
          <w:rFonts w:ascii="Times New Roman" w:hAnsi="Times New Roman"/>
          <w:sz w:val="24"/>
          <w:szCs w:val="24"/>
        </w:rPr>
        <w:t xml:space="preserve"> </w:t>
      </w:r>
    </w:p>
    <w:p w14:paraId="77A4623F" w14:textId="77777777" w:rsidR="004245F1" w:rsidRDefault="004245F1" w:rsidP="001E79F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3FB6D24" w14:textId="261B1293" w:rsidR="00FC512A" w:rsidRPr="00244C08" w:rsidRDefault="00FC512A" w:rsidP="004245F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hAnsi="Times New Roman"/>
          <w:sz w:val="24"/>
          <w:szCs w:val="24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Ovlašteni stručni tehnički servis za poslove radiološke sigurnosti iz članka 18. ovoga Pravilnika obvezan je, bez odgađanja, izvijestiti u pisanom obliku inspekciju</w:t>
      </w:r>
      <w:r w:rsidR="00E40EB2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 radiološku i nuklearnu sigurnost</w:t>
      </w:r>
      <w:r w:rsidR="0087358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Ministarstva ako su za vrijeme provedbe praćenja stanja okoliša izmjerene vrijednosti koncentracije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iznad uobičajenih fluktuacija vrijednosti, odnosno ako brzina ambijentalnog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prelazi 300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nSv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/h.“.</w:t>
      </w:r>
    </w:p>
    <w:p w14:paraId="5FC60E63" w14:textId="77777777" w:rsidR="005B0BE7" w:rsidRPr="00244C08" w:rsidRDefault="005B0BE7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2C7D347" w14:textId="77777777" w:rsidR="005B0BE7" w:rsidRPr="00244C08" w:rsidRDefault="005B0BE7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A9443FE" w14:textId="688F099E" w:rsidR="00FC512A" w:rsidRPr="004245F1" w:rsidRDefault="00FC512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Članak 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3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551D4422" w14:textId="77777777" w:rsidR="00FC512A" w:rsidRPr="00244C08" w:rsidRDefault="00FC512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B60370" w14:textId="2C59E0D9" w:rsidR="00FC512A" w:rsidRPr="00244C08" w:rsidRDefault="00FC512A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članku 22. 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01C5A387" w14:textId="0DF931F8" w:rsidR="00FC512A" w:rsidRPr="00244C08" w:rsidRDefault="00FC512A" w:rsidP="00FC512A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83B242" w14:textId="4F744E02" w:rsidR="00FC512A" w:rsidRPr="004245F1" w:rsidRDefault="00FC512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Članak 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4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62B5A5BA" w14:textId="6DA3AC81" w:rsidR="00FC512A" w:rsidRPr="00244C08" w:rsidRDefault="00FC512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6299047" w14:textId="754B97A7" w:rsidR="00FC512A" w:rsidRPr="00244C08" w:rsidRDefault="008D7C12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Č</w:t>
      </w:r>
      <w:r w:rsidR="00FC512A" w:rsidRPr="00244C08">
        <w:rPr>
          <w:rFonts w:ascii="Times New Roman" w:eastAsia="Times New Roman" w:hAnsi="Times New Roman"/>
          <w:sz w:val="24"/>
          <w:szCs w:val="24"/>
          <w:lang w:eastAsia="en-GB"/>
        </w:rPr>
        <w:t>lan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FC512A" w:rsidRPr="00244C08">
        <w:rPr>
          <w:rFonts w:ascii="Times New Roman" w:eastAsia="Times New Roman" w:hAnsi="Times New Roman"/>
          <w:sz w:val="24"/>
          <w:szCs w:val="24"/>
          <w:lang w:eastAsia="en-GB"/>
        </w:rPr>
        <w:t>k 23. mijenja se i glasi:</w:t>
      </w:r>
    </w:p>
    <w:p w14:paraId="3159E3D3" w14:textId="77777777" w:rsidR="004245F1" w:rsidRDefault="004245F1" w:rsidP="008D7C1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6FC3D9F" w14:textId="63744D53" w:rsidR="008D7C12" w:rsidRPr="00244C08" w:rsidRDefault="008D7C12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„(1) Investitor koji namjerava graditi nov</w:t>
      </w:r>
      <w:r w:rsidR="003C45CC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C45CC">
        <w:rPr>
          <w:rFonts w:ascii="Times New Roman" w:eastAsia="Times New Roman" w:hAnsi="Times New Roman"/>
          <w:sz w:val="24"/>
          <w:szCs w:val="24"/>
          <w:lang w:eastAsia="en-GB"/>
        </w:rPr>
        <w:t>građevinu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ili rekonstruirati ili prenamijeniti postojeću</w:t>
      </w:r>
      <w:r w:rsidR="0087358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građevinu, mora prije početka gradnje ili prenamjene osigurati provedbu prethodnog utvrđivanja stanja okoliša građevine.</w:t>
      </w:r>
    </w:p>
    <w:p w14:paraId="75D4ED9A" w14:textId="05303406" w:rsidR="008D7C12" w:rsidRPr="00244C08" w:rsidRDefault="008D7C12" w:rsidP="004245F1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(2) Rezultate provedbe prethodnog utvrđivanja stanja okoliša građevine investitor iz stavka 1. ovoga članka mora predati budućem korisniku građevine.</w:t>
      </w:r>
    </w:p>
    <w:p w14:paraId="04AC1BEB" w14:textId="728F2A8F" w:rsidR="008D7C12" w:rsidRPr="00244C08" w:rsidRDefault="008D7C12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(3) Korisnik građevine, obvezan je rezultate iz stavka 2. ovoga članka koristiti u izradi analize rizika koja se izrađuje u skladu s posebnim propisom.</w:t>
      </w:r>
    </w:p>
    <w:p w14:paraId="3B1DCC32" w14:textId="018299D7" w:rsidR="00FC512A" w:rsidRPr="00244C08" w:rsidRDefault="008D7C12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(4) Tijekom projektiranja, građenja, uporabe i održavanja građevine, investitor, odnosno vlasnik i korisnik građevine, dužni su poštivati odredbe posebnih propisa kojima je uređeno upravno područje gradnje i prostornog uređenja.“</w:t>
      </w:r>
      <w:r w:rsidR="00E40EB2"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42975BA3" w14:textId="77777777" w:rsidR="00FC512A" w:rsidRPr="00244C08" w:rsidRDefault="00FC512A" w:rsidP="00FC512A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0A2FD3D" w14:textId="55CAA8F5" w:rsidR="0078456E" w:rsidRPr="004245F1" w:rsidRDefault="008D7C12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Članak 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5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2D3F8017" w14:textId="7821B3C4" w:rsidR="008D7C12" w:rsidRPr="00244C08" w:rsidRDefault="008D7C12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AACF272" w14:textId="64A2B59C" w:rsidR="007D59E5" w:rsidRPr="00244C08" w:rsidRDefault="000B1700" w:rsidP="000B17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Č</w:t>
      </w:r>
      <w:r w:rsidR="008D7C12" w:rsidRPr="00244C08">
        <w:rPr>
          <w:rFonts w:ascii="Times New Roman" w:eastAsia="Times New Roman" w:hAnsi="Times New Roman"/>
          <w:sz w:val="24"/>
          <w:szCs w:val="24"/>
          <w:lang w:eastAsia="en-GB"/>
        </w:rPr>
        <w:t>lan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8D7C12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k 24. mijenja se i glasi: </w:t>
      </w:r>
    </w:p>
    <w:p w14:paraId="37DDF341" w14:textId="77777777" w:rsidR="007D59E5" w:rsidRPr="00244C08" w:rsidRDefault="007D59E5" w:rsidP="007D59E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8C9D768" w14:textId="4C08693C" w:rsidR="007D59E5" w:rsidRPr="00244C08" w:rsidRDefault="000B1700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(1) 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Ako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se analizom rizika koja se izrađuje sukladno pravilniku kojim se  </w:t>
      </w:r>
      <w:r w:rsidR="009D1C9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propisuju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uvjeti i mjere zaštite od ionizirajućeg zračenja za obavljanje djelatnosti s izvorima ionizirajućeg zračenja </w:t>
      </w:r>
      <w:r w:rsidR="007D59E5" w:rsidRPr="00244C08">
        <w:rPr>
          <w:rFonts w:ascii="Times New Roman" w:eastAsia="Times New Roman" w:hAnsi="Times New Roman"/>
          <w:bCs/>
          <w:sz w:val="24"/>
          <w:szCs w:val="24"/>
          <w:lang w:eastAsia="en-GB"/>
        </w:rPr>
        <w:t>utvrdi</w:t>
      </w:r>
      <w:r w:rsidR="007D59E5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da rad objekta zbog ispuštanja umjetno stvorenih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rezultira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ozračenjem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reprezentativne </w:t>
      </w:r>
      <w:r w:rsidR="007D59E5" w:rsidRPr="00244C08">
        <w:rPr>
          <w:rFonts w:ascii="Times New Roman" w:eastAsia="Times New Roman" w:hAnsi="Times New Roman"/>
          <w:bCs/>
          <w:sz w:val="24"/>
          <w:szCs w:val="24"/>
          <w:lang w:eastAsia="en-GB"/>
        </w:rPr>
        <w:t>osobe</w:t>
      </w:r>
      <w:r w:rsidR="00E40D47" w:rsidRPr="00244C08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≤ 10 </w:t>
      </w:r>
      <w:proofErr w:type="spellStart"/>
      <w:r w:rsidR="00E40D47" w:rsidRPr="00244C08">
        <w:rPr>
          <w:rFonts w:ascii="Times New Roman" w:eastAsia="Times New Roman" w:hAnsi="Times New Roman"/>
          <w:bCs/>
          <w:sz w:val="24"/>
          <w:szCs w:val="24"/>
          <w:lang w:eastAsia="en-GB"/>
        </w:rPr>
        <w:t>μSv</w:t>
      </w:r>
      <w:proofErr w:type="spellEnd"/>
      <w:r w:rsidR="00E40D4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godini dana,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a </w:t>
      </w:r>
      <w:r w:rsidR="0081432A">
        <w:rPr>
          <w:rFonts w:ascii="Times New Roman" w:eastAsia="Times New Roman" w:hAnsi="Times New Roman"/>
          <w:sz w:val="24"/>
          <w:szCs w:val="24"/>
          <w:lang w:eastAsia="en-GB"/>
        </w:rPr>
        <w:t>ako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objekt nije inherentno siguran</w:t>
      </w:r>
      <w:r w:rsidR="00E40EB2" w:rsidRPr="00244C0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nositelj</w:t>
      </w:r>
      <w:r w:rsidR="00CD130A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odobrenja za djelatnost mora nadzirati ispuštanja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 objekta te o tome voditi evidenciju.</w:t>
      </w:r>
    </w:p>
    <w:p w14:paraId="5259A5F8" w14:textId="20DB283C" w:rsidR="007D59E5" w:rsidRPr="00244C08" w:rsidRDefault="00CE1CEB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2) 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Ako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se analizom rizika utvrdi da rad objekta može rezultirati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ozračenjem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reprezentativne osobe iznad 10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μSv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godini dana zbog ispuštanja umjetno stvorenih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9D1C95" w:rsidRPr="00244C0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nositelj </w:t>
      </w:r>
      <w:r w:rsidR="009D1C95" w:rsidRPr="00244C08">
        <w:rPr>
          <w:rFonts w:ascii="Times New Roman" w:eastAsia="Times New Roman" w:hAnsi="Times New Roman"/>
          <w:sz w:val="24"/>
          <w:szCs w:val="24"/>
          <w:lang w:eastAsia="en-GB"/>
        </w:rPr>
        <w:t>odobrenja</w:t>
      </w:r>
      <w:r w:rsidR="00CD130A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44E64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(za djelatnost nuklearnog gorivog ciklusa, velikih istraživačkih objekata, postrojenja za proizvodnju </w:t>
      </w:r>
      <w:proofErr w:type="spellStart"/>
      <w:r w:rsidR="00344E64" w:rsidRPr="00244C08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radioizotopa</w:t>
      </w:r>
      <w:proofErr w:type="spellEnd"/>
      <w:r w:rsidR="00344E64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odjela nuklearne medicine)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obvezan je izraditi Program praćenja stanja objekta i okoliša objekta u skladu s točkom A Priloga 1. koji je sastavni dio ovoga Pravilnika te osigurati provođenje praćenja stanja objekta i okoliša objekta u skladu s točkom B i točkom C Priloga 1. ovoga Pravilnika.</w:t>
      </w:r>
    </w:p>
    <w:p w14:paraId="5440F83B" w14:textId="23FAFE60" w:rsidR="007D59E5" w:rsidRPr="00244C08" w:rsidRDefault="007D59E5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(3) Opseg, učestalost i trajanje praćenja stanja</w:t>
      </w:r>
      <w:r w:rsidR="00CD130A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objekta i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okoliša objekta iz stavka 2. ovoga članka mora biti u skladu s procijenjenim utjecajem objekta na reprezentativ</w:t>
      </w:r>
      <w:r w:rsidR="00CD130A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nu osobu uzimajući u obzir pojedini </w:t>
      </w:r>
      <w:proofErr w:type="spellStart"/>
      <w:r w:rsidR="00CD130A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putove i način širenja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okolišu te ostale značajke okoliša koje mogu pridonijeti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ozračenju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4F1482B7" w14:textId="3D010E6C" w:rsidR="007D59E5" w:rsidRPr="00244C08" w:rsidRDefault="007D59E5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(4) </w:t>
      </w:r>
      <w:r w:rsidR="00C96C3E" w:rsidRPr="00244C08">
        <w:rPr>
          <w:rFonts w:ascii="Times New Roman" w:eastAsia="Times New Roman" w:hAnsi="Times New Roman"/>
          <w:sz w:val="24"/>
          <w:szCs w:val="24"/>
          <w:lang w:eastAsia="en-GB"/>
        </w:rPr>
        <w:t>Program praćenja stanja objekta</w:t>
      </w:r>
      <w:r w:rsidR="00CE1CE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okoliša objekta</w:t>
      </w:r>
      <w:r w:rsidR="00C96C3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 stavka 2. ovoga članka odobrava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C96C3E"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60E78530" w14:textId="6E5AB1C0" w:rsidR="007D59E5" w:rsidRPr="00244C08" w:rsidRDefault="007D59E5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(5) </w:t>
      </w:r>
      <w:r w:rsidR="00C96C3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Program praćenja stanja objekta iz stavka 2. ovoga članka potrebno je revidirati jednom godišnje, a osobito pri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svakoj izmjeni radnih uvjeta koji mogu utjecati na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ozračenje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stanovništva ili okoliša.</w:t>
      </w:r>
    </w:p>
    <w:p w14:paraId="53F239EA" w14:textId="6AE0FB28" w:rsidR="00055C68" w:rsidRPr="00244C08" w:rsidRDefault="007D59E5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(6) </w:t>
      </w:r>
      <w:r w:rsidR="00C96C3E" w:rsidRPr="00244C08">
        <w:rPr>
          <w:rFonts w:ascii="Times New Roman" w:eastAsia="Times New Roman" w:hAnsi="Times New Roman"/>
          <w:sz w:val="24"/>
          <w:szCs w:val="24"/>
          <w:lang w:eastAsia="en-GB"/>
        </w:rPr>
        <w:t>Korisnik objekta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dužan je</w:t>
      </w:r>
      <w:r w:rsidR="00055C68" w:rsidRPr="00244C08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6163A378" w14:textId="77278DAD" w:rsidR="00055C68" w:rsidRPr="00244C08" w:rsidRDefault="00055C68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a)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voditi evidenciju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mjerenja</w:t>
      </w:r>
      <w:r w:rsidR="00E40D4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procjena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40D4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provedenih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sklopu </w:t>
      </w:r>
      <w:r w:rsidR="00C96C3E" w:rsidRPr="00244C08">
        <w:rPr>
          <w:rFonts w:ascii="Times New Roman" w:eastAsia="Times New Roman" w:hAnsi="Times New Roman"/>
          <w:sz w:val="24"/>
          <w:szCs w:val="24"/>
          <w:lang w:eastAsia="en-GB"/>
        </w:rPr>
        <w:t>praćenja stanja objekta</w:t>
      </w:r>
    </w:p>
    <w:p w14:paraId="2CED730E" w14:textId="0DFE9C2B" w:rsidR="007D59E5" w:rsidRPr="00244C08" w:rsidRDefault="00055C68" w:rsidP="004245F1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b)</w:t>
      </w:r>
      <w:r w:rsidR="00504FB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40D4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na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zahtjev osigurati </w:t>
      </w:r>
      <w:r w:rsidR="00E40D4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dostupnost podataka 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mjerenj</w:t>
      </w:r>
      <w:r w:rsidR="00E40D47" w:rsidRPr="00244C08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vanjskog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radioaktivnog onečišćenja, procjene unosa 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rezultate procjene </w:t>
      </w:r>
      <w:proofErr w:type="spellStart"/>
      <w:r w:rsidR="00D82C7F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D82C7F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reprezentativne osobe svim dionicima.</w:t>
      </w:r>
      <w:r w:rsidR="000B1700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  <w:r w:rsidR="00D82C7F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4C4CFEDF" w14:textId="72C858B5" w:rsidR="006F15EB" w:rsidRPr="00244C08" w:rsidRDefault="006F15EB" w:rsidP="006F15E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3394F97" w14:textId="2AE23A90" w:rsidR="006F15EB" w:rsidRPr="004245F1" w:rsidRDefault="006F15EB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Članak 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6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4AD20FC7" w14:textId="77B42BB8" w:rsidR="006F15EB" w:rsidRPr="00244C08" w:rsidRDefault="006F15EB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E96A26" w14:textId="4AF08FFF" w:rsidR="00882E72" w:rsidRPr="00244C08" w:rsidRDefault="006F15EB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25. stavcima 1.</w:t>
      </w:r>
      <w:r w:rsidR="0087358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i  2., 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348C5269" w14:textId="06424B3B" w:rsidR="006F15EB" w:rsidRPr="00244C08" w:rsidRDefault="006F15EB" w:rsidP="006F15EB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84CDC0B" w14:textId="77A26204" w:rsidR="006F15EB" w:rsidRPr="00244C08" w:rsidRDefault="006F15EB" w:rsidP="006F15EB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62063D" w14:textId="07ADDD1D" w:rsidR="006F15EB" w:rsidRPr="004245F1" w:rsidRDefault="006F15EB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bookmarkStart w:id="1" w:name="_Hlk64464530"/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93535E"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7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17491DDE" w14:textId="29805D01" w:rsidR="006F15EB" w:rsidRPr="00244C08" w:rsidRDefault="006F15EB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D64ADF" w14:textId="2D0335B0" w:rsidR="004245F1" w:rsidRDefault="006F15EB" w:rsidP="004245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  <w:t>U članku 27. stav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 xml:space="preserve">ku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1.</w:t>
      </w:r>
      <w:r w:rsidR="0087358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riječ: „Zavodu“ zamjenjuju se riječju: „Ministarstvu“.</w:t>
      </w:r>
    </w:p>
    <w:p w14:paraId="3C7CAEE7" w14:textId="4E1927FD" w:rsidR="006F15EB" w:rsidRPr="00244C08" w:rsidRDefault="004245F1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U stavku 5. </w:t>
      </w:r>
      <w:r w:rsidR="006F15E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6F15EB"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6F15EB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6F15EB"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6F15EB"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bookmarkEnd w:id="1"/>
    <w:p w14:paraId="2D3CE8AA" w14:textId="77777777" w:rsidR="007D59E5" w:rsidRPr="00244C08" w:rsidRDefault="007D59E5" w:rsidP="005B0BE7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E2B688" w14:textId="3C8A34BE" w:rsidR="007D59E5" w:rsidRPr="00244C08" w:rsidRDefault="007D59E5" w:rsidP="00C4370D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D163E0F" w14:textId="3EA98626" w:rsidR="00C4370D" w:rsidRPr="004245F1" w:rsidRDefault="00C4370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266B7"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8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93F38D3" w14:textId="0973EC98" w:rsidR="00C4370D" w:rsidRPr="00244C08" w:rsidRDefault="00C4370D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50B0B6A" w14:textId="77777777" w:rsidR="004245F1" w:rsidRDefault="00C4370D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članku 28. stavak 1. mijenja se i glasi: </w:t>
      </w:r>
    </w:p>
    <w:p w14:paraId="65C9223A" w14:textId="77777777" w:rsidR="004245F1" w:rsidRDefault="004245F1" w:rsidP="004245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43341A4" w14:textId="62FED89E" w:rsidR="00C4370D" w:rsidRPr="00244C08" w:rsidRDefault="00C4370D" w:rsidP="004245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 xml:space="preserve">(1)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Ovlašteni stručni tehnički servis za poslove radiološke sigurnosti iz članka 26. ovoga Pravilnika neodgodivo izvješćuje u pisanom obliku uz obrazloženje inspekciju za radiološku i nuklearnu sigurnost Ministarstva ako su za vrijeme provedbe praćenja stanja okoliša objekta izmjerene vrijednosti koncentracije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iznad uobičajenih fluktuacija vrijednosti, odnosno ako brzina ambijentalnog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doznog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ekvivalenta prelazi 300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nSv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/h.</w:t>
      </w:r>
      <w:r w:rsidR="0087358B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</w:p>
    <w:p w14:paraId="46D9AB28" w14:textId="77777777" w:rsidR="00C4370D" w:rsidRPr="00244C08" w:rsidRDefault="00C4370D" w:rsidP="00C4370D">
      <w:pPr>
        <w:spacing w:after="48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F483319" w14:textId="7DF14800" w:rsidR="00C4370D" w:rsidRPr="00244C08" w:rsidRDefault="00C4370D" w:rsidP="004245F1">
      <w:pPr>
        <w:spacing w:after="48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stavku 2. 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189417AA" w14:textId="045C92E1" w:rsidR="00C4370D" w:rsidRPr="00244C08" w:rsidRDefault="00C4370D" w:rsidP="00C4370D">
      <w:pPr>
        <w:spacing w:after="48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E7B651A" w14:textId="77777777" w:rsidR="00C4370D" w:rsidRPr="00244C08" w:rsidRDefault="00C4370D" w:rsidP="00C4370D">
      <w:pPr>
        <w:spacing w:after="48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6DFE1D7" w14:textId="08554C0E" w:rsidR="007D59E5" w:rsidRPr="004245F1" w:rsidRDefault="00C4370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266B7"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1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9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0BBE82E9" w14:textId="26B0EBC1" w:rsidR="00C4370D" w:rsidRPr="00244C08" w:rsidRDefault="00C4370D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9A32900" w14:textId="54E3E6BB" w:rsidR="00C4370D" w:rsidRPr="00244C08" w:rsidRDefault="00C4370D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članku 29. stavku 1. </w:t>
      </w:r>
      <w:r w:rsidR="004245F1" w:rsidRPr="00244C08">
        <w:rPr>
          <w:rFonts w:ascii="Times New Roman" w:eastAsia="Times New Roman" w:hAnsi="Times New Roman"/>
          <w:sz w:val="24"/>
          <w:szCs w:val="24"/>
          <w:lang w:eastAsia="en-GB"/>
        </w:rPr>
        <w:t>riječ: „Zavod“ zamjenjuje se riječju: „Ministarstvo“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 xml:space="preserve">, a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iza riječi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„mjerenje“ dodaje se riječ „brzine“.</w:t>
      </w:r>
    </w:p>
    <w:p w14:paraId="4C421A42" w14:textId="77777777" w:rsidR="00C4370D" w:rsidRPr="00244C08" w:rsidRDefault="00C4370D" w:rsidP="00C4370D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FF17087" w14:textId="565D5C08" w:rsidR="00C4370D" w:rsidRPr="00244C08" w:rsidRDefault="00C4370D" w:rsidP="004245F1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</w:t>
      </w:r>
      <w:r w:rsidR="004245F1">
        <w:rPr>
          <w:rFonts w:ascii="Times New Roman" w:eastAsia="Times New Roman" w:hAnsi="Times New Roman"/>
          <w:sz w:val="24"/>
          <w:szCs w:val="24"/>
          <w:lang w:eastAsia="en-GB"/>
        </w:rPr>
        <w:t>stavku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2. 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11F5E3E2" w14:textId="4C2C0CE2" w:rsidR="00C4370D" w:rsidRPr="004245F1" w:rsidRDefault="00C4370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lastRenderedPageBreak/>
        <w:t xml:space="preserve">Članak 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20</w:t>
      </w:r>
      <w:r w:rsidRPr="004245F1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6D8B7D3D" w14:textId="77777777" w:rsidR="00C4370D" w:rsidRPr="00244C08" w:rsidRDefault="00C4370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06EDE3B" w14:textId="0A77FBFE" w:rsidR="00504FBB" w:rsidRPr="00244C08" w:rsidRDefault="00C4370D" w:rsidP="004245F1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30. stavk</w:t>
      </w:r>
      <w:r w:rsidR="00A61691" w:rsidRPr="00244C08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1. 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„Zavod“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njuje se riječju: „Ministarstvo“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7EA54AE8" w14:textId="2637A85C" w:rsidR="00C4370D" w:rsidRPr="00244C08" w:rsidRDefault="00C4370D" w:rsidP="00C4370D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042917C" w14:textId="1E23372A" w:rsidR="00C4370D" w:rsidRPr="00244C08" w:rsidRDefault="00C4370D" w:rsidP="006636D7">
      <w:pPr>
        <w:spacing w:after="48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stavku 3. riječi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moguće je“ 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 xml:space="preserve">zamjenjuju se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 xml:space="preserve">ju: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„treba“.</w:t>
      </w:r>
    </w:p>
    <w:p w14:paraId="4D1FAAE1" w14:textId="7298A9CB" w:rsidR="00504FBB" w:rsidRPr="00244C08" w:rsidRDefault="00504FBB" w:rsidP="00C4370D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688BE9" w14:textId="77777777" w:rsidR="006636D7" w:rsidRDefault="006636D7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F001363" w14:textId="317739B7" w:rsidR="00C4370D" w:rsidRPr="006636D7" w:rsidRDefault="00C4370D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Članak 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1</w:t>
      </w: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4237FD6A" w14:textId="7901B42E" w:rsidR="00C4370D" w:rsidRPr="00244C08" w:rsidRDefault="00C4370D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16A3F66" w14:textId="58BCC1F7" w:rsidR="00C4370D" w:rsidRDefault="00C4370D" w:rsidP="001E79F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31. stavk</w:t>
      </w:r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3.  riječ: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, a točka 6. mijenja se i glasi:</w:t>
      </w:r>
    </w:p>
    <w:p w14:paraId="53866324" w14:textId="4A088A42" w:rsidR="0095466E" w:rsidRPr="00244C08" w:rsidRDefault="006636D7" w:rsidP="006636D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„6. </w:t>
      </w:r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procjenu </w:t>
      </w:r>
      <w:proofErr w:type="spellStart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radnika iz točke 4. ovoga stavka provodi se sukladno pravilniku koji propisuje granice </w:t>
      </w:r>
      <w:proofErr w:type="spellStart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preporučeno </w:t>
      </w:r>
      <w:proofErr w:type="spellStart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>dozno</w:t>
      </w:r>
      <w:proofErr w:type="spellEnd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ograničenje i procjenjivanje osobnog </w:t>
      </w:r>
      <w:proofErr w:type="spellStart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95466E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</w:p>
    <w:p w14:paraId="78627585" w14:textId="77777777" w:rsidR="0095466E" w:rsidRPr="00244C08" w:rsidRDefault="0095466E" w:rsidP="0095466E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5964F2A" w14:textId="45C9F45A" w:rsidR="0095466E" w:rsidRPr="00244C08" w:rsidRDefault="0095466E" w:rsidP="006636D7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s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tavku 4. 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„Zavodu“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Ministarstvu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“,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a 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„Zavoda“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Ministarstva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85F66FA" w14:textId="77777777" w:rsidR="0095466E" w:rsidRPr="00244C08" w:rsidRDefault="0095466E" w:rsidP="0095466E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E043D8D" w14:textId="588511C6" w:rsidR="0095466E" w:rsidRPr="00244C08" w:rsidRDefault="0095466E" w:rsidP="006636D7">
      <w:pPr>
        <w:spacing w:after="48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stavku 5. 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Zavodu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Ministarstvu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38590A9B" w14:textId="77777777" w:rsidR="006636D7" w:rsidRDefault="006636D7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EF97AE" w14:textId="552B71D5" w:rsidR="007D59E5" w:rsidRPr="006636D7" w:rsidRDefault="0095466E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Članak 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2</w:t>
      </w: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0A5482F6" w14:textId="092EF16E" w:rsidR="0095466E" w:rsidRPr="00244C08" w:rsidRDefault="0095466E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7C49B9" w14:textId="4AF8BD6A" w:rsidR="00C60EBA" w:rsidRPr="00244C08" w:rsidRDefault="00C60EBA" w:rsidP="00233F1F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34. stavku 3. 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D16EB2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Zavodu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Ministarstvu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</w:p>
    <w:p w14:paraId="68F0B877" w14:textId="340D8163" w:rsidR="00C60EBA" w:rsidRPr="00244C08" w:rsidRDefault="00C60EBA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stavcima 4.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i 5. riječ: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62AC78AC" w14:textId="0D9E425E" w:rsidR="00C60EBA" w:rsidRPr="00244C08" w:rsidRDefault="00C60EBA" w:rsidP="00233F1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B64C880" w14:textId="346C7A64" w:rsidR="00C60EBA" w:rsidRPr="00244C08" w:rsidRDefault="00C60EBA" w:rsidP="00C60EBA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0A02864" w14:textId="60C358A4" w:rsidR="00C60EBA" w:rsidRPr="006636D7" w:rsidRDefault="00C60EB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Članak 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3</w:t>
      </w: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40BC6651" w14:textId="16AE1B14" w:rsidR="00C60EBA" w:rsidRPr="00244C08" w:rsidRDefault="00C60EBA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ABEDB4E" w14:textId="05298DA2" w:rsidR="00C60EBA" w:rsidRPr="00244C08" w:rsidRDefault="00C60EBA" w:rsidP="00233F1F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35. stavku 1. 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riječju: 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2499A1BE" w14:textId="0CFD81BA" w:rsidR="00C60EBA" w:rsidRPr="00244C08" w:rsidRDefault="00C60EBA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stavku 2. riječ: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Zavodu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Ministarstvu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30518617" w14:textId="075CC88C" w:rsidR="00C60EBA" w:rsidRPr="00244C08" w:rsidRDefault="00C60EBA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stavcima 3.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i 4.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riječ: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„Zavod“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ED4447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719AB1DE" w14:textId="77777777" w:rsidR="007D59E5" w:rsidRPr="00244C08" w:rsidRDefault="007D59E5" w:rsidP="00233F1F">
      <w:pPr>
        <w:spacing w:after="0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3BCA320" w14:textId="74935A29" w:rsidR="007D59E5" w:rsidRPr="00244C08" w:rsidRDefault="007D59E5" w:rsidP="007D59E5">
      <w:pPr>
        <w:spacing w:after="48" w:line="240" w:lineRule="auto"/>
        <w:ind w:firstLine="4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44870FA" w14:textId="6437D21F" w:rsidR="007D59E5" w:rsidRPr="006636D7" w:rsidRDefault="00C60EB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Članak 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4</w:t>
      </w:r>
      <w:r w:rsidRPr="006636D7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52CDA937" w14:textId="36E18D74" w:rsidR="00C60EBA" w:rsidRPr="00244C08" w:rsidRDefault="00C60EBA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6D99344" w14:textId="146B2D11" w:rsidR="00C60EBA" w:rsidRPr="00244C08" w:rsidRDefault="00C60EBA" w:rsidP="001E79F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članku 36. stavku 1. 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 xml:space="preserve">riječi: „Priloga 3.“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zamjenjuj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se 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 xml:space="preserve">riječima: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 xml:space="preserve">Priloga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2.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</w:p>
    <w:p w14:paraId="6C7705AC" w14:textId="2D218122" w:rsidR="006636D7" w:rsidRDefault="00C60EBA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stav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 xml:space="preserve">ku 2. </w:t>
      </w:r>
      <w:r w:rsidR="006636D7" w:rsidRPr="00244C08">
        <w:rPr>
          <w:rFonts w:ascii="Times New Roman" w:eastAsia="Times New Roman" w:hAnsi="Times New Roman"/>
          <w:sz w:val="24"/>
          <w:szCs w:val="24"/>
          <w:lang w:eastAsia="en-GB"/>
        </w:rPr>
        <w:t>riječ</w:t>
      </w:r>
      <w:r w:rsidR="006636D7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="006636D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„Zavod“ zamjenjuje se riječju: „Ministarstvo“.</w:t>
      </w:r>
    </w:p>
    <w:p w14:paraId="6605C5B3" w14:textId="77777777" w:rsidR="006636D7" w:rsidRPr="00244C08" w:rsidRDefault="006636D7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U stavku 3. riječ: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„Zavodu“ zamjenjuje se riječju: „Ministarstvu“.</w:t>
      </w:r>
    </w:p>
    <w:p w14:paraId="7963D3AF" w14:textId="48D44A21" w:rsidR="006636D7" w:rsidRDefault="006636D7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Stavak 4. briše se</w:t>
      </w:r>
      <w:r w:rsidR="00B9709B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428E41DC" w14:textId="6681604C" w:rsidR="00B9709B" w:rsidRDefault="00B9709B" w:rsidP="00B9709B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U dosadašnjem stavku 5. koji postaje stavak 4.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riječ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„Zavod“ zamjenjuje se riječju: „Ministarstvo“.</w:t>
      </w:r>
    </w:p>
    <w:p w14:paraId="0C58397A" w14:textId="78975BCC" w:rsidR="00B9709B" w:rsidRDefault="00B9709B" w:rsidP="00B9709B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Dosadašnji stavak 6. briše se.</w:t>
      </w:r>
    </w:p>
    <w:p w14:paraId="132CAF41" w14:textId="771BF9B0" w:rsidR="00B9709B" w:rsidRPr="00244C08" w:rsidRDefault="00B9709B" w:rsidP="006636D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4322FB" w14:textId="1ED2E8B8" w:rsidR="00C60EBA" w:rsidRPr="00B9709B" w:rsidRDefault="00C60EB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B9709B">
        <w:rPr>
          <w:rFonts w:ascii="Times New Roman" w:eastAsia="Times New Roman" w:hAnsi="Times New Roman"/>
          <w:b/>
          <w:sz w:val="24"/>
          <w:szCs w:val="24"/>
          <w:lang w:eastAsia="en-GB"/>
        </w:rPr>
        <w:t>Članak 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5</w:t>
      </w:r>
      <w:r w:rsidRPr="00B9709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6DBE6BD4" w14:textId="3D3B953C" w:rsidR="00C60EBA" w:rsidRPr="00244C08" w:rsidRDefault="00C60EBA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1D8E3F5" w14:textId="61A9AC8D" w:rsidR="00C60EBA" w:rsidRPr="00244C08" w:rsidRDefault="00C60EBA" w:rsidP="001E79F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37. stavku 2. riječ</w:t>
      </w:r>
      <w:r w:rsidR="00B9709B">
        <w:rPr>
          <w:rFonts w:ascii="Times New Roman" w:eastAsia="Times New Roman" w:hAnsi="Times New Roman"/>
          <w:sz w:val="24"/>
          <w:szCs w:val="24"/>
          <w:lang w:eastAsia="en-GB"/>
        </w:rPr>
        <w:t>: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Zavodu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Ministarstvu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7B8091DB" w14:textId="3E084530" w:rsidR="00BC7193" w:rsidRPr="00244C08" w:rsidRDefault="00BC7193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E531C93" w14:textId="77777777" w:rsidR="001E79F7" w:rsidRPr="00244C08" w:rsidRDefault="001E79F7" w:rsidP="007D59E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0991FCA" w14:textId="79067785" w:rsidR="007D59E5" w:rsidRPr="00B9709B" w:rsidRDefault="00C60EB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B9709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93535E" w:rsidRPr="00B9709B">
        <w:rPr>
          <w:rFonts w:ascii="Times New Roman" w:eastAsia="Times New Roman" w:hAnsi="Times New Roman"/>
          <w:b/>
          <w:sz w:val="24"/>
          <w:szCs w:val="24"/>
          <w:lang w:eastAsia="en-GB"/>
        </w:rPr>
        <w:t>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6</w:t>
      </w:r>
      <w:r w:rsidRPr="00B9709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04E183BE" w14:textId="5A87D388" w:rsidR="00C60EBA" w:rsidRPr="00244C08" w:rsidRDefault="00C60EBA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6D8507" w14:textId="43563832" w:rsidR="0081556C" w:rsidRPr="00244C08" w:rsidRDefault="00B9709B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Č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lan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k 39. mijenja se i glas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42487303" w14:textId="77777777" w:rsidR="00DC743A" w:rsidRPr="00244C08" w:rsidRDefault="00DC743A" w:rsidP="0081556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482F13A" w14:textId="5D199910" w:rsidR="0081556C" w:rsidRPr="00244C08" w:rsidRDefault="0081556C" w:rsidP="0081556C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„(1) Pravna ili fizička osoba, tijelo državne uprave i drugo državno tijelo ili tijelo jedinice lokalne i područne (regionalne) samouprave koje obavlja poslove koji uključuju  radna mjesta iz točke B Priloga 2. ovoga Pravilnika, obvezno je osigurati provedbu mjerenja koncentracije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zatvorenim prostorima, te </w:t>
      </w:r>
      <w:r w:rsidR="0081432A">
        <w:rPr>
          <w:rFonts w:ascii="Times New Roman" w:eastAsia="Times New Roman" w:hAnsi="Times New Roman"/>
          <w:sz w:val="24"/>
          <w:szCs w:val="24"/>
          <w:lang w:eastAsia="en-GB"/>
        </w:rPr>
        <w:t>ako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su koncentracije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iznad referentnih vrijednosti propisanih pravilnikom kojim se utvrđuju granice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preporučeno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dozno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ograničenje i procjenjivanje osobnog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provesti i procjenu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radnika uzimajući u obzir vrijeme provedeno na radnom mjestu.</w:t>
      </w:r>
    </w:p>
    <w:p w14:paraId="0C31C0E5" w14:textId="6F0B4BAF" w:rsidR="0081556C" w:rsidRPr="00244C08" w:rsidRDefault="0081556C" w:rsidP="0081556C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(2) Mjerenje koncentracije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 stavka 1. ovoga članka provode stručni tehnički servisi ovlašteni za ispitivanje koncentracije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radonovih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potomaka u zraku, a procjenu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radnika iz stavka 1. ovoga članka daje stručnjak za zaštitu od ionizirajućeg zračenja potvrđen za odgovarajuće područje.“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2D6A9DAD" w14:textId="5D3CB239" w:rsidR="0081556C" w:rsidRDefault="00B9709B" w:rsidP="0081556C">
      <w:pPr>
        <w:spacing w:after="48" w:line="240" w:lineRule="auto"/>
        <w:jc w:val="both"/>
        <w:textAlignment w:val="baseline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(3) Ako se utvrdi </w:t>
      </w:r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da radnici iz stavka 1. ovoga članka u godini dana mogu primiti efektivnu dozu veću od 1 </w:t>
      </w:r>
      <w:proofErr w:type="spellStart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mSv</w:t>
      </w:r>
      <w:proofErr w:type="spellEnd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, a manju ili jednaku 6 </w:t>
      </w:r>
      <w:proofErr w:type="spellStart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mSv</w:t>
      </w:r>
      <w:proofErr w:type="spellEnd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, poslodavac iz stavka 1. ovoga članka mora informirati radnike o mogućim rizicima, omogućiti im uvid u podatke iz stavka 1. ovoga članka, čuvati te podatke, poduzeti mjere kojima će se </w:t>
      </w:r>
      <w:proofErr w:type="spellStart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ozračenje</w:t>
      </w:r>
      <w:proofErr w:type="spellEnd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radnika smanjiti na toliko nisku razinu koliko je razumno moguće postići uvažavajući tehničke, organizacijske, gospodarske, zdravstvene i socijalne čimbenike te osigurati periodičnu provjeru </w:t>
      </w:r>
      <w:proofErr w:type="spellStart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ozračenja</w:t>
      </w:r>
      <w:proofErr w:type="spellEnd"/>
      <w:r w:rsidRPr="00B9709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radnika.</w:t>
      </w:r>
    </w:p>
    <w:p w14:paraId="3BA9BFD3" w14:textId="0692EBDB" w:rsidR="0081556C" w:rsidRDefault="00B9709B" w:rsidP="0081556C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(4) Ako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koncentracija aktivnosti </w:t>
      </w:r>
      <w:proofErr w:type="spellStart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(kao godišnji prosjek), bez obzira na poduzete mjere za smanjenje </w:t>
      </w:r>
      <w:proofErr w:type="spellStart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radnika primjenom načela optimizacije, i dalje prelazi nacionalnu referentnu razinu, odnosno efektivna doza koju primaju radnici iz stavka 1. ovoga članka je veća ili jednaka 6 </w:t>
      </w:r>
      <w:proofErr w:type="spellStart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mSv</w:t>
      </w:r>
      <w:proofErr w:type="spellEnd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godini dana, na radnike će se primjenjivati odredbe kao za izložene radnike sukladno pravilniku kojim se utvrđuju granice </w:t>
      </w:r>
      <w:proofErr w:type="spellStart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preporučeno </w:t>
      </w:r>
      <w:proofErr w:type="spellStart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dozno</w:t>
      </w:r>
      <w:proofErr w:type="spellEnd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ograničenje i procjenjivanje osobnog </w:t>
      </w:r>
      <w:proofErr w:type="spellStart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te utvrditi operativna zaštita koju treba primijeniti prema savjetu stručnjaka za zaštitu od ionizirajućeg zračenja potvrđ</w:t>
      </w:r>
      <w:r w:rsidR="00FD307B">
        <w:rPr>
          <w:rFonts w:ascii="Times New Roman" w:eastAsia="Times New Roman" w:hAnsi="Times New Roman"/>
          <w:sz w:val="24"/>
          <w:szCs w:val="24"/>
          <w:lang w:eastAsia="en-GB"/>
        </w:rPr>
        <w:t>enog za odgovarajuće područje.</w:t>
      </w:r>
    </w:p>
    <w:p w14:paraId="29776085" w14:textId="6E0BD057" w:rsidR="0081556C" w:rsidRDefault="00FD307B" w:rsidP="0081556C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(5) 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Odredbe stav</w:t>
      </w:r>
      <w:r w:rsidR="0025332D" w:rsidRPr="00244C08"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ka </w:t>
      </w:r>
      <w:r w:rsidR="0025332D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3. i 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ovoga članka 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primjenjuju se i na samozaposlene </w:t>
      </w:r>
      <w:r w:rsidR="004C618C" w:rsidRPr="00244C08">
        <w:rPr>
          <w:rFonts w:ascii="Times New Roman" w:eastAsia="Times New Roman" w:hAnsi="Times New Roman"/>
          <w:sz w:val="24"/>
          <w:szCs w:val="24"/>
          <w:lang w:eastAsia="en-GB"/>
        </w:rPr>
        <w:t>osob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e i </w:t>
      </w:r>
      <w:r w:rsidR="004C618C" w:rsidRPr="00244C08">
        <w:rPr>
          <w:rFonts w:ascii="Times New Roman" w:eastAsia="Times New Roman" w:hAnsi="Times New Roman"/>
          <w:sz w:val="24"/>
          <w:szCs w:val="24"/>
          <w:lang w:eastAsia="en-GB"/>
        </w:rPr>
        <w:t>osob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>e koj</w:t>
      </w:r>
      <w:r w:rsidR="004C618C" w:rsidRPr="00244C08">
        <w:rPr>
          <w:rFonts w:ascii="Times New Roman" w:eastAsia="Times New Roman" w:hAnsi="Times New Roman"/>
          <w:sz w:val="24"/>
          <w:szCs w:val="24"/>
          <w:lang w:eastAsia="en-GB"/>
        </w:rPr>
        <w:t>e</w:t>
      </w:r>
      <w:r w:rsidR="0081556C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rade kao volonteri.</w:t>
      </w:r>
    </w:p>
    <w:p w14:paraId="65E1302A" w14:textId="77777777" w:rsidR="00FD307B" w:rsidRDefault="00FD307B" w:rsidP="00FD307B">
      <w:pPr>
        <w:pStyle w:val="box45750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(6) </w:t>
      </w:r>
      <w:r w:rsidRPr="00244C08">
        <w:rPr>
          <w:lang w:eastAsia="en-GB"/>
        </w:rPr>
        <w:t xml:space="preserve">Poslodavac iz stavka 1. ovoga članka o rezultatima provedenih mjerenja koncentracije aktivnosti </w:t>
      </w:r>
      <w:proofErr w:type="spellStart"/>
      <w:r w:rsidRPr="00244C08">
        <w:rPr>
          <w:lang w:eastAsia="en-GB"/>
        </w:rPr>
        <w:t>radona</w:t>
      </w:r>
      <w:proofErr w:type="spellEnd"/>
      <w:r w:rsidRPr="00244C08">
        <w:rPr>
          <w:lang w:eastAsia="en-GB"/>
        </w:rPr>
        <w:t xml:space="preserve"> i procjene </w:t>
      </w:r>
      <w:proofErr w:type="spellStart"/>
      <w:r w:rsidRPr="00244C08">
        <w:rPr>
          <w:lang w:eastAsia="en-GB"/>
        </w:rPr>
        <w:t>ozračenja</w:t>
      </w:r>
      <w:proofErr w:type="spellEnd"/>
      <w:r w:rsidRPr="00244C08">
        <w:rPr>
          <w:lang w:eastAsia="en-GB"/>
        </w:rPr>
        <w:t xml:space="preserve"> radnika iz stavka 4. ovoga članka mora informirati radnike o mogućim rizicima, omogućiti im uvid u podatke iz stavka 4. ovoga članka, te čuvati te podatke sukladno odredbama pravilnika kojim se utvrđuju granice </w:t>
      </w:r>
      <w:proofErr w:type="spellStart"/>
      <w:r w:rsidRPr="00244C08">
        <w:rPr>
          <w:lang w:eastAsia="en-GB"/>
        </w:rPr>
        <w:t>ozračenja</w:t>
      </w:r>
      <w:proofErr w:type="spellEnd"/>
      <w:r w:rsidRPr="00244C08">
        <w:rPr>
          <w:lang w:eastAsia="en-GB"/>
        </w:rPr>
        <w:t xml:space="preserve">, preporučeno </w:t>
      </w:r>
      <w:proofErr w:type="spellStart"/>
      <w:r w:rsidRPr="00244C08">
        <w:rPr>
          <w:lang w:eastAsia="en-GB"/>
        </w:rPr>
        <w:t>dozno</w:t>
      </w:r>
      <w:proofErr w:type="spellEnd"/>
      <w:r w:rsidRPr="00244C08">
        <w:rPr>
          <w:lang w:eastAsia="en-GB"/>
        </w:rPr>
        <w:t xml:space="preserve"> ograničenje i procjenjivanje osobnog </w:t>
      </w:r>
      <w:proofErr w:type="spellStart"/>
      <w:r w:rsidRPr="00244C08">
        <w:rPr>
          <w:lang w:eastAsia="en-GB"/>
        </w:rPr>
        <w:t>ozračenja</w:t>
      </w:r>
      <w:proofErr w:type="spellEnd"/>
      <w:r w:rsidRPr="00244C08">
        <w:rPr>
          <w:lang w:eastAsia="en-GB"/>
        </w:rPr>
        <w:t>.</w:t>
      </w:r>
      <w:r>
        <w:rPr>
          <w:color w:val="231F20"/>
        </w:rPr>
        <w:t xml:space="preserve"> </w:t>
      </w:r>
    </w:p>
    <w:p w14:paraId="0D1973E5" w14:textId="771F603E" w:rsidR="00FD307B" w:rsidRDefault="00FD307B" w:rsidP="00FD307B">
      <w:pPr>
        <w:pStyle w:val="box45750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(7) Poslodavac iz stavka 1. ovoga članka mora Ministarstvu unutar mjesec dana od provedene procjene iz stav</w:t>
      </w:r>
      <w:r w:rsidR="00B7570B">
        <w:rPr>
          <w:color w:val="231F20"/>
        </w:rPr>
        <w:t>a</w:t>
      </w:r>
      <w:r>
        <w:rPr>
          <w:color w:val="231F20"/>
        </w:rPr>
        <w:t>k</w:t>
      </w:r>
      <w:r w:rsidR="00B7570B">
        <w:rPr>
          <w:color w:val="231F20"/>
        </w:rPr>
        <w:t>a</w:t>
      </w:r>
      <w:r>
        <w:rPr>
          <w:color w:val="231F20"/>
        </w:rPr>
        <w:t xml:space="preserve"> 3. i 4. ovoga članka dostaviti obavijest koja sadržava: specifičnu vrstu posla, odgovarajuće polje ili područje rada, broj osoba koje rade na tim mjestima, rezultate provedenih mjerenja i/ili procjenu </w:t>
      </w:r>
      <w:proofErr w:type="spellStart"/>
      <w:r>
        <w:rPr>
          <w:color w:val="231F20"/>
        </w:rPr>
        <w:t>ozračenja</w:t>
      </w:r>
      <w:proofErr w:type="spellEnd"/>
      <w:r>
        <w:rPr>
          <w:color w:val="231F20"/>
        </w:rPr>
        <w:t xml:space="preserve">/doze te opis planiranih ili poduzetih mjera kako bi se </w:t>
      </w:r>
      <w:proofErr w:type="spellStart"/>
      <w:r>
        <w:rPr>
          <w:color w:val="231F20"/>
        </w:rPr>
        <w:t>ozračenje</w:t>
      </w:r>
      <w:proofErr w:type="spellEnd"/>
      <w:r>
        <w:rPr>
          <w:color w:val="231F20"/>
        </w:rPr>
        <w:t xml:space="preserve"> smanjilo na toliko nisku razinu koliko je razumno moguće postići.</w:t>
      </w:r>
    </w:p>
    <w:p w14:paraId="247FBE08" w14:textId="66FCB855" w:rsidR="00FD307B" w:rsidRDefault="00FD307B" w:rsidP="00FD307B">
      <w:pPr>
        <w:pStyle w:val="box45750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(8) Podatke o radnicima iz stavka 4. ovoga članka Ministarstvo će voditi u središnjem registru.</w:t>
      </w:r>
    </w:p>
    <w:p w14:paraId="53AA0854" w14:textId="7A7A7DCD" w:rsidR="00FD307B" w:rsidRDefault="00FD307B" w:rsidP="00FD307B">
      <w:pPr>
        <w:pStyle w:val="box45750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(9) Procjena </w:t>
      </w:r>
      <w:proofErr w:type="spellStart"/>
      <w:r>
        <w:rPr>
          <w:color w:val="231F20"/>
        </w:rPr>
        <w:t>ozračenja</w:t>
      </w:r>
      <w:proofErr w:type="spellEnd"/>
      <w:r>
        <w:rPr>
          <w:color w:val="231F20"/>
        </w:rPr>
        <w:t xml:space="preserve"> iz stavka 1. ovoga članka provodi se sukladno međunarodnim preporukama.</w:t>
      </w:r>
    </w:p>
    <w:p w14:paraId="56449B9B" w14:textId="77777777" w:rsidR="00FD307B" w:rsidRDefault="00FD307B" w:rsidP="0081556C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09DE1BB" w14:textId="77777777" w:rsidR="00FD307B" w:rsidRPr="00244C08" w:rsidRDefault="00FD307B" w:rsidP="0081556C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1E4412" w14:textId="6D906E1D" w:rsidR="000B16F6" w:rsidRPr="00FD307B" w:rsidRDefault="000B16F6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Članak 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7</w:t>
      </w: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60DF162" w14:textId="0FF22E59" w:rsidR="000B16F6" w:rsidRPr="00244C08" w:rsidRDefault="000B16F6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6208063" w14:textId="0B01B638" w:rsidR="000B16F6" w:rsidRPr="00244C08" w:rsidRDefault="000B16F6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Član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>ak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41. mijenja se i glasi: </w:t>
      </w:r>
    </w:p>
    <w:p w14:paraId="443A554A" w14:textId="77777777" w:rsidR="007D59E5" w:rsidRPr="00244C08" w:rsidRDefault="007D59E5" w:rsidP="007D59E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CE6CE47" w14:textId="79B5BD6E" w:rsidR="007D59E5" w:rsidRPr="00244C08" w:rsidRDefault="00FC2B7D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(1) Prije stavljanja u promet građevnih materijala</w:t>
      </w:r>
      <w:r w:rsidR="002E0B71" w:rsidRPr="00244C0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popisanih u Prilogu 4. koji je sastavni dio ovoga Pravilnika</w:t>
      </w:r>
      <w:r w:rsidR="002E0B71" w:rsidRPr="00244C08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potrebno je odrediti koncentracije aktivnosti Ra-226, Th-232 (ili njihov proizvod raspada Ra-228) i K-40 te utvrditi njihovu prikladnost za uporabu u skladu s metodologijom opisanom u Prilogu 5. koji je sastavni dio ovoga Pravilnika.</w:t>
      </w:r>
    </w:p>
    <w:p w14:paraId="0D843DD5" w14:textId="1A273DE1" w:rsidR="007D59E5" w:rsidRPr="00244C08" w:rsidRDefault="007D59E5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(2) Mjerenje i utvrđivanje prikladnosti materijala iz stavka 1. ovoga članka obavljaju stručni tehnički servisi</w:t>
      </w:r>
      <w:r w:rsidR="002E0B71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ovlašteni za ispitivanje i praćenje vrste aktivnosti radioaktivnih tvari u zraku, tlu, moru, rijekama, jezerima, podzemnim vodama, oborinama, vodi za piće, hrani i potrošačkim proizvodima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2544C529" w14:textId="77777777" w:rsidR="007D59E5" w:rsidRPr="00244C08" w:rsidRDefault="007D59E5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(3) Rezultate provedenih ispitivanja koncentracije aktivnosti u građevnom proizvodu koji se stavlja na tržište, proizvođač je obvezan iskazati u uputi, odnosno tehničkoj uputi koja se sastavlja prema posebnim propisima iz područja građevnih proizvoda.</w:t>
      </w:r>
    </w:p>
    <w:p w14:paraId="5A4C72E3" w14:textId="1B95148A" w:rsidR="007D59E5" w:rsidRPr="00244C08" w:rsidRDefault="007D59E5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(4) Rezultati provedenih mjerenja i odgovarajući indeks koncentracije aktivnosti, kao i drugi bitni čimbenici u skladu sa zahtjevima iz stavka 1. ovoga</w:t>
      </w:r>
      <w:r w:rsidR="002E0B71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članka moraju biti dostavljeni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Ministarstvu.</w:t>
      </w:r>
    </w:p>
    <w:p w14:paraId="41E042C2" w14:textId="1F9B50AC" w:rsidR="007D59E5" w:rsidRPr="00244C08" w:rsidRDefault="007D59E5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(5) U slučaju da rezultati iz stavka 1. ovoga članka pokazuju da referen</w:t>
      </w:r>
      <w:r w:rsidR="002E0B71" w:rsidRPr="00244C08">
        <w:rPr>
          <w:rFonts w:ascii="Times New Roman" w:eastAsia="Times New Roman" w:hAnsi="Times New Roman"/>
          <w:sz w:val="24"/>
          <w:szCs w:val="24"/>
          <w:lang w:eastAsia="en-GB"/>
        </w:rPr>
        <w:t>tna razina</w:t>
      </w:r>
      <w:r w:rsidR="0084203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propisana pravilnikom kojim se utvrđuju </w:t>
      </w:r>
      <w:r w:rsidR="00233F1F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granice </w:t>
      </w:r>
      <w:proofErr w:type="spellStart"/>
      <w:r w:rsidR="00233F1F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ozračenja</w:t>
      </w:r>
      <w:proofErr w:type="spellEnd"/>
      <w:r w:rsidR="00233F1F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preporučeno </w:t>
      </w:r>
      <w:proofErr w:type="spellStart"/>
      <w:r w:rsidR="00842035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dozno</w:t>
      </w:r>
      <w:proofErr w:type="spellEnd"/>
      <w:r w:rsidR="00842035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ograničenje i procjenjivanje osobnog </w:t>
      </w:r>
      <w:proofErr w:type="spellStart"/>
      <w:r w:rsidR="00842035" w:rsidRPr="00244C08">
        <w:rPr>
          <w:rFonts w:ascii="Times New Roman" w:eastAsia="Times New Roman" w:hAnsi="Times New Roman"/>
          <w:iCs/>
          <w:sz w:val="24"/>
          <w:szCs w:val="24"/>
          <w:lang w:eastAsia="hr-HR"/>
        </w:rPr>
        <w:t>ozračenja</w:t>
      </w:r>
      <w:proofErr w:type="spellEnd"/>
      <w:r w:rsidR="0084203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E0B71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može biti prijeđena,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Ministarstvo </w:t>
      </w:r>
      <w:r w:rsidR="00842035" w:rsidRPr="00244C08">
        <w:rPr>
          <w:rFonts w:ascii="Times New Roman" w:eastAsia="Times New Roman" w:hAnsi="Times New Roman"/>
          <w:sz w:val="24"/>
          <w:szCs w:val="24"/>
          <w:lang w:eastAsia="en-GB"/>
        </w:rPr>
        <w:t>će utvrditi prikladne uvjete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pod kojima se može odobriti uporaba takvih materijala.</w:t>
      </w:r>
    </w:p>
    <w:p w14:paraId="536DF394" w14:textId="65271712" w:rsidR="007D59E5" w:rsidRPr="00244C08" w:rsidRDefault="00842035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(6) Uvjet</w:t>
      </w:r>
      <w:r w:rsidR="00B7570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iz stavka 5. ovoga članka mogu uključivati i prijedlog posebnih uvjeta u propisima o gradnji ili ograničenjima predviđene namjene takvih materijala.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</w:p>
    <w:p w14:paraId="379F7C5B" w14:textId="7C7285E6" w:rsidR="000B16F6" w:rsidRPr="00244C08" w:rsidRDefault="000B16F6" w:rsidP="000B16F6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087B666" w14:textId="016D4BFD" w:rsidR="000B16F6" w:rsidRPr="00244C08" w:rsidRDefault="000B16F6" w:rsidP="000B16F6">
      <w:pPr>
        <w:spacing w:after="48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908CFB9" w14:textId="3B596EE5" w:rsidR="000B16F6" w:rsidRPr="00FD307B" w:rsidRDefault="000B16F6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266B7"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8</w:t>
      </w: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5DF745CC" w14:textId="723D8E7B" w:rsidR="000B16F6" w:rsidRPr="00244C08" w:rsidRDefault="000B16F6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E8FE9B0" w14:textId="4C7996B9" w:rsidR="000B16F6" w:rsidRPr="00244C08" w:rsidRDefault="000B16F6" w:rsidP="001E79F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  <w:t>Članak 42. mijenja se i glasi:</w:t>
      </w:r>
    </w:p>
    <w:p w14:paraId="79FFEC6E" w14:textId="77777777" w:rsidR="007D59E5" w:rsidRPr="00244C08" w:rsidRDefault="007D59E5" w:rsidP="000B16F6">
      <w:pPr>
        <w:spacing w:before="34"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1E317E" w14:textId="38171F7B" w:rsidR="007D59E5" w:rsidRPr="00244C08" w:rsidRDefault="00FC2B7D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(1) U pogledu aktivnosti pri kojima može doći do povećanja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radnika i stanovnika od prirodnih izvora ionizirajućeg zračenja i kojima se ne upravlja kao planiranim situacijama</w:t>
      </w:r>
      <w:r w:rsidR="0084203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842035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, Ministarstvo će osigurati dostupnost informacija o provedenim mjerenjima, </w:t>
      </w:r>
      <w:proofErr w:type="spellStart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ozračenju</w:t>
      </w:r>
      <w:proofErr w:type="spellEnd"/>
      <w:r w:rsidR="007D59E5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radnika i stanovnika te poduzimanju zaštitnih mjera.</w:t>
      </w:r>
    </w:p>
    <w:p w14:paraId="235DA097" w14:textId="1B82C639" w:rsidR="007D59E5" w:rsidRPr="00244C08" w:rsidRDefault="007D59E5" w:rsidP="00FD307B">
      <w:pPr>
        <w:spacing w:after="48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(2) Ministarstvo će osigurati dostupnost lokalnih i nacionalnih informacija o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ozračenju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radonom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94884" w:rsidRPr="00244C08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s tim povezanim zatvorenim prostorima i povezanim zdravstvenim rizicima, o važnosti mjerenja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o tehničkim sredstvima dostupnim za smanjivanje postojećih koncentracija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FC2B7D" w:rsidRPr="00244C08">
        <w:rPr>
          <w:rFonts w:ascii="Times New Roman" w:eastAsia="Times New Roman" w:hAnsi="Times New Roman"/>
          <w:sz w:val="24"/>
          <w:szCs w:val="24"/>
          <w:lang w:eastAsia="en-GB"/>
        </w:rPr>
        <w:t>“.</w:t>
      </w:r>
    </w:p>
    <w:p w14:paraId="5FCEAC99" w14:textId="738BFE4D" w:rsidR="00DC743A" w:rsidRPr="00244C08" w:rsidRDefault="00DC743A" w:rsidP="00233F1F">
      <w:pPr>
        <w:spacing w:after="12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CA7C72F" w14:textId="77777777" w:rsidR="005B0BE7" w:rsidRPr="00244C08" w:rsidRDefault="005B0BE7" w:rsidP="00233F1F">
      <w:pPr>
        <w:spacing w:after="12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C36000C" w14:textId="2D649D0E" w:rsidR="000B16F6" w:rsidRPr="00FD307B" w:rsidRDefault="000B16F6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C1B11"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2</w:t>
      </w:r>
      <w:r w:rsidR="006F656A">
        <w:rPr>
          <w:rFonts w:ascii="Times New Roman" w:eastAsia="Times New Roman" w:hAnsi="Times New Roman"/>
          <w:b/>
          <w:sz w:val="24"/>
          <w:szCs w:val="24"/>
          <w:lang w:eastAsia="en-GB"/>
        </w:rPr>
        <w:t>9</w:t>
      </w: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7D14B123" w14:textId="77777777" w:rsidR="00DC743A" w:rsidRPr="00244C08" w:rsidRDefault="00DC743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7356B1" w14:textId="490EBF95" w:rsidR="000B16F6" w:rsidRPr="00244C08" w:rsidRDefault="000B16F6" w:rsidP="001E79F7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U članku 43. stavk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1.</w:t>
      </w:r>
      <w:r w:rsidR="006F656A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riječ: 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Zavod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zamjenjuje se riječju: 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Ministarstvo</w:t>
      </w:r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6F656A">
        <w:rPr>
          <w:rFonts w:ascii="Times New Roman" w:eastAsia="Times New Roman" w:hAnsi="Times New Roman"/>
          <w:sz w:val="24"/>
          <w:szCs w:val="24"/>
          <w:lang w:eastAsia="en-GB"/>
        </w:rPr>
        <w:t xml:space="preserve">, a </w:t>
      </w:r>
      <w:r w:rsidR="0061126F">
        <w:rPr>
          <w:rFonts w:ascii="Times New Roman" w:eastAsia="Times New Roman" w:hAnsi="Times New Roman"/>
          <w:sz w:val="24"/>
          <w:szCs w:val="24"/>
          <w:lang w:eastAsia="en-GB"/>
        </w:rPr>
        <w:t>iza riječi: „proračuna“ dodaju se riječi: „i drugih izvora sukladno Zakonu o radiološkoj i nuklearnoj sigurnosti“.</w:t>
      </w:r>
    </w:p>
    <w:p w14:paraId="097EB3E4" w14:textId="1ADBD6A4" w:rsidR="004C618C" w:rsidRPr="00244C08" w:rsidRDefault="004C618C" w:rsidP="00DC743A">
      <w:pPr>
        <w:spacing w:after="12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E63B418" w14:textId="6394E930" w:rsidR="004C618C" w:rsidRDefault="004C618C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61126F">
        <w:rPr>
          <w:rFonts w:ascii="Times New Roman" w:eastAsia="Times New Roman" w:hAnsi="Times New Roman"/>
          <w:b/>
          <w:sz w:val="24"/>
          <w:szCs w:val="24"/>
          <w:lang w:eastAsia="en-GB"/>
        </w:rPr>
        <w:t>30</w:t>
      </w: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62C2C4CE" w14:textId="65050207" w:rsidR="0061126F" w:rsidRDefault="0061126F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0C2BB5AA" w14:textId="7839DB59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U Prilogu 2. u dijelu A) Popis radnih aktivnosti (industrijskih sektora) koji koriste prirodni radioaktivni materijal uključujući istraživanja i relevantne sekundarne postupke, iza točke 16. dodaju se točke 17., 18. i 19. koje glase: </w:t>
      </w:r>
    </w:p>
    <w:p w14:paraId="2A1701B4" w14:textId="4FA9122F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42B6CF8" w14:textId="3CCE6D94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>„17. gospodarenje otpadom</w:t>
      </w:r>
    </w:p>
    <w:p w14:paraId="564E918B" w14:textId="39E56ED3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18. reciklaža građevinskog materijala</w:t>
      </w:r>
    </w:p>
    <w:p w14:paraId="31D95F5B" w14:textId="3AF62958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19. reciklaža elektroničkog materijala“.</w:t>
      </w:r>
    </w:p>
    <w:p w14:paraId="109CD6AF" w14:textId="6BE4B683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5F449F4" w14:textId="77777777" w:rsidR="004B112B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14:paraId="30C304DF" w14:textId="77777777" w:rsidR="004B112B" w:rsidRDefault="004B112B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7E717B7" w14:textId="77777777" w:rsidR="004B112B" w:rsidRDefault="004B112B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03AAF9C" w14:textId="449EB734" w:rsidR="0061126F" w:rsidRDefault="0061126F" w:rsidP="004B112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Dio B) mijenja se i glasi:</w:t>
      </w:r>
    </w:p>
    <w:p w14:paraId="3EA54681" w14:textId="658E9F53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2B10644" w14:textId="5545AAE3" w:rsid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„B) Mjesta na kojima može doći do povećanja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ozračenja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radnika, djece i posjetitelja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radonom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su:</w:t>
      </w:r>
    </w:p>
    <w:p w14:paraId="472079A5" w14:textId="1717B755" w:rsidR="0061126F" w:rsidRPr="0061126F" w:rsidRDefault="0061126F" w:rsidP="0061126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- mjesta koja se nalaze u prizemlju ili podrumu u zgradama s javnim pristupom (škole, vrtići, muzeji, crkve i sl.). podzemni prostori (spilje, toplice/lječilišta, rudnici, uključujući i rudnike i spilje kao turističke atrakcije, vinarije i sl.) te ostali prostor unutar područja koja će biti utvrđena Akcijskim planom za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radon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u kojima se očekuje da će koncentracija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(kao godišnji prosjek) u znatnom broju zgrada prijeći nacionalnu referentnu razinu.</w:t>
      </w:r>
    </w:p>
    <w:p w14:paraId="02B94CC6" w14:textId="19C2E71A" w:rsidR="0061126F" w:rsidRDefault="0061126F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65289980" w14:textId="6195B829" w:rsidR="0061126F" w:rsidRDefault="0061126F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00726EE5" w14:textId="3125DDD1" w:rsidR="0061126F" w:rsidRPr="00FD307B" w:rsidRDefault="0061126F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Članak 31.</w:t>
      </w:r>
    </w:p>
    <w:p w14:paraId="511F33B5" w14:textId="77777777" w:rsidR="00DC743A" w:rsidRPr="00244C08" w:rsidRDefault="00DC743A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55FE62D" w14:textId="64A4AF77" w:rsidR="00FD307B" w:rsidRDefault="004C618C" w:rsidP="00233F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U Prilogu 3. stavak 7. mijenja se i glasi: </w:t>
      </w:r>
    </w:p>
    <w:p w14:paraId="1CEC63F1" w14:textId="77777777" w:rsidR="00FD307B" w:rsidRDefault="00FD307B" w:rsidP="00233F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D1ECCAF" w14:textId="6BEFABF4" w:rsidR="00DC743A" w:rsidRPr="00244C08" w:rsidRDefault="004C618C" w:rsidP="00FD307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 w:rsidR="00FD307B">
        <w:rPr>
          <w:rFonts w:ascii="Times New Roman" w:eastAsia="Times New Roman" w:hAnsi="Times New Roman"/>
          <w:sz w:val="24"/>
          <w:szCs w:val="24"/>
          <w:lang w:eastAsia="en-GB"/>
        </w:rPr>
        <w:t xml:space="preserve">(7)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Tehnički zahtjevi za opremu za mjerenje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okolišu i zgradama moraju biti takvi da se mjerenje koncentracije aktivnosti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radona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u zraku provodi akreditiranom metodom prema zahtjevima norme HRN EN ISO/IEC 17025, pri čemu akreditirana metoda može biti standardizirana metoda sukladno sustavu normi ISO 11665 ili druga vlastita metoda za koju se može dokazati da je jednakovrijedna metodama propisanim u sustavu norme ISO 11665.“.</w:t>
      </w:r>
    </w:p>
    <w:p w14:paraId="6C449808" w14:textId="33C2C3C2" w:rsidR="001E79F7" w:rsidRDefault="001E79F7" w:rsidP="005B0BE7">
      <w:pPr>
        <w:spacing w:after="12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D04365" w14:textId="77777777" w:rsidR="004B112B" w:rsidRDefault="004B112B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5B424253" w14:textId="396F6EF5" w:rsidR="004C618C" w:rsidRPr="00FD307B" w:rsidRDefault="004C618C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C1B11"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3</w:t>
      </w:r>
      <w:r w:rsidR="004B112B">
        <w:rPr>
          <w:rFonts w:ascii="Times New Roman" w:eastAsia="Times New Roman" w:hAnsi="Times New Roman"/>
          <w:b/>
          <w:sz w:val="24"/>
          <w:szCs w:val="24"/>
          <w:lang w:eastAsia="en-GB"/>
        </w:rPr>
        <w:t>2</w:t>
      </w: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3366D8AB" w14:textId="0B92D797" w:rsidR="004C618C" w:rsidRPr="00244C08" w:rsidRDefault="004C618C" w:rsidP="001E79F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BC27E0F" w14:textId="77777777" w:rsidR="004C618C" w:rsidRPr="00244C08" w:rsidRDefault="004C618C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Prilog 4. mijenja se i glasi: </w:t>
      </w:r>
    </w:p>
    <w:p w14:paraId="657E5CA9" w14:textId="77777777" w:rsidR="00DC743A" w:rsidRPr="00244C08" w:rsidRDefault="00DC743A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F6AC6F1" w14:textId="511D20C1" w:rsidR="004C618C" w:rsidRPr="00244C08" w:rsidRDefault="004C618C" w:rsidP="00FD307B">
      <w:pPr>
        <w:spacing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„PRILOG 4.</w:t>
      </w:r>
    </w:p>
    <w:p w14:paraId="0E5EB597" w14:textId="65A3D563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INDIKATIVNI POPIS VRSTA GRAĐEVNOG MATERIJALA S OBZIROM NA GAMA ZRAČENJE KOJE EMITIRAJU </w:t>
      </w:r>
    </w:p>
    <w:p w14:paraId="62691182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Građevni materijal može emitirati gama zračenje zbog sadržavanja: </w:t>
      </w:r>
    </w:p>
    <w:p w14:paraId="73D19625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1. Prirodnih materijala (sirovina): </w:t>
      </w:r>
    </w:p>
    <w:p w14:paraId="4A79F530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(a) Aluminijski škriljac </w:t>
      </w:r>
    </w:p>
    <w:p w14:paraId="43C01412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(b) Materijala (sirovina) ili aditiva prirodnog vulkanskog podrijetla, kao što su: </w:t>
      </w:r>
    </w:p>
    <w:p w14:paraId="3ACEC404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granitoidi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(kao što su granit,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sijenit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ortognajs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) </w:t>
      </w:r>
    </w:p>
    <w:p w14:paraId="2942A040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porfiri </w:t>
      </w:r>
    </w:p>
    <w:p w14:paraId="7C0A8612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sedra </w:t>
      </w:r>
    </w:p>
    <w:p w14:paraId="3AC6640A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pucolan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pucolanski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prah) </w:t>
      </w:r>
    </w:p>
    <w:p w14:paraId="67F8A514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lava. </w:t>
      </w:r>
    </w:p>
    <w:p w14:paraId="48E1DB1D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2. Rezidua nastalih u industrijama koje obrađuju materijal koji sadržava prirodne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radionuklide</w:t>
      </w:r>
      <w:proofErr w:type="spellEnd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: </w:t>
      </w:r>
    </w:p>
    <w:p w14:paraId="1B9FC220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pepeo </w:t>
      </w:r>
    </w:p>
    <w:p w14:paraId="5AE71041" w14:textId="6896A27C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</w:t>
      </w:r>
      <w:proofErr w:type="spellStart"/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fosfo</w:t>
      </w:r>
      <w:proofErr w:type="spellEnd"/>
      <w:r w:rsidR="00477893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gips </w:t>
      </w:r>
    </w:p>
    <w:p w14:paraId="6D676427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- fosforna šljaka</w:t>
      </w:r>
    </w:p>
    <w:p w14:paraId="327A2481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kositrena šljaka </w:t>
      </w:r>
    </w:p>
    <w:p w14:paraId="12D737EA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- bakrena šljaka </w:t>
      </w:r>
    </w:p>
    <w:p w14:paraId="6588D7AF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- crveno blato (otpadni proizvod proizvodnje aluminija) </w:t>
      </w:r>
    </w:p>
    <w:p w14:paraId="4DC73FF2" w14:textId="77777777" w:rsidR="004C618C" w:rsidRPr="00244C08" w:rsidRDefault="004C618C" w:rsidP="00DC743A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- otpadni proizvodi proizvodnje čelika.“.</w:t>
      </w:r>
    </w:p>
    <w:p w14:paraId="2CE3F15F" w14:textId="51D57613" w:rsidR="00DC743A" w:rsidRPr="00244C08" w:rsidRDefault="00DC743A" w:rsidP="00233F1F">
      <w:pPr>
        <w:spacing w:after="12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3EF0A83" w14:textId="47EE2ADF" w:rsidR="004C618C" w:rsidRPr="00FD307B" w:rsidRDefault="004C618C" w:rsidP="001E79F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Članak </w:t>
      </w:r>
      <w:r w:rsidR="00F266B7"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3</w:t>
      </w:r>
      <w:r w:rsidR="004B112B">
        <w:rPr>
          <w:rFonts w:ascii="Times New Roman" w:eastAsia="Times New Roman" w:hAnsi="Times New Roman"/>
          <w:b/>
          <w:sz w:val="24"/>
          <w:szCs w:val="24"/>
          <w:lang w:eastAsia="en-GB"/>
        </w:rPr>
        <w:t>3</w:t>
      </w:r>
      <w:r w:rsidRPr="00FD307B">
        <w:rPr>
          <w:rFonts w:ascii="Times New Roman" w:eastAsia="Times New Roman" w:hAnsi="Times New Roman"/>
          <w:b/>
          <w:sz w:val="24"/>
          <w:szCs w:val="24"/>
          <w:lang w:eastAsia="en-GB"/>
        </w:rPr>
        <w:t>.</w:t>
      </w:r>
    </w:p>
    <w:p w14:paraId="5AE6103A" w14:textId="77777777" w:rsidR="00F266B7" w:rsidRPr="00244C08" w:rsidRDefault="00F266B7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E1A26AB" w14:textId="08A2716D" w:rsidR="000B16F6" w:rsidRPr="00244C08" w:rsidRDefault="004C618C" w:rsidP="001E79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>Ovaj Pravilnik stupa na snagu osmoga dana od dana objave u „Narodnim novinama“.</w:t>
      </w:r>
    </w:p>
    <w:p w14:paraId="48B16082" w14:textId="77777777" w:rsidR="00C342CB" w:rsidRPr="00244C08" w:rsidRDefault="00C342CB" w:rsidP="00DC743A">
      <w:pPr>
        <w:spacing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577874" w14:textId="2ECCBDBB" w:rsidR="00C342CB" w:rsidRDefault="00FD307B" w:rsidP="00FD307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KLASA:</w:t>
      </w:r>
    </w:p>
    <w:p w14:paraId="7F977E6E" w14:textId="3B7FDC29" w:rsidR="00FD307B" w:rsidRDefault="00FD307B" w:rsidP="00FD307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URBROJ:</w:t>
      </w:r>
    </w:p>
    <w:p w14:paraId="332DE2A4" w14:textId="554DC2AA" w:rsidR="00FD307B" w:rsidRDefault="00FD307B" w:rsidP="00FD307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Zagreb,</w:t>
      </w:r>
    </w:p>
    <w:p w14:paraId="4DD1B6D8" w14:textId="7E8C3BD7" w:rsidR="005B0BE7" w:rsidRPr="00244C08" w:rsidRDefault="00C342CB" w:rsidP="006E68E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M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I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N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I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S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T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A</w:t>
      </w:r>
      <w:r w:rsidR="00FD307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EC74C3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R</w:t>
      </w:r>
      <w:r w:rsidR="006E68E6" w:rsidRPr="00244C08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="007F7151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</w:t>
      </w:r>
    </w:p>
    <w:p w14:paraId="1AAFF0ED" w14:textId="1B274D6B" w:rsidR="007F7151" w:rsidRPr="00244C08" w:rsidRDefault="007F7151" w:rsidP="006E68E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</w:t>
      </w:r>
    </w:p>
    <w:p w14:paraId="5A4981D0" w14:textId="6BCCFBCF" w:rsidR="006E68E6" w:rsidRPr="00244C08" w:rsidRDefault="007B579C" w:rsidP="006E68E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</w:t>
      </w:r>
      <w:r w:rsidR="005B0BE7"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</w:t>
      </w:r>
      <w:r w:rsidR="0051304B"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51304B"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C342CB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>dr.sc. Davor Božinović</w:t>
      </w:r>
      <w:r w:rsidR="007F7151" w:rsidRPr="00244C08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</w:p>
    <w:p w14:paraId="206E4FC6" w14:textId="42F71866" w:rsidR="0071786E" w:rsidRPr="00244C08" w:rsidRDefault="0071786E" w:rsidP="006E68E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2610822A" w14:textId="04F8B08B" w:rsidR="00233F1F" w:rsidRPr="00244C08" w:rsidRDefault="00233F1F" w:rsidP="00233F1F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64E621FD" w14:textId="77777777" w:rsidR="00840F1A" w:rsidRPr="00244C08" w:rsidRDefault="00840F1A" w:rsidP="00840F1A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75133EE9" w14:textId="77777777" w:rsidR="005B0BE7" w:rsidRPr="00244C08" w:rsidRDefault="0071786E" w:rsidP="00840F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14:paraId="77B7EEAB" w14:textId="77777777" w:rsidR="005B0BE7" w:rsidRPr="00244C08" w:rsidRDefault="005B0BE7" w:rsidP="00840F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A07F3E7" w14:textId="77777777" w:rsidR="005B0BE7" w:rsidRPr="00244C08" w:rsidRDefault="005B0BE7" w:rsidP="00840F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CF922D2" w14:textId="64E09121" w:rsidR="005B0BE7" w:rsidRPr="00244C08" w:rsidRDefault="005B0BE7" w:rsidP="00FD307B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  <w:r w:rsidRPr="00244C0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</w:p>
    <w:p w14:paraId="0C601DA6" w14:textId="77777777" w:rsidR="005B0BE7" w:rsidRPr="00244C08" w:rsidRDefault="005B0BE7" w:rsidP="00840F1A">
      <w:pPr>
        <w:spacing w:after="0" w:line="240" w:lineRule="auto"/>
        <w:ind w:left="3540"/>
        <w:textAlignment w:val="baseline"/>
        <w:rPr>
          <w:rFonts w:ascii="Times New Roman" w:eastAsia="Times New Roman" w:hAnsi="Times New Roman"/>
          <w:sz w:val="24"/>
          <w:szCs w:val="24"/>
          <w:lang w:eastAsia="en-GB"/>
        </w:rPr>
      </w:pPr>
    </w:p>
    <w:sectPr w:rsidR="005B0BE7" w:rsidRPr="00244C08" w:rsidSect="00C342CB">
      <w:headerReference w:type="default" r:id="rId12"/>
      <w:pgSz w:w="11906" w:h="16838"/>
      <w:pgMar w:top="1134" w:right="113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8E27F" w14:textId="77777777" w:rsidR="006B272A" w:rsidRDefault="006B272A">
      <w:pPr>
        <w:spacing w:after="0" w:line="240" w:lineRule="auto"/>
      </w:pPr>
      <w:r>
        <w:separator/>
      </w:r>
    </w:p>
  </w:endnote>
  <w:endnote w:type="continuationSeparator" w:id="0">
    <w:p w14:paraId="5324A0FD" w14:textId="77777777" w:rsidR="006B272A" w:rsidRDefault="006B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B7979" w14:textId="77777777" w:rsidR="006B272A" w:rsidRDefault="006B272A">
      <w:pPr>
        <w:spacing w:after="0" w:line="240" w:lineRule="auto"/>
      </w:pPr>
      <w:r>
        <w:separator/>
      </w:r>
    </w:p>
  </w:footnote>
  <w:footnote w:type="continuationSeparator" w:id="0">
    <w:p w14:paraId="7E645AB4" w14:textId="77777777" w:rsidR="006B272A" w:rsidRDefault="006B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FAB4" w14:textId="77777777" w:rsidR="00D57565" w:rsidRDefault="00D57565" w:rsidP="002A22EC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19E"/>
    <w:multiLevelType w:val="hybridMultilevel"/>
    <w:tmpl w:val="86F02316"/>
    <w:lvl w:ilvl="0" w:tplc="041A0017">
      <w:start w:val="1"/>
      <w:numFmt w:val="lowerLetter"/>
      <w:lvlText w:val="%1)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E857E2"/>
    <w:multiLevelType w:val="hybridMultilevel"/>
    <w:tmpl w:val="6D5CC9E2"/>
    <w:lvl w:ilvl="0" w:tplc="20C2228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A7835"/>
    <w:multiLevelType w:val="hybridMultilevel"/>
    <w:tmpl w:val="746A6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4F6C"/>
    <w:multiLevelType w:val="hybridMultilevel"/>
    <w:tmpl w:val="58761E42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67B446C"/>
    <w:multiLevelType w:val="hybridMultilevel"/>
    <w:tmpl w:val="BBB474F2"/>
    <w:lvl w:ilvl="0" w:tplc="53BCD2A6">
      <w:start w:val="1"/>
      <w:numFmt w:val="decimal"/>
      <w:lvlText w:val="(%1)"/>
      <w:lvlJc w:val="left"/>
      <w:pPr>
        <w:ind w:left="768" w:hanging="360"/>
      </w:pPr>
      <w:rPr>
        <w:rFonts w:ascii="Times New Roman" w:eastAsia="Times New Roman" w:hAnsi="Times New Roman" w:cs="Times New Roman" w:hint="default"/>
        <w:color w:val="231F2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6ED5969"/>
    <w:multiLevelType w:val="hybridMultilevel"/>
    <w:tmpl w:val="EFAA15F2"/>
    <w:lvl w:ilvl="0" w:tplc="13DAF3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5660"/>
    <w:multiLevelType w:val="hybridMultilevel"/>
    <w:tmpl w:val="B07C1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BCC"/>
    <w:multiLevelType w:val="hybridMultilevel"/>
    <w:tmpl w:val="1AACB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B6567"/>
    <w:multiLevelType w:val="hybridMultilevel"/>
    <w:tmpl w:val="5F884ACC"/>
    <w:lvl w:ilvl="0" w:tplc="4250446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10B10290"/>
    <w:multiLevelType w:val="hybridMultilevel"/>
    <w:tmpl w:val="04DCB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E3782"/>
    <w:multiLevelType w:val="hybridMultilevel"/>
    <w:tmpl w:val="3E36F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7495D"/>
    <w:multiLevelType w:val="hybridMultilevel"/>
    <w:tmpl w:val="32E25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123B4"/>
    <w:multiLevelType w:val="hybridMultilevel"/>
    <w:tmpl w:val="D400825C"/>
    <w:lvl w:ilvl="0" w:tplc="AE9E54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00F12"/>
    <w:multiLevelType w:val="hybridMultilevel"/>
    <w:tmpl w:val="97F416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31704"/>
    <w:multiLevelType w:val="hybridMultilevel"/>
    <w:tmpl w:val="3F8A2196"/>
    <w:lvl w:ilvl="0" w:tplc="351E062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31F2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37B58"/>
    <w:multiLevelType w:val="hybridMultilevel"/>
    <w:tmpl w:val="3012ADD0"/>
    <w:lvl w:ilvl="0" w:tplc="6AEA1CEE">
      <w:start w:val="6"/>
      <w:numFmt w:val="bullet"/>
      <w:lvlText w:val="–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2BF1789C"/>
    <w:multiLevelType w:val="hybridMultilevel"/>
    <w:tmpl w:val="AAA03F0E"/>
    <w:lvl w:ilvl="0" w:tplc="CF48A26C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E32FA"/>
    <w:multiLevelType w:val="hybridMultilevel"/>
    <w:tmpl w:val="B1A0E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66CC6"/>
    <w:multiLevelType w:val="hybridMultilevel"/>
    <w:tmpl w:val="09EAB5E2"/>
    <w:lvl w:ilvl="0" w:tplc="20D4EE5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94BB4"/>
    <w:multiLevelType w:val="hybridMultilevel"/>
    <w:tmpl w:val="FB50DD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4192B"/>
    <w:multiLevelType w:val="hybridMultilevel"/>
    <w:tmpl w:val="5CBCF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44C49"/>
    <w:multiLevelType w:val="hybridMultilevel"/>
    <w:tmpl w:val="8D429F28"/>
    <w:lvl w:ilvl="0" w:tplc="E9A6019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01C0C"/>
    <w:multiLevelType w:val="hybridMultilevel"/>
    <w:tmpl w:val="D1E02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D4E3A"/>
    <w:multiLevelType w:val="hybridMultilevel"/>
    <w:tmpl w:val="AA1A3414"/>
    <w:lvl w:ilvl="0" w:tplc="96B40A9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7F26770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084126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9A4F5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A0B22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190DAF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0DA0C9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768FA6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28826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4843C51"/>
    <w:multiLevelType w:val="hybridMultilevel"/>
    <w:tmpl w:val="0ED0BE0E"/>
    <w:lvl w:ilvl="0" w:tplc="C0040200">
      <w:start w:val="1"/>
      <w:numFmt w:val="decimal"/>
      <w:lvlText w:val="(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5FD3C52"/>
    <w:multiLevelType w:val="hybridMultilevel"/>
    <w:tmpl w:val="E8581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52E04"/>
    <w:multiLevelType w:val="hybridMultilevel"/>
    <w:tmpl w:val="0C9ADACE"/>
    <w:lvl w:ilvl="0" w:tplc="041A0017">
      <w:start w:val="1"/>
      <w:numFmt w:val="lowerLetter"/>
      <w:lvlText w:val="%1)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48633943"/>
    <w:multiLevelType w:val="hybridMultilevel"/>
    <w:tmpl w:val="04B02440"/>
    <w:lvl w:ilvl="0" w:tplc="2F2AAC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4FD26F14"/>
    <w:multiLevelType w:val="hybridMultilevel"/>
    <w:tmpl w:val="EC0AF5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3398"/>
    <w:multiLevelType w:val="hybridMultilevel"/>
    <w:tmpl w:val="23EEB91A"/>
    <w:lvl w:ilvl="0" w:tplc="D5FA7B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E342D7"/>
    <w:multiLevelType w:val="hybridMultilevel"/>
    <w:tmpl w:val="59DA8B22"/>
    <w:lvl w:ilvl="0" w:tplc="AE9E54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30CD"/>
    <w:multiLevelType w:val="hybridMultilevel"/>
    <w:tmpl w:val="4360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3D2"/>
    <w:multiLevelType w:val="hybridMultilevel"/>
    <w:tmpl w:val="89A60BA4"/>
    <w:lvl w:ilvl="0" w:tplc="CF48A26C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7" w:hanging="360"/>
      </w:pPr>
    </w:lvl>
    <w:lvl w:ilvl="2" w:tplc="041A001B" w:tentative="1">
      <w:start w:val="1"/>
      <w:numFmt w:val="lowerRoman"/>
      <w:lvlText w:val="%3."/>
      <w:lvlJc w:val="right"/>
      <w:pPr>
        <w:ind w:left="1827" w:hanging="180"/>
      </w:pPr>
    </w:lvl>
    <w:lvl w:ilvl="3" w:tplc="041A000F" w:tentative="1">
      <w:start w:val="1"/>
      <w:numFmt w:val="decimal"/>
      <w:lvlText w:val="%4."/>
      <w:lvlJc w:val="left"/>
      <w:pPr>
        <w:ind w:left="2547" w:hanging="360"/>
      </w:pPr>
    </w:lvl>
    <w:lvl w:ilvl="4" w:tplc="041A0019" w:tentative="1">
      <w:start w:val="1"/>
      <w:numFmt w:val="lowerLetter"/>
      <w:lvlText w:val="%5."/>
      <w:lvlJc w:val="left"/>
      <w:pPr>
        <w:ind w:left="3267" w:hanging="360"/>
      </w:pPr>
    </w:lvl>
    <w:lvl w:ilvl="5" w:tplc="041A001B" w:tentative="1">
      <w:start w:val="1"/>
      <w:numFmt w:val="lowerRoman"/>
      <w:lvlText w:val="%6."/>
      <w:lvlJc w:val="right"/>
      <w:pPr>
        <w:ind w:left="3987" w:hanging="180"/>
      </w:pPr>
    </w:lvl>
    <w:lvl w:ilvl="6" w:tplc="041A000F" w:tentative="1">
      <w:start w:val="1"/>
      <w:numFmt w:val="decimal"/>
      <w:lvlText w:val="%7."/>
      <w:lvlJc w:val="left"/>
      <w:pPr>
        <w:ind w:left="4707" w:hanging="360"/>
      </w:pPr>
    </w:lvl>
    <w:lvl w:ilvl="7" w:tplc="041A0019" w:tentative="1">
      <w:start w:val="1"/>
      <w:numFmt w:val="lowerLetter"/>
      <w:lvlText w:val="%8."/>
      <w:lvlJc w:val="left"/>
      <w:pPr>
        <w:ind w:left="5427" w:hanging="360"/>
      </w:pPr>
    </w:lvl>
    <w:lvl w:ilvl="8" w:tplc="041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3" w15:restartNumberingAfterBreak="0">
    <w:nsid w:val="6DBD29A4"/>
    <w:multiLevelType w:val="hybridMultilevel"/>
    <w:tmpl w:val="4DF879A2"/>
    <w:lvl w:ilvl="0" w:tplc="8DE89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446B1"/>
    <w:multiLevelType w:val="hybridMultilevel"/>
    <w:tmpl w:val="532661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08FD"/>
    <w:multiLevelType w:val="hybridMultilevel"/>
    <w:tmpl w:val="DF705C64"/>
    <w:lvl w:ilvl="0" w:tplc="AE9E54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7B4"/>
    <w:multiLevelType w:val="hybridMultilevel"/>
    <w:tmpl w:val="EDAA1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14490"/>
    <w:multiLevelType w:val="hybridMultilevel"/>
    <w:tmpl w:val="25DCA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16A77"/>
    <w:multiLevelType w:val="hybridMultilevel"/>
    <w:tmpl w:val="0D2CCAB2"/>
    <w:lvl w:ilvl="0" w:tplc="D840CA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E94B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48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67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2D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22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E8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E6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C8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6266F"/>
    <w:multiLevelType w:val="hybridMultilevel"/>
    <w:tmpl w:val="614293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612CD"/>
    <w:multiLevelType w:val="hybridMultilevel"/>
    <w:tmpl w:val="0EF63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4"/>
  </w:num>
  <w:num w:numId="4">
    <w:abstractNumId w:val="14"/>
  </w:num>
  <w:num w:numId="5">
    <w:abstractNumId w:val="27"/>
  </w:num>
  <w:num w:numId="6">
    <w:abstractNumId w:val="29"/>
  </w:num>
  <w:num w:numId="7">
    <w:abstractNumId w:val="33"/>
  </w:num>
  <w:num w:numId="8">
    <w:abstractNumId w:val="0"/>
  </w:num>
  <w:num w:numId="9">
    <w:abstractNumId w:val="8"/>
  </w:num>
  <w:num w:numId="10">
    <w:abstractNumId w:val="26"/>
  </w:num>
  <w:num w:numId="11">
    <w:abstractNumId w:val="15"/>
  </w:num>
  <w:num w:numId="12">
    <w:abstractNumId w:val="13"/>
  </w:num>
  <w:num w:numId="13">
    <w:abstractNumId w:val="5"/>
  </w:num>
  <w:num w:numId="14">
    <w:abstractNumId w:val="19"/>
  </w:num>
  <w:num w:numId="15">
    <w:abstractNumId w:val="21"/>
  </w:num>
  <w:num w:numId="16">
    <w:abstractNumId w:val="40"/>
  </w:num>
  <w:num w:numId="17">
    <w:abstractNumId w:val="2"/>
  </w:num>
  <w:num w:numId="18">
    <w:abstractNumId w:val="28"/>
  </w:num>
  <w:num w:numId="19">
    <w:abstractNumId w:val="18"/>
  </w:num>
  <w:num w:numId="20">
    <w:abstractNumId w:val="17"/>
  </w:num>
  <w:num w:numId="21">
    <w:abstractNumId w:val="22"/>
  </w:num>
  <w:num w:numId="22">
    <w:abstractNumId w:val="6"/>
  </w:num>
  <w:num w:numId="23">
    <w:abstractNumId w:val="7"/>
  </w:num>
  <w:num w:numId="24">
    <w:abstractNumId w:val="37"/>
  </w:num>
  <w:num w:numId="25">
    <w:abstractNumId w:val="25"/>
  </w:num>
  <w:num w:numId="26">
    <w:abstractNumId w:val="1"/>
  </w:num>
  <w:num w:numId="27">
    <w:abstractNumId w:val="31"/>
  </w:num>
  <w:num w:numId="28">
    <w:abstractNumId w:val="10"/>
  </w:num>
  <w:num w:numId="29">
    <w:abstractNumId w:val="34"/>
  </w:num>
  <w:num w:numId="30">
    <w:abstractNumId w:val="11"/>
  </w:num>
  <w:num w:numId="31">
    <w:abstractNumId w:val="39"/>
  </w:num>
  <w:num w:numId="32">
    <w:abstractNumId w:val="32"/>
  </w:num>
  <w:num w:numId="33">
    <w:abstractNumId w:val="16"/>
  </w:num>
  <w:num w:numId="34">
    <w:abstractNumId w:val="30"/>
  </w:num>
  <w:num w:numId="35">
    <w:abstractNumId w:val="35"/>
  </w:num>
  <w:num w:numId="36">
    <w:abstractNumId w:val="3"/>
  </w:num>
  <w:num w:numId="37">
    <w:abstractNumId w:val="20"/>
  </w:num>
  <w:num w:numId="38">
    <w:abstractNumId w:val="12"/>
  </w:num>
  <w:num w:numId="39">
    <w:abstractNumId w:val="9"/>
  </w:num>
  <w:num w:numId="40">
    <w:abstractNumId w:val="3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3F"/>
    <w:rsid w:val="00010F85"/>
    <w:rsid w:val="00022046"/>
    <w:rsid w:val="00030BAD"/>
    <w:rsid w:val="00031EEA"/>
    <w:rsid w:val="000326C3"/>
    <w:rsid w:val="00035A3E"/>
    <w:rsid w:val="000423BC"/>
    <w:rsid w:val="00050582"/>
    <w:rsid w:val="00055C68"/>
    <w:rsid w:val="000571B9"/>
    <w:rsid w:val="00060974"/>
    <w:rsid w:val="00075DC7"/>
    <w:rsid w:val="000920B1"/>
    <w:rsid w:val="00092909"/>
    <w:rsid w:val="000B081E"/>
    <w:rsid w:val="000B16F6"/>
    <w:rsid w:val="000B1700"/>
    <w:rsid w:val="000B5D95"/>
    <w:rsid w:val="000D2D60"/>
    <w:rsid w:val="000E10CF"/>
    <w:rsid w:val="000F7204"/>
    <w:rsid w:val="00106E8F"/>
    <w:rsid w:val="0011188E"/>
    <w:rsid w:val="00111C39"/>
    <w:rsid w:val="00112631"/>
    <w:rsid w:val="00120914"/>
    <w:rsid w:val="00136674"/>
    <w:rsid w:val="00170C0C"/>
    <w:rsid w:val="00182BF8"/>
    <w:rsid w:val="001A754D"/>
    <w:rsid w:val="001C0AD3"/>
    <w:rsid w:val="001E79F7"/>
    <w:rsid w:val="001F11AF"/>
    <w:rsid w:val="00211A33"/>
    <w:rsid w:val="00217310"/>
    <w:rsid w:val="00227CAD"/>
    <w:rsid w:val="00232400"/>
    <w:rsid w:val="00233F1F"/>
    <w:rsid w:val="002406D8"/>
    <w:rsid w:val="00241B6F"/>
    <w:rsid w:val="00244C08"/>
    <w:rsid w:val="00247CA4"/>
    <w:rsid w:val="0025332D"/>
    <w:rsid w:val="00256870"/>
    <w:rsid w:val="00287CE0"/>
    <w:rsid w:val="00293FA2"/>
    <w:rsid w:val="002A22EC"/>
    <w:rsid w:val="002B3B83"/>
    <w:rsid w:val="002C162E"/>
    <w:rsid w:val="002C2E59"/>
    <w:rsid w:val="002E0B71"/>
    <w:rsid w:val="002E5E2A"/>
    <w:rsid w:val="0030786F"/>
    <w:rsid w:val="00324B83"/>
    <w:rsid w:val="00334FDA"/>
    <w:rsid w:val="00336738"/>
    <w:rsid w:val="003436BA"/>
    <w:rsid w:val="00344E64"/>
    <w:rsid w:val="0037127D"/>
    <w:rsid w:val="00383AFD"/>
    <w:rsid w:val="003A64E3"/>
    <w:rsid w:val="003B3109"/>
    <w:rsid w:val="003B5634"/>
    <w:rsid w:val="003C45CC"/>
    <w:rsid w:val="003D6290"/>
    <w:rsid w:val="003E1795"/>
    <w:rsid w:val="003E26E5"/>
    <w:rsid w:val="003E5FF0"/>
    <w:rsid w:val="004067C9"/>
    <w:rsid w:val="00410FB6"/>
    <w:rsid w:val="00415712"/>
    <w:rsid w:val="004213D1"/>
    <w:rsid w:val="004245F1"/>
    <w:rsid w:val="004257DF"/>
    <w:rsid w:val="00426337"/>
    <w:rsid w:val="00437937"/>
    <w:rsid w:val="0047381D"/>
    <w:rsid w:val="00477893"/>
    <w:rsid w:val="00477F8B"/>
    <w:rsid w:val="004805C6"/>
    <w:rsid w:val="00481731"/>
    <w:rsid w:val="004B059E"/>
    <w:rsid w:val="004B112B"/>
    <w:rsid w:val="004B5B47"/>
    <w:rsid w:val="004C42B3"/>
    <w:rsid w:val="004C4C5F"/>
    <w:rsid w:val="004C618C"/>
    <w:rsid w:val="004D2109"/>
    <w:rsid w:val="004D27D2"/>
    <w:rsid w:val="004D3E13"/>
    <w:rsid w:val="004D4218"/>
    <w:rsid w:val="004D759C"/>
    <w:rsid w:val="00504FBB"/>
    <w:rsid w:val="005079DA"/>
    <w:rsid w:val="00511E06"/>
    <w:rsid w:val="0051304B"/>
    <w:rsid w:val="00517E9E"/>
    <w:rsid w:val="00520DFF"/>
    <w:rsid w:val="00533A56"/>
    <w:rsid w:val="00556B21"/>
    <w:rsid w:val="00560A26"/>
    <w:rsid w:val="00574071"/>
    <w:rsid w:val="00574F8C"/>
    <w:rsid w:val="00575A29"/>
    <w:rsid w:val="00576E8E"/>
    <w:rsid w:val="0059225E"/>
    <w:rsid w:val="00594884"/>
    <w:rsid w:val="005A1485"/>
    <w:rsid w:val="005A2535"/>
    <w:rsid w:val="005A2CAB"/>
    <w:rsid w:val="005B0BE7"/>
    <w:rsid w:val="005B2699"/>
    <w:rsid w:val="005D52A9"/>
    <w:rsid w:val="005F294C"/>
    <w:rsid w:val="00610252"/>
    <w:rsid w:val="0061126F"/>
    <w:rsid w:val="00614EF3"/>
    <w:rsid w:val="0061776C"/>
    <w:rsid w:val="00642F9D"/>
    <w:rsid w:val="00644F56"/>
    <w:rsid w:val="00653A97"/>
    <w:rsid w:val="00662CD0"/>
    <w:rsid w:val="006636D7"/>
    <w:rsid w:val="00672431"/>
    <w:rsid w:val="00674F95"/>
    <w:rsid w:val="00687536"/>
    <w:rsid w:val="006A3B6E"/>
    <w:rsid w:val="006A5F79"/>
    <w:rsid w:val="006A765B"/>
    <w:rsid w:val="006B272A"/>
    <w:rsid w:val="006B53A0"/>
    <w:rsid w:val="006D02E7"/>
    <w:rsid w:val="006E68E6"/>
    <w:rsid w:val="006F12B2"/>
    <w:rsid w:val="006F15EB"/>
    <w:rsid w:val="006F547F"/>
    <w:rsid w:val="006F656A"/>
    <w:rsid w:val="0071786E"/>
    <w:rsid w:val="00754823"/>
    <w:rsid w:val="00773C66"/>
    <w:rsid w:val="0078456E"/>
    <w:rsid w:val="00790EAF"/>
    <w:rsid w:val="007B579C"/>
    <w:rsid w:val="007C3A7E"/>
    <w:rsid w:val="007D516A"/>
    <w:rsid w:val="007D59E5"/>
    <w:rsid w:val="007E6CF8"/>
    <w:rsid w:val="007F4D94"/>
    <w:rsid w:val="007F7151"/>
    <w:rsid w:val="00800CD1"/>
    <w:rsid w:val="00804550"/>
    <w:rsid w:val="0080722A"/>
    <w:rsid w:val="0081122B"/>
    <w:rsid w:val="0081432A"/>
    <w:rsid w:val="0081556C"/>
    <w:rsid w:val="00820870"/>
    <w:rsid w:val="0082761F"/>
    <w:rsid w:val="00840F1A"/>
    <w:rsid w:val="00842035"/>
    <w:rsid w:val="0085175C"/>
    <w:rsid w:val="00852C1A"/>
    <w:rsid w:val="008554A9"/>
    <w:rsid w:val="008614B0"/>
    <w:rsid w:val="008620CD"/>
    <w:rsid w:val="0087358B"/>
    <w:rsid w:val="00882E72"/>
    <w:rsid w:val="008923C5"/>
    <w:rsid w:val="008A1D46"/>
    <w:rsid w:val="008A3727"/>
    <w:rsid w:val="008A3F36"/>
    <w:rsid w:val="008B1CD8"/>
    <w:rsid w:val="008B707D"/>
    <w:rsid w:val="008C3A51"/>
    <w:rsid w:val="008D4301"/>
    <w:rsid w:val="008D5B2B"/>
    <w:rsid w:val="008D7C12"/>
    <w:rsid w:val="008F45E5"/>
    <w:rsid w:val="008F6AB1"/>
    <w:rsid w:val="00900EDE"/>
    <w:rsid w:val="009036A4"/>
    <w:rsid w:val="0091574A"/>
    <w:rsid w:val="00921A95"/>
    <w:rsid w:val="009235AA"/>
    <w:rsid w:val="0093535E"/>
    <w:rsid w:val="00947C98"/>
    <w:rsid w:val="0095466E"/>
    <w:rsid w:val="00957F08"/>
    <w:rsid w:val="00973A9A"/>
    <w:rsid w:val="00974B25"/>
    <w:rsid w:val="00982E4B"/>
    <w:rsid w:val="009D1C95"/>
    <w:rsid w:val="009F3277"/>
    <w:rsid w:val="009F3FF3"/>
    <w:rsid w:val="009F4BD9"/>
    <w:rsid w:val="009F6937"/>
    <w:rsid w:val="009F6A2C"/>
    <w:rsid w:val="00A02A68"/>
    <w:rsid w:val="00A065AF"/>
    <w:rsid w:val="00A364F2"/>
    <w:rsid w:val="00A515DD"/>
    <w:rsid w:val="00A53D63"/>
    <w:rsid w:val="00A53E06"/>
    <w:rsid w:val="00A61691"/>
    <w:rsid w:val="00A62861"/>
    <w:rsid w:val="00A65F90"/>
    <w:rsid w:val="00A81DBB"/>
    <w:rsid w:val="00A8772B"/>
    <w:rsid w:val="00A91A27"/>
    <w:rsid w:val="00AA4081"/>
    <w:rsid w:val="00AB47AC"/>
    <w:rsid w:val="00AC1AD4"/>
    <w:rsid w:val="00AC6217"/>
    <w:rsid w:val="00AD107A"/>
    <w:rsid w:val="00AD4098"/>
    <w:rsid w:val="00AE7A08"/>
    <w:rsid w:val="00AF0B32"/>
    <w:rsid w:val="00B0453F"/>
    <w:rsid w:val="00B123CE"/>
    <w:rsid w:val="00B14CA9"/>
    <w:rsid w:val="00B14E5D"/>
    <w:rsid w:val="00B568D4"/>
    <w:rsid w:val="00B7436F"/>
    <w:rsid w:val="00B7570B"/>
    <w:rsid w:val="00B96B65"/>
    <w:rsid w:val="00B9709B"/>
    <w:rsid w:val="00BA117E"/>
    <w:rsid w:val="00BA3939"/>
    <w:rsid w:val="00BA63FD"/>
    <w:rsid w:val="00BC2FD6"/>
    <w:rsid w:val="00BC7193"/>
    <w:rsid w:val="00BE7708"/>
    <w:rsid w:val="00BF20B0"/>
    <w:rsid w:val="00BF3B75"/>
    <w:rsid w:val="00BF69E6"/>
    <w:rsid w:val="00C01032"/>
    <w:rsid w:val="00C01D9C"/>
    <w:rsid w:val="00C2634F"/>
    <w:rsid w:val="00C32EF2"/>
    <w:rsid w:val="00C342CB"/>
    <w:rsid w:val="00C42260"/>
    <w:rsid w:val="00C4370D"/>
    <w:rsid w:val="00C544DC"/>
    <w:rsid w:val="00C57957"/>
    <w:rsid w:val="00C60EBA"/>
    <w:rsid w:val="00C66E43"/>
    <w:rsid w:val="00C81ECB"/>
    <w:rsid w:val="00C87DAF"/>
    <w:rsid w:val="00C92480"/>
    <w:rsid w:val="00C93B56"/>
    <w:rsid w:val="00C96C3E"/>
    <w:rsid w:val="00CA5517"/>
    <w:rsid w:val="00CB6AFE"/>
    <w:rsid w:val="00CC6086"/>
    <w:rsid w:val="00CD0A45"/>
    <w:rsid w:val="00CD130A"/>
    <w:rsid w:val="00CE1CEB"/>
    <w:rsid w:val="00CE73A8"/>
    <w:rsid w:val="00CF2D1E"/>
    <w:rsid w:val="00CF7438"/>
    <w:rsid w:val="00D16EB2"/>
    <w:rsid w:val="00D22DF2"/>
    <w:rsid w:val="00D459C0"/>
    <w:rsid w:val="00D57565"/>
    <w:rsid w:val="00D74AF0"/>
    <w:rsid w:val="00D82C7F"/>
    <w:rsid w:val="00D86530"/>
    <w:rsid w:val="00D90576"/>
    <w:rsid w:val="00DA2A6B"/>
    <w:rsid w:val="00DC743A"/>
    <w:rsid w:val="00DD03F6"/>
    <w:rsid w:val="00E02614"/>
    <w:rsid w:val="00E14BA0"/>
    <w:rsid w:val="00E17470"/>
    <w:rsid w:val="00E40D47"/>
    <w:rsid w:val="00E40EB2"/>
    <w:rsid w:val="00E42181"/>
    <w:rsid w:val="00E422C5"/>
    <w:rsid w:val="00E44884"/>
    <w:rsid w:val="00E5221F"/>
    <w:rsid w:val="00E60832"/>
    <w:rsid w:val="00E667C2"/>
    <w:rsid w:val="00E71D91"/>
    <w:rsid w:val="00E8073D"/>
    <w:rsid w:val="00E96EF7"/>
    <w:rsid w:val="00EC2CF0"/>
    <w:rsid w:val="00EC74C3"/>
    <w:rsid w:val="00ED4447"/>
    <w:rsid w:val="00EF288D"/>
    <w:rsid w:val="00EF54C0"/>
    <w:rsid w:val="00EF54D8"/>
    <w:rsid w:val="00EF5AF8"/>
    <w:rsid w:val="00EF756D"/>
    <w:rsid w:val="00EF7EDF"/>
    <w:rsid w:val="00F266B7"/>
    <w:rsid w:val="00F57BE4"/>
    <w:rsid w:val="00F649D2"/>
    <w:rsid w:val="00F8697A"/>
    <w:rsid w:val="00F878E0"/>
    <w:rsid w:val="00F9481D"/>
    <w:rsid w:val="00FC1B11"/>
    <w:rsid w:val="00FC2B7D"/>
    <w:rsid w:val="00FC512A"/>
    <w:rsid w:val="00FC5D34"/>
    <w:rsid w:val="00FD307B"/>
    <w:rsid w:val="00FF188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FA86"/>
  <w15:docId w15:val="{1DC9A3C4-1EBA-4DD8-84BC-2552CA23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D4218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6E6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4D4218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D4218"/>
    <w:rPr>
      <w:rFonts w:ascii="Segoe UI" w:hAnsi="Segoe UI" w:cs="Segoe UI"/>
      <w:sz w:val="18"/>
      <w:szCs w:val="18"/>
      <w:lang w:eastAsia="en-US"/>
    </w:rPr>
  </w:style>
  <w:style w:type="character" w:customStyle="1" w:styleId="Naslov2Char">
    <w:name w:val="Naslov 2 Char"/>
    <w:link w:val="Naslov2"/>
    <w:uiPriority w:val="9"/>
    <w:rsid w:val="006E68E6"/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numbering" w:customStyle="1" w:styleId="NoList1">
    <w:name w:val="No List1"/>
    <w:next w:val="Bezpopisa"/>
    <w:uiPriority w:val="99"/>
    <w:semiHidden/>
    <w:unhideWhenUsed/>
    <w:rsid w:val="006E68E6"/>
  </w:style>
  <w:style w:type="character" w:styleId="Referencakomentara">
    <w:name w:val="annotation reference"/>
    <w:uiPriority w:val="99"/>
    <w:semiHidden/>
    <w:unhideWhenUsed/>
    <w:rsid w:val="006E68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68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E68E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68E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E68E6"/>
    <w:rPr>
      <w:b/>
      <w:bCs/>
      <w:lang w:eastAsia="en-US"/>
    </w:rPr>
  </w:style>
  <w:style w:type="paragraph" w:styleId="Revizija">
    <w:name w:val="Revision"/>
    <w:hidden/>
    <w:uiPriority w:val="99"/>
    <w:semiHidden/>
    <w:rsid w:val="006E68E6"/>
    <w:rPr>
      <w:sz w:val="22"/>
      <w:szCs w:val="22"/>
      <w:lang w:eastAsia="en-US"/>
    </w:rPr>
  </w:style>
  <w:style w:type="character" w:customStyle="1" w:styleId="kurziv">
    <w:name w:val="kurziv"/>
    <w:rsid w:val="006E68E6"/>
  </w:style>
  <w:style w:type="paragraph" w:styleId="Bezproreda">
    <w:name w:val="No Spacing"/>
    <w:uiPriority w:val="1"/>
    <w:qFormat/>
    <w:rsid w:val="00247CA4"/>
    <w:rPr>
      <w:sz w:val="22"/>
      <w:szCs w:val="22"/>
      <w:lang w:eastAsia="en-US"/>
    </w:rPr>
  </w:style>
  <w:style w:type="paragraph" w:customStyle="1" w:styleId="box457507">
    <w:name w:val="box_457507"/>
    <w:basedOn w:val="Normal"/>
    <w:rsid w:val="00FD3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32EE68372664AB52434887A372380" ma:contentTypeVersion="0" ma:contentTypeDescription="Create a new document." ma:contentTypeScope="" ma:versionID="0a42d44d3f3b6e2f757fd3f5e97068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B70B-2007-4893-A350-60BF62885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6B002-147A-4C96-919A-28C307DA4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8DD6A-2D5E-43BC-8935-EEBA75E02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F41D07-E6FC-47B4-BAEB-503BA99CEE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9C479-EB0B-4A7F-9A53-7992257D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3109</Words>
  <Characters>17725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Loborec</dc:creator>
  <cp:lastModifiedBy>Mađarić Vjekoslav</cp:lastModifiedBy>
  <cp:revision>2</cp:revision>
  <cp:lastPrinted>2021-05-20T11:58:00Z</cp:lastPrinted>
  <dcterms:created xsi:type="dcterms:W3CDTF">2021-05-20T12:09:00Z</dcterms:created>
  <dcterms:modified xsi:type="dcterms:W3CDTF">2021-05-20T12:09:00Z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0x01010029732EE68372664AB52434887A372380</vt:lpwstr>
  </property>
</Properties>
</file>