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5A9" w:rsidRDefault="00A005A9" w:rsidP="00A005A9">
      <w:pPr>
        <w:pStyle w:val="Title"/>
        <w:rPr>
          <w:lang w:val="hr-HR" w:eastAsia="hr-HR"/>
        </w:rPr>
      </w:pPr>
      <w:r w:rsidRPr="00A005A9">
        <w:rPr>
          <w:lang w:val="hr-HR" w:eastAsia="hr-HR"/>
        </w:rPr>
        <w:t>OBRAZAC PRETHODNE PROCJENE</w:t>
      </w:r>
    </w:p>
    <w:p w:rsidR="00A005A9" w:rsidRPr="00A005A9" w:rsidRDefault="00A005A9" w:rsidP="00A005A9">
      <w:pPr>
        <w:pStyle w:val="Heading1"/>
        <w:rPr>
          <w:lang w:val="hr-HR" w:eastAsia="hr-HR"/>
        </w:rPr>
      </w:pPr>
      <w:r w:rsidRPr="00A005A9">
        <w:rPr>
          <w:lang w:val="hr-HR" w:eastAsia="hr-HR"/>
        </w:rPr>
        <w:t>OPĆE INFORMACIJE</w:t>
      </w:r>
    </w:p>
    <w:p w:rsidR="00A005A9" w:rsidRPr="00A005A9" w:rsidRDefault="00A005A9" w:rsidP="00A005A9">
      <w:pPr>
        <w:rPr>
          <w:lang w:val="hr-HR" w:eastAsia="hr-HR"/>
        </w:rPr>
      </w:pP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3260"/>
      </w:tblGrid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1.1.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Stručni nositelj:</w:t>
            </w:r>
          </w:p>
        </w:tc>
        <w:tc>
          <w:tcPr>
            <w:tcW w:w="6374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Ministarstvo gospodarstva i održivog razvoja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1.2.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nacrta prijedloga zakona:</w:t>
            </w:r>
          </w:p>
        </w:tc>
        <w:tc>
          <w:tcPr>
            <w:tcW w:w="6374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o Hrvatskoj gospodarskoj komori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1.3.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Datum:</w:t>
            </w:r>
          </w:p>
        </w:tc>
        <w:tc>
          <w:tcPr>
            <w:tcW w:w="6374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31.05.2021.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1.4.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Uprava za industriju, poduzetništvo i obrt, Vesna Veliki, 01/610-6512, vesna.veliki@mingor.hr</w:t>
            </w:r>
          </w:p>
        </w:tc>
      </w:tr>
      <w:tr w:rsidR="00A005A9" w:rsidRPr="00A005A9" w:rsidTr="003D3A8D">
        <w:trPr>
          <w:trHeight w:val="420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1.5.</w:t>
            </w:r>
          </w:p>
        </w:tc>
        <w:tc>
          <w:tcPr>
            <w:tcW w:w="2556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</w:t>
            </w:r>
          </w:p>
        </w:tc>
        <w:tc>
          <w:tcPr>
            <w:tcW w:w="3260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akta: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o Hrvatskoj gospodarskoj komori</w:t>
            </w:r>
          </w:p>
        </w:tc>
      </w:tr>
      <w:tr w:rsidR="00A005A9" w:rsidRPr="00A005A9" w:rsidTr="003D3A8D">
        <w:trPr>
          <w:trHeight w:val="1238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556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4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260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Opis mjere: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1.6.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Da/Ne: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</w:t>
            </w:r>
          </w:p>
        </w:tc>
        <w:tc>
          <w:tcPr>
            <w:tcW w:w="3260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Naziv pravne stečevine EU: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</w:t>
            </w:r>
          </w:p>
        </w:tc>
      </w:tr>
    </w:tbl>
    <w:p w:rsidR="003D3A8D" w:rsidRDefault="003D3A8D"/>
    <w:p w:rsidR="00A005A9" w:rsidRDefault="00A005A9" w:rsidP="00A005A9">
      <w:pPr>
        <w:pStyle w:val="Heading1"/>
      </w:pPr>
      <w:r w:rsidRPr="00F7073E">
        <w:t>ANALIZA POSTOJEĆEG STANJA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2.1.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problem koji zahtjeva izradu ili promjenu zakonodavstva?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Donošenje novog zakonskog okvira u funkciji je povećanja angažmana, </w:t>
            </w:r>
            <w:proofErr w:type="spellStart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proaktivnosti</w:t>
            </w:r>
            <w:proofErr w:type="spellEnd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 i kvalitete Komore te njene transformacije u učinkovit i efikasan servis okrenut gospodarstvenicima. Poduzetnicima je potrebno osigurati što bolju i pravedniju poziciju, u svrhu čega treba izvršiti reformu postojećeg sustava kojim određeni dio članova, nije  zadovoljan jer obvezno članstvo uvjetovano plaćanjem članarina, doživljavaju kao dodatni parafiskalni namet.</w:t>
            </w: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cr/>
              <w:t xml:space="preserve">Osim toga protekli period od 30 godine od dana donošenja Zakona iziskuje određene promjene u sustavu i prilagođavanje novim trendovima u gospodarstvu, kao i usklađivanje izričaja i terminologije sukladno </w:t>
            </w:r>
            <w:proofErr w:type="spellStart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nomotehničkim</w:t>
            </w:r>
            <w:proofErr w:type="spellEnd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 smjernicama.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2.2.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Zašto je potrebna izrada nacrta prijedloga zakona? 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Zbog odgovarajućeg normativnog uređenja koje će omogućiti daljnji razvoj i unaprjeđenje komorskog sustava i administrativno rasterećenje poduzetnika.</w:t>
            </w:r>
          </w:p>
        </w:tc>
      </w:tr>
      <w:tr w:rsidR="00A005A9" w:rsidRPr="00A005A9" w:rsidTr="003D3A8D">
        <w:trPr>
          <w:trHeight w:val="858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2.3.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Hrvatski sabor donio je Zaključak KLASA:301-01/20-01/05 URBROJ: 6532-1-21-01 od 3. veljače 2021.kojim se Vlada RH zadužuje da najkasnije do 15.srpnja 2021. dostavi Hrvatskom saboru prijedlog Zakona o Hrvatskoj gospodarskoj komori kojim će osigurati reformu sustava Hrvatske gospodarske komore u funkcionalnom i materijalnom smislu te daljnje rasterećenje hrvatskih gospodarstvenika i osnaživanje njihovog tržišnog položaja.</w:t>
            </w:r>
          </w:p>
        </w:tc>
      </w:tr>
    </w:tbl>
    <w:p w:rsidR="00A005A9" w:rsidRDefault="00A005A9" w:rsidP="00A005A9"/>
    <w:p w:rsidR="00A005A9" w:rsidRDefault="00A005A9" w:rsidP="00A005A9">
      <w:pPr>
        <w:pStyle w:val="Heading1"/>
      </w:pPr>
      <w:r w:rsidRPr="00F7073E">
        <w:t>UTVRĐIVANJE ISHODA ODNOSNO PROMJENA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3.1.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Što je cilj koji se namjerava postići?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Ključni cilj je osigurati Zakon koji će učinkovito regulirati određene probleme i promijeniti percepciju Komore kao institucije koja je samoj sebi svrha umjesto da bude u funkciji poluge za razvoj i dobrobit gospodarstva i njegovih nositelja. Uvođenje dobrovoljnog članstva stimuliralo bi modernizaciju komorskog sustava i ponudu novih usluga koje bi privukle novo članstvo i motiviralo ''staro'' za zadržavanje članstva. To je važno naročito za članove koji učinkovitu zaštitu svojih interesa želi ostvariti u odgovarajućoj zastupljenosti u tijelima Komore. Subjekti koji odluče zadržati članstvo, dobili bi potrebnu reprezentativnost po veličini, prihodima i djelatnostima u tijelima upravljanja.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3.2.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Predviđa se primjena modela utvrđivanja članarine prema kojem bi poduzetnike razvrstali u skupine ovisno o njihovoj gospodarskoj snazi, po kriteriju veličine, visine prihoda i ukupne aktive. Tako bi poduzetnici I. skupine bili oslobođeni plaćanja članarina, dok bi oni iz II. i III. Skupine ostali u režimu plaćanja članarine. Lepeza posebnih usluga i proizvoda bila bi dostupna poduzetnicima uz plaćanje naknade prema cjenicima koje utvrđuje Skupština HGK prema kategoriji subjekta.</w:t>
            </w:r>
          </w:p>
        </w:tc>
      </w:tr>
      <w:tr w:rsidR="00A005A9" w:rsidRPr="00A005A9" w:rsidTr="003D3A8D"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3.3.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Koji je vremenski okvir za postizanje ishoda odnosno promjena?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Promjena u dijelu oslobođenja plaćanja članarine poduzetnicima I. Skupine nastupit će u roku od mjesec dana od dana stupanja na snagu Zakona, a modernizacija komorskog sustava i razvijanje novih proizvoda i usluga u funkciji privlačenja najbrojnijeg dijela članova iz I. Skupine koji bi bili potaknuti na plaćanje članarine zbog kvalitete i korisnosti tih proizvoda i usluga, očekuje se u roku od godine dana  od dana stupanja na snagu Zakona,</w:t>
            </w:r>
          </w:p>
        </w:tc>
      </w:tr>
    </w:tbl>
    <w:p w:rsidR="00A005A9" w:rsidRDefault="00A005A9" w:rsidP="00A005A9"/>
    <w:p w:rsidR="00A005A9" w:rsidRDefault="00A005A9" w:rsidP="00A005A9">
      <w:pPr>
        <w:pStyle w:val="Heading1"/>
      </w:pPr>
      <w:r w:rsidRPr="00F7073E">
        <w:lastRenderedPageBreak/>
        <w:t>UTVRĐIVANJE RJEŠENJA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6374"/>
      </w:tblGrid>
      <w:tr w:rsidR="00A005A9" w:rsidRPr="00A005A9" w:rsidTr="003D3A8D"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4.1.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Navedite koja su moguća normativna rješenja za postizanje navedenog ishoda.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Moguća normativna rješenja (novi propis/izmjene i dopune važećeg/stavljanje van snage propisa i slično):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Moguće normativno rješenje je novi propis</w:t>
            </w:r>
          </w:p>
        </w:tc>
      </w:tr>
      <w:tr w:rsidR="00A005A9" w:rsidRPr="00A005A9" w:rsidTr="003D3A8D"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o Hrvatskoj gospodarskoj komori (''Narodne novine'', br. 66/91 i 73/91), datira od 1991. godine u kojoj je donesena i jedina izmjena vezana uz promjenu roka do kojeg se zatečeni komorski sustav mora uskladiti sa odredbama novog Zakona. Protekli period od 30 godine od dana donošenja Zakona iziskuje promjene u sustavu i prilagođavanje novim trendovima u gospodarstvu i potrebama poduzetnika.</w:t>
            </w:r>
          </w:p>
        </w:tc>
      </w:tr>
      <w:tr w:rsidR="00A005A9" w:rsidRPr="00A005A9" w:rsidTr="003D3A8D">
        <w:trPr>
          <w:trHeight w:val="567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4.2.</w:t>
            </w:r>
          </w:p>
        </w:tc>
        <w:tc>
          <w:tcPr>
            <w:tcW w:w="255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Navedite koja su moguća </w:t>
            </w:r>
            <w:proofErr w:type="spellStart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za postizanje navedenog ishoda.</w:t>
            </w:r>
          </w:p>
        </w:tc>
        <w:tc>
          <w:tcPr>
            <w:tcW w:w="6374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Moguća </w:t>
            </w:r>
            <w:proofErr w:type="spellStart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nenormativna</w:t>
            </w:r>
            <w:proofErr w:type="spellEnd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rješenja (ne poduzimati normativnu inicijativu, informacije i kampanje, ekonomski instrumenti, samoregulacija, </w:t>
            </w:r>
            <w:proofErr w:type="spellStart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koregulacija</w:t>
            </w:r>
            <w:proofErr w:type="spellEnd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slično):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Nije moguće </w:t>
            </w:r>
            <w:proofErr w:type="spellStart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nenormativno</w:t>
            </w:r>
            <w:proofErr w:type="spellEnd"/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 xml:space="preserve"> rješenje.</w:t>
            </w:r>
          </w:p>
        </w:tc>
      </w:tr>
      <w:tr w:rsidR="00A005A9" w:rsidRPr="00A005A9" w:rsidTr="003D3A8D">
        <w:trPr>
          <w:trHeight w:val="567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2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Ustroj i nadležnosti HGK uređeni su zakonom.</w:t>
            </w:r>
          </w:p>
        </w:tc>
      </w:tr>
    </w:tbl>
    <w:p w:rsidR="00A005A9" w:rsidRDefault="00A005A9" w:rsidP="00A005A9"/>
    <w:p w:rsidR="00A005A9" w:rsidRDefault="00A005A9" w:rsidP="00A005A9">
      <w:pPr>
        <w:pStyle w:val="Heading1"/>
      </w:pPr>
      <w:r w:rsidRPr="00F7073E">
        <w:t>UTVRĐIVANJE IZRAVNIH UČINAKA I ADRESATA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6"/>
        <w:gridCol w:w="992"/>
        <w:gridCol w:w="36"/>
        <w:gridCol w:w="956"/>
      </w:tblGrid>
      <w:tr w:rsidR="00A005A9" w:rsidRPr="00A005A9" w:rsidTr="003D3A8D">
        <w:trPr>
          <w:trHeight w:val="382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UTVRĐIVANJE GOSPODARSKIH UČINAKA </w:t>
            </w:r>
          </w:p>
        </w:tc>
      </w:tr>
      <w:tr w:rsidR="00A005A9" w:rsidRPr="00A005A9" w:rsidTr="003D3A8D">
        <w:trPr>
          <w:trHeight w:val="382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382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A005A9" w:rsidRPr="00A005A9" w:rsidTr="003D3A8D">
        <w:trPr>
          <w:trHeight w:val="382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ind w:right="-251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Slobodno kretanje roba, usluga, rada i kapitala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Funkcioniranje tržišta i konkurentnost gospodarstva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razmjenu dobara i usluga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Cijena roba i usluga 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Uvjet za poslovanje na tržištu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kapitala u gospodarskim subjektima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zapošljavanja u gospodarskim subjektima (trošak rada u cjelini)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5.1.9.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uvođenja tehnologije u poslovni proces u gospodarskim subjektima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investicija vezano za poslovanje gospodarskih subjekata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Trošak proizvodnje, osobito nabave materijala, tehnologije i energije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Prepreke za slobodno kretanje roba, usluga, rada i kapitala vezano za poslovanje gospodarskih subjekata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Djelovanje na imovinska prava gospodarskih subjekata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5.1.15.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5.1.1. do 5.1.14.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izravni učinak na gospodarstvo, s obzirom da se radi o oslobađanju od plaćanja članarine u iznosu, u prosjeku od 42,00 kn za prvu skupinu članova koji se odnose na mikro i male gospodarske subjekte.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DA</w:t>
            </w:r>
            <w:bookmarkStart w:id="0" w:name="_GoBack"/>
            <w:bookmarkEnd w:id="0"/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3D3A8D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5.1.19.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5.1.25.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5.1.27.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5.1.16. do 5.1.26.: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Mikro i mali poduzetnici oslobađaju se obveze plaćanja članarine koja u prosjeku iznosi 42,00 kune mjesečno, a koji iznos ne predstavlja značajno opterećenje za njihovo poslovanje koje bi kao takvo kočilo njihov razvoj.</w:t>
            </w:r>
          </w:p>
        </w:tc>
      </w:tr>
      <w:tr w:rsidR="00A005A9" w:rsidRPr="00A005A9" w:rsidTr="003D3A8D">
        <w:trPr>
          <w:trHeight w:val="299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5.1.28.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GOSPODARSKIH UČINAKA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22" w:type="dxa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005A9" w:rsidRPr="00A005A9" w:rsidTr="003D3A8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  <w:vAlign w:val="bottom"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TRŽIŠNO NATJECANJE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  <w:shd w:val="clear" w:color="auto" w:fill="auto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Strukturalna, financijska, tehnička ili druga prepreka u pojedinom gospodarskom sektoru odnosno gospodarstvu u cjelini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Pozicija državnih tijela koja pružaju javne usluge uz istovremeno obavljanje gospodarske aktivnosti na tržištu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5.2.5.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5.2.1. do 5.2.4.: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Mikro i mali poduzetnici oslobađaju se obveze plaćanja članarine koja u prosjeku iznosi 42,00 kune mjesečno, a koji iznos ne predstavlja značajno opterećenje za njihovo poslovanje koje bi kao takvo kočilo njihov razvoj ili pridonijelo njihovom boljem pozicioniranju na tržištu.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5.2.6.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3D7DA0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3D7DA0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5.2.17.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5.2.6. do 5.2.16.: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učinak Zakona na odnose subjekata na tržištu i njihovog tržišnog natjecanja.</w:t>
            </w:r>
          </w:p>
        </w:tc>
      </w:tr>
      <w:tr w:rsidR="00A005A9" w:rsidRPr="00A005A9" w:rsidTr="003D3A8D">
        <w:trPr>
          <w:trHeight w:val="3562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5.2.18.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TRŽIŠNOG NATJECANJA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22" w:type="dxa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A005A9" w:rsidRPr="00A005A9" w:rsidTr="003D3A8D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SOCIJALNIH UČINAKA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Demografski trend, osobito prirodno kretanje stanovništva, stopa nataliteta i mortaliteta, stopa rasta stanovništva i dr.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Prirodna migracija stanovništva i migracija uzrokovana ekonomskim, političkim ili drugim okolnostima koje dovode do migracije stanovništva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Socijalna uključenost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osjetljivih skupina i skupina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Proširenje odnosno sužavanje pristupa sustavu socijalne skrbi i javnim uslugama te pravo na zdravstvenu zaštitu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sustava socijalne skrbi i sustava zdravstvene zaštite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5.3.8.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5.3.1. do 5.3.7.: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ne proizvodi izravni socijalni učinak u smislu socijalne uključenosti, demografskog trenda i zaštite osjetljivih skupina i slično.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5.3.19.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2136D5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5.3.20.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5.3.9. do 5.3.19.: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ne proizvodi izravne učinke na udruge, zaklade, središnja tijela državne uprave, trgovačka društva u vlasništvu RH i u vlasništvu jedinica lokalne, regionalne(područne) samouprave i pravne osobe s javnim ovlastima.</w:t>
            </w:r>
          </w:p>
        </w:tc>
      </w:tr>
      <w:tr w:rsidR="00A005A9" w:rsidRPr="00A005A9" w:rsidTr="003D3A8D">
        <w:trPr>
          <w:trHeight w:val="3401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5.3.21.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SOCIJALNIH UČINAKA: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67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005A9" w:rsidRPr="00A005A9" w:rsidTr="003D3A8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RAD I TRŽIŠTE RADA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Mali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Veliki 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Zapošljavanje i tržište rada u gospodarstvu Republike Hrvatske u cjelini odnosno u pojedinom gospodarskom području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Otvaranje novih radnih mjesta odnosno gubitak radnih mjesta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Kretanje minimalne plaće i najniže mirovine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regulirane profesije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Status posebnih skupina radno sposobnog stanovništva s obzirom na dob stanovništva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Fleksibilnost uvjeta rada i radnog mjesta za pojedine skupine stanovništva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Financijska održivost mirovinskoga sustava, osobito u dijelu dugoročne održivosti mirovinskoga sustava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Odnos između privatnog i poslovnog života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Dohodak radnika odnosno samozaposlenih osoba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Pravo na kvalitetu radnog mjesta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Ostvarivanje prava na mirovinu i drugih radnih prava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  <w:t>Status prava iz kolektivnog ugovora i na pravo kolektivnog pregovaranja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5.4.14.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5.4.1 do 5.4.13: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Mikro i mali poduzetnici oslobađaju se obveze plaćanja članarine koja u prosjeku iznosi 42,00 kune mjesečno, a koji iznos ne predstavlja značajno opterećenje za njihovo poslovanje koje bi kao takvo kočilo njihov razvoj ili pridonijelo njihovom boljem pozicioniranju na tržištu.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proofErr w:type="spellEnd"/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5.4.19.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5.4.23.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5.4.26.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5.4.15. do 5.4.25.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Zakon ne proizvodi izravni učinak na navedene adresate.</w:t>
            </w:r>
          </w:p>
        </w:tc>
      </w:tr>
      <w:tr w:rsidR="00A005A9" w:rsidRPr="00A005A9" w:rsidTr="003D3A8D">
        <w:trPr>
          <w:trHeight w:val="3436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5.4.27.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RAD I TRŽIŠTE RADA: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67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005A9" w:rsidRPr="00A005A9" w:rsidTr="003D3A8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OKOLIŠA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Utjecaj na klimu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Kvaliteta i korištenje zraka, vode i tla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energije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Korištenje obnovljivih i neobnovljivih izvora energije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Bioraznolikost</w:t>
            </w:r>
            <w:proofErr w:type="spellEnd"/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biljnog i životinjskog svijeta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Gospodarenje otpadom i/ili recikliranje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Rizik onečišćenja od industrijskih pogona po bilo kojoj osnovi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od utjecaja genetski modificiranih organizama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993F6B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lastRenderedPageBreak/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Zaštita od utjecaja kemikalija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5.5.11.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5.5.1. do 5.5.10.: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izravan učinak na klimu, kvalitetu i korištenje zraka, vode i tla, korištenje energije, gospodarenje otpadom i/ili recikliranje i ostalo.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proofErr w:type="spellEnd"/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5.5.19.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5.5.23.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5.5.12. do 5.5.22.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izravni utjecaj na navedene adresate.</w:t>
            </w:r>
          </w:p>
        </w:tc>
      </w:tr>
      <w:tr w:rsidR="00A005A9" w:rsidRPr="00A005A9" w:rsidTr="003D3A8D">
        <w:trPr>
          <w:trHeight w:val="3418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5.5.24.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OKOLIŠA: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67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005A9" w:rsidRPr="00A005A9" w:rsidTr="003D3A8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UTVRĐIVANJE UČINAKA NA ZAŠTITU LJUDSKIH PRAVA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Vrsta izravnih učinaka</w:t>
            </w:r>
          </w:p>
        </w:tc>
        <w:tc>
          <w:tcPr>
            <w:tcW w:w="3260" w:type="dxa"/>
            <w:gridSpan w:val="4"/>
          </w:tcPr>
          <w:p w:rsidR="00A005A9" w:rsidRPr="00A005A9" w:rsidRDefault="00A005A9" w:rsidP="00A005A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Mjerilo učinka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 w:val="restart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Utvrdite učinak na: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Mali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Veliki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Da/Ne</w:t>
            </w:r>
          </w:p>
        </w:tc>
      </w:tr>
      <w:tr w:rsidR="00A005A9" w:rsidRPr="00A005A9" w:rsidTr="003D3A8D">
        <w:trPr>
          <w:trHeight w:val="943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Ravnopravnost spolova u smislu jednakog statusa, jednake mogućnosti za ostvarivanje svih prava, kao i jednaku korist od ostvarenih rezultata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701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jednaki tretman i prilike osobito u dijelu ostvarivanja materijalnih prava, zapošljavanja, rada i drugih Ustavom Republike Hrvatske zajamčenih prava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slobodu kretanja u Republici Hrvatskoj odnosno u drugim zemljama članicama Europske unije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Izravna ili neizravna diskriminacija po bilo kojoj osnovi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Povreda prava na privatnost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Ostvarivanje pravne zaštite, pristup sudu i pravo na besplatnu pravnu pomoć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međunarodnu zaštitu, privremenu zaštitu i postupanje s tim u vezi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5.6.8.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pristup informacijama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očekivani izravni učinak:</w:t>
            </w:r>
          </w:p>
          <w:p w:rsidR="00A005A9" w:rsidRPr="00A005A9" w:rsidRDefault="00A005A9" w:rsidP="00A005A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5.6.10.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izravnih učinaka od 5.6.1. do 5.6.9.: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izravni utjecaj na ljudska prava.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Utvrdite veličinu adresata:</w:t>
            </w:r>
          </w:p>
        </w:tc>
        <w:tc>
          <w:tcPr>
            <w:tcW w:w="1276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Mikro i mali poduzetnici i/ili obiteljska poljoprivredna gospodarstva i/ili zadruge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5.6.12.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Srednji i veliki poduzetnici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5.6.13.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Građani i/ili obitelji i/ili kućanstva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5.6.14.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Radnici i/ili umirovljenici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5.6.15.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Pružatelji uslužnih djelatnosti u pojedinoj gospodarskoj grani i/ili potrošači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5.6.16.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Hrvatski branitelji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5.6.17.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Manjine i/ili socijalne skupine s posebnim interesima i potrebama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5.6.18.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Udruge i/ili zaklade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5.6.19.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Središnja tijela državne uprave, druga državna tijela, pravosudna tijela, javne ustanove, jedinice lokalne i područne (regionalne) samouprave, pravne osobe s javnim ovlastima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5.6.20.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Trgovačka društva u vlasništvu Republike Hrvatske i trgovačka društva u vlasništvu jedinica lokalne i područne (regionalne) samouprave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5.6.21.</w:t>
            </w:r>
          </w:p>
        </w:tc>
        <w:tc>
          <w:tcPr>
            <w:tcW w:w="5670" w:type="dxa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Drugi utvrđeni adresati: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1028" w:type="dxa"/>
            <w:gridSpan w:val="2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993F6B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5.6.22.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Obrazloženje za analizu utvrđivanja adresata od 5.6.11. do 5.6.21.</w:t>
            </w:r>
          </w:p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lang w:eastAsia="hr-HR"/>
              </w:rPr>
              <w:t>Ne postoji izravni utjecaj na navedene adresate.</w:t>
            </w:r>
          </w:p>
        </w:tc>
      </w:tr>
      <w:tr w:rsidR="00A005A9" w:rsidRPr="00A005A9" w:rsidTr="003D3A8D">
        <w:trPr>
          <w:trHeight w:val="3642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lastRenderedPageBreak/>
              <w:t>5.6.23.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REZULTAT PRETHODNE PROCJENE UČINAKA NA ZAŠTITU LJUDSKIH PRAVA: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 xml:space="preserve">Da li je utvrđena barem jedna kombinacija: 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mali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veliki izravni učinak i veliki broj adresata</w:t>
            </w:r>
          </w:p>
          <w:p w:rsidR="00A005A9" w:rsidRPr="00A005A9" w:rsidRDefault="00A005A9" w:rsidP="00A005A9">
            <w:pPr>
              <w:numPr>
                <w:ilvl w:val="1"/>
                <w:numId w:val="33"/>
              </w:numPr>
              <w:ind w:left="459" w:hanging="283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mali izravni učinak i veliki broj adresata.</w:t>
            </w:r>
          </w:p>
          <w:p w:rsidR="00A005A9" w:rsidRPr="00A005A9" w:rsidRDefault="00A005A9" w:rsidP="00A005A9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</w:pPr>
            <w:r w:rsidRPr="00A005A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hr-HR"/>
              </w:rPr>
              <w:t>Ako da, označite tu kombinaciju u tablici s "DA":</w:t>
            </w:r>
          </w:p>
          <w:tbl>
            <w:tblPr>
              <w:tblW w:w="8667" w:type="dxa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A005A9" w:rsidRPr="00A005A9" w:rsidTr="003D3A8D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Izravni učinci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  <w:t>Adresati</w:t>
                  </w: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Calibri" w:hAnsi="Times New Roman" w:cs="Times New Roman"/>
                      <w:b/>
                      <w:sz w:val="24"/>
                      <w:lang w:val="hr-HR" w:eastAsia="hr-HR"/>
                    </w:rPr>
                    <w:t>X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  <w:tr w:rsidR="00A005A9" w:rsidRPr="00A005A9" w:rsidTr="003D3A8D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20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</w:pPr>
                  <w:r w:rsidRPr="00A005A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hr-HR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  <w:tc>
                <w:tcPr>
                  <w:tcW w:w="14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noWrap/>
                </w:tcPr>
                <w:p w:rsidR="00A005A9" w:rsidRPr="00A005A9" w:rsidRDefault="00A005A9" w:rsidP="00A005A9">
                  <w:pPr>
                    <w:ind w:firstLine="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hr-HR" w:eastAsia="hr-HR"/>
                    </w:rPr>
                  </w:pPr>
                </w:p>
              </w:tc>
            </w:tr>
          </w:tbl>
          <w:p w:rsidR="00A005A9" w:rsidRPr="00A005A9" w:rsidRDefault="00A005A9" w:rsidP="00A005A9">
            <w:pP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A005A9" w:rsidRDefault="00A005A9" w:rsidP="00A005A9"/>
    <w:p w:rsidR="00A005A9" w:rsidRPr="00A005A9" w:rsidRDefault="00A005A9" w:rsidP="00A005A9">
      <w:pPr>
        <w:pStyle w:val="Heading1"/>
        <w:rPr>
          <w:lang w:val="hr-HR" w:eastAsia="hr-HR"/>
        </w:rPr>
      </w:pPr>
      <w:r w:rsidRPr="00A005A9">
        <w:rPr>
          <w:lang w:val="hr-HR" w:eastAsia="hr-HR"/>
        </w:rPr>
        <w:t>PRETHODNI TEST MALOG I SREDNJEG PODUZETNIŠTVA (PRETHODNI MSP TEST)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1028"/>
        <w:gridCol w:w="956"/>
      </w:tblGrid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  <w:szCs w:val="24"/>
              </w:rPr>
              <w:t>6.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b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6.1.</w:t>
            </w:r>
          </w:p>
        </w:tc>
        <w:tc>
          <w:tcPr>
            <w:tcW w:w="694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szCs w:val="24"/>
              </w:rPr>
            </w:pPr>
            <w:r w:rsidRPr="00A005A9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 xml:space="preserve">Obrazloženje: </w:t>
            </w:r>
          </w:p>
          <w:p w:rsidR="00A005A9" w:rsidRPr="00A005A9" w:rsidRDefault="00A005A9" w:rsidP="00A005A9">
            <w:pPr>
              <w:rPr>
                <w:i/>
              </w:rPr>
            </w:pPr>
            <w:r w:rsidRPr="00A005A9">
              <w:rPr>
                <w:i/>
              </w:rPr>
              <w:t>Ne postoji izravni učinak kroz administrativne troškove, s obzirom da se radi o oslobađanju od plaćanja članarine u iznosu, u prosjeku od 42,00 kn za prvu skupinu članova koji se odnose na mikro i male gospodarske subjekte.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6.2.</w:t>
            </w:r>
          </w:p>
        </w:tc>
        <w:tc>
          <w:tcPr>
            <w:tcW w:w="694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szCs w:val="24"/>
              </w:rPr>
            </w:pPr>
            <w:r w:rsidRPr="00A005A9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Obrazloženje:</w:t>
            </w:r>
          </w:p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i/>
              </w:rPr>
              <w:t>Propis nema učinak na tržišnu konkurenciju i konkurentnost unutarnjeg tržišta EU u smislu prepreka slobodi tržišne konkurencije jer oslobađanje od plaćanja 42,00 kn mjesečno ne proizvodi nikakve promjene u tržišnom pozicioniranju poduzetnika ili u njegovoj kompetitivnosti.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6.3.</w:t>
            </w:r>
          </w:p>
        </w:tc>
        <w:tc>
          <w:tcPr>
            <w:tcW w:w="6946" w:type="dxa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Obrazloženje:</w:t>
            </w:r>
          </w:p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i/>
              </w:rPr>
              <w:t>Propis ne uvodi naknade nego ih ukida.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6.4.</w:t>
            </w:r>
          </w:p>
        </w:tc>
        <w:tc>
          <w:tcPr>
            <w:tcW w:w="6946" w:type="dxa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Obrazloženje:</w:t>
            </w:r>
          </w:p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i/>
              </w:rPr>
              <w:t>Propis neće proizvesti poseban učinak na mikro poduzetnike jer je iznos od 42,00 kn premali da bi takva ušteda polučila učinak.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 w:val="restart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lastRenderedPageBreak/>
              <w:t>6.5.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  <w:vMerge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Obrazloženje:</w:t>
            </w:r>
          </w:p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i/>
              </w:rPr>
              <w:t>Propis neće proizvesti poseban učinak na mikro poduzetnike jer je iznos od 42,00 kn premali da bi takva ušteda polučila učinak.</w:t>
            </w:r>
          </w:p>
        </w:tc>
      </w:tr>
    </w:tbl>
    <w:p w:rsidR="00A005A9" w:rsidRDefault="00A005A9" w:rsidP="00A005A9"/>
    <w:p w:rsidR="00A005A9" w:rsidRPr="00A005A9" w:rsidRDefault="00A005A9" w:rsidP="00A005A9">
      <w:pPr>
        <w:pStyle w:val="Heading1"/>
      </w:pPr>
      <w:proofErr w:type="spellStart"/>
      <w:r w:rsidRPr="00A005A9">
        <w:t>Utvrđivanje</w:t>
      </w:r>
      <w:proofErr w:type="spellEnd"/>
      <w:r w:rsidRPr="00A005A9">
        <w:t xml:space="preserve"> </w:t>
      </w:r>
      <w:proofErr w:type="spellStart"/>
      <w:r w:rsidRPr="00A005A9">
        <w:t>potrebe</w:t>
      </w:r>
      <w:proofErr w:type="spellEnd"/>
      <w:r w:rsidRPr="00A005A9">
        <w:t xml:space="preserve"> </w:t>
      </w:r>
      <w:proofErr w:type="spellStart"/>
      <w:r w:rsidRPr="00A005A9">
        <w:t>za</w:t>
      </w:r>
      <w:proofErr w:type="spellEnd"/>
      <w:r w:rsidRPr="00A005A9">
        <w:t xml:space="preserve"> </w:t>
      </w:r>
      <w:proofErr w:type="spellStart"/>
      <w:r w:rsidRPr="00A005A9">
        <w:t>provođenjem</w:t>
      </w:r>
      <w:proofErr w:type="spellEnd"/>
      <w:r w:rsidRPr="00A005A9">
        <w:t xml:space="preserve"> SCM </w:t>
      </w:r>
      <w:proofErr w:type="spellStart"/>
      <w:r w:rsidRPr="00A005A9">
        <w:t>metodologije</w:t>
      </w:r>
      <w:proofErr w:type="spellEnd"/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8930"/>
      </w:tblGrid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8930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i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 xml:space="preserve">Ako je odgovor na pitanje pod rednim brojem 6.1. "DA", iz Prethodnog MSP testa potrebno je uz Obrazac prethodne procjene priložiti pravilno ispunjenu Standard </w:t>
            </w:r>
            <w:proofErr w:type="spellStart"/>
            <w:r w:rsidRPr="00A005A9">
              <w:rPr>
                <w:rFonts w:eastAsia="Times New Roman"/>
                <w:i/>
                <w:szCs w:val="24"/>
              </w:rPr>
              <w:t>Cost</w:t>
            </w:r>
            <w:proofErr w:type="spellEnd"/>
            <w:r w:rsidRPr="00A005A9">
              <w:rPr>
                <w:rFonts w:eastAsia="Times New Roman"/>
                <w:i/>
                <w:szCs w:val="24"/>
              </w:rPr>
              <w:t xml:space="preserve"> Model (SCM) tablicu s procjenom mogućeg administrativnog troška za svaku propisanu obvezu i zahtjev (SCM kalkulator). 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i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i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5" w:history="1">
              <w:r w:rsidRPr="00A005A9">
                <w:rPr>
                  <w:szCs w:val="24"/>
                  <w:u w:val="single"/>
                </w:rPr>
                <w:t>http://www.mingo.hr/page/standard-cost-model</w:t>
              </w:r>
            </w:hyperlink>
          </w:p>
        </w:tc>
      </w:tr>
    </w:tbl>
    <w:p w:rsidR="00A005A9" w:rsidRDefault="00A005A9" w:rsidP="00A005A9"/>
    <w:p w:rsidR="00A005A9" w:rsidRDefault="00A005A9" w:rsidP="00A005A9">
      <w:pPr>
        <w:pStyle w:val="Heading1"/>
        <w:rPr>
          <w:rFonts w:eastAsia="Times New Roman"/>
        </w:rPr>
      </w:pPr>
      <w:r w:rsidRPr="00F7073E">
        <w:rPr>
          <w:rFonts w:eastAsia="Times New Roman"/>
        </w:rPr>
        <w:t>SAŽETAK REZULTATA PRETHODNE PROCJENE</w:t>
      </w:r>
    </w:p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  <w:szCs w:val="24"/>
              </w:rPr>
              <w:t>8.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keepNext/>
              <w:keepLines/>
              <w:spacing w:before="240"/>
              <w:outlineLvl w:val="0"/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</w:rPr>
            </w:pPr>
            <w:r w:rsidRPr="00A005A9">
              <w:rPr>
                <w:rFonts w:asciiTheme="majorHAnsi" w:eastAsia="Times New Roman" w:hAnsiTheme="majorHAnsi" w:cstheme="majorBidi"/>
                <w:color w:val="2E74B5" w:themeColor="accent1" w:themeShade="BF"/>
                <w:sz w:val="32"/>
                <w:szCs w:val="32"/>
              </w:rPr>
              <w:t>SAŽETAK REZULTATA PRETHODNE PROCJENE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>Ako</w:t>
            </w:r>
            <w:r w:rsidRPr="00A005A9">
              <w:rPr>
                <w:i/>
                <w:szCs w:val="24"/>
              </w:rPr>
              <w:t xml:space="preserve"> je utvrđena barem jedna kombinacija: </w:t>
            </w:r>
          </w:p>
          <w:p w:rsidR="00A005A9" w:rsidRPr="00A005A9" w:rsidRDefault="00A005A9" w:rsidP="00A005A9">
            <w:pPr>
              <w:jc w:val="both"/>
              <w:rPr>
                <w:i/>
                <w:szCs w:val="24"/>
              </w:rPr>
            </w:pPr>
            <w:r w:rsidRPr="00A005A9">
              <w:rPr>
                <w:i/>
                <w:szCs w:val="24"/>
              </w:rPr>
              <w:t>–</w:t>
            </w:r>
            <w:r w:rsidRPr="00A005A9">
              <w:rPr>
                <w:i/>
                <w:szCs w:val="24"/>
              </w:rPr>
              <w:tab/>
              <w:t>veliki izravni učinak i mali broj adresata,</w:t>
            </w:r>
          </w:p>
          <w:p w:rsidR="00A005A9" w:rsidRPr="00A005A9" w:rsidRDefault="00A005A9" w:rsidP="00A005A9">
            <w:pPr>
              <w:jc w:val="both"/>
              <w:rPr>
                <w:i/>
                <w:szCs w:val="24"/>
              </w:rPr>
            </w:pPr>
            <w:r w:rsidRPr="00A005A9">
              <w:rPr>
                <w:i/>
                <w:szCs w:val="24"/>
              </w:rPr>
              <w:t>–</w:t>
            </w:r>
            <w:r w:rsidRPr="00A005A9">
              <w:rPr>
                <w:i/>
                <w:szCs w:val="24"/>
              </w:rPr>
              <w:tab/>
              <w:t>veliki izravni učinak i veliki broj adresata,</w:t>
            </w:r>
          </w:p>
          <w:p w:rsidR="00A005A9" w:rsidRPr="00A005A9" w:rsidRDefault="00A005A9" w:rsidP="00A005A9">
            <w:pPr>
              <w:jc w:val="both"/>
              <w:rPr>
                <w:i/>
                <w:szCs w:val="24"/>
              </w:rPr>
            </w:pPr>
            <w:r w:rsidRPr="00A005A9">
              <w:rPr>
                <w:i/>
                <w:szCs w:val="24"/>
              </w:rPr>
              <w:t>–</w:t>
            </w:r>
            <w:r w:rsidRPr="00A005A9">
              <w:rPr>
                <w:i/>
                <w:szCs w:val="24"/>
              </w:rPr>
              <w:tab/>
              <w:t>mali izravni učinak i veliki broj adresata,</w:t>
            </w:r>
          </w:p>
          <w:p w:rsidR="00A005A9" w:rsidRPr="00A005A9" w:rsidRDefault="00A005A9" w:rsidP="00A005A9">
            <w:pPr>
              <w:jc w:val="both"/>
              <w:rPr>
                <w:i/>
                <w:szCs w:val="24"/>
              </w:rPr>
            </w:pPr>
            <w:r w:rsidRPr="00A005A9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"DA" kod odgovarajućeg izravnog učinka.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A005A9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Potreba za PUP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NE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8.1.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gospodarskih učinaka iz točke 5.1.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učinak na gospodarstvo.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8.2.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učinaka na tržišno natjecanje iz točke 5.2.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učinak na tržišno natjecanje.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8.3.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socijalnih učinaka iz točke 5.3.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socijalni učinak.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8.4.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učinaka na rad i tržište rada iz točke 5.4.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učinak na rad i tržište rada.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8.5.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učinaka na zaštitu okoliša iz točke 5.5.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učinak na zaštitu okoliša.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8.6.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Procjena učinaka na zaštitu ljudskih prava iz točke 5.6.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t>Ne postoji učinak na zaštitu ljudskih prava.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Potreba za MSP test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8.7.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Utvrđena potreba za provođenjem procjene učinaka propisa na malo gospodarstvo (MSP test)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i/>
              </w:rPr>
              <w:lastRenderedPageBreak/>
              <w:t xml:space="preserve">Nije </w:t>
            </w:r>
            <w:proofErr w:type="spellStart"/>
            <w:r w:rsidRPr="00A005A9">
              <w:rPr>
                <w:i/>
              </w:rPr>
              <w:t>utvđena</w:t>
            </w:r>
            <w:proofErr w:type="spellEnd"/>
            <w:r w:rsidRPr="00A005A9">
              <w:rPr>
                <w:i/>
              </w:rPr>
              <w:t xml:space="preserve"> potreba za provođenje MSP testa.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8.8.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Provođenje MSP testa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A005A9">
              <w:rPr>
                <w:i/>
              </w:rPr>
              <w:t>NIje</w:t>
            </w:r>
            <w:proofErr w:type="spellEnd"/>
            <w:r w:rsidRPr="00A005A9">
              <w:rPr>
                <w:i/>
              </w:rPr>
              <w:t xml:space="preserve"> potrebno provođenje MSP testa s obzirom na prikazane učinke propisa.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  <w:r w:rsidRPr="00A005A9">
              <w:rPr>
                <w:szCs w:val="24"/>
              </w:rPr>
              <w:t>8.9.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Provođenje SCM metodologije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A005A9">
              <w:rPr>
                <w:i/>
              </w:rPr>
              <w:t>NIje</w:t>
            </w:r>
            <w:proofErr w:type="spellEnd"/>
            <w:r w:rsidRPr="00A005A9">
              <w:rPr>
                <w:i/>
              </w:rPr>
              <w:t xml:space="preserve"> potrebno provođenje SCM metodologije s obzirom na prikazane učinke propisa.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b/>
              </w:rPr>
              <w:t>X</w:t>
            </w:r>
          </w:p>
        </w:tc>
      </w:tr>
    </w:tbl>
    <w:p w:rsidR="00A005A9" w:rsidRDefault="00A005A9" w:rsidP="00A005A9"/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276"/>
        <w:gridCol w:w="992"/>
      </w:tblGrid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  <w:szCs w:val="24"/>
              </w:rPr>
              <w:t>9.</w:t>
            </w:r>
          </w:p>
        </w:tc>
        <w:tc>
          <w:tcPr>
            <w:tcW w:w="666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b/>
                <w:szCs w:val="24"/>
              </w:rPr>
              <w:t>PRILOZI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i/>
              </w:rPr>
              <w:t>Ne postoje prilozi.</w:t>
            </w:r>
          </w:p>
        </w:tc>
        <w:tc>
          <w:tcPr>
            <w:tcW w:w="1276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  <w:szCs w:val="24"/>
              </w:rPr>
              <w:t>10.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 xml:space="preserve">Potpis: </w:t>
            </w:r>
            <w:r w:rsidRPr="00A005A9">
              <w:rPr>
                <w:i/>
              </w:rPr>
              <w:t>dr.sc. Tomislav Ćorić</w:t>
            </w:r>
            <w:r w:rsidR="00B33A5F">
              <w:rPr>
                <w:i/>
              </w:rPr>
              <w:t>, ministar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 xml:space="preserve">Datum: </w:t>
            </w:r>
            <w:r w:rsidRPr="00A005A9">
              <w:rPr>
                <w:i/>
              </w:rPr>
              <w:t>31.05.2021.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b/>
                <w:szCs w:val="24"/>
              </w:rPr>
            </w:pPr>
            <w:r w:rsidRPr="00A005A9">
              <w:rPr>
                <w:b/>
                <w:szCs w:val="24"/>
              </w:rPr>
              <w:t>11.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A005A9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(Narodne novine, broj 44/17)</w:t>
            </w:r>
          </w:p>
        </w:tc>
      </w:tr>
      <w:tr w:rsidR="00A005A9" w:rsidRPr="00A005A9" w:rsidTr="003D3A8D">
        <w:trPr>
          <w:trHeight w:val="284"/>
        </w:trPr>
        <w:tc>
          <w:tcPr>
            <w:tcW w:w="993" w:type="dxa"/>
          </w:tcPr>
          <w:p w:rsidR="00A005A9" w:rsidRPr="00A005A9" w:rsidRDefault="00A005A9" w:rsidP="00A005A9">
            <w:pPr>
              <w:rPr>
                <w:szCs w:val="24"/>
              </w:rPr>
            </w:pPr>
          </w:p>
        </w:tc>
        <w:tc>
          <w:tcPr>
            <w:tcW w:w="8930" w:type="dxa"/>
            <w:gridSpan w:val="3"/>
            <w:shd w:val="clear" w:color="auto" w:fill="auto"/>
          </w:tcPr>
          <w:p w:rsidR="00A005A9" w:rsidRPr="00A005A9" w:rsidRDefault="00A005A9" w:rsidP="00A005A9">
            <w:pPr>
              <w:jc w:val="both"/>
              <w:rPr>
                <w:rFonts w:eastAsia="Times New Roman"/>
                <w:szCs w:val="24"/>
              </w:rPr>
            </w:pPr>
            <w:r w:rsidRPr="00A005A9">
              <w:rPr>
                <w:rFonts w:eastAsia="Times New Roman"/>
                <w:szCs w:val="24"/>
              </w:rPr>
              <w:t>Uputa:</w:t>
            </w:r>
          </w:p>
          <w:p w:rsidR="00A005A9" w:rsidRPr="00A005A9" w:rsidRDefault="00A005A9" w:rsidP="00A005A9">
            <w:pPr>
              <w:numPr>
                <w:ilvl w:val="0"/>
                <w:numId w:val="39"/>
              </w:numPr>
              <w:jc w:val="both"/>
              <w:rPr>
                <w:rFonts w:eastAsia="Times New Roman"/>
                <w:i/>
                <w:szCs w:val="24"/>
              </w:rPr>
            </w:pPr>
            <w:r w:rsidRPr="00A005A9">
              <w:rPr>
                <w:rFonts w:eastAsia="Times New Roman"/>
                <w:i/>
                <w:szCs w:val="24"/>
              </w:rPr>
              <w:t>Prilikom primjene ovoga Obrasca na provedbene propise i akte planiranja u izradi, izričaj "nacrt prijedloga zakona" potrebno je zamijeniti s nazivom provedbenog propisa odnosno akta planiranja.</w:t>
            </w:r>
          </w:p>
          <w:p w:rsidR="00A005A9" w:rsidRPr="00A005A9" w:rsidRDefault="00A005A9" w:rsidP="00A005A9">
            <w:pPr>
              <w:jc w:val="both"/>
              <w:rPr>
                <w:rFonts w:eastAsia="Times New Roman"/>
                <w:i/>
                <w:szCs w:val="24"/>
              </w:rPr>
            </w:pPr>
          </w:p>
          <w:p w:rsidR="00A005A9" w:rsidRPr="00A005A9" w:rsidRDefault="00A005A9" w:rsidP="00A005A9">
            <w:pPr>
              <w:jc w:val="both"/>
              <w:rPr>
                <w:rFonts w:eastAsia="Times New Roman"/>
                <w:i/>
                <w:szCs w:val="24"/>
              </w:rPr>
            </w:pPr>
          </w:p>
        </w:tc>
      </w:tr>
    </w:tbl>
    <w:p w:rsidR="00A005A9" w:rsidRPr="00A005A9" w:rsidRDefault="00A005A9" w:rsidP="00A005A9"/>
    <w:sectPr w:rsidR="00A005A9" w:rsidRPr="00A005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02B651D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14ECE152"/>
    <w:lvl w:ilvl="0" w:tplc="ED381140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21DEAA76"/>
    <w:lvl w:ilvl="0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FF7829A8"/>
    <w:lvl w:ilvl="0" w:tplc="ED381140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D7D6DD2E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B504E9BC"/>
    <w:lvl w:ilvl="0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52E87C8"/>
    <w:lvl w:ilvl="0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15E33"/>
    <w:multiLevelType w:val="hybridMultilevel"/>
    <w:tmpl w:val="E28EFE66"/>
    <w:lvl w:ilvl="0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EA30506"/>
    <w:multiLevelType w:val="hybridMultilevel"/>
    <w:tmpl w:val="54EC67F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"/>
  </w:num>
  <w:num w:numId="3">
    <w:abstractNumId w:val="35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39"/>
  </w:num>
  <w:num w:numId="19">
    <w:abstractNumId w:val="10"/>
  </w:num>
  <w:num w:numId="20">
    <w:abstractNumId w:val="31"/>
  </w:num>
  <w:num w:numId="21">
    <w:abstractNumId w:val="42"/>
  </w:num>
  <w:num w:numId="22">
    <w:abstractNumId w:val="37"/>
  </w:num>
  <w:num w:numId="23">
    <w:abstractNumId w:val="6"/>
  </w:num>
  <w:num w:numId="24">
    <w:abstractNumId w:val="17"/>
  </w:num>
  <w:num w:numId="25">
    <w:abstractNumId w:val="32"/>
  </w:num>
  <w:num w:numId="26">
    <w:abstractNumId w:val="36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1"/>
  </w:num>
  <w:num w:numId="42">
    <w:abstractNumId w:val="40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A9"/>
    <w:rsid w:val="002136D5"/>
    <w:rsid w:val="003D3A8D"/>
    <w:rsid w:val="003D7DA0"/>
    <w:rsid w:val="0040667F"/>
    <w:rsid w:val="0057338E"/>
    <w:rsid w:val="00993F6B"/>
    <w:rsid w:val="00A005A9"/>
    <w:rsid w:val="00B33A5F"/>
    <w:rsid w:val="00C0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FFA1B"/>
  <w15:chartTrackingRefBased/>
  <w15:docId w15:val="{C7CBFA37-87B8-4EAD-9F75-841E4D8B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05A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005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A005A9"/>
    <w:pPr>
      <w:ind w:firstLine="0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005A9"/>
  </w:style>
  <w:style w:type="paragraph" w:customStyle="1" w:styleId="tb-na18">
    <w:name w:val="tb-na18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roj-d">
    <w:name w:val="broj-d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">
    <w:name w:val="t-9-8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1-9-sred">
    <w:name w:val="t-11-9-sred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kurz-s">
    <w:name w:val="t-10-9-kurz-s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klasa2">
    <w:name w:val="klasa2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-potpis">
    <w:name w:val="t-9-8-potpis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">
    <w:name w:val="bold"/>
    <w:rsid w:val="00A005A9"/>
  </w:style>
  <w:style w:type="paragraph" w:customStyle="1" w:styleId="prilog">
    <w:name w:val="prilog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2-9-sred">
    <w:name w:val="t-12-9-sred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9-8-bez-uvl">
    <w:name w:val="t-9-8-bez-uvl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-10-9-sred">
    <w:name w:val="t-10-9-sred"/>
    <w:basedOn w:val="Normal"/>
    <w:rsid w:val="00A005A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kurziv">
    <w:name w:val="kurziv"/>
    <w:rsid w:val="00A005A9"/>
  </w:style>
  <w:style w:type="paragraph" w:styleId="ListParagraph">
    <w:name w:val="List Paragraph"/>
    <w:basedOn w:val="Normal"/>
    <w:uiPriority w:val="34"/>
    <w:qFormat/>
    <w:rsid w:val="00A005A9"/>
    <w:pPr>
      <w:ind w:left="720" w:firstLine="0"/>
      <w:contextualSpacing/>
    </w:pPr>
    <w:rPr>
      <w:rFonts w:ascii="Times New Roman" w:eastAsia="Calibri" w:hAnsi="Times New Roman" w:cs="Times New Roman"/>
      <w:sz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A005A9"/>
    <w:pPr>
      <w:tabs>
        <w:tab w:val="center" w:pos="4536"/>
        <w:tab w:val="right" w:pos="9072"/>
      </w:tabs>
      <w:ind w:firstLine="0"/>
    </w:pPr>
    <w:rPr>
      <w:rFonts w:ascii="Times New Roman" w:eastAsia="Calibri" w:hAnsi="Times New Roman" w:cs="Times New Roman"/>
      <w:sz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A005A9"/>
    <w:rPr>
      <w:rFonts w:ascii="Times New Roman" w:eastAsia="Calibri" w:hAnsi="Times New Roman" w:cs="Times New Roman"/>
      <w:sz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005A9"/>
    <w:pPr>
      <w:tabs>
        <w:tab w:val="center" w:pos="4536"/>
        <w:tab w:val="right" w:pos="9072"/>
      </w:tabs>
      <w:ind w:firstLine="0"/>
    </w:pPr>
    <w:rPr>
      <w:rFonts w:ascii="Times New Roman" w:eastAsia="Calibri" w:hAnsi="Times New Roman" w:cs="Times New Roman"/>
      <w:sz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005A9"/>
    <w:rPr>
      <w:rFonts w:ascii="Times New Roman" w:eastAsia="Calibri" w:hAnsi="Times New Roman" w:cs="Times New Roman"/>
      <w:sz w:val="24"/>
      <w:lang w:val="hr-HR" w:eastAsia="hr-HR"/>
    </w:rPr>
  </w:style>
  <w:style w:type="paragraph" w:styleId="NoSpacing">
    <w:name w:val="No Spacing"/>
    <w:uiPriority w:val="1"/>
    <w:qFormat/>
    <w:rsid w:val="00A005A9"/>
    <w:pPr>
      <w:ind w:firstLine="0"/>
    </w:pPr>
    <w:rPr>
      <w:rFonts w:ascii="Times New Roman" w:eastAsia="Calibri" w:hAnsi="Times New Roman" w:cs="Times New Roman"/>
      <w:sz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5A9"/>
    <w:pPr>
      <w:ind w:firstLine="0"/>
    </w:pPr>
    <w:rPr>
      <w:rFonts w:ascii="Segoe UI" w:eastAsia="Calibri" w:hAnsi="Segoe UI" w:cs="Segoe UI"/>
      <w:sz w:val="18"/>
      <w:szCs w:val="18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5A9"/>
    <w:rPr>
      <w:rFonts w:ascii="Segoe UI" w:eastAsia="Calibri" w:hAnsi="Segoe UI" w:cs="Segoe UI"/>
      <w:sz w:val="18"/>
      <w:szCs w:val="18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A00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ngo.hr/page/standard-cost-mode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16</Pages>
  <Words>4046</Words>
  <Characters>23065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Sinković</dc:creator>
  <cp:keywords/>
  <dc:description/>
  <cp:lastModifiedBy>Lidija Sinković</cp:lastModifiedBy>
  <cp:revision>3</cp:revision>
  <dcterms:created xsi:type="dcterms:W3CDTF">2021-06-02T10:20:00Z</dcterms:created>
  <dcterms:modified xsi:type="dcterms:W3CDTF">2021-06-02T11:12:00Z</dcterms:modified>
</cp:coreProperties>
</file>