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D05709" w14:textId="77777777" w:rsidR="00496804" w:rsidRDefault="00496804">
      <w:pPr>
        <w:spacing w:line="240" w:lineRule="auto"/>
        <w:rPr>
          <w:rFonts w:ascii="Times New Roman" w:hAnsi="Times New Roman"/>
          <w:sz w:val="24"/>
        </w:rPr>
      </w:pPr>
      <w:bookmarkStart w:id="0" w:name="_Ref26395725"/>
    </w:p>
    <w:p w14:paraId="45D0570A" w14:textId="77777777" w:rsidR="00496804" w:rsidRDefault="0037359D">
      <w:pPr>
        <w:rPr>
          <w:rFonts w:ascii="Times New Roman" w:hAnsi="Times New Roman"/>
          <w:b/>
        </w:rPr>
      </w:pPr>
      <w:r>
        <w:rPr>
          <w:rFonts w:ascii="Times New Roman" w:hAnsi="Times New Roman"/>
          <w:b/>
          <w:noProof/>
          <w:lang w:eastAsia="hr-HR"/>
        </w:rPr>
        <mc:AlternateContent>
          <mc:Choice Requires="wpg">
            <w:drawing>
              <wp:anchor distT="0" distB="0" distL="114300" distR="114300" simplePos="0" relativeHeight="251654144" behindDoc="0" locked="0" layoutInCell="1" allowOverlap="1" wp14:anchorId="45D061EF" wp14:editId="45D061F0">
                <wp:simplePos x="0" y="0"/>
                <wp:positionH relativeFrom="margin">
                  <wp:align>center</wp:align>
                </wp:positionH>
                <wp:positionV relativeFrom="paragraph">
                  <wp:posOffset>9525</wp:posOffset>
                </wp:positionV>
                <wp:extent cx="2907030" cy="617220"/>
                <wp:effectExtent l="0" t="0" r="0" b="0"/>
                <wp:wrapNone/>
                <wp:docPr id="18" name="Grupa 18"/>
                <wp:cNvGraphicFramePr/>
                <a:graphic xmlns:a="http://schemas.openxmlformats.org/drawingml/2006/main">
                  <a:graphicData uri="http://schemas.microsoft.com/office/word/2010/wordprocessingGroup">
                    <wpg:wgp>
                      <wpg:cNvGrpSpPr/>
                      <wpg:grpSpPr>
                        <a:xfrm>
                          <a:off x="0" y="0"/>
                          <a:ext cx="2906950" cy="617220"/>
                          <a:chOff x="-68500" y="0"/>
                          <a:chExt cx="2906950" cy="617220"/>
                        </a:xfrm>
                      </wpg:grpSpPr>
                      <pic:pic xmlns:pic="http://schemas.openxmlformats.org/drawingml/2006/picture">
                        <pic:nvPicPr>
                          <pic:cNvPr id="44" name="Picture 1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68500" y="44728"/>
                            <a:ext cx="438984" cy="518541"/>
                          </a:xfrm>
                          <a:prstGeom prst="rect">
                            <a:avLst/>
                          </a:prstGeom>
                          <a:noFill/>
                          <a:ln>
                            <a:noFill/>
                          </a:ln>
                        </pic:spPr>
                      </pic:pic>
                      <wps:wsp>
                        <wps:cNvPr id="45" name="TextBox 15"/>
                        <wps:cNvSpPr txBox="1">
                          <a:spLocks noChangeArrowheads="1"/>
                        </wps:cNvSpPr>
                        <wps:spPr bwMode="auto">
                          <a:xfrm>
                            <a:off x="400050" y="0"/>
                            <a:ext cx="2438400" cy="617220"/>
                          </a:xfrm>
                          <a:prstGeom prst="rect">
                            <a:avLst/>
                          </a:prstGeom>
                          <a:noFill/>
                          <a:ln>
                            <a:noFill/>
                          </a:ln>
                        </wps:spPr>
                        <wps:txbx>
                          <w:txbxContent>
                            <w:p w14:paraId="45D0628C" w14:textId="77777777" w:rsidR="00053AD3" w:rsidRDefault="00053AD3">
                              <w:pPr>
                                <w:spacing w:line="240" w:lineRule="auto"/>
                                <w:rPr>
                                  <w:rFonts w:ascii="Times New Roman" w:hAnsi="Times New Roman"/>
                                  <w:sz w:val="24"/>
                                </w:rPr>
                              </w:pPr>
                              <w:r>
                                <w:rPr>
                                  <w:rFonts w:ascii="Times New Roman" w:hAnsi="Times New Roman"/>
                                  <w:b/>
                                  <w:bCs/>
                                  <w:color w:val="000000"/>
                                  <w:kern w:val="24"/>
                                  <w:sz w:val="24"/>
                                  <w:lang w:bidi="ta-IN"/>
                                </w:rPr>
                                <w:t>REPUBLI</w:t>
                              </w:r>
                              <w:r>
                                <w:rPr>
                                  <w:rFonts w:ascii="Times New Roman" w:hAnsi="Times New Roman"/>
                                  <w:b/>
                                  <w:bCs/>
                                  <w:color w:val="000000"/>
                                  <w:kern w:val="24"/>
                                  <w:sz w:val="24"/>
                                </w:rPr>
                                <w:t>KA HRVATSKA</w:t>
                              </w:r>
                            </w:p>
                            <w:p w14:paraId="45D0628D" w14:textId="77777777" w:rsidR="00053AD3" w:rsidRDefault="00053AD3">
                              <w:pPr>
                                <w:spacing w:line="240" w:lineRule="auto"/>
                                <w:rPr>
                                  <w:rFonts w:ascii="Times New Roman" w:hAnsi="Times New Roman"/>
                                  <w:sz w:val="24"/>
                                </w:rPr>
                              </w:pPr>
                              <w:r>
                                <w:rPr>
                                  <w:rFonts w:ascii="Times New Roman" w:hAnsi="Times New Roman"/>
                                  <w:color w:val="000000"/>
                                  <w:kern w:val="24"/>
                                  <w:sz w:val="24"/>
                                </w:rPr>
                                <w:t>Ministarstvo prostornoga uređenja, graditeljstva i državne imovine</w:t>
                              </w:r>
                            </w:p>
                          </w:txbxContent>
                        </wps:txbx>
                        <wps:bodyPr wrap="square">
                          <a:spAutoFit/>
                        </wps:bodyPr>
                      </wps:wsp>
                    </wpg:wgp>
                  </a:graphicData>
                </a:graphic>
              </wp:anchor>
            </w:drawing>
          </mc:Choice>
          <mc:Fallback>
            <w:pict>
              <v:group w14:anchorId="45D061EF" id="Grupa 18" o:spid="_x0000_s1026" style="position:absolute;left:0;text-align:left;margin-left:0;margin-top:.75pt;width:228.9pt;height:48.6pt;z-index:251654144;mso-position-horizontal:center;mso-position-horizontal-relative:margin" coordorigin="-685" coordsize="29069,6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QsA/wIAACgHAAAOAAAAZHJzL2Uyb0RvYy54bWysVW1vmzAQ/j5p/8Hi&#10;ewvJSJqiJlW3rtGkbovW7gc4xoBVsD3bBPLvd2cgSem0l2ofQuzz3fHc89yZq+u2KsmOGyuUXAaT&#10;8yggXDKVCpkvg++Pd2eLgFhHZUpLJfky2HMbXK/evrlqdMKnqlBlyg2BJNImjV4GhXM6CUPLCl5R&#10;e640l3CYKVNRB1uTh6mhDWSvynAaRfOwUSbVRjFuLVhvu8Ng5fNnGWfua5ZZ7ki5DACb80/jn1t8&#10;hqsrmuSG6kKwHgZ9BYqKCgkvPaS6pY6S2ogXqSrBjLIqc+dMVaHKMsG4rwGqmUSjatZG1drXkidN&#10;rg80AbUjnl6dln3ZbQwRKWgHSklagUZrU2tKYA/kNDpPwGdt9IPemN6Qdzust81Mhf9QCWk9rfsD&#10;rbx1hIFxehnNL2fAPoOz+eRiOu15ZwWIg2Fn88UsAodjLCs+/j46HN4dIsQDIi1YAr+eKli9oOrP&#10;LQVRrjY86JNUf5Wjouap1megqqZObEUp3N53KOiHoORuI9jGdJsj63E8sA7H+FYyiZF3DEGvLoZi&#10;TfeKPVki1YeCypzfWA3NDbKhd/jc3W+fvXBbCn0nyhKlwnVfGgzCqJF+wU7XpLeK1RWXrps6w0uo&#10;UklbCG0DYhJebTk0kfmUTkBnmHgHjaSNkA7x0cQa9g3wdmtnuGMFmjPA1NtBUDsc+AKOmLE6C+2H&#10;EaOGO+mcOL6Y+p6lydB58bvF5QIYxsabTRazuGPrmEUb69ZcVQQXAB8ggl40obt7i2AB1OCCZqmQ&#10;RF9EKZ8ZwBEtHngH1S8BOc4Q3G124Bx2L1j/p/F9KKjmgBLTnjTSbGikR6j+vWrJZIbU9144vcS1&#10;YMeWQehWjxrKGNUUnKYAr6PpJLTLg4WRbfNZpSAurZ3yiUaKxFEU4bAfZ3lQYwpywOn4HjhM8pHr&#10;/yYHltDJgSvXbtuekq1K91BMAzf/MrA/agrz3rFyA3XdCS8+xnSOoCxuQEW/8tex747+04H3/ene&#10;ex0/cKufAAAA//8DAFBLAwQKAAAAAAAAACEA0DfJqsMHAADDBwAAFAAAAGRycy9tZWRpYS9pbWFn&#10;ZTEucG5niVBORw0KGgoAAAANSUhEUgAAAEQAAABbCAMAAAGKSuNYAAAAAXNSR0IArs4c6QAAAARn&#10;QU1BAACxjwv8YQUAAAGzUExURQAAAMSsEUU9CYV1DftUXPoAB8WtEdsAEKaSEAcHB/wABc4RJLWe&#10;EBcUAvslM/sAA/7y8v77+9e8ESsnBgUDG0tDCTkyCA4AabmiEP3U1fxudgIZJ/yJjPoABdq/EoWA&#10;w3tsDPoABPD3+/wABFCo4h0aBS2Q2vb2++Dx+hiD1vf3+/oABuzOFP7T1/sqOA1ywfgAAN/EE/8A&#10;BcwAGPwAAvsEC+/RFByH1/oABw991ApZlg1wvNG3EfyXmvoABN/CE/39/RMRAgEAAAMfMnNlCvUD&#10;DP7+/vsABfkABfPVFf////TWFXVnC/oABDcxB/kABv8AADgyB/78/P4AAPsAB/sACA4BcAUxUSkk&#10;BfkABQAEB1tRCf7o6SyQ2v8AABaC1vkAAA52yAUCH+rNFAlSivxkavxtcevOFIx7DPsrM/kAAltP&#10;CgcEJCMjIzw0BlxQCw9+1SqT2wIWJZGADfgABwAAAAwCVCdhvQhEcB6K2ZKBDhGA1fwABeAABg57&#10;0vsDCrSfD/sDC/sMEkM7CAkENhEAgxEAhP4AAP3Y2QpYlEQ8BvsnLuPHE/yWmo6Ixx6I16SQDrdI&#10;rLsAAACIdFJOUwD////////////B/////0D/////////////////3v///3f/cv/////////u////&#10;/yX/MP9c/////v//////cf//////////gDH/////1f/8BP//K///////uP////8B/yv/////////&#10;//9h//////////////////////+8/////////////yrIyHKGAAAACXBIWXMAACHVAAAh1QEEnLSd&#10;AAAFBUlEQVRIS+2XB7PcRBCERc7B5JwzmGxjcjagxcaAyGAyj8wSjgwmLjn8ZLp7eiXd3TvfFZgq&#10;qPJXtjTb0zsbTlrVa0bkrnsvl9wqSiW1GRFauOJ/17Vd23ZTEa4tWkuzjTQGUEPpyc92+Z1ScpNz&#10;l/N9HQeVjisLocQoYEGVmkkdXVPoGQprUNMdlA07UfKSosYPeS0XDJpzSbglDppbSFRKabvJ9CQr&#10;HcZA9biodES+qNO8EpEvC3pxt3pFghaCdjVU+hWJUjjzptiD6aPCp3k/roJbmI/XipKuWN0FsGCn&#10;uw6LLo+Xrs2ot7VmtXYOQE9UbFBmegKVmFud9cqKm5FZWXET11pnTnl6TnnCTVxdp27zAuVQKd54&#10;XIdntSq90DSvS3Gjx4o3rYvnzZwsEZscu00UQ93Gtw3DSERdklPCv4/4i8qPZtM8h/tJtSPUtZsY&#10;H5jSo7Vk02yKQEU+UD/bu8kEU/5kGEk6ViVkgYal0kFPuyOiGfRoRaRBov8QKnKRPWUZSUOoqP4G&#10;0ZD+TywjaQgV7dkVjaUhVFTnEvOVPms50o7m816ftdhAoEoaZXl3NljHMm0QkaiWupZ5upfhcryI&#10;3eWLkvVBW28gPK8XypHzzmYDHl3rIrfb5Ignmiimp80/0qGOLV8uvGkPvpF/OsuWcnHOp2pY9fPb&#10;eNitfBlzuezE72DJeXviy/xMvuHPI3K+JjrmL3PenMuvigHeu4ddxLUPyvn2u9BYS5tTndiVDT58&#10;IkbyC5sAZte+i0SdC05rgp6yrKXvS5nond7lFR1SR5I/Yr7QgCvybCTrlwSygPpza2Pmznx8KYhb&#10;8/lgB44MhyugxfRPoyOH/0/LWOojG/+flpE0RA7/g5bTojXoo9CWsdRHDpdbTrflG7UGXVGEdrjM&#10;oCta1XKpDU1zS59gMLI4T6gOWUUIxw55rI8sM+cqzgDrg8WpnqoPFidGKDNYrM6AXLXcY2kdkH9l&#10;nRHmmPLs+uO6TQ7FKgXg+p3Hohtx3vXHGY/JMxeVGW1BfHMA1uYShC0n+hG4Aw6Aj92NfQntDb4G&#10;N6YJDvv0JC71CyXQd+P0WV2/IyR6G34vUvr4eV5V5M1uEkXiO3H++yyuRUTFlK7gLXrbWfLhKb2a&#10;81cpvY0a3x5zcCkvRBl691FtTabWCGFq0v4uBWge+9T9qRw3mxhVqdDiLeF6cr7zhH1/diKlq9IZ&#10;219EhEfpPIpC2zKqgtD9BaU6Rxb/EH8L4q9BDIIPqp5K9mGNUZWXEB2ALDsQiY9dr5sl5c5Blclt&#10;b03u4Mc5ajTNZ6hHxm6itrFE2LwI9q77orvbJZpmi2wGLhrOdW7E2VyAiwRt+4BzoD4q7c1XW9kt&#10;9/5Wd2DqFdiK59rhyuCteMhhwB35O7h7ECdJ4DyxAiwQK2RvEWOF/BtFRthArAALxIpw98CasJdY&#10;ARaIFeHugTVhL7ECLBArwt0Da8JeYgVYIFaEuwfWhL3ECrBArAh3D6wJe4kVYIFYEe4eLDBZARaI&#10;FbK3iLFCpot0y/wWiBUwc6QuGqnHArFCZs5lq8ReYgVYIFaIO1eW+S0QK2DuAzHk7CVWgAViZZ0a&#10;oyr2EivAArHSvuaOU9SsvcQKsECq4m4z+He2iagtLBA2H1lUA6iMvYT+wAJha3EJgry9JAoQC+Tr&#10;JSXIFnuJKwALZHkJcdT+1d9j4ZRrbVmR7hd3NJcvmkHT/AVydtVnE+95ygAAAABJRU5ErkJgglBL&#10;AwQUAAYACAAAACEA5RsUp90AAAAFAQAADwAAAGRycy9kb3ducmV2LnhtbEyPQUvDQBCF74L/YRnB&#10;m91Eja0xm1KKeioFW0G8TZNpEpqdDdltkv57x5Me37zhve9ly8m2aqDeN44NxLMIFHHhyoYrA5/7&#10;t7sFKB+QS2wdk4ELeVjm11cZpqUb+YOGXaiUhLBP0UAdQpdq7YuaLPqZ64jFO7reYhDZV7rscZRw&#10;2+r7KHrSFhuWhho7WtdUnHZna+B9xHH1EL8Om9NxffneJ9uvTUzG3N5MqxdQgabw9wy/+IIOuTAd&#10;3JlLr1oDMiTINQEl5mMylx0HA8+LOeg80//p8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WsULAP8CAAAoBwAADgAAAAAAAAAAAAAAAAA6AgAAZHJzL2Uyb0Rv&#10;Yy54bWxQSwECLQAKAAAAAAAAACEA0DfJqsMHAADDBwAAFAAAAAAAAAAAAAAAAABlBQAAZHJzL21l&#10;ZGlhL2ltYWdlMS5wbmdQSwECLQAUAAYACAAAACEA5RsUp90AAAAFAQAADwAAAAAAAAAAAAAAAABa&#10;DQAAZHJzL2Rvd25yZXYueG1sUEsBAi0AFAAGAAgAAAAhAKomDr68AAAAIQEAABkAAAAAAAAAAAAA&#10;AAAAZA4AAGRycy9fcmVscy9lMm9Eb2MueG1sLnJlbHNQSwUGAAAAAAYABgB8AQAAV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685;top:447;width:4389;height:5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H4OxAAAANsAAAAPAAAAZHJzL2Rvd25yZXYueG1sRI9PawIx&#10;FMTvgt8hvEIvotm2InZrFCkIPdY/oN5eN8/N4uZlSaJu/fRGEDwOM/MbZjJrbS3O5EPlWMHbIANB&#10;XDhdcalgs170xyBCRNZYOyYF/xRgNu12Jphrd+ElnVexFAnCIUcFJsYmlzIUhiyGgWuIk3dw3mJM&#10;0pdSe7wkuK3le5aNpMWK04LBhr4NFcfVySaKLg6j4/jzuovVfu9/zbaX/X0o9frSzr9ARGrjM/xo&#10;/2gFwyHcv6QfIKc3AAAA//8DAFBLAQItABQABgAIAAAAIQDb4fbL7gAAAIUBAAATAAAAAAAAAAAA&#10;AAAAAAAAAABbQ29udGVudF9UeXBlc10ueG1sUEsBAi0AFAAGAAgAAAAhAFr0LFu/AAAAFQEAAAsA&#10;AAAAAAAAAAAAAAAAHwEAAF9yZWxzLy5yZWxzUEsBAi0AFAAGAAgAAAAhAJzQfg7EAAAA2wAAAA8A&#10;AAAAAAAAAAAAAAAABwIAAGRycy9kb3ducmV2LnhtbFBLBQYAAAAAAwADALcAAAD4AgAAAAA=&#10;">
                  <v:imagedata r:id="rId13" o:title=""/>
                </v:shape>
                <v:shapetype id="_x0000_t202" coordsize="21600,21600" o:spt="202" path="m,l,21600r21600,l21600,xe">
                  <v:stroke joinstyle="miter"/>
                  <v:path gradientshapeok="t" o:connecttype="rect"/>
                </v:shapetype>
                <v:shape id="TextBox 15" o:spid="_x0000_s1028" type="#_x0000_t202" style="position:absolute;left:4000;width:24384;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45D0628C" w14:textId="77777777" w:rsidR="00053AD3" w:rsidRDefault="00053AD3">
                        <w:pPr>
                          <w:spacing w:line="240" w:lineRule="auto"/>
                          <w:rPr>
                            <w:rFonts w:ascii="Times New Roman" w:hAnsi="Times New Roman"/>
                            <w:sz w:val="24"/>
                          </w:rPr>
                        </w:pPr>
                        <w:r>
                          <w:rPr>
                            <w:rFonts w:ascii="Times New Roman" w:hAnsi="Times New Roman"/>
                            <w:b/>
                            <w:bCs/>
                            <w:color w:val="000000"/>
                            <w:kern w:val="24"/>
                            <w:sz w:val="24"/>
                            <w:lang w:bidi="ta-IN"/>
                          </w:rPr>
                          <w:t>REPUBLI</w:t>
                        </w:r>
                        <w:r>
                          <w:rPr>
                            <w:rFonts w:ascii="Times New Roman" w:hAnsi="Times New Roman"/>
                            <w:b/>
                            <w:bCs/>
                            <w:color w:val="000000"/>
                            <w:kern w:val="24"/>
                            <w:sz w:val="24"/>
                          </w:rPr>
                          <w:t>KA HRVATSKA</w:t>
                        </w:r>
                      </w:p>
                      <w:p w14:paraId="45D0628D" w14:textId="77777777" w:rsidR="00053AD3" w:rsidRDefault="00053AD3">
                        <w:pPr>
                          <w:spacing w:line="240" w:lineRule="auto"/>
                          <w:rPr>
                            <w:rFonts w:ascii="Times New Roman" w:hAnsi="Times New Roman"/>
                            <w:sz w:val="24"/>
                          </w:rPr>
                        </w:pPr>
                        <w:r>
                          <w:rPr>
                            <w:rFonts w:ascii="Times New Roman" w:hAnsi="Times New Roman"/>
                            <w:color w:val="000000"/>
                            <w:kern w:val="24"/>
                            <w:sz w:val="24"/>
                          </w:rPr>
                          <w:t>Ministarstvo prostornoga uređenja, graditeljstva i državne imovine</w:t>
                        </w:r>
                      </w:p>
                    </w:txbxContent>
                  </v:textbox>
                </v:shape>
                <w10:wrap anchorx="margin"/>
              </v:group>
            </w:pict>
          </mc:Fallback>
        </mc:AlternateContent>
      </w:r>
    </w:p>
    <w:p w14:paraId="45D0570B" w14:textId="77777777" w:rsidR="00496804" w:rsidRDefault="00496804">
      <w:pPr>
        <w:rPr>
          <w:rFonts w:ascii="Times New Roman" w:hAnsi="Times New Roman"/>
          <w:b/>
        </w:rPr>
      </w:pPr>
    </w:p>
    <w:p w14:paraId="45D0570C" w14:textId="77777777" w:rsidR="00496804" w:rsidRDefault="00496804">
      <w:pPr>
        <w:rPr>
          <w:rFonts w:ascii="Times New Roman" w:hAnsi="Times New Roman"/>
          <w:b/>
        </w:rPr>
      </w:pPr>
    </w:p>
    <w:p w14:paraId="45D0570D" w14:textId="77777777" w:rsidR="00496804" w:rsidRDefault="00496804">
      <w:pPr>
        <w:rPr>
          <w:rFonts w:ascii="Times New Roman" w:hAnsi="Times New Roman"/>
          <w:b/>
        </w:rPr>
      </w:pPr>
    </w:p>
    <w:p w14:paraId="45D0570E" w14:textId="77777777" w:rsidR="00496804" w:rsidRDefault="00496804">
      <w:pPr>
        <w:rPr>
          <w:rFonts w:ascii="Times New Roman" w:hAnsi="Times New Roman"/>
          <w:b/>
        </w:rPr>
      </w:pPr>
    </w:p>
    <w:p w14:paraId="45D0570F" w14:textId="77777777" w:rsidR="00496804" w:rsidRDefault="0037359D">
      <w:pPr>
        <w:rPr>
          <w:rFonts w:ascii="Times New Roman" w:hAnsi="Times New Roman"/>
          <w:b/>
        </w:rPr>
      </w:pPr>
      <w:r>
        <w:t> </w:t>
      </w:r>
    </w:p>
    <w:p w14:paraId="45D05710" w14:textId="77777777" w:rsidR="00496804" w:rsidRDefault="00496804">
      <w:pPr>
        <w:rPr>
          <w:rFonts w:ascii="Times New Roman" w:hAnsi="Times New Roman"/>
          <w:b/>
        </w:rPr>
      </w:pPr>
    </w:p>
    <w:p w14:paraId="45D05711" w14:textId="77777777" w:rsidR="00496804" w:rsidRDefault="0037359D">
      <w:pPr>
        <w:rPr>
          <w:rFonts w:ascii="Times New Roman" w:hAnsi="Times New Roman"/>
          <w:b/>
        </w:rPr>
      </w:pPr>
      <w:r>
        <w:rPr>
          <w:rFonts w:ascii="Times New Roman" w:hAnsi="Times New Roman"/>
          <w:b/>
          <w:noProof/>
          <w:lang w:eastAsia="hr-HR"/>
        </w:rPr>
        <mc:AlternateContent>
          <mc:Choice Requires="wps">
            <w:drawing>
              <wp:anchor distT="0" distB="0" distL="114300" distR="114300" simplePos="0" relativeHeight="251655168" behindDoc="0" locked="0" layoutInCell="1" allowOverlap="1" wp14:anchorId="45D061F1" wp14:editId="45D061F2">
                <wp:simplePos x="0" y="0"/>
                <wp:positionH relativeFrom="margin">
                  <wp:posOffset>-635</wp:posOffset>
                </wp:positionH>
                <wp:positionV relativeFrom="paragraph">
                  <wp:posOffset>149860</wp:posOffset>
                </wp:positionV>
                <wp:extent cx="5817235" cy="0"/>
                <wp:effectExtent l="0" t="0" r="0" b="0"/>
                <wp:wrapNone/>
                <wp:docPr id="9" name="Ravni poveznik 9"/>
                <wp:cNvGraphicFramePr/>
                <a:graphic xmlns:a="http://schemas.openxmlformats.org/drawingml/2006/main">
                  <a:graphicData uri="http://schemas.microsoft.com/office/word/2010/wordprocessingShape">
                    <wps:wsp>
                      <wps:cNvCnPr/>
                      <wps:spPr>
                        <a:xfrm>
                          <a:off x="0" y="0"/>
                          <a:ext cx="58172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906FA" id="Ravni poveznik 9" o:spid="_x0000_s1026" style="position:absolute;z-index:251655168;visibility:visible;mso-wrap-style:square;mso-wrap-distance-left:9pt;mso-wrap-distance-top:0;mso-wrap-distance-right:9pt;mso-wrap-distance-bottom:0;mso-position-horizontal:absolute;mso-position-horizontal-relative:margin;mso-position-vertical:absolute;mso-position-vertical-relative:text" from="-.05pt,11.8pt" to="458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lhzgEAAP8DAAAOAAAAZHJzL2Uyb0RvYy54bWysU8GO0zAQvSPxD5bvNEnRwm7UdA+7Wi4I&#10;qgU+wOuMGwvbY9kmafl6xk6brgAJgbg4GXvem3nP483twRo2QogaXcebVc0ZOIm9dvuOf/n88Oqa&#10;s5iE64VBBx0/QuS325cvNpNvYY0Dmh4CIxIX28l3fEjJt1UV5QBWxBV6cHSoMFiRKAz7qg9iInZr&#10;qnVdv6kmDL0PKCFG2r2fD/m28CsFMn1UKkJipuPUWyprKOtTXqvtRrT7IPyg5akN8Q9dWKEdFV2o&#10;7kUS7FvQv1BZLQNGVGkl0VaolJZQNJCapv5JzadBeChayJzoF5vi/6OVH8ZdYLrv+A1nTli6okcx&#10;Os08jvDd6a/sJns0+dhS6p3bhVMU/S5kwQcVbP6SFHYovh4XX+GQmKTNq+vm7fr1FWfyfFZdgD7E&#10;9A7QsvzTcaNdlixaMb6PiYpR6jklbxuX14hG9w/amBLkYYE7E9go6JrTocktE+5ZFkUZWWUhc+vl&#10;Lx0NzKyPoMgGarYp1csAXjiFlODSmdc4ys4wRR0swPrPwFN+hkIZzr8BL4hSGV1awFY7DL+rfrFC&#10;zflnB2bd2YIn7I/lUos1NGXFudOLyGP8PC7wy7vd/gAAAP//AwBQSwMEFAAGAAgAAAAhADKSI3bc&#10;AAAABwEAAA8AAABkcnMvZG93bnJldi54bWxMj0FLw0AQhe+C/2EZwYu0m1SIGrMpogbBi1h76W2S&#10;HZPQ7GzIbtv47x3xoMc37/HeN8V6doM60hR6zwbSZQKKuPG259bA9qNa3IIKEdni4JkMfFGAdXl+&#10;VmBu/Ynf6biJrZISDjka6GIcc61D05HDsPQjsXiffnIYRU6tthOepNwNepUkmXbYsyx0ONJjR81+&#10;c3AG2mbHLzdVhYO+eqrH/dvza7LbGnN5MT/cg4o0x78w/OALOpTCVPsD26AGA4tUggZW1xkose/S&#10;TF6rfw+6LPR//vIbAAD//wMAUEsBAi0AFAAGAAgAAAAhALaDOJL+AAAA4QEAABMAAAAAAAAAAAAA&#10;AAAAAAAAAFtDb250ZW50X1R5cGVzXS54bWxQSwECLQAUAAYACAAAACEAOP0h/9YAAACUAQAACwAA&#10;AAAAAAAAAAAAAAAvAQAAX3JlbHMvLnJlbHNQSwECLQAUAAYACAAAACEAlxnJYc4BAAD/AwAADgAA&#10;AAAAAAAAAAAAAAAuAgAAZHJzL2Uyb0RvYy54bWxQSwECLQAUAAYACAAAACEAMpIjdtwAAAAHAQAA&#10;DwAAAAAAAAAAAAAAAAAoBAAAZHJzL2Rvd25yZXYueG1sUEsFBgAAAAAEAAQA8wAAADEFAAAAAA==&#10;" strokecolor="black [3213]" strokeweight="1pt">
                <v:stroke endcap="round"/>
                <w10:wrap anchorx="margin"/>
              </v:line>
            </w:pict>
          </mc:Fallback>
        </mc:AlternateContent>
      </w:r>
    </w:p>
    <w:p w14:paraId="45D05712" w14:textId="77777777" w:rsidR="00496804" w:rsidRDefault="00496804">
      <w:pPr>
        <w:pStyle w:val="Zaglavlje"/>
        <w:jc w:val="center"/>
        <w:rPr>
          <w:rFonts w:ascii="Times New Roman" w:hAnsi="Times New Roman" w:cs="Times New Roman"/>
          <w:b/>
          <w:bCs/>
          <w:color w:val="auto"/>
          <w:sz w:val="22"/>
          <w:szCs w:val="22"/>
        </w:rPr>
      </w:pPr>
    </w:p>
    <w:p w14:paraId="45D05713" w14:textId="77777777" w:rsidR="00496804" w:rsidRDefault="0037359D">
      <w:pPr>
        <w:pStyle w:val="Zaglavlje"/>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MINISTARSTVO PROSTORNOGA UREĐENJA, </w:t>
      </w:r>
    </w:p>
    <w:p w14:paraId="45D05714" w14:textId="77777777" w:rsidR="00496804" w:rsidRDefault="0037359D">
      <w:pPr>
        <w:pStyle w:val="Zaglavlje"/>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GRADITELJSTVA I DRŽAVNE IMOVINE</w:t>
      </w:r>
    </w:p>
    <w:p w14:paraId="45D05715" w14:textId="77777777" w:rsidR="00496804" w:rsidRDefault="0037359D">
      <w:pPr>
        <w:rPr>
          <w:rFonts w:ascii="Times New Roman" w:hAnsi="Times New Roman"/>
          <w:b/>
        </w:rPr>
      </w:pPr>
      <w:r>
        <w:rPr>
          <w:rFonts w:ascii="Times New Roman" w:hAnsi="Times New Roman"/>
          <w:b/>
          <w:noProof/>
          <w:lang w:eastAsia="hr-HR"/>
        </w:rPr>
        <mc:AlternateContent>
          <mc:Choice Requires="wps">
            <w:drawing>
              <wp:anchor distT="0" distB="0" distL="114300" distR="114300" simplePos="0" relativeHeight="251656192" behindDoc="0" locked="0" layoutInCell="1" allowOverlap="1" wp14:anchorId="45D061F3" wp14:editId="45D061F4">
                <wp:simplePos x="0" y="0"/>
                <wp:positionH relativeFrom="column">
                  <wp:posOffset>-635</wp:posOffset>
                </wp:positionH>
                <wp:positionV relativeFrom="paragraph">
                  <wp:posOffset>167005</wp:posOffset>
                </wp:positionV>
                <wp:extent cx="5817235" cy="0"/>
                <wp:effectExtent l="0" t="0" r="0" b="0"/>
                <wp:wrapNone/>
                <wp:docPr id="1" name="Ravni poveznik 1"/>
                <wp:cNvGraphicFramePr/>
                <a:graphic xmlns:a="http://schemas.openxmlformats.org/drawingml/2006/main">
                  <a:graphicData uri="http://schemas.microsoft.com/office/word/2010/wordprocessingShape">
                    <wps:wsp>
                      <wps:cNvCnPr/>
                      <wps:spPr>
                        <a:xfrm>
                          <a:off x="0" y="0"/>
                          <a:ext cx="581747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E42E9E" id="Ravni poveznik 1"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05pt,13.15pt" to="458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AVtzQEAAP8DAAAOAAAAZHJzL2Uyb0RvYy54bWysU8Fu3CAQvVfqPyDuXdtRm0TWenNIlF6q&#10;dpU2H0DwsEYFBgG1vf36DuyuN2orVY1ywR6Y92beY1jfzNawEULU6DrerGrOwEnstdt1/PHb/btr&#10;zmISrhcGHXR8D5HfbN6+WU++hQsc0PQQGJG42E6+40NKvq2qKAewIq7Qg6NDhcGKRGHYVX0QE7Fb&#10;U13U9WU1Yeh9QAkx0u7d4ZBvCr9SINMXpSIkZjpOvaWyhrI+5bXarEW7C8IPWh7bEC/owgrtqOhC&#10;dSeSYD+C/oPKahkwokoribZCpbSEooHUNPVvar4OwkPRQuZEv9gUX49Wfh63geme7o4zJyxd0YMY&#10;nWYeR/jp9HfWZI8mH1tKvXXbcIyi34YseFbB5i9JYXPxdb/4CnNikjY/XDdX768uOZOns+oM9CGm&#10;j4CW5Z+OG+2yZNGK8VNMVIxSTyl527i8RjS6v9fGlCAPC9yawEZB15zm0jLhnmVRlJFVFnJovfyl&#10;vYED6wMosoGabUr1MoBnTiEluHTiNY6yM0xRBwuw/jfwmJ+hUIbzf8ALolRGlxaw1Q7D36qfrVCH&#10;/JMDB93Zgifs9+VSizU0ZcXx44vIY/w8LvDzu938AgAA//8DAFBLAwQUAAYACAAAACEANQKgINwA&#10;AAAHAQAADwAAAGRycy9kb3ducmV2LnhtbEyPQUvDQBCF74L/YRnBi7SbVIgasymiBsGLWHvpbZId&#10;k9DsbMhu2/jvHfGgxzfv8d43xXp2gzrSFHrPBtJlAoq48bbn1sD2o1rcggoR2eLgmQx8UYB1eX5W&#10;YG79id/puImtkhIOORroYhxzrUPTkcOw9COxeJ9+chhFTq22E56k3A16lSSZdtizLHQ40mNHzX5z&#10;cAbaZscvN1WFg756qsf92/Nrstsac3kxP9yDijTHvzD84As6lMJU+wPboAYDi1SCBlbZNSix79JM&#10;Xqt/D7os9H/+8hsAAP//AwBQSwECLQAUAAYACAAAACEAtoM4kv4AAADhAQAAEwAAAAAAAAAAAAAA&#10;AAAAAAAAW0NvbnRlbnRfVHlwZXNdLnhtbFBLAQItABQABgAIAAAAIQA4/SH/1gAAAJQBAAALAAAA&#10;AAAAAAAAAAAAAC8BAABfcmVscy8ucmVsc1BLAQItABQABgAIAAAAIQBcGAVtzQEAAP8DAAAOAAAA&#10;AAAAAAAAAAAAAC4CAABkcnMvZTJvRG9jLnhtbFBLAQItABQABgAIAAAAIQA1AqAg3AAAAAcBAAAP&#10;AAAAAAAAAAAAAAAAACcEAABkcnMvZG93bnJldi54bWxQSwUGAAAAAAQABADzAAAAMAUAAAAA&#10;" strokecolor="black [3213]" strokeweight="1pt">
                <v:stroke endcap="round"/>
              </v:line>
            </w:pict>
          </mc:Fallback>
        </mc:AlternateContent>
      </w:r>
    </w:p>
    <w:p w14:paraId="45D05716" w14:textId="77777777" w:rsidR="00496804" w:rsidRDefault="00496804">
      <w:pPr>
        <w:rPr>
          <w:rFonts w:ascii="Times New Roman" w:hAnsi="Times New Roman"/>
          <w:b/>
        </w:rPr>
      </w:pPr>
    </w:p>
    <w:p w14:paraId="45D05717" w14:textId="77777777" w:rsidR="00496804" w:rsidRDefault="0037359D">
      <w:pPr>
        <w:spacing w:after="200"/>
        <w:jc w:val="center"/>
        <w:rPr>
          <w:rFonts w:ascii="Times New Roman" w:hAnsi="Times New Roman"/>
          <w:b/>
          <w:sz w:val="24"/>
        </w:rPr>
      </w:pPr>
      <w:r>
        <w:rPr>
          <w:rFonts w:ascii="Times New Roman" w:hAnsi="Times New Roman"/>
          <w:b/>
          <w:sz w:val="24"/>
        </w:rPr>
        <w:t>NACRT PRIJEDLOGA</w:t>
      </w:r>
    </w:p>
    <w:p w14:paraId="45D05718" w14:textId="77777777" w:rsidR="00496804" w:rsidRDefault="0037359D">
      <w:pPr>
        <w:jc w:val="center"/>
        <w:rPr>
          <w:rFonts w:ascii="Times New Roman" w:hAnsi="Times New Roman"/>
          <w:b/>
          <w:sz w:val="24"/>
        </w:rPr>
      </w:pPr>
      <w:r>
        <w:rPr>
          <w:rFonts w:ascii="Times New Roman" w:hAnsi="Times New Roman"/>
          <w:b/>
          <w:sz w:val="24"/>
        </w:rPr>
        <w:t>PROGRAMA RAZVOJA KRUŽNOG GOSPODARENJA PROSTOROM I ZGRADAMA</w:t>
      </w:r>
    </w:p>
    <w:p w14:paraId="45D05719" w14:textId="77777777" w:rsidR="00496804" w:rsidRDefault="0037359D">
      <w:pPr>
        <w:jc w:val="center"/>
        <w:rPr>
          <w:rFonts w:ascii="Times New Roman" w:hAnsi="Times New Roman"/>
          <w:b/>
          <w:sz w:val="24"/>
        </w:rPr>
      </w:pPr>
      <w:r>
        <w:rPr>
          <w:rFonts w:ascii="Times New Roman" w:hAnsi="Times New Roman"/>
          <w:b/>
          <w:sz w:val="24"/>
        </w:rPr>
        <w:t>ZA RAZDOBLJE 2021. DO 2030. GODINE</w:t>
      </w:r>
    </w:p>
    <w:p w14:paraId="45D0571A" w14:textId="77777777" w:rsidR="00496804" w:rsidRDefault="00496804">
      <w:pPr>
        <w:spacing w:after="160" w:line="259" w:lineRule="auto"/>
        <w:rPr>
          <w:rFonts w:ascii="Times New Roman" w:hAnsi="Times New Roman"/>
          <w:bCs/>
          <w:sz w:val="24"/>
        </w:rPr>
      </w:pPr>
    </w:p>
    <w:p w14:paraId="45D0571B" w14:textId="77777777" w:rsidR="00496804" w:rsidRDefault="00496804">
      <w:pPr>
        <w:spacing w:after="160" w:line="259" w:lineRule="auto"/>
        <w:rPr>
          <w:rFonts w:ascii="Times New Roman" w:hAnsi="Times New Roman"/>
          <w:bCs/>
          <w:sz w:val="24"/>
        </w:rPr>
      </w:pPr>
    </w:p>
    <w:p w14:paraId="45D0571C" w14:textId="77777777" w:rsidR="00496804" w:rsidRDefault="00496804">
      <w:pPr>
        <w:spacing w:after="160" w:line="259" w:lineRule="auto"/>
        <w:rPr>
          <w:rFonts w:ascii="Times New Roman" w:hAnsi="Times New Roman"/>
          <w:bCs/>
          <w:sz w:val="24"/>
        </w:rPr>
      </w:pPr>
    </w:p>
    <w:p w14:paraId="45D0571D" w14:textId="77777777" w:rsidR="00496804" w:rsidRDefault="00496804">
      <w:pPr>
        <w:spacing w:after="160" w:line="259" w:lineRule="auto"/>
        <w:rPr>
          <w:rFonts w:ascii="Times New Roman" w:hAnsi="Times New Roman"/>
          <w:bCs/>
          <w:sz w:val="24"/>
        </w:rPr>
      </w:pPr>
    </w:p>
    <w:p w14:paraId="45D0571E" w14:textId="77777777" w:rsidR="00496804" w:rsidRDefault="00496804">
      <w:pPr>
        <w:spacing w:after="160" w:line="259" w:lineRule="auto"/>
        <w:rPr>
          <w:rFonts w:ascii="Times New Roman" w:hAnsi="Times New Roman"/>
          <w:bCs/>
          <w:sz w:val="24"/>
        </w:rPr>
      </w:pPr>
    </w:p>
    <w:p w14:paraId="45D0571F" w14:textId="77777777" w:rsidR="00496804" w:rsidRDefault="00496804">
      <w:pPr>
        <w:spacing w:after="160" w:line="259" w:lineRule="auto"/>
        <w:rPr>
          <w:rFonts w:ascii="Times New Roman" w:hAnsi="Times New Roman"/>
          <w:bCs/>
          <w:sz w:val="24"/>
        </w:rPr>
      </w:pPr>
    </w:p>
    <w:p w14:paraId="45D05720" w14:textId="77777777" w:rsidR="00496804" w:rsidRDefault="00496804">
      <w:pPr>
        <w:spacing w:after="160" w:line="259" w:lineRule="auto"/>
        <w:rPr>
          <w:rFonts w:ascii="Times New Roman" w:hAnsi="Times New Roman"/>
          <w:bCs/>
          <w:sz w:val="24"/>
        </w:rPr>
      </w:pPr>
    </w:p>
    <w:p w14:paraId="45D05721" w14:textId="77777777" w:rsidR="00496804" w:rsidRDefault="00496804">
      <w:pPr>
        <w:spacing w:after="160" w:line="259" w:lineRule="auto"/>
        <w:rPr>
          <w:rFonts w:ascii="Times New Roman" w:hAnsi="Times New Roman"/>
          <w:bCs/>
          <w:sz w:val="24"/>
        </w:rPr>
      </w:pPr>
    </w:p>
    <w:p w14:paraId="45D05722" w14:textId="77777777" w:rsidR="00496804" w:rsidRDefault="00496804">
      <w:pPr>
        <w:spacing w:after="160" w:line="259" w:lineRule="auto"/>
        <w:rPr>
          <w:rFonts w:ascii="Times New Roman" w:hAnsi="Times New Roman"/>
          <w:bCs/>
          <w:sz w:val="24"/>
        </w:rPr>
      </w:pPr>
    </w:p>
    <w:p w14:paraId="45D05723" w14:textId="77777777" w:rsidR="00496804" w:rsidRDefault="00496804">
      <w:pPr>
        <w:spacing w:after="160" w:line="259" w:lineRule="auto"/>
        <w:rPr>
          <w:rFonts w:ascii="Times New Roman" w:hAnsi="Times New Roman"/>
          <w:bCs/>
          <w:sz w:val="24"/>
        </w:rPr>
      </w:pPr>
    </w:p>
    <w:p w14:paraId="45D05724" w14:textId="77777777" w:rsidR="00496804" w:rsidRDefault="00496804">
      <w:pPr>
        <w:spacing w:after="160" w:line="259" w:lineRule="auto"/>
        <w:rPr>
          <w:rFonts w:ascii="Times New Roman" w:hAnsi="Times New Roman"/>
          <w:b/>
          <w:sz w:val="24"/>
        </w:rPr>
      </w:pPr>
    </w:p>
    <w:p w14:paraId="45D05725" w14:textId="77777777" w:rsidR="00496804" w:rsidRDefault="00496804">
      <w:pPr>
        <w:spacing w:after="160" w:line="259" w:lineRule="auto"/>
        <w:rPr>
          <w:rFonts w:ascii="Times New Roman" w:hAnsi="Times New Roman"/>
          <w:b/>
          <w:sz w:val="24"/>
        </w:rPr>
      </w:pPr>
    </w:p>
    <w:p w14:paraId="45D05726" w14:textId="77777777" w:rsidR="00496804" w:rsidRDefault="00496804">
      <w:pPr>
        <w:spacing w:after="160" w:line="259" w:lineRule="auto"/>
        <w:rPr>
          <w:rFonts w:ascii="Times New Roman" w:hAnsi="Times New Roman"/>
          <w:b/>
          <w:sz w:val="24"/>
        </w:rPr>
      </w:pPr>
    </w:p>
    <w:p w14:paraId="45D05727" w14:textId="77777777" w:rsidR="00496804" w:rsidRDefault="00496804">
      <w:pPr>
        <w:spacing w:after="160" w:line="259" w:lineRule="auto"/>
        <w:rPr>
          <w:rFonts w:ascii="Times New Roman" w:hAnsi="Times New Roman"/>
          <w:b/>
          <w:sz w:val="24"/>
        </w:rPr>
      </w:pPr>
    </w:p>
    <w:p w14:paraId="45D05728" w14:textId="77777777" w:rsidR="00496804" w:rsidRDefault="00496804">
      <w:pPr>
        <w:spacing w:after="160" w:line="259" w:lineRule="auto"/>
        <w:rPr>
          <w:rFonts w:ascii="Times New Roman" w:hAnsi="Times New Roman"/>
          <w:b/>
          <w:sz w:val="24"/>
        </w:rPr>
      </w:pPr>
    </w:p>
    <w:p w14:paraId="45D05729" w14:textId="77777777" w:rsidR="00496804" w:rsidRDefault="00496804">
      <w:pPr>
        <w:spacing w:after="160" w:line="259" w:lineRule="auto"/>
        <w:rPr>
          <w:rFonts w:ascii="Times New Roman" w:hAnsi="Times New Roman"/>
          <w:b/>
          <w:sz w:val="24"/>
        </w:rPr>
      </w:pPr>
    </w:p>
    <w:p w14:paraId="45D0572A" w14:textId="36B20BEE" w:rsidR="00496804" w:rsidRDefault="0037359D">
      <w:pPr>
        <w:spacing w:after="160" w:line="259" w:lineRule="auto"/>
        <w:jc w:val="center"/>
        <w:rPr>
          <w:rFonts w:ascii="Times New Roman" w:hAnsi="Times New Roman"/>
          <w:b/>
          <w:sz w:val="24"/>
        </w:rPr>
      </w:pPr>
      <w:r>
        <w:rPr>
          <w:rFonts w:ascii="Times New Roman" w:hAnsi="Times New Roman"/>
          <w:b/>
          <w:sz w:val="24"/>
        </w:rPr>
        <w:t xml:space="preserve">Zagreb, </w:t>
      </w:r>
      <w:r w:rsidR="00CD0E08">
        <w:rPr>
          <w:rFonts w:ascii="Times New Roman" w:hAnsi="Times New Roman"/>
          <w:b/>
          <w:sz w:val="24"/>
        </w:rPr>
        <w:t>lipanj</w:t>
      </w:r>
      <w:r>
        <w:rPr>
          <w:rFonts w:ascii="Times New Roman" w:hAnsi="Times New Roman"/>
          <w:b/>
          <w:sz w:val="24"/>
        </w:rPr>
        <w:t xml:space="preserve"> 2021.</w:t>
      </w:r>
    </w:p>
    <w:p w14:paraId="45D0572B" w14:textId="77777777" w:rsidR="00496804" w:rsidRDefault="00496804">
      <w:pPr>
        <w:spacing w:after="160" w:line="259" w:lineRule="auto"/>
        <w:rPr>
          <w:rFonts w:ascii="Times New Roman" w:hAnsi="Times New Roman"/>
          <w:sz w:val="24"/>
        </w:rPr>
        <w:sectPr w:rsidR="00496804">
          <w:headerReference w:type="default" r:id="rId14"/>
          <w:footerReference w:type="default" r:id="rId15"/>
          <w:footerReference w:type="first" r:id="rId16"/>
          <w:pgSz w:w="11900" w:h="16840"/>
          <w:pgMar w:top="1701" w:right="1134" w:bottom="1134" w:left="1134" w:header="709" w:footer="289" w:gutter="0"/>
          <w:pgNumType w:start="1"/>
          <w:cols w:space="720"/>
          <w:titlePg/>
          <w:docGrid w:linePitch="299"/>
        </w:sectPr>
      </w:pPr>
    </w:p>
    <w:sdt>
      <w:sdtPr>
        <w:rPr>
          <w:rFonts w:ascii="Times New Roman" w:eastAsia="Times New Roman" w:hAnsi="Times New Roman" w:cs="Times New Roman"/>
          <w:bCs w:val="0"/>
          <w:color w:val="auto"/>
          <w:sz w:val="22"/>
          <w:szCs w:val="22"/>
          <w:lang w:val="hr-HR" w:eastAsia="en-GB"/>
        </w:rPr>
        <w:id w:val="1387994869"/>
        <w:docPartObj>
          <w:docPartGallery w:val="Table of Contents"/>
          <w:docPartUnique/>
        </w:docPartObj>
      </w:sdtPr>
      <w:sdtEndPr>
        <w:rPr>
          <w:b/>
        </w:rPr>
      </w:sdtEndPr>
      <w:sdtContent>
        <w:p w14:paraId="45D0572C" w14:textId="77777777" w:rsidR="00496804" w:rsidRDefault="0037359D">
          <w:pPr>
            <w:pStyle w:val="TOCNaslov1"/>
            <w:numPr>
              <w:ilvl w:val="0"/>
              <w:numId w:val="0"/>
            </w:numPr>
            <w:spacing w:before="0" w:after="60" w:line="240" w:lineRule="auto"/>
            <w:ind w:right="276"/>
            <w:jc w:val="both"/>
            <w:rPr>
              <w:rFonts w:ascii="Times New Roman" w:hAnsi="Times New Roman" w:cs="Times New Roman"/>
              <w:b/>
              <w:bCs w:val="0"/>
              <w:color w:val="auto"/>
              <w:sz w:val="22"/>
              <w:szCs w:val="22"/>
              <w:lang w:val="hr-HR"/>
            </w:rPr>
          </w:pPr>
          <w:r>
            <w:rPr>
              <w:rFonts w:ascii="Times New Roman" w:hAnsi="Times New Roman" w:cs="Times New Roman"/>
              <w:b/>
              <w:bCs w:val="0"/>
              <w:color w:val="auto"/>
              <w:sz w:val="22"/>
              <w:szCs w:val="22"/>
              <w:lang w:val="hr-HR"/>
            </w:rPr>
            <w:t>SADRŽAJ</w:t>
          </w:r>
        </w:p>
        <w:p w14:paraId="45D0572D" w14:textId="77777777" w:rsidR="00496804" w:rsidRDefault="0037359D">
          <w:pPr>
            <w:pStyle w:val="Sadraj1"/>
            <w:tabs>
              <w:tab w:val="clear" w:pos="8789"/>
              <w:tab w:val="right" w:leader="dot" w:pos="9356"/>
            </w:tabs>
            <w:ind w:right="134"/>
            <w:rPr>
              <w:rFonts w:ascii="Times New Roman" w:hAnsi="Times New Roman" w:cs="Times New Roman"/>
              <w:b w:val="0"/>
              <w:sz w:val="22"/>
              <w:szCs w:val="22"/>
              <w:lang w:val="hr-HR" w:eastAsia="hr-HR"/>
            </w:rPr>
          </w:pPr>
          <w:r>
            <w:rPr>
              <w:rFonts w:ascii="Times New Roman" w:hAnsi="Times New Roman" w:cs="Times New Roman"/>
              <w:sz w:val="22"/>
              <w:szCs w:val="22"/>
            </w:rPr>
            <w:fldChar w:fldCharType="begin"/>
          </w:r>
          <w:r>
            <w:rPr>
              <w:rFonts w:ascii="Times New Roman" w:hAnsi="Times New Roman" w:cs="Times New Roman"/>
              <w:sz w:val="22"/>
              <w:szCs w:val="22"/>
            </w:rPr>
            <w:instrText xml:space="preserve"> TOC \o "1-3" \h \z \u </w:instrText>
          </w:r>
          <w:r>
            <w:rPr>
              <w:rFonts w:ascii="Times New Roman" w:hAnsi="Times New Roman" w:cs="Times New Roman"/>
              <w:sz w:val="22"/>
              <w:szCs w:val="22"/>
            </w:rPr>
            <w:fldChar w:fldCharType="separate"/>
          </w:r>
          <w:hyperlink w:anchor="_Toc51851618" w:history="1">
            <w:r>
              <w:rPr>
                <w:rStyle w:val="Hiperveza"/>
                <w:rFonts w:ascii="Times New Roman" w:hAnsi="Times New Roman" w:cs="Times New Roman"/>
                <w:szCs w:val="22"/>
              </w:rPr>
              <w:t>1.</w:t>
            </w:r>
            <w:r>
              <w:rPr>
                <w:rFonts w:ascii="Times New Roman" w:hAnsi="Times New Roman" w:cs="Times New Roman"/>
                <w:b w:val="0"/>
                <w:sz w:val="22"/>
                <w:szCs w:val="22"/>
                <w:lang w:val="hr-HR" w:eastAsia="hr-HR"/>
              </w:rPr>
              <w:tab/>
            </w:r>
            <w:r>
              <w:rPr>
                <w:rStyle w:val="Hiperveza"/>
                <w:rFonts w:ascii="Times New Roman" w:hAnsi="Times New Roman" w:cs="Times New Roman"/>
                <w:szCs w:val="22"/>
              </w:rPr>
              <w:t>UVOD</w:t>
            </w:r>
            <w:r>
              <w:rPr>
                <w:rFonts w:ascii="Times New Roman" w:hAnsi="Times New Roman" w:cs="Times New Roman"/>
                <w:sz w:val="22"/>
                <w:szCs w:val="22"/>
              </w:rPr>
              <w:tab/>
              <w:t>….</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PAGEREF _Toc51851618 \h </w:instrText>
            </w:r>
            <w:r>
              <w:rPr>
                <w:rFonts w:ascii="Times New Roman" w:hAnsi="Times New Roman" w:cs="Times New Roman"/>
                <w:sz w:val="22"/>
                <w:szCs w:val="22"/>
              </w:rPr>
            </w:r>
            <w:r>
              <w:rPr>
                <w:rFonts w:ascii="Times New Roman" w:hAnsi="Times New Roman" w:cs="Times New Roman"/>
                <w:sz w:val="22"/>
                <w:szCs w:val="22"/>
              </w:rPr>
              <w:fldChar w:fldCharType="separate"/>
            </w:r>
            <w:r>
              <w:rPr>
                <w:rFonts w:ascii="Times New Roman" w:hAnsi="Times New Roman" w:cs="Times New Roman"/>
                <w:sz w:val="22"/>
                <w:szCs w:val="22"/>
              </w:rPr>
              <w:t>5</w:t>
            </w:r>
            <w:r>
              <w:rPr>
                <w:rFonts w:ascii="Times New Roman" w:hAnsi="Times New Roman" w:cs="Times New Roman"/>
                <w:sz w:val="22"/>
                <w:szCs w:val="22"/>
              </w:rPr>
              <w:fldChar w:fldCharType="end"/>
            </w:r>
          </w:hyperlink>
        </w:p>
        <w:p w14:paraId="45D0572E" w14:textId="77777777" w:rsidR="00496804" w:rsidRDefault="0031420A">
          <w:pPr>
            <w:pStyle w:val="Sadraj1"/>
            <w:tabs>
              <w:tab w:val="clear" w:pos="8789"/>
              <w:tab w:val="right" w:leader="dot" w:pos="9356"/>
            </w:tabs>
            <w:ind w:right="134"/>
            <w:rPr>
              <w:rFonts w:ascii="Times New Roman" w:hAnsi="Times New Roman" w:cs="Times New Roman"/>
              <w:b w:val="0"/>
              <w:sz w:val="22"/>
              <w:szCs w:val="22"/>
              <w:lang w:val="hr-HR" w:eastAsia="hr-HR"/>
            </w:rPr>
          </w:pPr>
          <w:hyperlink w:anchor="_Toc51851619" w:history="1">
            <w:r w:rsidR="0037359D">
              <w:rPr>
                <w:rStyle w:val="Hiperveza"/>
                <w:rFonts w:ascii="Times New Roman" w:hAnsi="Times New Roman" w:cs="Times New Roman"/>
                <w:szCs w:val="22"/>
              </w:rPr>
              <w:t>2.</w:t>
            </w:r>
            <w:r w:rsidR="0037359D">
              <w:rPr>
                <w:rFonts w:ascii="Times New Roman" w:hAnsi="Times New Roman" w:cs="Times New Roman"/>
                <w:b w:val="0"/>
                <w:sz w:val="22"/>
                <w:szCs w:val="22"/>
                <w:lang w:val="hr-HR" w:eastAsia="hr-HR"/>
              </w:rPr>
              <w:tab/>
            </w:r>
            <w:r w:rsidR="0037359D">
              <w:rPr>
                <w:rStyle w:val="Hiperveza"/>
                <w:rFonts w:ascii="Times New Roman" w:hAnsi="Times New Roman" w:cs="Times New Roman"/>
                <w:szCs w:val="22"/>
              </w:rPr>
              <w:t>OKVIR I METODOLOGIJA IZRADE</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_Toc51851619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6</w:t>
            </w:r>
            <w:r w:rsidR="0037359D">
              <w:rPr>
                <w:rFonts w:ascii="Times New Roman" w:hAnsi="Times New Roman" w:cs="Times New Roman"/>
                <w:sz w:val="22"/>
                <w:szCs w:val="22"/>
              </w:rPr>
              <w:fldChar w:fldCharType="end"/>
            </w:r>
          </w:hyperlink>
        </w:p>
        <w:p w14:paraId="45D0572F" w14:textId="77777777" w:rsidR="00496804" w:rsidRDefault="0031420A">
          <w:pPr>
            <w:pStyle w:val="Sadraj2"/>
            <w:ind w:right="134"/>
            <w:rPr>
              <w:rFonts w:ascii="Times New Roman" w:hAnsi="Times New Roman" w:cs="Times New Roman"/>
              <w:sz w:val="22"/>
              <w:szCs w:val="22"/>
              <w:lang w:val="hr-HR" w:eastAsia="hr-HR"/>
            </w:rPr>
          </w:pPr>
          <w:hyperlink w:anchor="_Toc51851620" w:history="1">
            <w:r w:rsidR="0037359D">
              <w:rPr>
                <w:rStyle w:val="Hiperveza"/>
                <w:rFonts w:ascii="Times New Roman" w:hAnsi="Times New Roman" w:cs="Times New Roman"/>
                <w:szCs w:val="22"/>
              </w:rPr>
              <w:t>2.1.</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MEĐUNARODNI KONTEKST</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_Toc51851620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6</w:t>
            </w:r>
            <w:r w:rsidR="0037359D">
              <w:rPr>
                <w:rFonts w:ascii="Times New Roman" w:hAnsi="Times New Roman" w:cs="Times New Roman"/>
                <w:sz w:val="22"/>
                <w:szCs w:val="22"/>
              </w:rPr>
              <w:fldChar w:fldCharType="end"/>
            </w:r>
          </w:hyperlink>
        </w:p>
        <w:p w14:paraId="45D05730" w14:textId="77777777" w:rsidR="00496804" w:rsidRDefault="0031420A">
          <w:pPr>
            <w:pStyle w:val="Sadraj2"/>
            <w:ind w:right="134"/>
            <w:rPr>
              <w:rFonts w:ascii="Times New Roman" w:hAnsi="Times New Roman" w:cs="Times New Roman"/>
              <w:sz w:val="22"/>
              <w:szCs w:val="22"/>
              <w:lang w:val="hr-HR" w:eastAsia="hr-HR"/>
            </w:rPr>
          </w:pPr>
          <w:hyperlink w:anchor="_Toc51851621" w:history="1">
            <w:r w:rsidR="0037359D">
              <w:rPr>
                <w:rStyle w:val="Hiperveza"/>
                <w:rFonts w:ascii="Times New Roman" w:hAnsi="Times New Roman" w:cs="Times New Roman"/>
                <w:szCs w:val="22"/>
              </w:rPr>
              <w:t>2.2.</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NACIONALNI ZAKONSKI KONTEKST</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_Toc51851621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10</w:t>
            </w:r>
            <w:r w:rsidR="0037359D">
              <w:rPr>
                <w:rFonts w:ascii="Times New Roman" w:hAnsi="Times New Roman" w:cs="Times New Roman"/>
                <w:sz w:val="22"/>
                <w:szCs w:val="22"/>
              </w:rPr>
              <w:fldChar w:fldCharType="end"/>
            </w:r>
          </w:hyperlink>
        </w:p>
        <w:p w14:paraId="45D05731" w14:textId="77777777" w:rsidR="00496804" w:rsidRDefault="0031420A">
          <w:pPr>
            <w:pStyle w:val="Sadraj2"/>
            <w:ind w:right="134"/>
            <w:rPr>
              <w:rFonts w:ascii="Times New Roman" w:hAnsi="Times New Roman" w:cs="Times New Roman"/>
              <w:sz w:val="22"/>
              <w:szCs w:val="22"/>
              <w:lang w:val="hr-HR" w:eastAsia="hr-HR"/>
            </w:rPr>
          </w:pPr>
          <w:hyperlink w:anchor="_Toc51851622" w:history="1">
            <w:r w:rsidR="0037359D">
              <w:rPr>
                <w:rStyle w:val="Hiperveza"/>
                <w:rFonts w:ascii="Times New Roman" w:hAnsi="Times New Roman" w:cs="Times New Roman"/>
                <w:szCs w:val="22"/>
              </w:rPr>
              <w:t>2.3.</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USKLAĐENOST PROGRAMA S NACRTOM NACIONALNE RAZVOJNE STRATEGIJE, SEKTORSKIM I VIŠESEKTORSKIM STRATEGIJAMA TE DOKUMENTIMA PROSTORNOG UREĐENJA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_Toc51851622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11</w:t>
            </w:r>
            <w:r w:rsidR="0037359D">
              <w:rPr>
                <w:rFonts w:ascii="Times New Roman" w:hAnsi="Times New Roman" w:cs="Times New Roman"/>
                <w:sz w:val="22"/>
                <w:szCs w:val="22"/>
              </w:rPr>
              <w:fldChar w:fldCharType="end"/>
            </w:r>
          </w:hyperlink>
        </w:p>
        <w:p w14:paraId="45D05732" w14:textId="77777777" w:rsidR="00496804" w:rsidRDefault="0031420A">
          <w:pPr>
            <w:pStyle w:val="Sadraj2"/>
            <w:ind w:right="134"/>
            <w:rPr>
              <w:rFonts w:ascii="Times New Roman" w:hAnsi="Times New Roman" w:cs="Times New Roman"/>
              <w:sz w:val="22"/>
              <w:szCs w:val="22"/>
              <w:lang w:val="hr-HR" w:eastAsia="hr-HR"/>
            </w:rPr>
          </w:pPr>
          <w:hyperlink w:anchor="_Toc51851623" w:history="1">
            <w:r w:rsidR="0037359D">
              <w:rPr>
                <w:rStyle w:val="Hiperveza"/>
                <w:rFonts w:ascii="Times New Roman" w:hAnsi="Times New Roman" w:cs="Times New Roman"/>
                <w:szCs w:val="22"/>
              </w:rPr>
              <w:t>2.4.</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METODOLOGIJA IZRADE PROGRAMA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_Toc51851623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13</w:t>
            </w:r>
            <w:r w:rsidR="0037359D">
              <w:rPr>
                <w:rFonts w:ascii="Times New Roman" w:hAnsi="Times New Roman" w:cs="Times New Roman"/>
                <w:sz w:val="22"/>
                <w:szCs w:val="22"/>
              </w:rPr>
              <w:fldChar w:fldCharType="end"/>
            </w:r>
          </w:hyperlink>
        </w:p>
        <w:p w14:paraId="45D05733" w14:textId="77777777" w:rsidR="00496804" w:rsidRDefault="0031420A">
          <w:pPr>
            <w:pStyle w:val="Sadraj1"/>
            <w:tabs>
              <w:tab w:val="clear" w:pos="8789"/>
              <w:tab w:val="right" w:leader="dot" w:pos="9356"/>
            </w:tabs>
            <w:ind w:right="134"/>
            <w:rPr>
              <w:rFonts w:ascii="Times New Roman" w:hAnsi="Times New Roman" w:cs="Times New Roman"/>
              <w:b w:val="0"/>
              <w:sz w:val="22"/>
              <w:szCs w:val="22"/>
              <w:lang w:val="hr-HR" w:eastAsia="hr-HR"/>
            </w:rPr>
          </w:pPr>
          <w:hyperlink w:anchor="_Toc51851624" w:history="1">
            <w:r w:rsidR="0037359D">
              <w:rPr>
                <w:rStyle w:val="Hiperveza"/>
                <w:rFonts w:ascii="Times New Roman" w:hAnsi="Times New Roman" w:cs="Times New Roman"/>
                <w:szCs w:val="22"/>
              </w:rPr>
              <w:t>3.</w:t>
            </w:r>
            <w:r w:rsidR="0037359D">
              <w:rPr>
                <w:rFonts w:ascii="Times New Roman" w:hAnsi="Times New Roman" w:cs="Times New Roman"/>
                <w:b w:val="0"/>
                <w:sz w:val="22"/>
                <w:szCs w:val="22"/>
                <w:lang w:val="hr-HR" w:eastAsia="hr-HR"/>
              </w:rPr>
              <w:tab/>
            </w:r>
            <w:r w:rsidR="0037359D">
              <w:rPr>
                <w:rStyle w:val="Hiperveza"/>
                <w:rFonts w:ascii="Times New Roman" w:hAnsi="Times New Roman" w:cs="Times New Roman"/>
                <w:szCs w:val="22"/>
              </w:rPr>
              <w:t>TIPOLOGIJA I KORISTI KRUŽNOG GOSPODARENJA PROSTOROM I ZGRADAMA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_Toc51851624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14</w:t>
            </w:r>
            <w:r w:rsidR="0037359D">
              <w:rPr>
                <w:rFonts w:ascii="Times New Roman" w:hAnsi="Times New Roman" w:cs="Times New Roman"/>
                <w:sz w:val="22"/>
                <w:szCs w:val="22"/>
              </w:rPr>
              <w:fldChar w:fldCharType="end"/>
            </w:r>
          </w:hyperlink>
        </w:p>
        <w:p w14:paraId="45D05734" w14:textId="77777777" w:rsidR="00496804" w:rsidRDefault="0031420A">
          <w:pPr>
            <w:pStyle w:val="Sadraj2"/>
            <w:ind w:right="134"/>
            <w:rPr>
              <w:rFonts w:ascii="Times New Roman" w:hAnsi="Times New Roman" w:cs="Times New Roman"/>
              <w:sz w:val="22"/>
              <w:szCs w:val="22"/>
              <w:lang w:val="hr-HR" w:eastAsia="hr-HR"/>
            </w:rPr>
          </w:pPr>
          <w:hyperlink w:anchor="_Toc51851625" w:history="1">
            <w:r w:rsidR="0037359D">
              <w:rPr>
                <w:rStyle w:val="Hiperveza"/>
                <w:rFonts w:ascii="Times New Roman" w:hAnsi="Times New Roman" w:cs="Times New Roman"/>
                <w:szCs w:val="22"/>
              </w:rPr>
              <w:t>3.1.</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TIPOLOGIJA KRUŽNOG GOSPODARENJA PROSTOROM I ZGRADAMA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_Toc51851625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14</w:t>
            </w:r>
            <w:r w:rsidR="0037359D">
              <w:rPr>
                <w:rFonts w:ascii="Times New Roman" w:hAnsi="Times New Roman" w:cs="Times New Roman"/>
                <w:sz w:val="22"/>
                <w:szCs w:val="22"/>
              </w:rPr>
              <w:fldChar w:fldCharType="end"/>
            </w:r>
          </w:hyperlink>
        </w:p>
        <w:p w14:paraId="45D05735" w14:textId="77777777" w:rsidR="00496804" w:rsidRDefault="0031420A">
          <w:pPr>
            <w:pStyle w:val="Sadraj2"/>
            <w:ind w:right="134"/>
            <w:rPr>
              <w:rFonts w:ascii="Times New Roman" w:hAnsi="Times New Roman" w:cs="Times New Roman"/>
              <w:sz w:val="22"/>
              <w:szCs w:val="22"/>
              <w:lang w:val="hr-HR" w:eastAsia="hr-HR"/>
            </w:rPr>
          </w:pPr>
          <w:hyperlink w:anchor="_Toc51851626" w:history="1">
            <w:r w:rsidR="0037359D">
              <w:rPr>
                <w:rStyle w:val="Hiperveza"/>
                <w:rFonts w:ascii="Times New Roman" w:hAnsi="Times New Roman" w:cs="Times New Roman"/>
                <w:szCs w:val="22"/>
              </w:rPr>
              <w:t>3.1.1.</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PLANIRANJE I GRADNJA NOVIH ZGRADA U SKLADU S KRUŽNIM GOSPODARSTVOM</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_Toc51851626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17</w:t>
            </w:r>
            <w:r w:rsidR="0037359D">
              <w:rPr>
                <w:rFonts w:ascii="Times New Roman" w:hAnsi="Times New Roman" w:cs="Times New Roman"/>
                <w:sz w:val="22"/>
                <w:szCs w:val="22"/>
              </w:rPr>
              <w:fldChar w:fldCharType="end"/>
            </w:r>
          </w:hyperlink>
        </w:p>
        <w:p w14:paraId="45D05736" w14:textId="77777777" w:rsidR="00496804" w:rsidRDefault="0031420A">
          <w:pPr>
            <w:pStyle w:val="Sadraj2"/>
            <w:ind w:right="134"/>
            <w:rPr>
              <w:rFonts w:ascii="Times New Roman" w:hAnsi="Times New Roman" w:cs="Times New Roman"/>
              <w:sz w:val="22"/>
              <w:szCs w:val="22"/>
              <w:lang w:val="hr-HR" w:eastAsia="hr-HR"/>
            </w:rPr>
          </w:pPr>
          <w:hyperlink w:anchor="_Toc51851627" w:history="1">
            <w:r w:rsidR="0037359D">
              <w:rPr>
                <w:rStyle w:val="Hiperveza"/>
                <w:rFonts w:ascii="Times New Roman" w:hAnsi="Times New Roman" w:cs="Times New Roman"/>
                <w:szCs w:val="22"/>
              </w:rPr>
              <w:t>3.1.2.</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REVITALIZACIJA I OBNOVA NEKORIŠTENIH PROSTORA I ZGRADA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_Toc51851627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19</w:t>
            </w:r>
            <w:r w:rsidR="0037359D">
              <w:rPr>
                <w:rFonts w:ascii="Times New Roman" w:hAnsi="Times New Roman" w:cs="Times New Roman"/>
                <w:sz w:val="22"/>
                <w:szCs w:val="22"/>
              </w:rPr>
              <w:fldChar w:fldCharType="end"/>
            </w:r>
          </w:hyperlink>
        </w:p>
        <w:p w14:paraId="45D05737" w14:textId="77777777" w:rsidR="00496804" w:rsidRDefault="0031420A">
          <w:pPr>
            <w:pStyle w:val="Sadraj2"/>
            <w:ind w:right="134"/>
            <w:rPr>
              <w:rFonts w:ascii="Times New Roman" w:hAnsi="Times New Roman" w:cs="Times New Roman"/>
              <w:sz w:val="22"/>
              <w:szCs w:val="22"/>
              <w:lang w:val="hr-HR" w:eastAsia="hr-HR"/>
            </w:rPr>
          </w:pPr>
          <w:hyperlink w:anchor="_Toc51851628" w:history="1">
            <w:r w:rsidR="0037359D">
              <w:rPr>
                <w:rStyle w:val="Hiperveza"/>
                <w:rFonts w:ascii="Times New Roman" w:hAnsi="Times New Roman" w:cs="Times New Roman"/>
                <w:szCs w:val="22"/>
              </w:rPr>
              <w:t>3.1.3.</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KRUŽNA OBNOVA I REPROGRAMIRANJE KORIŠTENIH PROSTORA I ZGRADA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_Toc51851628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20</w:t>
            </w:r>
            <w:r w:rsidR="0037359D">
              <w:rPr>
                <w:rFonts w:ascii="Times New Roman" w:hAnsi="Times New Roman" w:cs="Times New Roman"/>
                <w:sz w:val="22"/>
                <w:szCs w:val="22"/>
              </w:rPr>
              <w:fldChar w:fldCharType="end"/>
            </w:r>
          </w:hyperlink>
        </w:p>
        <w:p w14:paraId="45D05738" w14:textId="77777777" w:rsidR="00496804" w:rsidRDefault="0031420A">
          <w:pPr>
            <w:pStyle w:val="Sadraj2"/>
            <w:ind w:right="134"/>
            <w:rPr>
              <w:rFonts w:ascii="Times New Roman" w:hAnsi="Times New Roman" w:cs="Times New Roman"/>
              <w:sz w:val="22"/>
              <w:szCs w:val="22"/>
              <w:lang w:val="hr-HR" w:eastAsia="hr-HR"/>
            </w:rPr>
          </w:pPr>
          <w:hyperlink w:anchor="_Toc51851629" w:history="1">
            <w:r w:rsidR="0037359D">
              <w:rPr>
                <w:rStyle w:val="Hiperveza"/>
                <w:rFonts w:ascii="Times New Roman" w:hAnsi="Times New Roman" w:cs="Times New Roman"/>
                <w:szCs w:val="22"/>
              </w:rPr>
              <w:t>3.2.</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KORISTI ZA RAZVOJ KRUŽNOG GOSPODARENJA PROSTOROM I ZGRADAMA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_Toc51851629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22</w:t>
            </w:r>
            <w:r w:rsidR="0037359D">
              <w:rPr>
                <w:rFonts w:ascii="Times New Roman" w:hAnsi="Times New Roman" w:cs="Times New Roman"/>
                <w:sz w:val="22"/>
                <w:szCs w:val="22"/>
              </w:rPr>
              <w:fldChar w:fldCharType="end"/>
            </w:r>
          </w:hyperlink>
        </w:p>
        <w:p w14:paraId="45D05739" w14:textId="77777777" w:rsidR="00496804" w:rsidRDefault="0031420A">
          <w:pPr>
            <w:pStyle w:val="Sadraj2"/>
            <w:ind w:right="134"/>
            <w:rPr>
              <w:rFonts w:ascii="Times New Roman" w:hAnsi="Times New Roman" w:cs="Times New Roman"/>
              <w:sz w:val="22"/>
              <w:szCs w:val="22"/>
              <w:lang w:val="hr-HR" w:eastAsia="hr-HR"/>
            </w:rPr>
          </w:pPr>
          <w:hyperlink w:anchor="_Toc51851630" w:history="1">
            <w:r w:rsidR="0037359D">
              <w:rPr>
                <w:rStyle w:val="Hiperveza"/>
                <w:rFonts w:ascii="Times New Roman" w:hAnsi="Times New Roman" w:cs="Times New Roman"/>
                <w:szCs w:val="22"/>
              </w:rPr>
              <w:t>3.3.</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LEVEL(s)</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_Toc51851630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23</w:t>
            </w:r>
            <w:r w:rsidR="0037359D">
              <w:rPr>
                <w:rFonts w:ascii="Times New Roman" w:hAnsi="Times New Roman" w:cs="Times New Roman"/>
                <w:sz w:val="22"/>
                <w:szCs w:val="22"/>
              </w:rPr>
              <w:fldChar w:fldCharType="end"/>
            </w:r>
          </w:hyperlink>
        </w:p>
        <w:p w14:paraId="45D0573A" w14:textId="77777777" w:rsidR="00496804" w:rsidRDefault="0031420A">
          <w:pPr>
            <w:pStyle w:val="Sadraj1"/>
            <w:tabs>
              <w:tab w:val="clear" w:pos="8789"/>
              <w:tab w:val="right" w:leader="dot" w:pos="9356"/>
            </w:tabs>
            <w:ind w:right="134"/>
            <w:rPr>
              <w:rFonts w:ascii="Times New Roman" w:hAnsi="Times New Roman" w:cs="Times New Roman"/>
              <w:b w:val="0"/>
              <w:sz w:val="22"/>
              <w:szCs w:val="22"/>
              <w:lang w:val="hr-HR" w:eastAsia="hr-HR"/>
            </w:rPr>
          </w:pPr>
          <w:hyperlink w:anchor="_Toc51851631" w:history="1">
            <w:r w:rsidR="0037359D">
              <w:rPr>
                <w:rStyle w:val="Hiperveza"/>
                <w:rFonts w:ascii="Times New Roman" w:hAnsi="Times New Roman" w:cs="Times New Roman"/>
                <w:szCs w:val="22"/>
              </w:rPr>
              <w:t>4.</w:t>
            </w:r>
            <w:r w:rsidR="0037359D">
              <w:rPr>
                <w:rFonts w:ascii="Times New Roman" w:hAnsi="Times New Roman" w:cs="Times New Roman"/>
                <w:b w:val="0"/>
                <w:sz w:val="22"/>
                <w:szCs w:val="22"/>
                <w:lang w:val="hr-HR" w:eastAsia="hr-HR"/>
              </w:rPr>
              <w:tab/>
            </w:r>
            <w:r w:rsidR="0037359D">
              <w:rPr>
                <w:rStyle w:val="Hiperveza"/>
                <w:rFonts w:ascii="Times New Roman" w:hAnsi="Times New Roman" w:cs="Times New Roman"/>
                <w:szCs w:val="22"/>
              </w:rPr>
              <w:t>PREGLED STANJA U PROSTORU</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_Toc51851631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24</w:t>
            </w:r>
            <w:r w:rsidR="0037359D">
              <w:rPr>
                <w:rFonts w:ascii="Times New Roman" w:hAnsi="Times New Roman" w:cs="Times New Roman"/>
                <w:sz w:val="22"/>
                <w:szCs w:val="22"/>
              </w:rPr>
              <w:fldChar w:fldCharType="end"/>
            </w:r>
          </w:hyperlink>
        </w:p>
        <w:p w14:paraId="45D0573B" w14:textId="77777777" w:rsidR="00496804" w:rsidRDefault="0031420A">
          <w:pPr>
            <w:pStyle w:val="Sadraj2"/>
            <w:ind w:right="134"/>
            <w:rPr>
              <w:rFonts w:ascii="Times New Roman" w:hAnsi="Times New Roman" w:cs="Times New Roman"/>
              <w:sz w:val="22"/>
              <w:szCs w:val="22"/>
              <w:lang w:val="hr-HR" w:eastAsia="hr-HR"/>
            </w:rPr>
          </w:pPr>
          <w:hyperlink w:anchor="_Toc51851632" w:history="1">
            <w:r w:rsidR="0037359D">
              <w:rPr>
                <w:rStyle w:val="Hiperveza"/>
                <w:rFonts w:ascii="Times New Roman" w:hAnsi="Times New Roman" w:cs="Times New Roman"/>
                <w:szCs w:val="22"/>
              </w:rPr>
              <w:t>4.1.</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PREGLED NACIONALNOG FONDA ZGRADA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_Toc51851632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26</w:t>
            </w:r>
            <w:r w:rsidR="0037359D">
              <w:rPr>
                <w:rFonts w:ascii="Times New Roman" w:hAnsi="Times New Roman" w:cs="Times New Roman"/>
                <w:sz w:val="22"/>
                <w:szCs w:val="22"/>
              </w:rPr>
              <w:fldChar w:fldCharType="end"/>
            </w:r>
          </w:hyperlink>
        </w:p>
        <w:p w14:paraId="45D0573C" w14:textId="77777777" w:rsidR="00496804" w:rsidRDefault="0031420A">
          <w:pPr>
            <w:pStyle w:val="Sadraj2"/>
            <w:ind w:right="134"/>
            <w:rPr>
              <w:rFonts w:ascii="Times New Roman" w:hAnsi="Times New Roman" w:cs="Times New Roman"/>
              <w:sz w:val="22"/>
              <w:szCs w:val="22"/>
              <w:lang w:val="hr-HR" w:eastAsia="hr-HR"/>
            </w:rPr>
          </w:pPr>
          <w:hyperlink w:anchor="_Toc51851633" w:history="1">
            <w:r w:rsidR="0037359D">
              <w:rPr>
                <w:rStyle w:val="Hiperveza"/>
                <w:rFonts w:ascii="Times New Roman" w:hAnsi="Times New Roman" w:cs="Times New Roman"/>
                <w:szCs w:val="22"/>
              </w:rPr>
              <w:t>4.2.</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PRITISCI NA IZGRAĐENI OKOLIŠ</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_Toc51851633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30</w:t>
            </w:r>
            <w:r w:rsidR="0037359D">
              <w:rPr>
                <w:rFonts w:ascii="Times New Roman" w:hAnsi="Times New Roman" w:cs="Times New Roman"/>
                <w:sz w:val="22"/>
                <w:szCs w:val="22"/>
              </w:rPr>
              <w:fldChar w:fldCharType="end"/>
            </w:r>
          </w:hyperlink>
        </w:p>
        <w:p w14:paraId="45D0573D" w14:textId="77777777" w:rsidR="00496804" w:rsidRDefault="0031420A">
          <w:pPr>
            <w:pStyle w:val="Sadraj2"/>
            <w:ind w:right="134"/>
            <w:rPr>
              <w:rFonts w:ascii="Times New Roman" w:hAnsi="Times New Roman" w:cs="Times New Roman"/>
              <w:sz w:val="22"/>
              <w:szCs w:val="22"/>
              <w:lang w:val="hr-HR" w:eastAsia="hr-HR"/>
            </w:rPr>
          </w:pPr>
          <w:hyperlink w:anchor="_Toc51851634" w:history="1">
            <w:r w:rsidR="0037359D">
              <w:rPr>
                <w:rStyle w:val="Hiperveza"/>
                <w:rFonts w:ascii="Times New Roman" w:hAnsi="Times New Roman" w:cs="Times New Roman"/>
                <w:szCs w:val="22"/>
              </w:rPr>
              <w:t>4.2.1.</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POTRES</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_Toc51851634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31</w:t>
            </w:r>
            <w:r w:rsidR="0037359D">
              <w:rPr>
                <w:rFonts w:ascii="Times New Roman" w:hAnsi="Times New Roman" w:cs="Times New Roman"/>
                <w:sz w:val="22"/>
                <w:szCs w:val="22"/>
              </w:rPr>
              <w:fldChar w:fldCharType="end"/>
            </w:r>
          </w:hyperlink>
        </w:p>
        <w:p w14:paraId="45D0573E" w14:textId="77777777" w:rsidR="00496804" w:rsidRDefault="0031420A">
          <w:pPr>
            <w:pStyle w:val="Sadraj2"/>
            <w:ind w:right="134"/>
            <w:rPr>
              <w:rFonts w:ascii="Times New Roman" w:hAnsi="Times New Roman" w:cs="Times New Roman"/>
              <w:sz w:val="22"/>
              <w:szCs w:val="22"/>
              <w:lang w:val="hr-HR" w:eastAsia="hr-HR"/>
            </w:rPr>
          </w:pPr>
          <w:hyperlink w:anchor="_Toc51851635" w:history="1">
            <w:r w:rsidR="0037359D">
              <w:rPr>
                <w:rStyle w:val="Hiperveza"/>
                <w:rFonts w:ascii="Times New Roman" w:hAnsi="Times New Roman" w:cs="Times New Roman"/>
                <w:szCs w:val="22"/>
              </w:rPr>
              <w:t>4.2.2.</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POŽAR</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_Toc51851635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32</w:t>
            </w:r>
            <w:r w:rsidR="0037359D">
              <w:rPr>
                <w:rFonts w:ascii="Times New Roman" w:hAnsi="Times New Roman" w:cs="Times New Roman"/>
                <w:sz w:val="22"/>
                <w:szCs w:val="22"/>
              </w:rPr>
              <w:fldChar w:fldCharType="end"/>
            </w:r>
          </w:hyperlink>
        </w:p>
        <w:p w14:paraId="45D0573F" w14:textId="77777777" w:rsidR="00496804" w:rsidRDefault="0031420A">
          <w:pPr>
            <w:pStyle w:val="Sadraj2"/>
            <w:ind w:right="134"/>
            <w:rPr>
              <w:rFonts w:ascii="Times New Roman" w:hAnsi="Times New Roman" w:cs="Times New Roman"/>
              <w:sz w:val="22"/>
              <w:szCs w:val="22"/>
              <w:lang w:val="hr-HR" w:eastAsia="hr-HR"/>
            </w:rPr>
          </w:pPr>
          <w:hyperlink w:anchor="_Toc51851636" w:history="1">
            <w:r w:rsidR="0037359D">
              <w:rPr>
                <w:rStyle w:val="Hiperveza"/>
                <w:rFonts w:ascii="Times New Roman" w:hAnsi="Times New Roman" w:cs="Times New Roman"/>
                <w:szCs w:val="22"/>
              </w:rPr>
              <w:t>4.2.3.</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POPLAVE USLIJED IZLIJEVANJA KOPNENIH VODENIH TIJELA I PODIZANJA RAZINE MORA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_Toc51851636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33</w:t>
            </w:r>
            <w:r w:rsidR="0037359D">
              <w:rPr>
                <w:rFonts w:ascii="Times New Roman" w:hAnsi="Times New Roman" w:cs="Times New Roman"/>
                <w:sz w:val="22"/>
                <w:szCs w:val="22"/>
              </w:rPr>
              <w:fldChar w:fldCharType="end"/>
            </w:r>
          </w:hyperlink>
        </w:p>
        <w:p w14:paraId="45D05740" w14:textId="77777777" w:rsidR="00496804" w:rsidRDefault="0031420A">
          <w:pPr>
            <w:pStyle w:val="Sadraj2"/>
            <w:ind w:right="134"/>
            <w:rPr>
              <w:rFonts w:ascii="Times New Roman" w:hAnsi="Times New Roman" w:cs="Times New Roman"/>
              <w:sz w:val="22"/>
              <w:szCs w:val="22"/>
              <w:lang w:val="hr-HR" w:eastAsia="hr-HR"/>
            </w:rPr>
          </w:pPr>
          <w:hyperlink w:anchor="_Toc51851637" w:history="1">
            <w:r w:rsidR="0037359D">
              <w:rPr>
                <w:rStyle w:val="Hiperveza"/>
                <w:rFonts w:ascii="Times New Roman" w:hAnsi="Times New Roman" w:cs="Times New Roman"/>
                <w:szCs w:val="22"/>
              </w:rPr>
              <w:t>4.3.</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GRAĐEVNI OTPAD</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_Toc51851637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33</w:t>
            </w:r>
            <w:r w:rsidR="0037359D">
              <w:rPr>
                <w:rFonts w:ascii="Times New Roman" w:hAnsi="Times New Roman" w:cs="Times New Roman"/>
                <w:sz w:val="22"/>
                <w:szCs w:val="22"/>
              </w:rPr>
              <w:fldChar w:fldCharType="end"/>
            </w:r>
          </w:hyperlink>
        </w:p>
        <w:p w14:paraId="45D05741" w14:textId="77777777" w:rsidR="00496804" w:rsidRDefault="0031420A">
          <w:pPr>
            <w:pStyle w:val="Sadraj2"/>
            <w:ind w:right="134"/>
            <w:rPr>
              <w:rFonts w:ascii="Times New Roman" w:hAnsi="Times New Roman" w:cs="Times New Roman"/>
              <w:sz w:val="22"/>
              <w:szCs w:val="22"/>
              <w:lang w:val="hr-HR" w:eastAsia="hr-HR"/>
            </w:rPr>
          </w:pPr>
          <w:hyperlink w:anchor="_Toc51851638" w:history="1">
            <w:r w:rsidR="0037359D">
              <w:rPr>
                <w:rStyle w:val="Hiperveza"/>
                <w:rFonts w:ascii="Times New Roman" w:hAnsi="Times New Roman" w:cs="Times New Roman"/>
                <w:szCs w:val="22"/>
              </w:rPr>
              <w:t>4.4.</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PREGLED STANJA NA REGIONALNOJ I LOKALNOJ RAZINI</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_Toc51851638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38</w:t>
            </w:r>
            <w:r w:rsidR="0037359D">
              <w:rPr>
                <w:rFonts w:ascii="Times New Roman" w:hAnsi="Times New Roman" w:cs="Times New Roman"/>
                <w:sz w:val="22"/>
                <w:szCs w:val="22"/>
              </w:rPr>
              <w:fldChar w:fldCharType="end"/>
            </w:r>
          </w:hyperlink>
        </w:p>
        <w:p w14:paraId="45D05742" w14:textId="77777777" w:rsidR="00496804" w:rsidRDefault="0031420A">
          <w:pPr>
            <w:pStyle w:val="Sadraj3"/>
            <w:tabs>
              <w:tab w:val="right" w:leader="dot" w:pos="9356"/>
            </w:tabs>
            <w:ind w:left="851" w:right="134"/>
            <w:rPr>
              <w:rFonts w:ascii="Times New Roman" w:hAnsi="Times New Roman" w:cs="Times New Roman"/>
              <w:szCs w:val="22"/>
              <w:lang w:val="hr-HR" w:eastAsia="hr-HR"/>
            </w:rPr>
          </w:pPr>
          <w:hyperlink w:anchor="_Toc51851639" w:history="1">
            <w:r w:rsidR="0037359D">
              <w:rPr>
                <w:rStyle w:val="Hiperveza"/>
                <w:rFonts w:ascii="Times New Roman" w:eastAsia="Times New Roman" w:hAnsi="Times New Roman" w:cs="Times New Roman"/>
                <w:szCs w:val="22"/>
                <w:lang w:eastAsia="en-GB"/>
              </w:rPr>
              <w:t>Anketno istraživanje</w:t>
            </w:r>
            <w:r w:rsidR="0037359D">
              <w:rPr>
                <w:rFonts w:ascii="Times New Roman" w:hAnsi="Times New Roman" w:cs="Times New Roman"/>
                <w:szCs w:val="22"/>
              </w:rPr>
              <w:tab/>
            </w:r>
            <w:r w:rsidR="0037359D">
              <w:rPr>
                <w:rFonts w:ascii="Times New Roman" w:hAnsi="Times New Roman" w:cs="Times New Roman"/>
                <w:szCs w:val="22"/>
              </w:rPr>
              <w:fldChar w:fldCharType="begin"/>
            </w:r>
            <w:r w:rsidR="0037359D">
              <w:rPr>
                <w:rFonts w:ascii="Times New Roman" w:hAnsi="Times New Roman" w:cs="Times New Roman"/>
                <w:szCs w:val="22"/>
              </w:rPr>
              <w:instrText xml:space="preserve"> PAGEREF _Toc51851639 \h </w:instrText>
            </w:r>
            <w:r w:rsidR="0037359D">
              <w:rPr>
                <w:rFonts w:ascii="Times New Roman" w:hAnsi="Times New Roman" w:cs="Times New Roman"/>
                <w:szCs w:val="22"/>
              </w:rPr>
            </w:r>
            <w:r w:rsidR="0037359D">
              <w:rPr>
                <w:rFonts w:ascii="Times New Roman" w:hAnsi="Times New Roman" w:cs="Times New Roman"/>
                <w:szCs w:val="22"/>
              </w:rPr>
              <w:fldChar w:fldCharType="separate"/>
            </w:r>
            <w:r w:rsidR="0037359D">
              <w:rPr>
                <w:rFonts w:ascii="Times New Roman" w:hAnsi="Times New Roman" w:cs="Times New Roman"/>
                <w:szCs w:val="22"/>
              </w:rPr>
              <w:t>38</w:t>
            </w:r>
            <w:r w:rsidR="0037359D">
              <w:rPr>
                <w:rFonts w:ascii="Times New Roman" w:hAnsi="Times New Roman" w:cs="Times New Roman"/>
                <w:szCs w:val="22"/>
              </w:rPr>
              <w:fldChar w:fldCharType="end"/>
            </w:r>
          </w:hyperlink>
        </w:p>
        <w:p w14:paraId="45D05743" w14:textId="77777777" w:rsidR="00496804" w:rsidRDefault="0031420A">
          <w:pPr>
            <w:pStyle w:val="Sadraj3"/>
            <w:tabs>
              <w:tab w:val="right" w:leader="dot" w:pos="9356"/>
            </w:tabs>
            <w:ind w:left="851" w:right="134"/>
            <w:rPr>
              <w:rFonts w:ascii="Times New Roman" w:hAnsi="Times New Roman" w:cs="Times New Roman"/>
              <w:szCs w:val="22"/>
              <w:lang w:val="hr-HR" w:eastAsia="hr-HR"/>
            </w:rPr>
          </w:pPr>
          <w:hyperlink w:anchor="_Toc51851640" w:history="1">
            <w:r w:rsidR="0037359D">
              <w:rPr>
                <w:rStyle w:val="Hiperveza"/>
                <w:rFonts w:ascii="Times New Roman" w:eastAsia="Times New Roman" w:hAnsi="Times New Roman" w:cs="Times New Roman"/>
                <w:szCs w:val="22"/>
                <w:lang w:eastAsia="en-GB"/>
              </w:rPr>
              <w:t>Interdisciplinarna radionica</w:t>
            </w:r>
            <w:r w:rsidR="0037359D">
              <w:rPr>
                <w:rFonts w:ascii="Times New Roman" w:hAnsi="Times New Roman" w:cs="Times New Roman"/>
                <w:szCs w:val="22"/>
              </w:rPr>
              <w:tab/>
            </w:r>
            <w:r w:rsidR="0037359D">
              <w:rPr>
                <w:rFonts w:ascii="Times New Roman" w:hAnsi="Times New Roman" w:cs="Times New Roman"/>
                <w:szCs w:val="22"/>
              </w:rPr>
              <w:fldChar w:fldCharType="begin"/>
            </w:r>
            <w:r w:rsidR="0037359D">
              <w:rPr>
                <w:rFonts w:ascii="Times New Roman" w:hAnsi="Times New Roman" w:cs="Times New Roman"/>
                <w:szCs w:val="22"/>
              </w:rPr>
              <w:instrText xml:space="preserve"> PAGEREF _Toc51851640 \h </w:instrText>
            </w:r>
            <w:r w:rsidR="0037359D">
              <w:rPr>
                <w:rFonts w:ascii="Times New Roman" w:hAnsi="Times New Roman" w:cs="Times New Roman"/>
                <w:szCs w:val="22"/>
              </w:rPr>
            </w:r>
            <w:r w:rsidR="0037359D">
              <w:rPr>
                <w:rFonts w:ascii="Times New Roman" w:hAnsi="Times New Roman" w:cs="Times New Roman"/>
                <w:szCs w:val="22"/>
              </w:rPr>
              <w:fldChar w:fldCharType="separate"/>
            </w:r>
            <w:r w:rsidR="0037359D">
              <w:rPr>
                <w:rFonts w:ascii="Times New Roman" w:hAnsi="Times New Roman" w:cs="Times New Roman"/>
                <w:szCs w:val="22"/>
              </w:rPr>
              <w:t>44</w:t>
            </w:r>
            <w:r w:rsidR="0037359D">
              <w:rPr>
                <w:rFonts w:ascii="Times New Roman" w:hAnsi="Times New Roman" w:cs="Times New Roman"/>
                <w:szCs w:val="22"/>
              </w:rPr>
              <w:fldChar w:fldCharType="end"/>
            </w:r>
          </w:hyperlink>
        </w:p>
        <w:p w14:paraId="45D05744" w14:textId="77777777" w:rsidR="00496804" w:rsidRDefault="0031420A">
          <w:pPr>
            <w:pStyle w:val="Sadraj2"/>
            <w:ind w:right="134"/>
            <w:rPr>
              <w:rFonts w:ascii="Times New Roman" w:hAnsi="Times New Roman" w:cs="Times New Roman"/>
              <w:sz w:val="22"/>
              <w:szCs w:val="22"/>
              <w:lang w:val="hr-HR" w:eastAsia="hr-HR"/>
            </w:rPr>
          </w:pPr>
          <w:hyperlink w:anchor="_Toc51851641" w:history="1">
            <w:r w:rsidR="0037359D">
              <w:rPr>
                <w:rStyle w:val="Hiperveza"/>
                <w:rFonts w:ascii="Times New Roman" w:hAnsi="Times New Roman" w:cs="Times New Roman"/>
                <w:szCs w:val="22"/>
              </w:rPr>
              <w:t>4.5.</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PREGLED ELEMENATA DRŽAVNIH POTPORA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_Toc51851641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44</w:t>
            </w:r>
            <w:r w:rsidR="0037359D">
              <w:rPr>
                <w:rFonts w:ascii="Times New Roman" w:hAnsi="Times New Roman" w:cs="Times New Roman"/>
                <w:sz w:val="22"/>
                <w:szCs w:val="22"/>
              </w:rPr>
              <w:fldChar w:fldCharType="end"/>
            </w:r>
          </w:hyperlink>
        </w:p>
        <w:p w14:paraId="45D05745" w14:textId="77777777" w:rsidR="00496804" w:rsidRDefault="0031420A">
          <w:pPr>
            <w:pStyle w:val="Sadraj2"/>
            <w:ind w:right="134"/>
            <w:rPr>
              <w:rFonts w:ascii="Times New Roman" w:hAnsi="Times New Roman" w:cs="Times New Roman"/>
              <w:sz w:val="22"/>
              <w:szCs w:val="22"/>
              <w:lang w:val="hr-HR" w:eastAsia="hr-HR"/>
            </w:rPr>
          </w:pPr>
          <w:hyperlink w:anchor="_Toc51851642" w:history="1">
            <w:r w:rsidR="0037359D">
              <w:rPr>
                <w:rStyle w:val="Hiperveza"/>
                <w:rFonts w:ascii="Times New Roman" w:hAnsi="Times New Roman" w:cs="Times New Roman"/>
                <w:szCs w:val="22"/>
              </w:rPr>
              <w:t>4.6.</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KRUŽNO GOSPODARENJE PROSTOROM I ZGRADAMA U EU – PRIMJERI DOBRE PRAKSE</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_Toc51851642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47</w:t>
            </w:r>
            <w:r w:rsidR="0037359D">
              <w:rPr>
                <w:rFonts w:ascii="Times New Roman" w:hAnsi="Times New Roman" w:cs="Times New Roman"/>
                <w:sz w:val="22"/>
                <w:szCs w:val="22"/>
              </w:rPr>
              <w:fldChar w:fldCharType="end"/>
            </w:r>
          </w:hyperlink>
        </w:p>
        <w:p w14:paraId="45D05746" w14:textId="77777777" w:rsidR="00496804" w:rsidRDefault="0031420A">
          <w:pPr>
            <w:pStyle w:val="Sadraj1"/>
            <w:tabs>
              <w:tab w:val="clear" w:pos="8789"/>
              <w:tab w:val="right" w:leader="dot" w:pos="9356"/>
            </w:tabs>
            <w:ind w:right="134"/>
            <w:rPr>
              <w:rFonts w:ascii="Times New Roman" w:hAnsi="Times New Roman" w:cs="Times New Roman"/>
              <w:b w:val="0"/>
              <w:sz w:val="22"/>
              <w:szCs w:val="22"/>
              <w:lang w:val="hr-HR" w:eastAsia="hr-HR"/>
            </w:rPr>
          </w:pPr>
          <w:hyperlink w:anchor="_Toc51851643" w:history="1">
            <w:r w:rsidR="0037359D">
              <w:rPr>
                <w:rStyle w:val="Hiperveza"/>
                <w:rFonts w:ascii="Times New Roman" w:hAnsi="Times New Roman" w:cs="Times New Roman"/>
                <w:szCs w:val="22"/>
              </w:rPr>
              <w:t>5.</w:t>
            </w:r>
            <w:r w:rsidR="0037359D">
              <w:rPr>
                <w:rFonts w:ascii="Times New Roman" w:hAnsi="Times New Roman" w:cs="Times New Roman"/>
                <w:b w:val="0"/>
                <w:sz w:val="22"/>
                <w:szCs w:val="22"/>
                <w:lang w:val="hr-HR" w:eastAsia="hr-HR"/>
              </w:rPr>
              <w:tab/>
            </w:r>
            <w:r w:rsidR="0037359D">
              <w:rPr>
                <w:rStyle w:val="Hiperveza"/>
                <w:rFonts w:ascii="Times New Roman" w:hAnsi="Times New Roman" w:cs="Times New Roman"/>
                <w:szCs w:val="22"/>
              </w:rPr>
              <w:t>OPIS SREDNJOROČNIH RAZVOJNIH POTREBA I RAZVOJNIH POTENCIJALA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_Toc51851643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51</w:t>
            </w:r>
            <w:r w:rsidR="0037359D">
              <w:rPr>
                <w:rFonts w:ascii="Times New Roman" w:hAnsi="Times New Roman" w:cs="Times New Roman"/>
                <w:sz w:val="22"/>
                <w:szCs w:val="22"/>
              </w:rPr>
              <w:fldChar w:fldCharType="end"/>
            </w:r>
          </w:hyperlink>
        </w:p>
        <w:p w14:paraId="45D05747" w14:textId="77777777" w:rsidR="00496804" w:rsidRDefault="0031420A">
          <w:pPr>
            <w:pStyle w:val="Sadraj2"/>
            <w:ind w:right="134"/>
            <w:rPr>
              <w:rFonts w:ascii="Times New Roman" w:hAnsi="Times New Roman" w:cs="Times New Roman"/>
              <w:sz w:val="22"/>
              <w:szCs w:val="22"/>
              <w:lang w:val="hr-HR" w:eastAsia="hr-HR"/>
            </w:rPr>
          </w:pPr>
          <w:hyperlink w:anchor="_Toc51851644" w:history="1">
            <w:r w:rsidR="0037359D">
              <w:rPr>
                <w:rStyle w:val="Hiperveza"/>
                <w:rFonts w:ascii="Times New Roman" w:hAnsi="Times New Roman" w:cs="Times New Roman"/>
                <w:szCs w:val="22"/>
              </w:rPr>
              <w:t>5.1.</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IDENTIFIKACIJA RAZVOJNIH POTREBA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_Toc51851644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51</w:t>
            </w:r>
            <w:r w:rsidR="0037359D">
              <w:rPr>
                <w:rFonts w:ascii="Times New Roman" w:hAnsi="Times New Roman" w:cs="Times New Roman"/>
                <w:sz w:val="22"/>
                <w:szCs w:val="22"/>
              </w:rPr>
              <w:fldChar w:fldCharType="end"/>
            </w:r>
          </w:hyperlink>
        </w:p>
        <w:p w14:paraId="45D05748" w14:textId="77777777" w:rsidR="00496804" w:rsidRDefault="0031420A">
          <w:pPr>
            <w:pStyle w:val="Sadraj2"/>
            <w:ind w:right="134"/>
            <w:rPr>
              <w:rFonts w:ascii="Times New Roman" w:hAnsi="Times New Roman" w:cs="Times New Roman"/>
              <w:sz w:val="22"/>
              <w:szCs w:val="22"/>
              <w:lang w:val="hr-HR" w:eastAsia="hr-HR"/>
            </w:rPr>
          </w:pPr>
          <w:hyperlink w:anchor="_Toc51851645" w:history="1">
            <w:r w:rsidR="0037359D">
              <w:rPr>
                <w:rStyle w:val="Hiperveza"/>
                <w:rFonts w:ascii="Times New Roman" w:hAnsi="Times New Roman" w:cs="Times New Roman"/>
                <w:szCs w:val="22"/>
              </w:rPr>
              <w:t>5.2.</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RAZVOJNI POTENCIJALI (MOGUĆNOSTI)</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_Toc51851645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52</w:t>
            </w:r>
            <w:r w:rsidR="0037359D">
              <w:rPr>
                <w:rFonts w:ascii="Times New Roman" w:hAnsi="Times New Roman" w:cs="Times New Roman"/>
                <w:sz w:val="22"/>
                <w:szCs w:val="22"/>
              </w:rPr>
              <w:fldChar w:fldCharType="end"/>
            </w:r>
          </w:hyperlink>
        </w:p>
        <w:p w14:paraId="45D05749" w14:textId="09646229" w:rsidR="00496804" w:rsidRDefault="0037359D">
          <w:pPr>
            <w:pStyle w:val="Sadraj2"/>
            <w:ind w:right="134"/>
            <w:rPr>
              <w:rFonts w:ascii="Times New Roman" w:hAnsi="Times New Roman" w:cs="Times New Roman"/>
              <w:sz w:val="22"/>
              <w:szCs w:val="22"/>
              <w:lang w:val="hr-HR" w:eastAsia="hr-HR"/>
            </w:rPr>
          </w:pPr>
          <w:hyperlink w:anchor="_Toc51851646" w:history="1">
            <w:r>
              <w:rPr>
                <w:rStyle w:val="Hiperveza"/>
                <w:rFonts w:ascii="Times New Roman" w:hAnsi="Times New Roman" w:cs="Times New Roman"/>
                <w:szCs w:val="22"/>
              </w:rPr>
              <w:t>5.3.</w:t>
            </w:r>
            <w:r>
              <w:rPr>
                <w:rFonts w:ascii="Times New Roman" w:hAnsi="Times New Roman" w:cs="Times New Roman"/>
                <w:sz w:val="22"/>
                <w:szCs w:val="22"/>
                <w:lang w:val="hr-HR" w:eastAsia="hr-HR"/>
              </w:rPr>
              <w:tab/>
            </w:r>
            <w:r>
              <w:rPr>
                <w:rStyle w:val="Hiperveza"/>
                <w:rFonts w:ascii="Times New Roman" w:hAnsi="Times New Roman" w:cs="Times New Roman"/>
                <w:szCs w:val="22"/>
              </w:rPr>
              <w:t xml:space="preserve">IDENTIFIKACIJA IZAZOVA </w:t>
            </w:r>
            <w:r>
              <w:rPr>
                <w:rFonts w:ascii="Times New Roman" w:hAnsi="Times New Roman" w:cs="Times New Roman"/>
                <w:sz w:val="22"/>
                <w:szCs w:val="22"/>
              </w:rPr>
              <w:tab/>
            </w:r>
            <w:r>
              <w:rPr>
                <w:rFonts w:ascii="Times New Roman" w:hAnsi="Times New Roman" w:cs="Times New Roman"/>
                <w:sz w:val="22"/>
                <w:szCs w:val="22"/>
              </w:rPr>
              <w:fldChar w:fldCharType="begin"/>
            </w:r>
            <w:r>
              <w:rPr>
                <w:rFonts w:ascii="Times New Roman" w:hAnsi="Times New Roman" w:cs="Times New Roman"/>
                <w:sz w:val="22"/>
                <w:szCs w:val="22"/>
              </w:rPr>
              <w:instrText xml:space="preserve"> PAGEREF _Toc51851646 \h </w:instrText>
            </w:r>
            <w:r>
              <w:rPr>
                <w:rFonts w:ascii="Times New Roman" w:hAnsi="Times New Roman" w:cs="Times New Roman"/>
                <w:sz w:val="22"/>
                <w:szCs w:val="22"/>
              </w:rPr>
            </w:r>
            <w:r>
              <w:rPr>
                <w:rFonts w:ascii="Times New Roman" w:hAnsi="Times New Roman" w:cs="Times New Roman"/>
                <w:sz w:val="22"/>
                <w:szCs w:val="22"/>
              </w:rPr>
              <w:fldChar w:fldCharType="separate"/>
            </w:r>
            <w:r>
              <w:rPr>
                <w:rFonts w:ascii="Times New Roman" w:hAnsi="Times New Roman" w:cs="Times New Roman"/>
                <w:sz w:val="22"/>
                <w:szCs w:val="22"/>
              </w:rPr>
              <w:t>53</w:t>
            </w:r>
            <w:r>
              <w:rPr>
                <w:rFonts w:ascii="Times New Roman" w:hAnsi="Times New Roman" w:cs="Times New Roman"/>
                <w:sz w:val="22"/>
                <w:szCs w:val="22"/>
              </w:rPr>
              <w:fldChar w:fldCharType="end"/>
            </w:r>
          </w:hyperlink>
        </w:p>
        <w:p w14:paraId="45D0574A" w14:textId="77777777" w:rsidR="00496804" w:rsidRDefault="0031420A">
          <w:pPr>
            <w:pStyle w:val="Sadraj2"/>
            <w:ind w:right="134"/>
            <w:rPr>
              <w:rFonts w:ascii="Times New Roman" w:hAnsi="Times New Roman" w:cs="Times New Roman"/>
              <w:sz w:val="22"/>
              <w:szCs w:val="22"/>
              <w:lang w:val="hr-HR" w:eastAsia="hr-HR"/>
            </w:rPr>
          </w:pPr>
          <w:hyperlink w:anchor="_Toc51851647" w:history="1">
            <w:r w:rsidR="0037359D">
              <w:rPr>
                <w:rStyle w:val="Hiperveza"/>
                <w:rFonts w:ascii="Times New Roman" w:hAnsi="Times New Roman" w:cs="Times New Roman"/>
                <w:szCs w:val="22"/>
              </w:rPr>
              <w:t>5.4.</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SWOT ANALIZA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_Toc51851647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54</w:t>
            </w:r>
            <w:r w:rsidR="0037359D">
              <w:rPr>
                <w:rFonts w:ascii="Times New Roman" w:hAnsi="Times New Roman" w:cs="Times New Roman"/>
                <w:sz w:val="22"/>
                <w:szCs w:val="22"/>
              </w:rPr>
              <w:fldChar w:fldCharType="end"/>
            </w:r>
          </w:hyperlink>
        </w:p>
        <w:p w14:paraId="45D0574B" w14:textId="77777777" w:rsidR="00496804" w:rsidRDefault="0031420A">
          <w:pPr>
            <w:pStyle w:val="Sadraj1"/>
            <w:tabs>
              <w:tab w:val="clear" w:pos="8789"/>
              <w:tab w:val="right" w:leader="dot" w:pos="9356"/>
            </w:tabs>
            <w:ind w:right="134"/>
            <w:rPr>
              <w:rFonts w:ascii="Times New Roman" w:hAnsi="Times New Roman" w:cs="Times New Roman"/>
              <w:b w:val="0"/>
              <w:sz w:val="22"/>
              <w:szCs w:val="22"/>
              <w:lang w:val="hr-HR" w:eastAsia="hr-HR"/>
            </w:rPr>
          </w:pPr>
          <w:hyperlink w:anchor="_Toc51851648" w:history="1">
            <w:r w:rsidR="0037359D">
              <w:rPr>
                <w:rStyle w:val="Hiperveza"/>
                <w:rFonts w:ascii="Times New Roman" w:hAnsi="Times New Roman" w:cs="Times New Roman"/>
                <w:szCs w:val="22"/>
              </w:rPr>
              <w:t>6.</w:t>
            </w:r>
            <w:r w:rsidR="0037359D">
              <w:rPr>
                <w:rFonts w:ascii="Times New Roman" w:hAnsi="Times New Roman" w:cs="Times New Roman"/>
                <w:b w:val="0"/>
                <w:sz w:val="22"/>
                <w:szCs w:val="22"/>
                <w:lang w:val="hr-HR" w:eastAsia="hr-HR"/>
              </w:rPr>
              <w:tab/>
            </w:r>
            <w:r w:rsidR="0037359D">
              <w:rPr>
                <w:rStyle w:val="Hiperveza"/>
                <w:rFonts w:ascii="Times New Roman" w:hAnsi="Times New Roman" w:cs="Times New Roman"/>
                <w:szCs w:val="22"/>
              </w:rPr>
              <w:t>OPIS PRIORITETA JAVNE POLITIKE U SREDNJOROČNOM RAZDOBLJU</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_Toc51851648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56</w:t>
            </w:r>
            <w:r w:rsidR="0037359D">
              <w:rPr>
                <w:rFonts w:ascii="Times New Roman" w:hAnsi="Times New Roman" w:cs="Times New Roman"/>
                <w:sz w:val="22"/>
                <w:szCs w:val="22"/>
              </w:rPr>
              <w:fldChar w:fldCharType="end"/>
            </w:r>
          </w:hyperlink>
        </w:p>
        <w:p w14:paraId="45D0574C" w14:textId="77777777" w:rsidR="00496804" w:rsidRDefault="0031420A">
          <w:pPr>
            <w:pStyle w:val="Sadraj1"/>
            <w:tabs>
              <w:tab w:val="clear" w:pos="8789"/>
              <w:tab w:val="right" w:leader="dot" w:pos="9356"/>
            </w:tabs>
            <w:ind w:right="134"/>
            <w:rPr>
              <w:rFonts w:ascii="Times New Roman" w:hAnsi="Times New Roman" w:cs="Times New Roman"/>
              <w:b w:val="0"/>
              <w:sz w:val="22"/>
              <w:szCs w:val="22"/>
              <w:lang w:val="hr-HR" w:eastAsia="hr-HR"/>
            </w:rPr>
          </w:pPr>
          <w:hyperlink w:anchor="_Toc51851649" w:history="1">
            <w:r w:rsidR="0037359D">
              <w:rPr>
                <w:rStyle w:val="Hiperveza"/>
                <w:rFonts w:ascii="Times New Roman" w:hAnsi="Times New Roman" w:cs="Times New Roman"/>
                <w:szCs w:val="22"/>
              </w:rPr>
              <w:t>7.</w:t>
            </w:r>
            <w:r w:rsidR="0037359D">
              <w:rPr>
                <w:rFonts w:ascii="Times New Roman" w:hAnsi="Times New Roman" w:cs="Times New Roman"/>
                <w:b w:val="0"/>
                <w:sz w:val="22"/>
                <w:szCs w:val="22"/>
                <w:lang w:val="hr-HR" w:eastAsia="hr-HR"/>
              </w:rPr>
              <w:tab/>
            </w:r>
            <w:r w:rsidR="0037359D">
              <w:rPr>
                <w:rStyle w:val="Hiperveza"/>
                <w:rFonts w:ascii="Times New Roman" w:hAnsi="Times New Roman" w:cs="Times New Roman"/>
                <w:szCs w:val="22"/>
              </w:rPr>
              <w:t>SREDNJOROČNA VIZIJA RAZVOJA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_Toc51851649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57</w:t>
            </w:r>
            <w:r w:rsidR="0037359D">
              <w:rPr>
                <w:rFonts w:ascii="Times New Roman" w:hAnsi="Times New Roman" w:cs="Times New Roman"/>
                <w:sz w:val="22"/>
                <w:szCs w:val="22"/>
              </w:rPr>
              <w:fldChar w:fldCharType="end"/>
            </w:r>
          </w:hyperlink>
        </w:p>
        <w:p w14:paraId="45D0574D" w14:textId="77777777" w:rsidR="00496804" w:rsidRDefault="0031420A">
          <w:pPr>
            <w:pStyle w:val="Sadraj2"/>
            <w:ind w:right="134"/>
            <w:rPr>
              <w:rFonts w:ascii="Times New Roman" w:hAnsi="Times New Roman" w:cs="Times New Roman"/>
              <w:sz w:val="22"/>
              <w:szCs w:val="22"/>
              <w:lang w:val="hr-HR" w:eastAsia="hr-HR"/>
            </w:rPr>
          </w:pPr>
          <w:hyperlink w:anchor="_Toc51851650" w:history="1">
            <w:r w:rsidR="0037359D">
              <w:rPr>
                <w:rStyle w:val="Hiperveza"/>
                <w:rFonts w:ascii="Times New Roman" w:hAnsi="Times New Roman" w:cs="Times New Roman"/>
                <w:szCs w:val="22"/>
              </w:rPr>
              <w:t>7.1.</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TEMELJI VIZIJE RAZVOJA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_Toc51851650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57</w:t>
            </w:r>
            <w:r w:rsidR="0037359D">
              <w:rPr>
                <w:rFonts w:ascii="Times New Roman" w:hAnsi="Times New Roman" w:cs="Times New Roman"/>
                <w:sz w:val="22"/>
                <w:szCs w:val="22"/>
              </w:rPr>
              <w:fldChar w:fldCharType="end"/>
            </w:r>
          </w:hyperlink>
        </w:p>
        <w:p w14:paraId="45D0574E" w14:textId="77777777" w:rsidR="00496804" w:rsidRDefault="0031420A">
          <w:pPr>
            <w:pStyle w:val="Sadraj1"/>
            <w:tabs>
              <w:tab w:val="clear" w:pos="8789"/>
              <w:tab w:val="right" w:leader="dot" w:pos="9356"/>
            </w:tabs>
            <w:ind w:right="134"/>
            <w:rPr>
              <w:rFonts w:ascii="Times New Roman" w:hAnsi="Times New Roman" w:cs="Times New Roman"/>
              <w:b w:val="0"/>
              <w:sz w:val="22"/>
              <w:szCs w:val="22"/>
              <w:lang w:val="hr-HR" w:eastAsia="hr-HR"/>
            </w:rPr>
          </w:pPr>
          <w:hyperlink w:anchor="_Toc51851651" w:history="1">
            <w:r w:rsidR="0037359D">
              <w:rPr>
                <w:rStyle w:val="Hiperveza"/>
                <w:rFonts w:ascii="Times New Roman" w:hAnsi="Times New Roman" w:cs="Times New Roman"/>
                <w:szCs w:val="22"/>
              </w:rPr>
              <w:t>8.</w:t>
            </w:r>
            <w:r w:rsidR="0037359D">
              <w:rPr>
                <w:rFonts w:ascii="Times New Roman" w:hAnsi="Times New Roman" w:cs="Times New Roman"/>
                <w:b w:val="0"/>
                <w:sz w:val="22"/>
                <w:szCs w:val="22"/>
                <w:lang w:val="hr-HR" w:eastAsia="hr-HR"/>
              </w:rPr>
              <w:tab/>
            </w:r>
            <w:r w:rsidR="0037359D">
              <w:rPr>
                <w:rStyle w:val="Hiperveza"/>
                <w:rFonts w:ascii="Times New Roman" w:hAnsi="Times New Roman" w:cs="Times New Roman"/>
                <w:szCs w:val="22"/>
              </w:rPr>
              <w:t>POSEBNI CILJEVI</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_Toc51851651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59</w:t>
            </w:r>
            <w:r w:rsidR="0037359D">
              <w:rPr>
                <w:rFonts w:ascii="Times New Roman" w:hAnsi="Times New Roman" w:cs="Times New Roman"/>
                <w:sz w:val="22"/>
                <w:szCs w:val="22"/>
              </w:rPr>
              <w:fldChar w:fldCharType="end"/>
            </w:r>
          </w:hyperlink>
        </w:p>
        <w:p w14:paraId="45D0574F" w14:textId="77777777" w:rsidR="00496804" w:rsidRDefault="0031420A">
          <w:pPr>
            <w:pStyle w:val="Sadraj1"/>
            <w:tabs>
              <w:tab w:val="clear" w:pos="8789"/>
              <w:tab w:val="right" w:leader="dot" w:pos="9356"/>
            </w:tabs>
            <w:ind w:right="134"/>
            <w:rPr>
              <w:rFonts w:ascii="Times New Roman" w:hAnsi="Times New Roman" w:cs="Times New Roman"/>
              <w:b w:val="0"/>
              <w:sz w:val="22"/>
              <w:szCs w:val="22"/>
              <w:lang w:val="hr-HR" w:eastAsia="hr-HR"/>
            </w:rPr>
          </w:pPr>
          <w:hyperlink w:anchor="_Toc51851652" w:history="1">
            <w:r w:rsidR="0037359D">
              <w:rPr>
                <w:rStyle w:val="Hiperveza"/>
                <w:rFonts w:ascii="Times New Roman" w:hAnsi="Times New Roman" w:cs="Times New Roman"/>
                <w:szCs w:val="22"/>
              </w:rPr>
              <w:t>9.</w:t>
            </w:r>
            <w:r w:rsidR="0037359D">
              <w:rPr>
                <w:rFonts w:ascii="Times New Roman" w:hAnsi="Times New Roman" w:cs="Times New Roman"/>
                <w:b w:val="0"/>
                <w:sz w:val="22"/>
                <w:szCs w:val="22"/>
                <w:lang w:val="hr-HR" w:eastAsia="hr-HR"/>
              </w:rPr>
              <w:tab/>
            </w:r>
            <w:r w:rsidR="0037359D">
              <w:rPr>
                <w:rStyle w:val="Hiperveza"/>
                <w:rFonts w:ascii="Times New Roman" w:hAnsi="Times New Roman" w:cs="Times New Roman"/>
                <w:szCs w:val="22"/>
              </w:rPr>
              <w:t>POKAZATELJI ISHODA POSEBNIH CILJEVA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_Toc51851652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61</w:t>
            </w:r>
            <w:r w:rsidR="0037359D">
              <w:rPr>
                <w:rFonts w:ascii="Times New Roman" w:hAnsi="Times New Roman" w:cs="Times New Roman"/>
                <w:sz w:val="22"/>
                <w:szCs w:val="22"/>
              </w:rPr>
              <w:fldChar w:fldCharType="end"/>
            </w:r>
          </w:hyperlink>
        </w:p>
        <w:p w14:paraId="45D05750" w14:textId="77777777" w:rsidR="00496804" w:rsidRDefault="0031420A">
          <w:pPr>
            <w:pStyle w:val="Sadraj2"/>
            <w:ind w:right="134"/>
            <w:rPr>
              <w:rFonts w:ascii="Times New Roman" w:hAnsi="Times New Roman" w:cs="Times New Roman"/>
              <w:sz w:val="22"/>
              <w:szCs w:val="22"/>
              <w:lang w:val="hr-HR" w:eastAsia="hr-HR"/>
            </w:rPr>
          </w:pPr>
          <w:hyperlink w:anchor="_Toc51851653" w:history="1">
            <w:r w:rsidR="0037359D">
              <w:rPr>
                <w:rStyle w:val="Hiperveza"/>
                <w:rFonts w:ascii="Times New Roman" w:hAnsi="Times New Roman" w:cs="Times New Roman"/>
                <w:szCs w:val="22"/>
              </w:rPr>
              <w:t>9.1.</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ANALIZA DOSTUPNIH POKAZATELJA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_Toc51851653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61</w:t>
            </w:r>
            <w:r w:rsidR="0037359D">
              <w:rPr>
                <w:rFonts w:ascii="Times New Roman" w:hAnsi="Times New Roman" w:cs="Times New Roman"/>
                <w:sz w:val="22"/>
                <w:szCs w:val="22"/>
              </w:rPr>
              <w:fldChar w:fldCharType="end"/>
            </w:r>
          </w:hyperlink>
        </w:p>
        <w:p w14:paraId="45D05751" w14:textId="77777777" w:rsidR="00496804" w:rsidRDefault="0031420A">
          <w:pPr>
            <w:pStyle w:val="Sadraj2"/>
            <w:ind w:right="134"/>
            <w:rPr>
              <w:rFonts w:ascii="Times New Roman" w:hAnsi="Times New Roman" w:cs="Times New Roman"/>
              <w:sz w:val="22"/>
              <w:szCs w:val="22"/>
              <w:lang w:val="hr-HR" w:eastAsia="hr-HR"/>
            </w:rPr>
          </w:pPr>
          <w:hyperlink w:anchor="_Toc51851654" w:history="1">
            <w:r w:rsidR="0037359D">
              <w:rPr>
                <w:rStyle w:val="Hiperveza"/>
                <w:rFonts w:ascii="Times New Roman" w:hAnsi="Times New Roman" w:cs="Times New Roman"/>
                <w:szCs w:val="22"/>
              </w:rPr>
              <w:t>9.2.</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POKAZATELJI ISHODA POSEBNIH CILJEVA PROGRAMA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_Toc51851654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63</w:t>
            </w:r>
            <w:r w:rsidR="0037359D">
              <w:rPr>
                <w:rFonts w:ascii="Times New Roman" w:hAnsi="Times New Roman" w:cs="Times New Roman"/>
                <w:sz w:val="22"/>
                <w:szCs w:val="22"/>
              </w:rPr>
              <w:fldChar w:fldCharType="end"/>
            </w:r>
          </w:hyperlink>
        </w:p>
        <w:p w14:paraId="45D05752" w14:textId="77777777" w:rsidR="00496804" w:rsidRDefault="0031420A">
          <w:pPr>
            <w:pStyle w:val="Sadraj1"/>
            <w:tabs>
              <w:tab w:val="clear" w:pos="8789"/>
              <w:tab w:val="right" w:leader="dot" w:pos="9356"/>
            </w:tabs>
            <w:ind w:right="134"/>
            <w:rPr>
              <w:rFonts w:ascii="Times New Roman" w:hAnsi="Times New Roman" w:cs="Times New Roman"/>
              <w:b w:val="0"/>
              <w:sz w:val="22"/>
              <w:szCs w:val="22"/>
              <w:lang w:val="hr-HR" w:eastAsia="hr-HR"/>
            </w:rPr>
          </w:pPr>
          <w:hyperlink w:anchor="_Toc51851655" w:history="1">
            <w:r w:rsidR="0037359D">
              <w:rPr>
                <w:rStyle w:val="Hiperveza"/>
                <w:rFonts w:ascii="Times New Roman" w:hAnsi="Times New Roman" w:cs="Times New Roman"/>
                <w:szCs w:val="22"/>
              </w:rPr>
              <w:t>10.</w:t>
            </w:r>
            <w:r w:rsidR="0037359D">
              <w:rPr>
                <w:rFonts w:ascii="Times New Roman" w:hAnsi="Times New Roman" w:cs="Times New Roman"/>
                <w:b w:val="0"/>
                <w:sz w:val="22"/>
                <w:szCs w:val="22"/>
                <w:lang w:val="hr-HR" w:eastAsia="hr-HR"/>
              </w:rPr>
              <w:tab/>
            </w:r>
            <w:r w:rsidR="0037359D">
              <w:rPr>
                <w:rStyle w:val="Hiperveza"/>
                <w:rFonts w:ascii="Times New Roman" w:hAnsi="Times New Roman" w:cs="Times New Roman"/>
                <w:szCs w:val="22"/>
              </w:rPr>
              <w:t>RAZVOJNE MJERE</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_Toc51851655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64</w:t>
            </w:r>
            <w:r w:rsidR="0037359D">
              <w:rPr>
                <w:rFonts w:ascii="Times New Roman" w:hAnsi="Times New Roman" w:cs="Times New Roman"/>
                <w:sz w:val="22"/>
                <w:szCs w:val="22"/>
              </w:rPr>
              <w:fldChar w:fldCharType="end"/>
            </w:r>
          </w:hyperlink>
        </w:p>
        <w:p w14:paraId="45D05753" w14:textId="77777777" w:rsidR="00496804" w:rsidRDefault="0031420A">
          <w:pPr>
            <w:pStyle w:val="Sadraj1"/>
            <w:tabs>
              <w:tab w:val="clear" w:pos="8789"/>
              <w:tab w:val="right" w:leader="dot" w:pos="9356"/>
            </w:tabs>
            <w:ind w:right="134"/>
            <w:rPr>
              <w:rFonts w:ascii="Times New Roman" w:hAnsi="Times New Roman" w:cs="Times New Roman"/>
              <w:b w:val="0"/>
              <w:sz w:val="22"/>
              <w:szCs w:val="22"/>
              <w:lang w:val="hr-HR" w:eastAsia="hr-HR"/>
            </w:rPr>
          </w:pPr>
          <w:hyperlink w:anchor="_Toc51851656" w:history="1">
            <w:r w:rsidR="0037359D">
              <w:rPr>
                <w:rStyle w:val="Hiperveza"/>
                <w:rFonts w:ascii="Times New Roman" w:hAnsi="Times New Roman" w:cs="Times New Roman"/>
                <w:szCs w:val="22"/>
              </w:rPr>
              <w:t>11.</w:t>
            </w:r>
            <w:r w:rsidR="0037359D">
              <w:rPr>
                <w:rFonts w:ascii="Times New Roman" w:hAnsi="Times New Roman" w:cs="Times New Roman"/>
                <w:b w:val="0"/>
                <w:sz w:val="22"/>
                <w:szCs w:val="22"/>
                <w:lang w:val="hr-HR" w:eastAsia="hr-HR"/>
              </w:rPr>
              <w:tab/>
            </w:r>
            <w:r w:rsidR="0037359D">
              <w:rPr>
                <w:rStyle w:val="Hiperveza"/>
                <w:rFonts w:ascii="Times New Roman" w:hAnsi="Times New Roman" w:cs="Times New Roman"/>
                <w:szCs w:val="22"/>
              </w:rPr>
              <w:t>TERMINSKI PLAN PROVEDBE PROGRAMA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_Toc51851656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73</w:t>
            </w:r>
            <w:r w:rsidR="0037359D">
              <w:rPr>
                <w:rFonts w:ascii="Times New Roman" w:hAnsi="Times New Roman" w:cs="Times New Roman"/>
                <w:sz w:val="22"/>
                <w:szCs w:val="22"/>
              </w:rPr>
              <w:fldChar w:fldCharType="end"/>
            </w:r>
          </w:hyperlink>
        </w:p>
        <w:p w14:paraId="45D05754" w14:textId="77777777" w:rsidR="00496804" w:rsidRDefault="0031420A">
          <w:pPr>
            <w:pStyle w:val="Sadraj1"/>
            <w:tabs>
              <w:tab w:val="clear" w:pos="8789"/>
              <w:tab w:val="right" w:leader="dot" w:pos="9356"/>
            </w:tabs>
            <w:ind w:right="134"/>
            <w:rPr>
              <w:rFonts w:ascii="Times New Roman" w:hAnsi="Times New Roman" w:cs="Times New Roman"/>
              <w:b w:val="0"/>
              <w:sz w:val="22"/>
              <w:szCs w:val="22"/>
              <w:lang w:val="hr-HR" w:eastAsia="hr-HR"/>
            </w:rPr>
          </w:pPr>
          <w:hyperlink w:anchor="_Toc51851657" w:history="1">
            <w:r w:rsidR="0037359D">
              <w:rPr>
                <w:rStyle w:val="Hiperveza"/>
                <w:rFonts w:ascii="Times New Roman" w:hAnsi="Times New Roman" w:cs="Times New Roman"/>
                <w:szCs w:val="22"/>
              </w:rPr>
              <w:t>12.</w:t>
            </w:r>
            <w:r w:rsidR="0037359D">
              <w:rPr>
                <w:rFonts w:ascii="Times New Roman" w:hAnsi="Times New Roman" w:cs="Times New Roman"/>
                <w:b w:val="0"/>
                <w:sz w:val="22"/>
                <w:szCs w:val="22"/>
                <w:lang w:val="hr-HR" w:eastAsia="hr-HR"/>
              </w:rPr>
              <w:tab/>
            </w:r>
            <w:r w:rsidR="0037359D">
              <w:rPr>
                <w:rStyle w:val="Hiperveza"/>
                <w:rFonts w:ascii="Times New Roman" w:hAnsi="Times New Roman" w:cs="Times New Roman"/>
                <w:szCs w:val="22"/>
              </w:rPr>
              <w:t>INDIKATIVNI FINANCIJSKI PLAN</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_Toc51851657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74</w:t>
            </w:r>
            <w:r w:rsidR="0037359D">
              <w:rPr>
                <w:rFonts w:ascii="Times New Roman" w:hAnsi="Times New Roman" w:cs="Times New Roman"/>
                <w:sz w:val="22"/>
                <w:szCs w:val="22"/>
              </w:rPr>
              <w:fldChar w:fldCharType="end"/>
            </w:r>
          </w:hyperlink>
        </w:p>
        <w:p w14:paraId="45D05755" w14:textId="77777777" w:rsidR="00496804" w:rsidRDefault="0031420A">
          <w:pPr>
            <w:pStyle w:val="Sadraj1"/>
            <w:tabs>
              <w:tab w:val="clear" w:pos="8789"/>
              <w:tab w:val="right" w:leader="dot" w:pos="9356"/>
            </w:tabs>
            <w:ind w:right="134"/>
            <w:rPr>
              <w:rFonts w:ascii="Times New Roman" w:hAnsi="Times New Roman" w:cs="Times New Roman"/>
              <w:b w:val="0"/>
              <w:sz w:val="22"/>
              <w:szCs w:val="22"/>
              <w:lang w:val="hr-HR" w:eastAsia="hr-HR"/>
            </w:rPr>
          </w:pPr>
          <w:hyperlink w:anchor="_Toc51851658" w:history="1">
            <w:r w:rsidR="0037359D">
              <w:rPr>
                <w:rStyle w:val="Hiperveza"/>
                <w:rFonts w:ascii="Times New Roman" w:hAnsi="Times New Roman" w:cs="Times New Roman"/>
                <w:szCs w:val="22"/>
              </w:rPr>
              <w:t>13.</w:t>
            </w:r>
            <w:r w:rsidR="0037359D">
              <w:rPr>
                <w:rFonts w:ascii="Times New Roman" w:hAnsi="Times New Roman" w:cs="Times New Roman"/>
                <w:b w:val="0"/>
                <w:sz w:val="22"/>
                <w:szCs w:val="22"/>
                <w:lang w:val="hr-HR" w:eastAsia="hr-HR"/>
              </w:rPr>
              <w:tab/>
            </w:r>
            <w:r w:rsidR="0037359D">
              <w:rPr>
                <w:rStyle w:val="Hiperveza"/>
                <w:rFonts w:ascii="Times New Roman" w:hAnsi="Times New Roman" w:cs="Times New Roman"/>
                <w:szCs w:val="22"/>
              </w:rPr>
              <w:t>OKVIR ZA PROVEDBU</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_Toc51851658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76</w:t>
            </w:r>
            <w:r w:rsidR="0037359D">
              <w:rPr>
                <w:rFonts w:ascii="Times New Roman" w:hAnsi="Times New Roman" w:cs="Times New Roman"/>
                <w:sz w:val="22"/>
                <w:szCs w:val="22"/>
              </w:rPr>
              <w:fldChar w:fldCharType="end"/>
            </w:r>
          </w:hyperlink>
        </w:p>
        <w:p w14:paraId="45D05756" w14:textId="77777777" w:rsidR="00496804" w:rsidRDefault="0031420A">
          <w:pPr>
            <w:pStyle w:val="Sadraj2"/>
            <w:ind w:right="134"/>
            <w:rPr>
              <w:rFonts w:ascii="Times New Roman" w:hAnsi="Times New Roman" w:cs="Times New Roman"/>
              <w:sz w:val="22"/>
              <w:szCs w:val="22"/>
              <w:lang w:val="hr-HR" w:eastAsia="hr-HR"/>
            </w:rPr>
          </w:pPr>
          <w:hyperlink w:anchor="_Toc51851659" w:history="1">
            <w:r w:rsidR="0037359D">
              <w:rPr>
                <w:rStyle w:val="Hiperveza"/>
                <w:rFonts w:ascii="Times New Roman" w:hAnsi="Times New Roman" w:cs="Times New Roman"/>
                <w:szCs w:val="22"/>
              </w:rPr>
              <w:t>13.1.</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INSTITUCIONALNI OKVIR PROVEDBE</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_Toc51851659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76</w:t>
            </w:r>
            <w:r w:rsidR="0037359D">
              <w:rPr>
                <w:rFonts w:ascii="Times New Roman" w:hAnsi="Times New Roman" w:cs="Times New Roman"/>
                <w:sz w:val="22"/>
                <w:szCs w:val="22"/>
              </w:rPr>
              <w:fldChar w:fldCharType="end"/>
            </w:r>
          </w:hyperlink>
        </w:p>
        <w:p w14:paraId="45D05757" w14:textId="77777777" w:rsidR="00496804" w:rsidRDefault="0031420A">
          <w:pPr>
            <w:pStyle w:val="Sadraj2"/>
            <w:ind w:right="134"/>
            <w:rPr>
              <w:rFonts w:ascii="Times New Roman" w:hAnsi="Times New Roman" w:cs="Times New Roman"/>
              <w:sz w:val="22"/>
              <w:szCs w:val="22"/>
              <w:lang w:val="hr-HR" w:eastAsia="hr-HR"/>
            </w:rPr>
          </w:pPr>
          <w:hyperlink w:anchor="_Toc51851660" w:history="1">
            <w:r w:rsidR="0037359D">
              <w:rPr>
                <w:rStyle w:val="Hiperveza"/>
                <w:rFonts w:ascii="Times New Roman" w:hAnsi="Times New Roman" w:cs="Times New Roman"/>
                <w:szCs w:val="22"/>
              </w:rPr>
              <w:t>13.2.</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ZAKONSKI OKVIR PROVEDBE</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_Toc51851660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76</w:t>
            </w:r>
            <w:r w:rsidR="0037359D">
              <w:rPr>
                <w:rFonts w:ascii="Times New Roman" w:hAnsi="Times New Roman" w:cs="Times New Roman"/>
                <w:sz w:val="22"/>
                <w:szCs w:val="22"/>
              </w:rPr>
              <w:fldChar w:fldCharType="end"/>
            </w:r>
          </w:hyperlink>
        </w:p>
        <w:p w14:paraId="45D05758" w14:textId="77777777" w:rsidR="00496804" w:rsidRDefault="0031420A">
          <w:pPr>
            <w:pStyle w:val="Sadraj2"/>
            <w:ind w:right="134"/>
            <w:rPr>
              <w:rFonts w:ascii="Times New Roman" w:hAnsi="Times New Roman" w:cs="Times New Roman"/>
              <w:sz w:val="22"/>
              <w:szCs w:val="22"/>
              <w:lang w:val="hr-HR" w:eastAsia="hr-HR"/>
            </w:rPr>
          </w:pPr>
          <w:hyperlink w:anchor="_Toc51851661" w:history="1">
            <w:r w:rsidR="0037359D">
              <w:rPr>
                <w:rStyle w:val="Hiperveza"/>
                <w:rFonts w:ascii="Times New Roman" w:hAnsi="Times New Roman" w:cs="Times New Roman"/>
                <w:szCs w:val="22"/>
              </w:rPr>
              <w:t>13.3.</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FINANCIJSKI OKVIR</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_Toc51851661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76</w:t>
            </w:r>
            <w:r w:rsidR="0037359D">
              <w:rPr>
                <w:rFonts w:ascii="Times New Roman" w:hAnsi="Times New Roman" w:cs="Times New Roman"/>
                <w:sz w:val="22"/>
                <w:szCs w:val="22"/>
              </w:rPr>
              <w:fldChar w:fldCharType="end"/>
            </w:r>
          </w:hyperlink>
        </w:p>
        <w:p w14:paraId="45D05759" w14:textId="77777777" w:rsidR="00496804" w:rsidRDefault="0031420A">
          <w:pPr>
            <w:pStyle w:val="Sadraj1"/>
            <w:tabs>
              <w:tab w:val="clear" w:pos="8789"/>
              <w:tab w:val="right" w:leader="dot" w:pos="9356"/>
            </w:tabs>
            <w:ind w:right="134"/>
            <w:rPr>
              <w:rFonts w:ascii="Times New Roman" w:hAnsi="Times New Roman" w:cs="Times New Roman"/>
              <w:b w:val="0"/>
              <w:sz w:val="22"/>
              <w:szCs w:val="22"/>
              <w:lang w:val="hr-HR" w:eastAsia="hr-HR"/>
            </w:rPr>
          </w:pPr>
          <w:hyperlink w:anchor="_Toc51851662" w:history="1">
            <w:r w:rsidR="0037359D">
              <w:rPr>
                <w:rStyle w:val="Hiperveza"/>
                <w:rFonts w:ascii="Times New Roman" w:hAnsi="Times New Roman" w:cs="Times New Roman"/>
                <w:szCs w:val="22"/>
              </w:rPr>
              <w:t>14.</w:t>
            </w:r>
            <w:r w:rsidR="0037359D">
              <w:rPr>
                <w:rFonts w:ascii="Times New Roman" w:hAnsi="Times New Roman" w:cs="Times New Roman"/>
                <w:b w:val="0"/>
                <w:sz w:val="22"/>
                <w:szCs w:val="22"/>
                <w:lang w:val="hr-HR" w:eastAsia="hr-HR"/>
              </w:rPr>
              <w:tab/>
            </w:r>
            <w:r w:rsidR="0037359D">
              <w:rPr>
                <w:rStyle w:val="Hiperveza"/>
                <w:rFonts w:ascii="Times New Roman" w:hAnsi="Times New Roman" w:cs="Times New Roman"/>
                <w:szCs w:val="22"/>
              </w:rPr>
              <w:t>OKVIR ZA PRAĆENJE I VREDNOVANJE</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_Toc51851662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78</w:t>
            </w:r>
            <w:r w:rsidR="0037359D">
              <w:rPr>
                <w:rFonts w:ascii="Times New Roman" w:hAnsi="Times New Roman" w:cs="Times New Roman"/>
                <w:sz w:val="22"/>
                <w:szCs w:val="22"/>
              </w:rPr>
              <w:fldChar w:fldCharType="end"/>
            </w:r>
          </w:hyperlink>
        </w:p>
        <w:p w14:paraId="45D0575A" w14:textId="77777777" w:rsidR="00496804" w:rsidRDefault="0031420A">
          <w:pPr>
            <w:pStyle w:val="Sadraj2"/>
            <w:ind w:right="134"/>
            <w:rPr>
              <w:rFonts w:ascii="Times New Roman" w:hAnsi="Times New Roman" w:cs="Times New Roman"/>
              <w:sz w:val="22"/>
              <w:szCs w:val="22"/>
              <w:lang w:val="hr-HR" w:eastAsia="hr-HR"/>
            </w:rPr>
          </w:pPr>
          <w:hyperlink w:anchor="_Toc51851663" w:history="1">
            <w:r w:rsidR="0037359D">
              <w:rPr>
                <w:rStyle w:val="Hiperveza"/>
                <w:rFonts w:ascii="Times New Roman" w:hAnsi="Times New Roman" w:cs="Times New Roman"/>
                <w:szCs w:val="22"/>
              </w:rPr>
              <w:t>14.1.</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PRAĆENJE PROVEDBE</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_Toc51851663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78</w:t>
            </w:r>
            <w:r w:rsidR="0037359D">
              <w:rPr>
                <w:rFonts w:ascii="Times New Roman" w:hAnsi="Times New Roman" w:cs="Times New Roman"/>
                <w:sz w:val="22"/>
                <w:szCs w:val="22"/>
              </w:rPr>
              <w:fldChar w:fldCharType="end"/>
            </w:r>
          </w:hyperlink>
        </w:p>
        <w:p w14:paraId="45D0575B" w14:textId="77777777" w:rsidR="00496804" w:rsidRDefault="0031420A">
          <w:pPr>
            <w:pStyle w:val="Sadraj2"/>
            <w:ind w:right="134"/>
            <w:rPr>
              <w:rFonts w:ascii="Times New Roman" w:hAnsi="Times New Roman" w:cs="Times New Roman"/>
              <w:sz w:val="22"/>
              <w:szCs w:val="22"/>
              <w:lang w:val="hr-HR" w:eastAsia="hr-HR"/>
            </w:rPr>
          </w:pPr>
          <w:hyperlink w:anchor="_Toc51851664" w:history="1">
            <w:r w:rsidR="0037359D">
              <w:rPr>
                <w:rStyle w:val="Hiperveza"/>
                <w:rFonts w:ascii="Times New Roman" w:hAnsi="Times New Roman" w:cs="Times New Roman"/>
                <w:szCs w:val="22"/>
              </w:rPr>
              <w:t>14.2.</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IZVJEŠTAVANJE O PROVEDBI</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_Toc51851664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84</w:t>
            </w:r>
            <w:r w:rsidR="0037359D">
              <w:rPr>
                <w:rFonts w:ascii="Times New Roman" w:hAnsi="Times New Roman" w:cs="Times New Roman"/>
                <w:sz w:val="22"/>
                <w:szCs w:val="22"/>
              </w:rPr>
              <w:fldChar w:fldCharType="end"/>
            </w:r>
          </w:hyperlink>
        </w:p>
        <w:p w14:paraId="45D0575C" w14:textId="77777777" w:rsidR="00496804" w:rsidRDefault="0031420A">
          <w:pPr>
            <w:pStyle w:val="Sadraj2"/>
            <w:ind w:right="134"/>
            <w:rPr>
              <w:rFonts w:ascii="Times New Roman" w:hAnsi="Times New Roman" w:cs="Times New Roman"/>
              <w:sz w:val="22"/>
              <w:szCs w:val="22"/>
              <w:lang w:val="hr-HR" w:eastAsia="hr-HR"/>
            </w:rPr>
          </w:pPr>
          <w:hyperlink w:anchor="_Toc51851665" w:history="1">
            <w:r w:rsidR="0037359D">
              <w:rPr>
                <w:rStyle w:val="Hiperveza"/>
                <w:rFonts w:ascii="Times New Roman" w:hAnsi="Times New Roman" w:cs="Times New Roman"/>
                <w:szCs w:val="22"/>
              </w:rPr>
              <w:t>14.3.</w:t>
            </w:r>
            <w:r w:rsidR="0037359D">
              <w:rPr>
                <w:rFonts w:ascii="Times New Roman" w:hAnsi="Times New Roman" w:cs="Times New Roman"/>
                <w:sz w:val="22"/>
                <w:szCs w:val="22"/>
                <w:lang w:val="hr-HR" w:eastAsia="hr-HR"/>
              </w:rPr>
              <w:tab/>
            </w:r>
            <w:r w:rsidR="0037359D">
              <w:rPr>
                <w:rStyle w:val="Hiperveza"/>
                <w:rFonts w:ascii="Times New Roman" w:hAnsi="Times New Roman" w:cs="Times New Roman"/>
                <w:szCs w:val="22"/>
              </w:rPr>
              <w:t>VREDNOVANJE PROVEDBE</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_Toc51851665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84</w:t>
            </w:r>
            <w:r w:rsidR="0037359D">
              <w:rPr>
                <w:rFonts w:ascii="Times New Roman" w:hAnsi="Times New Roman" w:cs="Times New Roman"/>
                <w:sz w:val="22"/>
                <w:szCs w:val="22"/>
              </w:rPr>
              <w:fldChar w:fldCharType="end"/>
            </w:r>
          </w:hyperlink>
        </w:p>
        <w:p w14:paraId="45D0575D" w14:textId="77777777" w:rsidR="00496804" w:rsidRDefault="0031420A">
          <w:pPr>
            <w:pStyle w:val="Sadraj1"/>
            <w:tabs>
              <w:tab w:val="clear" w:pos="8789"/>
              <w:tab w:val="right" w:leader="dot" w:pos="9356"/>
            </w:tabs>
            <w:ind w:right="134"/>
            <w:rPr>
              <w:rFonts w:ascii="Times New Roman" w:hAnsi="Times New Roman" w:cs="Times New Roman"/>
              <w:b w:val="0"/>
              <w:sz w:val="22"/>
              <w:szCs w:val="22"/>
              <w:lang w:val="hr-HR" w:eastAsia="hr-HR"/>
            </w:rPr>
          </w:pPr>
          <w:hyperlink w:anchor="_Toc51851666" w:history="1">
            <w:r w:rsidR="0037359D">
              <w:rPr>
                <w:rStyle w:val="Hiperveza"/>
                <w:rFonts w:ascii="Times New Roman" w:hAnsi="Times New Roman" w:cs="Times New Roman"/>
                <w:szCs w:val="22"/>
              </w:rPr>
              <w:t>15.</w:t>
            </w:r>
            <w:r w:rsidR="0037359D">
              <w:rPr>
                <w:rFonts w:ascii="Times New Roman" w:hAnsi="Times New Roman" w:cs="Times New Roman"/>
                <w:b w:val="0"/>
                <w:sz w:val="22"/>
                <w:szCs w:val="22"/>
                <w:lang w:val="hr-HR" w:eastAsia="hr-HR"/>
              </w:rPr>
              <w:tab/>
            </w:r>
            <w:r w:rsidR="0037359D">
              <w:rPr>
                <w:rStyle w:val="Hiperveza"/>
                <w:rFonts w:ascii="Times New Roman" w:hAnsi="Times New Roman" w:cs="Times New Roman"/>
                <w:szCs w:val="22"/>
              </w:rPr>
              <w:t>POPIS LITERATURE I IZVORA PODATAKA</w:t>
            </w:r>
            <w:r w:rsidR="0037359D">
              <w:rPr>
                <w:rFonts w:ascii="Times New Roman" w:hAnsi="Times New Roman" w:cs="Times New Roman"/>
                <w:sz w:val="22"/>
                <w:szCs w:val="22"/>
              </w:rPr>
              <w:tab/>
            </w:r>
            <w:r w:rsidR="0037359D">
              <w:rPr>
                <w:rFonts w:ascii="Times New Roman" w:hAnsi="Times New Roman" w:cs="Times New Roman"/>
                <w:sz w:val="22"/>
                <w:szCs w:val="22"/>
              </w:rPr>
              <w:fldChar w:fldCharType="begin"/>
            </w:r>
            <w:r w:rsidR="0037359D">
              <w:rPr>
                <w:rFonts w:ascii="Times New Roman" w:hAnsi="Times New Roman" w:cs="Times New Roman"/>
                <w:sz w:val="22"/>
                <w:szCs w:val="22"/>
              </w:rPr>
              <w:instrText xml:space="preserve"> PAGEREF _Toc51851666 \h </w:instrText>
            </w:r>
            <w:r w:rsidR="0037359D">
              <w:rPr>
                <w:rFonts w:ascii="Times New Roman" w:hAnsi="Times New Roman" w:cs="Times New Roman"/>
                <w:sz w:val="22"/>
                <w:szCs w:val="22"/>
              </w:rPr>
            </w:r>
            <w:r w:rsidR="0037359D">
              <w:rPr>
                <w:rFonts w:ascii="Times New Roman" w:hAnsi="Times New Roman" w:cs="Times New Roman"/>
                <w:sz w:val="22"/>
                <w:szCs w:val="22"/>
              </w:rPr>
              <w:fldChar w:fldCharType="separate"/>
            </w:r>
            <w:r w:rsidR="0037359D">
              <w:rPr>
                <w:rFonts w:ascii="Times New Roman" w:hAnsi="Times New Roman" w:cs="Times New Roman"/>
                <w:sz w:val="22"/>
                <w:szCs w:val="22"/>
              </w:rPr>
              <w:t>87</w:t>
            </w:r>
            <w:r w:rsidR="0037359D">
              <w:rPr>
                <w:rFonts w:ascii="Times New Roman" w:hAnsi="Times New Roman" w:cs="Times New Roman"/>
                <w:sz w:val="22"/>
                <w:szCs w:val="22"/>
              </w:rPr>
              <w:fldChar w:fldCharType="end"/>
            </w:r>
          </w:hyperlink>
        </w:p>
        <w:p w14:paraId="45D0575E" w14:textId="77777777" w:rsidR="00496804" w:rsidRDefault="0037359D">
          <w:pPr>
            <w:tabs>
              <w:tab w:val="left" w:pos="709"/>
              <w:tab w:val="right" w:leader="dot" w:pos="9356"/>
              <w:tab w:val="right" w:leader="dot" w:pos="9462"/>
            </w:tabs>
            <w:spacing w:line="240" w:lineRule="auto"/>
            <w:ind w:left="765" w:right="134" w:hanging="623"/>
            <w:rPr>
              <w:rFonts w:ascii="Times New Roman" w:hAnsi="Times New Roman"/>
              <w:b/>
              <w:bCs/>
              <w:szCs w:val="22"/>
            </w:rPr>
          </w:pPr>
          <w:r>
            <w:rPr>
              <w:rFonts w:ascii="Times New Roman" w:hAnsi="Times New Roman"/>
              <w:b/>
              <w:bCs/>
              <w:szCs w:val="22"/>
            </w:rPr>
            <w:fldChar w:fldCharType="end"/>
          </w:r>
        </w:p>
        <w:p w14:paraId="45D0575F" w14:textId="77777777" w:rsidR="00496804" w:rsidRDefault="0031420A">
          <w:pPr>
            <w:tabs>
              <w:tab w:val="right" w:leader="dot" w:pos="9356"/>
            </w:tabs>
            <w:spacing w:line="240" w:lineRule="auto"/>
            <w:ind w:left="283" w:right="134"/>
            <w:rPr>
              <w:rFonts w:ascii="Times New Roman" w:hAnsi="Times New Roman"/>
              <w:sz w:val="24"/>
            </w:rPr>
          </w:pPr>
        </w:p>
      </w:sdtContent>
    </w:sdt>
    <w:p w14:paraId="45D05760" w14:textId="77777777" w:rsidR="00496804" w:rsidRDefault="00496804">
      <w:pPr>
        <w:spacing w:after="160" w:line="259" w:lineRule="auto"/>
        <w:rPr>
          <w:rFonts w:ascii="Times New Roman" w:hAnsi="Times New Roman"/>
          <w:sz w:val="24"/>
        </w:rPr>
      </w:pPr>
    </w:p>
    <w:bookmarkEnd w:id="0"/>
    <w:p w14:paraId="45D05761"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45D05762" w14:textId="77777777" w:rsidR="00496804" w:rsidRDefault="0037359D">
      <w:pPr>
        <w:spacing w:line="240" w:lineRule="auto"/>
        <w:rPr>
          <w:rFonts w:ascii="Times New Roman" w:hAnsi="Times New Roman"/>
          <w:b/>
          <w:bCs/>
          <w:sz w:val="24"/>
          <w:lang w:eastAsia="en-US"/>
        </w:rPr>
      </w:pPr>
      <w:r>
        <w:rPr>
          <w:rFonts w:ascii="Times New Roman" w:hAnsi="Times New Roman"/>
          <w:b/>
          <w:bCs/>
          <w:sz w:val="24"/>
        </w:rPr>
        <w:lastRenderedPageBreak/>
        <w:t>POPIS KRATICA</w:t>
      </w:r>
    </w:p>
    <w:p w14:paraId="45D05763" w14:textId="77777777" w:rsidR="00496804" w:rsidRDefault="00496804">
      <w:pPr>
        <w:spacing w:line="240" w:lineRule="auto"/>
        <w:rPr>
          <w:rFonts w:ascii="Times New Roman" w:hAnsi="Times New Roman"/>
          <w:sz w:val="24"/>
        </w:rPr>
      </w:pPr>
    </w:p>
    <w:tbl>
      <w:tblPr>
        <w:tblStyle w:val="Reetkatablice"/>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CellMar>
          <w:left w:w="28" w:type="dxa"/>
          <w:right w:w="28" w:type="dxa"/>
        </w:tblCellMar>
        <w:tblLook w:val="04A0" w:firstRow="1" w:lastRow="0" w:firstColumn="1" w:lastColumn="0" w:noHBand="0" w:noVBand="1"/>
      </w:tblPr>
      <w:tblGrid>
        <w:gridCol w:w="1980"/>
        <w:gridCol w:w="7642"/>
      </w:tblGrid>
      <w:tr w:rsidR="00496804" w14:paraId="45D05766"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64" w14:textId="77777777" w:rsidR="00496804" w:rsidRDefault="0037359D">
            <w:pPr>
              <w:spacing w:line="240" w:lineRule="auto"/>
              <w:ind w:left="170"/>
              <w:rPr>
                <w:rFonts w:ascii="Times New Roman" w:hAnsi="Times New Roman"/>
                <w:sz w:val="24"/>
              </w:rPr>
            </w:pPr>
            <w:r>
              <w:rPr>
                <w:rFonts w:ascii="Times New Roman" w:hAnsi="Times New Roman"/>
                <w:sz w:val="24"/>
              </w:rPr>
              <w:t>BAMB</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65" w14:textId="77777777" w:rsidR="00496804" w:rsidRDefault="0037359D">
            <w:pPr>
              <w:spacing w:line="240" w:lineRule="auto"/>
              <w:ind w:left="170"/>
              <w:rPr>
                <w:rFonts w:ascii="Times New Roman" w:hAnsi="Times New Roman"/>
                <w:sz w:val="24"/>
              </w:rPr>
            </w:pPr>
            <w:r>
              <w:rPr>
                <w:rFonts w:ascii="Times New Roman" w:hAnsi="Times New Roman"/>
                <w:sz w:val="24"/>
              </w:rPr>
              <w:t xml:space="preserve">Buildings as Material Banks </w:t>
            </w:r>
          </w:p>
        </w:tc>
      </w:tr>
      <w:tr w:rsidR="00496804" w14:paraId="45D05769"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67" w14:textId="77777777" w:rsidR="00496804" w:rsidRDefault="0037359D">
            <w:pPr>
              <w:spacing w:line="240" w:lineRule="auto"/>
              <w:ind w:left="170"/>
              <w:rPr>
                <w:rFonts w:ascii="Times New Roman" w:hAnsi="Times New Roman"/>
                <w:sz w:val="24"/>
              </w:rPr>
            </w:pPr>
            <w:r>
              <w:rPr>
                <w:rFonts w:ascii="Times New Roman" w:hAnsi="Times New Roman"/>
                <w:sz w:val="24"/>
              </w:rPr>
              <w:t>BDP</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68" w14:textId="77777777" w:rsidR="00496804" w:rsidRDefault="0037359D">
            <w:pPr>
              <w:spacing w:line="240" w:lineRule="auto"/>
              <w:ind w:left="170"/>
              <w:rPr>
                <w:rFonts w:ascii="Times New Roman" w:hAnsi="Times New Roman"/>
                <w:sz w:val="24"/>
              </w:rPr>
            </w:pPr>
            <w:r>
              <w:rPr>
                <w:rFonts w:ascii="Times New Roman" w:hAnsi="Times New Roman"/>
                <w:sz w:val="24"/>
              </w:rPr>
              <w:t>Bruto domaći proizvod</w:t>
            </w:r>
          </w:p>
        </w:tc>
      </w:tr>
      <w:tr w:rsidR="00496804" w14:paraId="45D0576C"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6A" w14:textId="77777777" w:rsidR="00496804" w:rsidRDefault="0037359D">
            <w:pPr>
              <w:spacing w:line="240" w:lineRule="auto"/>
              <w:ind w:left="170"/>
              <w:rPr>
                <w:rFonts w:ascii="Times New Roman" w:hAnsi="Times New Roman"/>
                <w:sz w:val="24"/>
              </w:rPr>
            </w:pPr>
            <w:r>
              <w:rPr>
                <w:rFonts w:ascii="Times New Roman" w:hAnsi="Times New Roman"/>
                <w:sz w:val="24"/>
              </w:rPr>
              <w:t>BIM</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6B" w14:textId="77777777" w:rsidR="00496804" w:rsidRDefault="0037359D">
            <w:pPr>
              <w:spacing w:line="240" w:lineRule="auto"/>
              <w:ind w:left="170"/>
              <w:rPr>
                <w:rFonts w:ascii="Times New Roman" w:hAnsi="Times New Roman"/>
                <w:sz w:val="24"/>
              </w:rPr>
            </w:pPr>
            <w:r>
              <w:rPr>
                <w:rFonts w:ascii="Times New Roman" w:hAnsi="Times New Roman"/>
                <w:sz w:val="24"/>
              </w:rPr>
              <w:t>Building Information Modeling</w:t>
            </w:r>
          </w:p>
        </w:tc>
      </w:tr>
      <w:tr w:rsidR="00496804" w14:paraId="45D0576F"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6D" w14:textId="77777777" w:rsidR="00496804" w:rsidRDefault="0037359D">
            <w:pPr>
              <w:spacing w:line="240" w:lineRule="auto"/>
              <w:ind w:left="170"/>
              <w:rPr>
                <w:rFonts w:ascii="Times New Roman" w:hAnsi="Times New Roman"/>
                <w:sz w:val="24"/>
              </w:rPr>
            </w:pPr>
            <w:r>
              <w:rPr>
                <w:rFonts w:ascii="Times New Roman" w:hAnsi="Times New Roman"/>
                <w:sz w:val="24"/>
              </w:rPr>
              <w:t>COM</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6E" w14:textId="77777777" w:rsidR="00496804" w:rsidRDefault="0037359D">
            <w:pPr>
              <w:spacing w:line="240" w:lineRule="auto"/>
              <w:ind w:left="170"/>
              <w:rPr>
                <w:rFonts w:ascii="Times New Roman" w:hAnsi="Times New Roman"/>
                <w:sz w:val="24"/>
              </w:rPr>
            </w:pPr>
            <w:r>
              <w:rPr>
                <w:rFonts w:ascii="Times New Roman" w:hAnsi="Times New Roman"/>
                <w:sz w:val="24"/>
              </w:rPr>
              <w:t>Komunikacija Europske Komisije</w:t>
            </w:r>
          </w:p>
        </w:tc>
      </w:tr>
      <w:tr w:rsidR="00496804" w14:paraId="45D05772"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70" w14:textId="77777777" w:rsidR="00496804" w:rsidRDefault="0037359D">
            <w:pPr>
              <w:spacing w:line="240" w:lineRule="auto"/>
              <w:ind w:left="170"/>
              <w:rPr>
                <w:rFonts w:ascii="Times New Roman" w:hAnsi="Times New Roman"/>
                <w:sz w:val="24"/>
              </w:rPr>
            </w:pPr>
            <w:r>
              <w:rPr>
                <w:rFonts w:ascii="Times New Roman" w:hAnsi="Times New Roman"/>
                <w:sz w:val="24"/>
              </w:rPr>
              <w:t>CROSBI</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71" w14:textId="77777777" w:rsidR="00496804" w:rsidRDefault="0037359D">
            <w:pPr>
              <w:spacing w:line="240" w:lineRule="auto"/>
              <w:ind w:left="170"/>
              <w:rPr>
                <w:rFonts w:ascii="Times New Roman" w:hAnsi="Times New Roman"/>
                <w:sz w:val="24"/>
              </w:rPr>
            </w:pPr>
            <w:r>
              <w:rPr>
                <w:rFonts w:ascii="Times New Roman" w:hAnsi="Times New Roman"/>
                <w:sz w:val="24"/>
              </w:rPr>
              <w:t>Hrvatska znanstvena bibliografija</w:t>
            </w:r>
          </w:p>
        </w:tc>
      </w:tr>
      <w:tr w:rsidR="00496804" w14:paraId="45D05775"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73" w14:textId="77777777" w:rsidR="00496804" w:rsidRDefault="0037359D">
            <w:pPr>
              <w:spacing w:line="240" w:lineRule="auto"/>
              <w:ind w:left="170"/>
              <w:rPr>
                <w:rFonts w:ascii="Times New Roman" w:hAnsi="Times New Roman"/>
                <w:sz w:val="24"/>
              </w:rPr>
            </w:pPr>
            <w:r>
              <w:rPr>
                <w:rFonts w:ascii="Times New Roman" w:hAnsi="Times New Roman"/>
                <w:sz w:val="24"/>
              </w:rPr>
              <w:t>DG ENVI</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74" w14:textId="77777777" w:rsidR="00496804" w:rsidRDefault="0037359D">
            <w:pPr>
              <w:spacing w:line="240" w:lineRule="auto"/>
              <w:ind w:left="170"/>
              <w:rPr>
                <w:rFonts w:ascii="Times New Roman" w:hAnsi="Times New Roman"/>
                <w:sz w:val="24"/>
              </w:rPr>
            </w:pPr>
            <w:r>
              <w:rPr>
                <w:rFonts w:ascii="Times New Roman" w:hAnsi="Times New Roman"/>
                <w:sz w:val="24"/>
              </w:rPr>
              <w:t>Opća uprava za okoliš Europske komisije</w:t>
            </w:r>
          </w:p>
        </w:tc>
      </w:tr>
      <w:tr w:rsidR="00496804" w14:paraId="45D05778"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76" w14:textId="77777777" w:rsidR="00496804" w:rsidRDefault="0037359D">
            <w:pPr>
              <w:spacing w:line="240" w:lineRule="auto"/>
              <w:ind w:left="170"/>
              <w:rPr>
                <w:rFonts w:ascii="Times New Roman" w:hAnsi="Times New Roman"/>
                <w:sz w:val="24"/>
              </w:rPr>
            </w:pPr>
            <w:r>
              <w:rPr>
                <w:rFonts w:ascii="Times New Roman" w:hAnsi="Times New Roman"/>
                <w:sz w:val="24"/>
              </w:rPr>
              <w:t>DVD</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77" w14:textId="77777777" w:rsidR="00496804" w:rsidRDefault="0037359D">
            <w:pPr>
              <w:spacing w:line="240" w:lineRule="auto"/>
              <w:ind w:left="170"/>
              <w:rPr>
                <w:rFonts w:ascii="Times New Roman" w:hAnsi="Times New Roman"/>
                <w:sz w:val="24"/>
              </w:rPr>
            </w:pPr>
            <w:r>
              <w:rPr>
                <w:rFonts w:ascii="Times New Roman" w:hAnsi="Times New Roman"/>
                <w:sz w:val="24"/>
              </w:rPr>
              <w:t>Dobrovoljno vatrogasno društvo</w:t>
            </w:r>
          </w:p>
        </w:tc>
      </w:tr>
      <w:tr w:rsidR="00496804" w14:paraId="45D0577B"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79" w14:textId="77777777" w:rsidR="00496804" w:rsidRDefault="0037359D">
            <w:pPr>
              <w:spacing w:line="240" w:lineRule="auto"/>
              <w:ind w:left="170"/>
              <w:rPr>
                <w:rFonts w:ascii="Times New Roman" w:hAnsi="Times New Roman"/>
                <w:sz w:val="24"/>
              </w:rPr>
            </w:pPr>
            <w:r>
              <w:rPr>
                <w:rFonts w:ascii="Times New Roman" w:hAnsi="Times New Roman"/>
                <w:sz w:val="24"/>
              </w:rPr>
              <w:t>DZS</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7A" w14:textId="77777777" w:rsidR="00496804" w:rsidRDefault="0037359D">
            <w:pPr>
              <w:spacing w:line="240" w:lineRule="auto"/>
              <w:ind w:left="170"/>
              <w:rPr>
                <w:rFonts w:ascii="Times New Roman" w:hAnsi="Times New Roman"/>
                <w:sz w:val="24"/>
              </w:rPr>
            </w:pPr>
            <w:r>
              <w:rPr>
                <w:rFonts w:ascii="Times New Roman" w:hAnsi="Times New Roman"/>
                <w:sz w:val="24"/>
              </w:rPr>
              <w:t>Državni zavod za statistiku</w:t>
            </w:r>
          </w:p>
        </w:tc>
      </w:tr>
      <w:tr w:rsidR="00496804" w14:paraId="45D0577E"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7C" w14:textId="77777777" w:rsidR="00496804" w:rsidRDefault="0037359D">
            <w:pPr>
              <w:spacing w:line="240" w:lineRule="auto"/>
              <w:ind w:left="170"/>
              <w:rPr>
                <w:rFonts w:ascii="Times New Roman" w:hAnsi="Times New Roman"/>
                <w:sz w:val="24"/>
              </w:rPr>
            </w:pPr>
            <w:r>
              <w:rPr>
                <w:rFonts w:ascii="Times New Roman" w:hAnsi="Times New Roman"/>
                <w:sz w:val="24"/>
              </w:rPr>
              <w:t>EFRR</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7D" w14:textId="77777777" w:rsidR="00496804" w:rsidRDefault="0037359D">
            <w:pPr>
              <w:spacing w:line="240" w:lineRule="auto"/>
              <w:ind w:left="170"/>
              <w:rPr>
                <w:rFonts w:ascii="Times New Roman" w:hAnsi="Times New Roman"/>
                <w:sz w:val="24"/>
              </w:rPr>
            </w:pPr>
            <w:r>
              <w:rPr>
                <w:rFonts w:ascii="Times New Roman" w:hAnsi="Times New Roman"/>
                <w:sz w:val="24"/>
              </w:rPr>
              <w:t>Europski fond za regionalni razvoj</w:t>
            </w:r>
          </w:p>
        </w:tc>
      </w:tr>
      <w:tr w:rsidR="00496804" w14:paraId="45D05781"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7F" w14:textId="77777777" w:rsidR="00496804" w:rsidRDefault="0037359D">
            <w:pPr>
              <w:spacing w:line="240" w:lineRule="auto"/>
              <w:ind w:left="170"/>
              <w:rPr>
                <w:rFonts w:ascii="Times New Roman" w:hAnsi="Times New Roman"/>
                <w:sz w:val="24"/>
              </w:rPr>
            </w:pPr>
            <w:r>
              <w:rPr>
                <w:rFonts w:ascii="Times New Roman" w:hAnsi="Times New Roman"/>
                <w:sz w:val="24"/>
              </w:rPr>
              <w:t>EIB</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80" w14:textId="77777777" w:rsidR="00496804" w:rsidRDefault="0037359D">
            <w:pPr>
              <w:spacing w:line="240" w:lineRule="auto"/>
              <w:ind w:left="170"/>
              <w:rPr>
                <w:rFonts w:ascii="Times New Roman" w:hAnsi="Times New Roman"/>
                <w:sz w:val="24"/>
              </w:rPr>
            </w:pPr>
            <w:r>
              <w:rPr>
                <w:rFonts w:ascii="Times New Roman" w:hAnsi="Times New Roman"/>
                <w:sz w:val="24"/>
              </w:rPr>
              <w:t>Europska investicijska banka</w:t>
            </w:r>
          </w:p>
        </w:tc>
      </w:tr>
      <w:tr w:rsidR="00496804" w14:paraId="45D05784"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82" w14:textId="77777777" w:rsidR="00496804" w:rsidRDefault="0037359D">
            <w:pPr>
              <w:spacing w:line="240" w:lineRule="auto"/>
              <w:ind w:left="170"/>
              <w:rPr>
                <w:rFonts w:ascii="Times New Roman" w:hAnsi="Times New Roman"/>
                <w:sz w:val="24"/>
              </w:rPr>
            </w:pPr>
            <w:r>
              <w:rPr>
                <w:rFonts w:ascii="Times New Roman" w:hAnsi="Times New Roman"/>
                <w:sz w:val="24"/>
              </w:rPr>
              <w:t>EIHP</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83" w14:textId="77777777" w:rsidR="00496804" w:rsidRDefault="0037359D">
            <w:pPr>
              <w:spacing w:line="240" w:lineRule="auto"/>
              <w:ind w:left="170"/>
              <w:rPr>
                <w:rFonts w:ascii="Times New Roman" w:hAnsi="Times New Roman"/>
                <w:sz w:val="24"/>
              </w:rPr>
            </w:pPr>
            <w:r>
              <w:rPr>
                <w:rFonts w:ascii="Times New Roman" w:hAnsi="Times New Roman"/>
                <w:sz w:val="24"/>
              </w:rPr>
              <w:t>Energetski institut Hrvoje Požar</w:t>
            </w:r>
          </w:p>
        </w:tc>
      </w:tr>
      <w:tr w:rsidR="00496804" w14:paraId="45D05787"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85" w14:textId="77777777" w:rsidR="00496804" w:rsidRDefault="0037359D">
            <w:pPr>
              <w:spacing w:line="240" w:lineRule="auto"/>
              <w:ind w:left="170"/>
              <w:rPr>
                <w:rFonts w:ascii="Times New Roman" w:hAnsi="Times New Roman"/>
                <w:sz w:val="24"/>
              </w:rPr>
            </w:pPr>
            <w:r>
              <w:rPr>
                <w:rFonts w:ascii="Times New Roman" w:hAnsi="Times New Roman"/>
                <w:sz w:val="24"/>
              </w:rPr>
              <w:t>EK</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86" w14:textId="77777777" w:rsidR="00496804" w:rsidRDefault="0037359D">
            <w:pPr>
              <w:spacing w:line="240" w:lineRule="auto"/>
              <w:ind w:left="170"/>
              <w:rPr>
                <w:rFonts w:ascii="Times New Roman" w:hAnsi="Times New Roman"/>
                <w:sz w:val="24"/>
              </w:rPr>
            </w:pPr>
            <w:r>
              <w:rPr>
                <w:rFonts w:ascii="Times New Roman" w:hAnsi="Times New Roman"/>
                <w:sz w:val="24"/>
              </w:rPr>
              <w:t>Europska komisija</w:t>
            </w:r>
          </w:p>
        </w:tc>
      </w:tr>
      <w:tr w:rsidR="00496804" w14:paraId="45D0578A"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88" w14:textId="77777777" w:rsidR="00496804" w:rsidRDefault="0037359D">
            <w:pPr>
              <w:spacing w:line="240" w:lineRule="auto"/>
              <w:ind w:left="170"/>
              <w:rPr>
                <w:rFonts w:ascii="Times New Roman" w:hAnsi="Times New Roman"/>
                <w:sz w:val="24"/>
              </w:rPr>
            </w:pPr>
            <w:r>
              <w:rPr>
                <w:rFonts w:ascii="Times New Roman" w:hAnsi="Times New Roman"/>
                <w:sz w:val="24"/>
              </w:rPr>
              <w:t>ELENA</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89" w14:textId="77777777" w:rsidR="00496804" w:rsidRDefault="0037359D">
            <w:pPr>
              <w:spacing w:line="240" w:lineRule="auto"/>
              <w:ind w:left="170"/>
              <w:rPr>
                <w:rFonts w:ascii="Times New Roman" w:hAnsi="Times New Roman"/>
                <w:sz w:val="24"/>
              </w:rPr>
            </w:pPr>
            <w:r>
              <w:rPr>
                <w:rFonts w:ascii="Times New Roman" w:hAnsi="Times New Roman"/>
                <w:sz w:val="24"/>
              </w:rPr>
              <w:t>Program potpore ulaganjima u energetsku učinkovitost, inicijativa EIB-a i EK</w:t>
            </w:r>
          </w:p>
        </w:tc>
      </w:tr>
      <w:tr w:rsidR="00496804" w14:paraId="45D0578D"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8B" w14:textId="77777777" w:rsidR="00496804" w:rsidRDefault="0037359D">
            <w:pPr>
              <w:spacing w:line="240" w:lineRule="auto"/>
              <w:ind w:left="170"/>
              <w:rPr>
                <w:rFonts w:ascii="Times New Roman" w:hAnsi="Times New Roman"/>
                <w:sz w:val="24"/>
              </w:rPr>
            </w:pPr>
            <w:r>
              <w:rPr>
                <w:rFonts w:ascii="Times New Roman" w:hAnsi="Times New Roman"/>
                <w:sz w:val="24"/>
              </w:rPr>
              <w:t>ESCO</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8C" w14:textId="77777777" w:rsidR="00496804" w:rsidRDefault="0037359D">
            <w:pPr>
              <w:spacing w:line="240" w:lineRule="auto"/>
              <w:ind w:left="170"/>
              <w:rPr>
                <w:rFonts w:ascii="Times New Roman" w:hAnsi="Times New Roman"/>
                <w:sz w:val="24"/>
              </w:rPr>
            </w:pPr>
            <w:r>
              <w:rPr>
                <w:rFonts w:ascii="Times New Roman" w:hAnsi="Times New Roman"/>
                <w:sz w:val="24"/>
              </w:rPr>
              <w:t>Tvrtka za pružanje energetskih usluga (eng. Energy Service Company)</w:t>
            </w:r>
          </w:p>
        </w:tc>
      </w:tr>
      <w:tr w:rsidR="00496804" w14:paraId="45D05790"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8E" w14:textId="77777777" w:rsidR="00496804" w:rsidRDefault="0037359D">
            <w:pPr>
              <w:spacing w:line="240" w:lineRule="auto"/>
              <w:ind w:left="170"/>
              <w:rPr>
                <w:rFonts w:ascii="Times New Roman" w:hAnsi="Times New Roman"/>
                <w:sz w:val="24"/>
              </w:rPr>
            </w:pPr>
            <w:r>
              <w:rPr>
                <w:rFonts w:ascii="Times New Roman" w:hAnsi="Times New Roman"/>
                <w:sz w:val="24"/>
              </w:rPr>
              <w:t>ESF+</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8F" w14:textId="77777777" w:rsidR="00496804" w:rsidRDefault="0037359D">
            <w:pPr>
              <w:spacing w:line="240" w:lineRule="auto"/>
              <w:ind w:left="170"/>
              <w:rPr>
                <w:rFonts w:ascii="Times New Roman" w:hAnsi="Times New Roman"/>
                <w:sz w:val="24"/>
              </w:rPr>
            </w:pPr>
            <w:r>
              <w:rPr>
                <w:rFonts w:ascii="Times New Roman" w:hAnsi="Times New Roman"/>
                <w:sz w:val="24"/>
              </w:rPr>
              <w:t>Europski socijalni fond Plus</w:t>
            </w:r>
          </w:p>
        </w:tc>
      </w:tr>
      <w:tr w:rsidR="00496804" w14:paraId="45D05793"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91" w14:textId="77777777" w:rsidR="00496804" w:rsidRDefault="0037359D">
            <w:pPr>
              <w:spacing w:line="240" w:lineRule="auto"/>
              <w:ind w:left="170"/>
              <w:rPr>
                <w:rFonts w:ascii="Times New Roman" w:hAnsi="Times New Roman"/>
                <w:sz w:val="24"/>
              </w:rPr>
            </w:pPr>
            <w:r>
              <w:rPr>
                <w:rFonts w:ascii="Times New Roman" w:hAnsi="Times New Roman"/>
                <w:sz w:val="24"/>
              </w:rPr>
              <w:t>ESIF</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92" w14:textId="77777777" w:rsidR="00496804" w:rsidRDefault="0037359D">
            <w:pPr>
              <w:spacing w:line="240" w:lineRule="auto"/>
              <w:ind w:left="170"/>
              <w:rPr>
                <w:rFonts w:ascii="Times New Roman" w:hAnsi="Times New Roman"/>
                <w:sz w:val="24"/>
              </w:rPr>
            </w:pPr>
            <w:r>
              <w:rPr>
                <w:rFonts w:ascii="Times New Roman" w:hAnsi="Times New Roman"/>
                <w:sz w:val="24"/>
              </w:rPr>
              <w:t>Europski strukturni i investicijski fondovi</w:t>
            </w:r>
          </w:p>
        </w:tc>
      </w:tr>
      <w:tr w:rsidR="00496804" w14:paraId="45D05796"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94" w14:textId="77777777" w:rsidR="00496804" w:rsidRDefault="0037359D">
            <w:pPr>
              <w:spacing w:line="240" w:lineRule="auto"/>
              <w:ind w:left="170"/>
              <w:rPr>
                <w:rFonts w:ascii="Times New Roman" w:hAnsi="Times New Roman"/>
                <w:sz w:val="24"/>
              </w:rPr>
            </w:pPr>
            <w:r>
              <w:rPr>
                <w:rFonts w:ascii="Times New Roman" w:hAnsi="Times New Roman"/>
                <w:sz w:val="24"/>
              </w:rPr>
              <w:t>EU</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95" w14:textId="77777777" w:rsidR="00496804" w:rsidRDefault="0037359D">
            <w:pPr>
              <w:spacing w:line="240" w:lineRule="auto"/>
              <w:ind w:left="170"/>
              <w:rPr>
                <w:rFonts w:ascii="Times New Roman" w:hAnsi="Times New Roman"/>
                <w:sz w:val="24"/>
              </w:rPr>
            </w:pPr>
            <w:r>
              <w:rPr>
                <w:rFonts w:ascii="Times New Roman" w:hAnsi="Times New Roman"/>
                <w:sz w:val="24"/>
              </w:rPr>
              <w:t>Europska unija</w:t>
            </w:r>
          </w:p>
        </w:tc>
      </w:tr>
      <w:tr w:rsidR="00496804" w14:paraId="45D05799"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97" w14:textId="77777777" w:rsidR="00496804" w:rsidRDefault="0037359D">
            <w:pPr>
              <w:spacing w:line="240" w:lineRule="auto"/>
              <w:ind w:left="170"/>
              <w:rPr>
                <w:rFonts w:ascii="Times New Roman" w:hAnsi="Times New Roman"/>
                <w:sz w:val="24"/>
              </w:rPr>
            </w:pPr>
            <w:r>
              <w:rPr>
                <w:rFonts w:ascii="Times New Roman" w:hAnsi="Times New Roman"/>
                <w:sz w:val="24"/>
              </w:rPr>
              <w:t>EUROSTAT</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98" w14:textId="77777777" w:rsidR="00496804" w:rsidRDefault="0037359D">
            <w:pPr>
              <w:spacing w:line="240" w:lineRule="auto"/>
              <w:ind w:left="170"/>
              <w:rPr>
                <w:rFonts w:ascii="Times New Roman" w:hAnsi="Times New Roman"/>
                <w:sz w:val="24"/>
              </w:rPr>
            </w:pPr>
            <w:r>
              <w:rPr>
                <w:rFonts w:ascii="Times New Roman" w:hAnsi="Times New Roman"/>
                <w:sz w:val="24"/>
              </w:rPr>
              <w:t>Statistički ured Europske unije</w:t>
            </w:r>
          </w:p>
        </w:tc>
      </w:tr>
      <w:tr w:rsidR="00496804" w14:paraId="45D0579C"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9A" w14:textId="77777777" w:rsidR="00496804" w:rsidRDefault="0037359D">
            <w:pPr>
              <w:spacing w:line="240" w:lineRule="auto"/>
              <w:ind w:left="170"/>
              <w:rPr>
                <w:rFonts w:ascii="Times New Roman" w:hAnsi="Times New Roman"/>
                <w:sz w:val="24"/>
              </w:rPr>
            </w:pPr>
            <w:r>
              <w:rPr>
                <w:rFonts w:ascii="Times New Roman" w:hAnsi="Times New Roman"/>
                <w:sz w:val="24"/>
              </w:rPr>
              <w:t>EZP</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9B" w14:textId="77777777" w:rsidR="00496804" w:rsidRDefault="0037359D">
            <w:pPr>
              <w:spacing w:line="240" w:lineRule="auto"/>
              <w:ind w:left="170"/>
              <w:rPr>
                <w:rFonts w:ascii="Times New Roman" w:hAnsi="Times New Roman"/>
                <w:sz w:val="24"/>
              </w:rPr>
            </w:pPr>
            <w:r>
              <w:rPr>
                <w:rFonts w:ascii="Times New Roman" w:hAnsi="Times New Roman"/>
                <w:sz w:val="24"/>
              </w:rPr>
              <w:t>Europski zeleni plan</w:t>
            </w:r>
          </w:p>
        </w:tc>
      </w:tr>
      <w:tr w:rsidR="00496804" w14:paraId="45D0579F"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9D" w14:textId="77777777" w:rsidR="00496804" w:rsidRDefault="0037359D">
            <w:pPr>
              <w:spacing w:line="240" w:lineRule="auto"/>
              <w:ind w:left="170"/>
              <w:rPr>
                <w:rFonts w:ascii="Times New Roman" w:hAnsi="Times New Roman"/>
                <w:sz w:val="24"/>
              </w:rPr>
            </w:pPr>
            <w:r>
              <w:rPr>
                <w:rFonts w:ascii="Times New Roman" w:hAnsi="Times New Roman"/>
                <w:sz w:val="24"/>
              </w:rPr>
              <w:t>HAOP</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9E" w14:textId="77777777" w:rsidR="00496804" w:rsidRDefault="0037359D">
            <w:pPr>
              <w:spacing w:line="240" w:lineRule="auto"/>
              <w:ind w:left="170"/>
              <w:rPr>
                <w:rFonts w:ascii="Times New Roman" w:hAnsi="Times New Roman"/>
                <w:sz w:val="24"/>
              </w:rPr>
            </w:pPr>
            <w:r>
              <w:rPr>
                <w:rFonts w:ascii="Times New Roman" w:hAnsi="Times New Roman"/>
                <w:sz w:val="24"/>
              </w:rPr>
              <w:t>Hrvatska agencija za okoliš i prirodu</w:t>
            </w:r>
          </w:p>
        </w:tc>
      </w:tr>
      <w:tr w:rsidR="00496804" w14:paraId="45D057A2"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A0" w14:textId="77777777" w:rsidR="00496804" w:rsidRDefault="0037359D">
            <w:pPr>
              <w:spacing w:line="240" w:lineRule="auto"/>
              <w:ind w:left="170"/>
              <w:rPr>
                <w:rFonts w:ascii="Times New Roman" w:hAnsi="Times New Roman"/>
                <w:sz w:val="24"/>
              </w:rPr>
            </w:pPr>
            <w:r>
              <w:rPr>
                <w:rFonts w:ascii="Times New Roman" w:hAnsi="Times New Roman"/>
                <w:sz w:val="24"/>
              </w:rPr>
              <w:t>HBOR</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A1" w14:textId="77777777" w:rsidR="00496804" w:rsidRDefault="0037359D">
            <w:pPr>
              <w:spacing w:line="240" w:lineRule="auto"/>
              <w:ind w:left="170"/>
              <w:rPr>
                <w:rFonts w:ascii="Times New Roman" w:hAnsi="Times New Roman"/>
                <w:sz w:val="24"/>
              </w:rPr>
            </w:pPr>
            <w:r>
              <w:rPr>
                <w:rFonts w:ascii="Times New Roman" w:hAnsi="Times New Roman"/>
                <w:sz w:val="24"/>
              </w:rPr>
              <w:t xml:space="preserve">Hrvatska banka za obnovu i razvitak </w:t>
            </w:r>
          </w:p>
        </w:tc>
      </w:tr>
      <w:tr w:rsidR="00496804" w14:paraId="45D057A5"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A3" w14:textId="77777777" w:rsidR="00496804" w:rsidRDefault="0037359D">
            <w:pPr>
              <w:spacing w:line="240" w:lineRule="auto"/>
              <w:ind w:left="170"/>
              <w:rPr>
                <w:rFonts w:ascii="Times New Roman" w:hAnsi="Times New Roman"/>
                <w:sz w:val="24"/>
              </w:rPr>
            </w:pPr>
            <w:r>
              <w:rPr>
                <w:rFonts w:ascii="Times New Roman" w:hAnsi="Times New Roman"/>
                <w:sz w:val="24"/>
              </w:rPr>
              <w:t>HORIZON 2020</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A4" w14:textId="77777777" w:rsidR="00496804" w:rsidRDefault="0037359D">
            <w:pPr>
              <w:spacing w:line="240" w:lineRule="auto"/>
              <w:ind w:left="170"/>
              <w:rPr>
                <w:rFonts w:ascii="Times New Roman" w:hAnsi="Times New Roman"/>
                <w:sz w:val="24"/>
              </w:rPr>
            </w:pPr>
            <w:r>
              <w:rPr>
                <w:rFonts w:ascii="Times New Roman" w:hAnsi="Times New Roman"/>
                <w:sz w:val="24"/>
              </w:rPr>
              <w:t>Program EU za istraživanje i inovacije 2014.-2020.</w:t>
            </w:r>
          </w:p>
        </w:tc>
      </w:tr>
      <w:tr w:rsidR="00496804" w14:paraId="45D057A8"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A6" w14:textId="77777777" w:rsidR="00496804" w:rsidRDefault="0037359D">
            <w:pPr>
              <w:spacing w:line="240" w:lineRule="auto"/>
              <w:ind w:left="170"/>
              <w:rPr>
                <w:rFonts w:ascii="Times New Roman" w:hAnsi="Times New Roman"/>
                <w:sz w:val="24"/>
              </w:rPr>
            </w:pPr>
            <w:r>
              <w:rPr>
                <w:rFonts w:ascii="Times New Roman" w:hAnsi="Times New Roman"/>
                <w:sz w:val="24"/>
              </w:rPr>
              <w:t>ISPU</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A7" w14:textId="77777777" w:rsidR="00496804" w:rsidRDefault="0037359D">
            <w:pPr>
              <w:spacing w:line="240" w:lineRule="auto"/>
              <w:ind w:left="170"/>
              <w:rPr>
                <w:rFonts w:ascii="Times New Roman" w:hAnsi="Times New Roman"/>
                <w:sz w:val="24"/>
              </w:rPr>
            </w:pPr>
            <w:r>
              <w:rPr>
                <w:rFonts w:ascii="Times New Roman" w:hAnsi="Times New Roman"/>
                <w:sz w:val="24"/>
              </w:rPr>
              <w:t>Informacijski sustav prostornog uređenja</w:t>
            </w:r>
          </w:p>
        </w:tc>
      </w:tr>
      <w:tr w:rsidR="00496804" w14:paraId="45D057AB"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A9" w14:textId="77777777" w:rsidR="00496804" w:rsidRDefault="0037359D">
            <w:pPr>
              <w:spacing w:line="240" w:lineRule="auto"/>
              <w:ind w:left="170"/>
              <w:rPr>
                <w:rFonts w:ascii="Times New Roman" w:hAnsi="Times New Roman"/>
                <w:sz w:val="24"/>
              </w:rPr>
            </w:pPr>
            <w:r>
              <w:rPr>
                <w:rFonts w:ascii="Times New Roman" w:hAnsi="Times New Roman"/>
                <w:sz w:val="24"/>
              </w:rPr>
              <w:t>JLS</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AA" w14:textId="77777777" w:rsidR="00496804" w:rsidRDefault="0037359D">
            <w:pPr>
              <w:spacing w:line="240" w:lineRule="auto"/>
              <w:ind w:left="170"/>
              <w:rPr>
                <w:rFonts w:ascii="Times New Roman" w:hAnsi="Times New Roman"/>
                <w:sz w:val="24"/>
              </w:rPr>
            </w:pPr>
            <w:r>
              <w:rPr>
                <w:rFonts w:ascii="Times New Roman" w:hAnsi="Times New Roman"/>
                <w:sz w:val="24"/>
              </w:rPr>
              <w:t>Jedinice lokalne samouprave</w:t>
            </w:r>
          </w:p>
        </w:tc>
      </w:tr>
      <w:tr w:rsidR="00496804" w14:paraId="45D057AE"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AC" w14:textId="77777777" w:rsidR="00496804" w:rsidRDefault="0037359D">
            <w:pPr>
              <w:spacing w:line="240" w:lineRule="auto"/>
              <w:ind w:left="170"/>
              <w:rPr>
                <w:rFonts w:ascii="Times New Roman" w:hAnsi="Times New Roman"/>
                <w:sz w:val="24"/>
              </w:rPr>
            </w:pPr>
            <w:r>
              <w:rPr>
                <w:rFonts w:ascii="Times New Roman" w:hAnsi="Times New Roman"/>
                <w:sz w:val="24"/>
              </w:rPr>
              <w:t>JLP(R)S</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AD" w14:textId="77777777" w:rsidR="00496804" w:rsidRDefault="0037359D">
            <w:pPr>
              <w:spacing w:line="240" w:lineRule="auto"/>
              <w:ind w:left="170"/>
              <w:rPr>
                <w:rFonts w:ascii="Times New Roman" w:hAnsi="Times New Roman"/>
                <w:sz w:val="24"/>
              </w:rPr>
            </w:pPr>
            <w:r>
              <w:rPr>
                <w:rFonts w:ascii="Times New Roman" w:hAnsi="Times New Roman"/>
                <w:sz w:val="24"/>
              </w:rPr>
              <w:t>Jedinice lokalne i područne (regionalne) samouprave</w:t>
            </w:r>
          </w:p>
        </w:tc>
      </w:tr>
      <w:tr w:rsidR="00496804" w14:paraId="45D057B1"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AF" w14:textId="77777777" w:rsidR="00496804" w:rsidRDefault="0037359D">
            <w:pPr>
              <w:spacing w:line="240" w:lineRule="auto"/>
              <w:ind w:left="170"/>
              <w:rPr>
                <w:rFonts w:ascii="Times New Roman" w:hAnsi="Times New Roman"/>
                <w:sz w:val="24"/>
              </w:rPr>
            </w:pPr>
            <w:r>
              <w:rPr>
                <w:rFonts w:ascii="Times New Roman" w:hAnsi="Times New Roman"/>
                <w:sz w:val="24"/>
              </w:rPr>
              <w:t>KF</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B0" w14:textId="77777777" w:rsidR="00496804" w:rsidRDefault="0037359D">
            <w:pPr>
              <w:spacing w:line="240" w:lineRule="auto"/>
              <w:ind w:left="170"/>
              <w:rPr>
                <w:rFonts w:ascii="Times New Roman" w:hAnsi="Times New Roman"/>
                <w:sz w:val="24"/>
              </w:rPr>
            </w:pPr>
            <w:r>
              <w:rPr>
                <w:rFonts w:ascii="Times New Roman" w:hAnsi="Times New Roman"/>
                <w:sz w:val="24"/>
              </w:rPr>
              <w:t>Kohezijski fond</w:t>
            </w:r>
          </w:p>
        </w:tc>
      </w:tr>
      <w:tr w:rsidR="00496804" w14:paraId="45D057B4" w14:textId="77777777">
        <w:trPr>
          <w:cantSplit/>
          <w:trHeight w:hRule="exact" w:val="692"/>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B2" w14:textId="77777777" w:rsidR="00496804" w:rsidRDefault="0037359D">
            <w:pPr>
              <w:spacing w:line="240" w:lineRule="auto"/>
              <w:ind w:left="170"/>
              <w:rPr>
                <w:rFonts w:ascii="Times New Roman" w:hAnsi="Times New Roman"/>
                <w:sz w:val="24"/>
              </w:rPr>
            </w:pPr>
            <w:r>
              <w:rPr>
                <w:rFonts w:ascii="Times New Roman" w:hAnsi="Times New Roman"/>
                <w:sz w:val="24"/>
              </w:rPr>
              <w:t>LCCA</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B3" w14:textId="77777777" w:rsidR="00496804" w:rsidRDefault="0037359D">
            <w:pPr>
              <w:spacing w:line="240" w:lineRule="auto"/>
              <w:ind w:left="170"/>
              <w:rPr>
                <w:rFonts w:ascii="Times New Roman" w:hAnsi="Times New Roman"/>
                <w:sz w:val="24"/>
              </w:rPr>
            </w:pPr>
            <w:r>
              <w:rPr>
                <w:rFonts w:ascii="Times New Roman" w:hAnsi="Times New Roman"/>
                <w:sz w:val="24"/>
              </w:rPr>
              <w:t xml:space="preserve">Analiza troškova životnog ciklusa proizvoda (eng. Life Cycle Costing Analysis) </w:t>
            </w:r>
          </w:p>
        </w:tc>
      </w:tr>
      <w:tr w:rsidR="00496804" w14:paraId="45D057B7" w14:textId="77777777">
        <w:trPr>
          <w:cantSplit/>
          <w:trHeight w:hRule="exact" w:val="692"/>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B5" w14:textId="77777777" w:rsidR="00496804" w:rsidRDefault="0037359D">
            <w:pPr>
              <w:spacing w:line="240" w:lineRule="auto"/>
              <w:ind w:left="170"/>
              <w:rPr>
                <w:rFonts w:ascii="Times New Roman" w:hAnsi="Times New Roman"/>
                <w:sz w:val="24"/>
              </w:rPr>
            </w:pPr>
            <w:r>
              <w:rPr>
                <w:rFonts w:ascii="Times New Roman" w:hAnsi="Times New Roman"/>
                <w:sz w:val="24"/>
              </w:rPr>
              <w:t>LEVEL(S)</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B6" w14:textId="77777777" w:rsidR="00496804" w:rsidRDefault="0037359D">
            <w:pPr>
              <w:spacing w:line="240" w:lineRule="auto"/>
              <w:ind w:left="170"/>
              <w:rPr>
                <w:rFonts w:ascii="Times New Roman" w:hAnsi="Times New Roman"/>
                <w:sz w:val="24"/>
              </w:rPr>
            </w:pPr>
            <w:r>
              <w:rPr>
                <w:rFonts w:ascii="Times New Roman" w:hAnsi="Times New Roman"/>
                <w:sz w:val="24"/>
              </w:rPr>
              <w:t>Alat za procjenu i izvještavanje o aspektima održivosti građevina tijekom njihovog cjeloživotnog vijeka</w:t>
            </w:r>
          </w:p>
        </w:tc>
      </w:tr>
      <w:tr w:rsidR="00496804" w14:paraId="45D057BA"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B8" w14:textId="77777777" w:rsidR="00496804" w:rsidRDefault="0037359D">
            <w:pPr>
              <w:spacing w:line="240" w:lineRule="auto"/>
              <w:ind w:left="170"/>
              <w:rPr>
                <w:rFonts w:ascii="Times New Roman" w:hAnsi="Times New Roman"/>
                <w:sz w:val="24"/>
              </w:rPr>
            </w:pPr>
            <w:r>
              <w:rPr>
                <w:rFonts w:ascii="Times New Roman" w:hAnsi="Times New Roman"/>
                <w:sz w:val="24"/>
              </w:rPr>
              <w:t>LIFE+</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B9" w14:textId="77777777" w:rsidR="00496804" w:rsidRDefault="0037359D">
            <w:pPr>
              <w:spacing w:line="240" w:lineRule="auto"/>
              <w:ind w:left="170"/>
              <w:rPr>
                <w:rFonts w:ascii="Times New Roman" w:hAnsi="Times New Roman"/>
                <w:sz w:val="24"/>
              </w:rPr>
            </w:pPr>
            <w:r>
              <w:rPr>
                <w:rFonts w:ascii="Times New Roman" w:hAnsi="Times New Roman"/>
                <w:sz w:val="24"/>
              </w:rPr>
              <w:t>Financijski instrument EU za okoliš</w:t>
            </w:r>
          </w:p>
        </w:tc>
      </w:tr>
      <w:tr w:rsidR="00496804" w14:paraId="45D057BD"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BB" w14:textId="77777777" w:rsidR="00496804" w:rsidRDefault="0037359D">
            <w:pPr>
              <w:spacing w:line="240" w:lineRule="auto"/>
              <w:ind w:left="170"/>
              <w:rPr>
                <w:rFonts w:ascii="Times New Roman" w:hAnsi="Times New Roman"/>
                <w:sz w:val="24"/>
              </w:rPr>
            </w:pPr>
            <w:r>
              <w:rPr>
                <w:rFonts w:ascii="Times New Roman" w:hAnsi="Times New Roman"/>
                <w:sz w:val="24"/>
              </w:rPr>
              <w:t>MPGI</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BC" w14:textId="77777777" w:rsidR="00496804" w:rsidRDefault="0037359D">
            <w:pPr>
              <w:spacing w:line="240" w:lineRule="auto"/>
              <w:ind w:left="170"/>
              <w:rPr>
                <w:rFonts w:ascii="Times New Roman" w:hAnsi="Times New Roman"/>
                <w:sz w:val="24"/>
              </w:rPr>
            </w:pPr>
            <w:r>
              <w:rPr>
                <w:rFonts w:ascii="Times New Roman" w:hAnsi="Times New Roman"/>
                <w:sz w:val="24"/>
              </w:rPr>
              <w:t>Ministarstvo prostornoga uređenja, graditeljstva i državne imovine</w:t>
            </w:r>
          </w:p>
        </w:tc>
      </w:tr>
      <w:tr w:rsidR="00496804" w14:paraId="45D057C0"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BE" w14:textId="77777777" w:rsidR="00496804" w:rsidRDefault="0037359D">
            <w:pPr>
              <w:spacing w:line="240" w:lineRule="auto"/>
              <w:ind w:left="170"/>
              <w:rPr>
                <w:rFonts w:ascii="Times New Roman" w:hAnsi="Times New Roman"/>
                <w:sz w:val="24"/>
              </w:rPr>
            </w:pPr>
            <w:r>
              <w:rPr>
                <w:rFonts w:ascii="Times New Roman" w:hAnsi="Times New Roman"/>
                <w:sz w:val="24"/>
              </w:rPr>
              <w:t>NBS</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BF" w14:textId="77777777" w:rsidR="00496804" w:rsidRDefault="0037359D">
            <w:pPr>
              <w:spacing w:line="240" w:lineRule="auto"/>
              <w:ind w:left="170"/>
              <w:rPr>
                <w:rFonts w:ascii="Times New Roman" w:hAnsi="Times New Roman"/>
                <w:sz w:val="24"/>
              </w:rPr>
            </w:pPr>
            <w:r>
              <w:rPr>
                <w:rFonts w:ascii="Times New Roman" w:hAnsi="Times New Roman"/>
                <w:sz w:val="24"/>
              </w:rPr>
              <w:t>Primjena rješenja temeljenih na prirodi</w:t>
            </w:r>
          </w:p>
        </w:tc>
      </w:tr>
      <w:tr w:rsidR="00496804" w14:paraId="45D057C3"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C1" w14:textId="77777777" w:rsidR="00496804" w:rsidRDefault="0037359D">
            <w:pPr>
              <w:spacing w:line="240" w:lineRule="auto"/>
              <w:ind w:left="170"/>
              <w:rPr>
                <w:rFonts w:ascii="Times New Roman" w:hAnsi="Times New Roman"/>
                <w:sz w:val="24"/>
              </w:rPr>
            </w:pPr>
            <w:r>
              <w:rPr>
                <w:rFonts w:ascii="Times New Roman" w:hAnsi="Times New Roman"/>
                <w:sz w:val="24"/>
              </w:rPr>
              <w:t>NN</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C2" w14:textId="77777777" w:rsidR="00496804" w:rsidRDefault="0037359D">
            <w:pPr>
              <w:spacing w:line="240" w:lineRule="auto"/>
              <w:ind w:left="170"/>
              <w:rPr>
                <w:rFonts w:ascii="Times New Roman" w:hAnsi="Times New Roman"/>
                <w:sz w:val="24"/>
              </w:rPr>
            </w:pPr>
            <w:r>
              <w:rPr>
                <w:rFonts w:ascii="Times New Roman" w:hAnsi="Times New Roman"/>
                <w:sz w:val="24"/>
              </w:rPr>
              <w:t>Narodne novine</w:t>
            </w:r>
          </w:p>
        </w:tc>
      </w:tr>
      <w:tr w:rsidR="00496804" w14:paraId="45D057C6" w14:textId="77777777">
        <w:trPr>
          <w:cantSplit/>
          <w:trHeight w:hRule="exact" w:val="343"/>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C4" w14:textId="77777777" w:rsidR="00496804" w:rsidRDefault="0037359D">
            <w:pPr>
              <w:spacing w:line="240" w:lineRule="auto"/>
              <w:ind w:left="170"/>
              <w:jc w:val="left"/>
              <w:rPr>
                <w:rFonts w:ascii="Times New Roman" w:hAnsi="Times New Roman"/>
                <w:sz w:val="24"/>
              </w:rPr>
            </w:pPr>
            <w:r>
              <w:rPr>
                <w:rFonts w:ascii="Times New Roman" w:hAnsi="Times New Roman"/>
                <w:sz w:val="24"/>
              </w:rPr>
              <w:t xml:space="preserve">NRS 2030 </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C5" w14:textId="77777777" w:rsidR="00496804" w:rsidRDefault="0037359D">
            <w:pPr>
              <w:spacing w:line="240" w:lineRule="auto"/>
              <w:ind w:left="170"/>
              <w:rPr>
                <w:rFonts w:ascii="Times New Roman" w:hAnsi="Times New Roman"/>
                <w:sz w:val="24"/>
              </w:rPr>
            </w:pPr>
            <w:r>
              <w:rPr>
                <w:rFonts w:ascii="Times New Roman" w:hAnsi="Times New Roman"/>
                <w:sz w:val="24"/>
              </w:rPr>
              <w:t>Nacionalna razvojna strategija Republike Hrvatske do 2030. godine</w:t>
            </w:r>
          </w:p>
        </w:tc>
      </w:tr>
      <w:tr w:rsidR="00496804" w14:paraId="45D057C9"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C7" w14:textId="77777777" w:rsidR="00496804" w:rsidRDefault="0037359D">
            <w:pPr>
              <w:spacing w:line="240" w:lineRule="auto"/>
              <w:ind w:left="170"/>
              <w:rPr>
                <w:rFonts w:ascii="Times New Roman" w:hAnsi="Times New Roman"/>
                <w:sz w:val="24"/>
              </w:rPr>
            </w:pPr>
            <w:r>
              <w:rPr>
                <w:rFonts w:ascii="Times New Roman" w:hAnsi="Times New Roman"/>
                <w:sz w:val="24"/>
              </w:rPr>
              <w:t>nZEB</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C8" w14:textId="77777777" w:rsidR="00496804" w:rsidRDefault="0037359D">
            <w:pPr>
              <w:spacing w:line="240" w:lineRule="auto"/>
              <w:ind w:left="170"/>
              <w:rPr>
                <w:rFonts w:ascii="Times New Roman" w:hAnsi="Times New Roman"/>
                <w:sz w:val="24"/>
              </w:rPr>
            </w:pPr>
            <w:r>
              <w:rPr>
                <w:rFonts w:ascii="Times New Roman" w:hAnsi="Times New Roman"/>
                <w:sz w:val="24"/>
              </w:rPr>
              <w:t>Zgrada gotovo nulte potrošnje energije</w:t>
            </w:r>
          </w:p>
        </w:tc>
      </w:tr>
      <w:tr w:rsidR="00496804" w14:paraId="45D057CC"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CA" w14:textId="77777777" w:rsidR="00496804" w:rsidRDefault="0037359D">
            <w:pPr>
              <w:spacing w:line="240" w:lineRule="auto"/>
              <w:ind w:left="170"/>
              <w:rPr>
                <w:rFonts w:ascii="Times New Roman" w:hAnsi="Times New Roman"/>
                <w:sz w:val="24"/>
              </w:rPr>
            </w:pPr>
            <w:r>
              <w:rPr>
                <w:rFonts w:ascii="Times New Roman" w:hAnsi="Times New Roman"/>
                <w:sz w:val="24"/>
              </w:rPr>
              <w:t>OIE</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CB" w14:textId="77777777" w:rsidR="00496804" w:rsidRDefault="0037359D">
            <w:pPr>
              <w:spacing w:line="240" w:lineRule="auto"/>
              <w:ind w:left="170"/>
              <w:rPr>
                <w:rFonts w:ascii="Times New Roman" w:hAnsi="Times New Roman"/>
                <w:sz w:val="24"/>
              </w:rPr>
            </w:pPr>
            <w:r>
              <w:rPr>
                <w:rFonts w:ascii="Times New Roman" w:hAnsi="Times New Roman"/>
                <w:sz w:val="24"/>
              </w:rPr>
              <w:t>Obnovljivi izvori energije</w:t>
            </w:r>
          </w:p>
        </w:tc>
      </w:tr>
      <w:tr w:rsidR="00496804" w14:paraId="45D057CF"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CD" w14:textId="77777777" w:rsidR="00496804" w:rsidRDefault="0037359D">
            <w:pPr>
              <w:spacing w:line="240" w:lineRule="auto"/>
              <w:ind w:left="170"/>
              <w:rPr>
                <w:rFonts w:ascii="Times New Roman" w:hAnsi="Times New Roman"/>
                <w:sz w:val="24"/>
              </w:rPr>
            </w:pPr>
            <w:r>
              <w:rPr>
                <w:rFonts w:ascii="Times New Roman" w:hAnsi="Times New Roman"/>
                <w:sz w:val="24"/>
              </w:rPr>
              <w:t>POS</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CE" w14:textId="77777777" w:rsidR="00496804" w:rsidRDefault="0037359D">
            <w:pPr>
              <w:spacing w:line="240" w:lineRule="auto"/>
              <w:ind w:left="170"/>
              <w:rPr>
                <w:rFonts w:ascii="Times New Roman" w:hAnsi="Times New Roman"/>
                <w:sz w:val="24"/>
              </w:rPr>
            </w:pPr>
            <w:r>
              <w:rPr>
                <w:rFonts w:ascii="Times New Roman" w:hAnsi="Times New Roman"/>
                <w:sz w:val="24"/>
              </w:rPr>
              <w:t>Program društveno poticane stanogradnje</w:t>
            </w:r>
          </w:p>
        </w:tc>
      </w:tr>
      <w:tr w:rsidR="00496804" w14:paraId="45D057D2"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D0" w14:textId="77777777" w:rsidR="00496804" w:rsidRDefault="0037359D">
            <w:pPr>
              <w:spacing w:line="240" w:lineRule="auto"/>
              <w:ind w:left="170"/>
              <w:rPr>
                <w:rFonts w:ascii="Times New Roman" w:hAnsi="Times New Roman"/>
                <w:sz w:val="24"/>
              </w:rPr>
            </w:pPr>
            <w:r>
              <w:rPr>
                <w:rFonts w:ascii="Times New Roman" w:hAnsi="Times New Roman"/>
                <w:sz w:val="24"/>
              </w:rPr>
              <w:t>PF4EE</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D1" w14:textId="77777777" w:rsidR="00496804" w:rsidRDefault="0037359D">
            <w:pPr>
              <w:spacing w:line="240" w:lineRule="auto"/>
              <w:ind w:left="170"/>
              <w:rPr>
                <w:rFonts w:ascii="Times New Roman" w:hAnsi="Times New Roman"/>
                <w:sz w:val="24"/>
              </w:rPr>
            </w:pPr>
            <w:r>
              <w:rPr>
                <w:rFonts w:ascii="Times New Roman" w:hAnsi="Times New Roman"/>
                <w:sz w:val="24"/>
              </w:rPr>
              <w:t>Privatni instrument energetske učinkovitosti</w:t>
            </w:r>
          </w:p>
        </w:tc>
      </w:tr>
      <w:tr w:rsidR="00496804" w14:paraId="45D057D5"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D3" w14:textId="77777777" w:rsidR="00496804" w:rsidRDefault="0037359D">
            <w:pPr>
              <w:spacing w:line="240" w:lineRule="auto"/>
              <w:ind w:left="170"/>
              <w:rPr>
                <w:rFonts w:ascii="Times New Roman" w:hAnsi="Times New Roman"/>
                <w:sz w:val="24"/>
              </w:rPr>
            </w:pPr>
            <w:r>
              <w:rPr>
                <w:rFonts w:ascii="Times New Roman" w:hAnsi="Times New Roman"/>
                <w:sz w:val="24"/>
              </w:rPr>
              <w:lastRenderedPageBreak/>
              <w:t>RH</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D4" w14:textId="77777777" w:rsidR="00496804" w:rsidRDefault="0037359D">
            <w:pPr>
              <w:spacing w:line="240" w:lineRule="auto"/>
              <w:ind w:left="170"/>
              <w:rPr>
                <w:rFonts w:ascii="Times New Roman" w:hAnsi="Times New Roman"/>
                <w:sz w:val="24"/>
              </w:rPr>
            </w:pPr>
            <w:r>
              <w:rPr>
                <w:rFonts w:ascii="Times New Roman" w:hAnsi="Times New Roman"/>
                <w:sz w:val="24"/>
              </w:rPr>
              <w:t>Republika Hrvatska</w:t>
            </w:r>
          </w:p>
        </w:tc>
      </w:tr>
      <w:tr w:rsidR="00496804" w14:paraId="45D057D8"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D6" w14:textId="77777777" w:rsidR="00496804" w:rsidRDefault="0037359D">
            <w:pPr>
              <w:spacing w:line="240" w:lineRule="auto"/>
              <w:ind w:left="170"/>
              <w:rPr>
                <w:rFonts w:ascii="Times New Roman" w:hAnsi="Times New Roman"/>
                <w:sz w:val="24"/>
              </w:rPr>
            </w:pPr>
            <w:r>
              <w:rPr>
                <w:rFonts w:ascii="Times New Roman" w:hAnsi="Times New Roman"/>
                <w:sz w:val="24"/>
              </w:rPr>
              <w:t>ROO</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D7" w14:textId="77777777" w:rsidR="00496804" w:rsidRDefault="0037359D">
            <w:pPr>
              <w:spacing w:line="240" w:lineRule="auto"/>
              <w:ind w:left="170"/>
              <w:rPr>
                <w:rFonts w:ascii="Times New Roman" w:hAnsi="Times New Roman"/>
                <w:sz w:val="24"/>
              </w:rPr>
            </w:pPr>
            <w:r>
              <w:rPr>
                <w:rFonts w:ascii="Times New Roman" w:hAnsi="Times New Roman"/>
                <w:sz w:val="24"/>
              </w:rPr>
              <w:t>Registar onečišćavanja okoliša</w:t>
            </w:r>
          </w:p>
        </w:tc>
      </w:tr>
      <w:tr w:rsidR="00496804" w14:paraId="45D057DB"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D9" w14:textId="77777777" w:rsidR="00496804" w:rsidRDefault="0037359D">
            <w:pPr>
              <w:spacing w:line="240" w:lineRule="auto"/>
              <w:ind w:left="170"/>
              <w:rPr>
                <w:rFonts w:ascii="Times New Roman" w:hAnsi="Times New Roman"/>
                <w:sz w:val="24"/>
              </w:rPr>
            </w:pPr>
            <w:r>
              <w:rPr>
                <w:rFonts w:ascii="Times New Roman" w:hAnsi="Times New Roman"/>
                <w:sz w:val="24"/>
              </w:rPr>
              <w:t>SPRRH</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DA" w14:textId="77777777" w:rsidR="00496804" w:rsidRDefault="0037359D">
            <w:pPr>
              <w:spacing w:line="240" w:lineRule="auto"/>
              <w:ind w:left="170"/>
              <w:rPr>
                <w:rFonts w:ascii="Times New Roman" w:hAnsi="Times New Roman"/>
                <w:sz w:val="24"/>
              </w:rPr>
            </w:pPr>
            <w:r>
              <w:rPr>
                <w:rFonts w:ascii="Times New Roman" w:hAnsi="Times New Roman"/>
                <w:sz w:val="24"/>
              </w:rPr>
              <w:t>Strategija prostornog razvoja Republike Hrvatske</w:t>
            </w:r>
          </w:p>
        </w:tc>
      </w:tr>
      <w:tr w:rsidR="00496804" w14:paraId="45D057DE" w14:textId="77777777">
        <w:trPr>
          <w:cantSplit/>
          <w:trHeight w:hRule="exact" w:val="692"/>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DC" w14:textId="77777777" w:rsidR="00496804" w:rsidRDefault="0037359D">
            <w:pPr>
              <w:spacing w:line="240" w:lineRule="auto"/>
              <w:ind w:left="170"/>
              <w:rPr>
                <w:rFonts w:ascii="Times New Roman" w:hAnsi="Times New Roman"/>
                <w:sz w:val="24"/>
              </w:rPr>
            </w:pPr>
            <w:r>
              <w:rPr>
                <w:rFonts w:ascii="Times New Roman" w:hAnsi="Times New Roman"/>
                <w:sz w:val="24"/>
              </w:rPr>
              <w:t>SWOT</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DD" w14:textId="77777777" w:rsidR="00496804" w:rsidRDefault="0037359D">
            <w:pPr>
              <w:spacing w:line="240" w:lineRule="auto"/>
              <w:ind w:left="170"/>
              <w:jc w:val="left"/>
              <w:rPr>
                <w:rFonts w:ascii="Times New Roman" w:hAnsi="Times New Roman"/>
                <w:sz w:val="24"/>
              </w:rPr>
            </w:pPr>
            <w:r>
              <w:rPr>
                <w:rFonts w:ascii="Times New Roman" w:hAnsi="Times New Roman"/>
                <w:sz w:val="24"/>
              </w:rPr>
              <w:t>Analiza snaga, slabosti, prilika i prijetnji (eng. strengths, weaknesses, opportunities and threats Analysis)</w:t>
            </w:r>
          </w:p>
        </w:tc>
      </w:tr>
      <w:tr w:rsidR="00496804" w14:paraId="45D057E1"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DF" w14:textId="77777777" w:rsidR="00496804" w:rsidRDefault="0037359D">
            <w:pPr>
              <w:spacing w:line="240" w:lineRule="auto"/>
              <w:ind w:left="170"/>
              <w:rPr>
                <w:rFonts w:ascii="Times New Roman" w:hAnsi="Times New Roman"/>
                <w:sz w:val="24"/>
              </w:rPr>
            </w:pPr>
            <w:r>
              <w:rPr>
                <w:rFonts w:ascii="Times New Roman" w:hAnsi="Times New Roman"/>
                <w:sz w:val="24"/>
              </w:rPr>
              <w:t>TA 2020</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E0" w14:textId="77777777" w:rsidR="00496804" w:rsidRDefault="0037359D">
            <w:pPr>
              <w:spacing w:line="240" w:lineRule="auto"/>
              <w:ind w:left="170"/>
              <w:rPr>
                <w:rFonts w:ascii="Times New Roman" w:hAnsi="Times New Roman"/>
                <w:sz w:val="24"/>
              </w:rPr>
            </w:pPr>
            <w:r>
              <w:rPr>
                <w:rFonts w:ascii="Times New Roman" w:hAnsi="Times New Roman"/>
                <w:sz w:val="24"/>
              </w:rPr>
              <w:t>Teritorijalna agenda Europske unije 2020, iz 2007. godine</w:t>
            </w:r>
          </w:p>
        </w:tc>
      </w:tr>
      <w:tr w:rsidR="00496804" w14:paraId="45D057E4"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E2" w14:textId="77777777" w:rsidR="00496804" w:rsidRDefault="0037359D">
            <w:pPr>
              <w:spacing w:line="240" w:lineRule="auto"/>
              <w:ind w:left="170"/>
              <w:rPr>
                <w:rFonts w:ascii="Times New Roman" w:hAnsi="Times New Roman"/>
                <w:sz w:val="24"/>
              </w:rPr>
            </w:pPr>
            <w:r>
              <w:rPr>
                <w:rFonts w:ascii="Times New Roman" w:hAnsi="Times New Roman"/>
                <w:sz w:val="24"/>
              </w:rPr>
              <w:t>TA 2030</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E3" w14:textId="77777777" w:rsidR="00496804" w:rsidRDefault="0037359D">
            <w:pPr>
              <w:spacing w:line="240" w:lineRule="auto"/>
              <w:ind w:left="170"/>
              <w:rPr>
                <w:rFonts w:ascii="Times New Roman" w:hAnsi="Times New Roman"/>
                <w:sz w:val="24"/>
              </w:rPr>
            </w:pPr>
            <w:r>
              <w:rPr>
                <w:rFonts w:ascii="Times New Roman" w:hAnsi="Times New Roman"/>
                <w:sz w:val="24"/>
              </w:rPr>
              <w:t>Prijedlog Teritorijalne agende 2030</w:t>
            </w:r>
          </w:p>
        </w:tc>
      </w:tr>
      <w:tr w:rsidR="00496804" w14:paraId="45D057E7"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E5" w14:textId="77777777" w:rsidR="00496804" w:rsidRDefault="0037359D">
            <w:pPr>
              <w:spacing w:line="240" w:lineRule="auto"/>
              <w:ind w:left="170"/>
              <w:rPr>
                <w:rFonts w:ascii="Times New Roman" w:hAnsi="Times New Roman"/>
                <w:sz w:val="24"/>
              </w:rPr>
            </w:pPr>
            <w:r>
              <w:rPr>
                <w:rFonts w:ascii="Times New Roman" w:hAnsi="Times New Roman"/>
                <w:sz w:val="24"/>
              </w:rPr>
              <w:t>UFEU</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E6" w14:textId="77777777" w:rsidR="00496804" w:rsidRDefault="0037359D">
            <w:pPr>
              <w:spacing w:line="240" w:lineRule="auto"/>
              <w:ind w:left="170"/>
              <w:rPr>
                <w:rFonts w:ascii="Times New Roman" w:hAnsi="Times New Roman"/>
                <w:sz w:val="24"/>
              </w:rPr>
            </w:pPr>
            <w:r>
              <w:rPr>
                <w:rFonts w:ascii="Times New Roman" w:hAnsi="Times New Roman"/>
                <w:sz w:val="24"/>
              </w:rPr>
              <w:t>Ugovor o funkcioniranju Europske unije</w:t>
            </w:r>
          </w:p>
        </w:tc>
      </w:tr>
      <w:tr w:rsidR="00496804" w14:paraId="45D057EA"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E8" w14:textId="77777777" w:rsidR="00496804" w:rsidRDefault="0037359D">
            <w:pPr>
              <w:spacing w:line="240" w:lineRule="auto"/>
              <w:ind w:left="170"/>
              <w:rPr>
                <w:rFonts w:ascii="Times New Roman" w:hAnsi="Times New Roman"/>
                <w:sz w:val="24"/>
              </w:rPr>
            </w:pPr>
            <w:r>
              <w:rPr>
                <w:rFonts w:ascii="Times New Roman" w:hAnsi="Times New Roman"/>
                <w:sz w:val="24"/>
              </w:rPr>
              <w:t>UN</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E9" w14:textId="77777777" w:rsidR="00496804" w:rsidRDefault="0037359D">
            <w:pPr>
              <w:spacing w:line="240" w:lineRule="auto"/>
              <w:ind w:left="170"/>
              <w:rPr>
                <w:rFonts w:ascii="Times New Roman" w:hAnsi="Times New Roman"/>
                <w:sz w:val="24"/>
              </w:rPr>
            </w:pPr>
            <w:r>
              <w:rPr>
                <w:rFonts w:ascii="Times New Roman" w:hAnsi="Times New Roman"/>
                <w:sz w:val="24"/>
              </w:rPr>
              <w:t>Ujedinjeni narodi</w:t>
            </w:r>
          </w:p>
        </w:tc>
      </w:tr>
      <w:tr w:rsidR="00496804" w14:paraId="45D057ED" w14:textId="77777777">
        <w:trPr>
          <w:cantSplit/>
          <w:trHeight w:hRule="exact" w:val="340"/>
        </w:trPr>
        <w:tc>
          <w:tcPr>
            <w:tcW w:w="102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EB" w14:textId="77777777" w:rsidR="00496804" w:rsidRDefault="0037359D">
            <w:pPr>
              <w:spacing w:line="240" w:lineRule="auto"/>
              <w:ind w:left="170"/>
              <w:rPr>
                <w:rFonts w:ascii="Times New Roman" w:hAnsi="Times New Roman"/>
                <w:sz w:val="24"/>
              </w:rPr>
            </w:pPr>
            <w:r>
              <w:rPr>
                <w:rFonts w:ascii="Times New Roman" w:hAnsi="Times New Roman"/>
                <w:sz w:val="24"/>
              </w:rPr>
              <w:t>URBACT</w:t>
            </w:r>
          </w:p>
        </w:tc>
        <w:tc>
          <w:tcPr>
            <w:tcW w:w="3971"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5D057EC" w14:textId="77777777" w:rsidR="00496804" w:rsidRDefault="0037359D">
            <w:pPr>
              <w:spacing w:line="240" w:lineRule="auto"/>
              <w:ind w:left="170"/>
              <w:rPr>
                <w:rFonts w:ascii="Times New Roman" w:hAnsi="Times New Roman"/>
                <w:sz w:val="24"/>
              </w:rPr>
            </w:pPr>
            <w:r>
              <w:rPr>
                <w:rFonts w:ascii="Times New Roman" w:hAnsi="Times New Roman"/>
                <w:sz w:val="24"/>
              </w:rPr>
              <w:t>Program europske teritorijalne suradnje</w:t>
            </w:r>
          </w:p>
        </w:tc>
      </w:tr>
    </w:tbl>
    <w:p w14:paraId="45D057EE" w14:textId="77777777" w:rsidR="00496804" w:rsidRDefault="00496804">
      <w:pPr>
        <w:pStyle w:val="tekst"/>
        <w:spacing w:line="240" w:lineRule="auto"/>
        <w:rPr>
          <w:rFonts w:ascii="Times New Roman" w:hAnsi="Times New Roman" w:cs="Times New Roman"/>
          <w:sz w:val="24"/>
          <w:szCs w:val="24"/>
        </w:rPr>
      </w:pPr>
    </w:p>
    <w:p w14:paraId="45D057EF" w14:textId="77777777" w:rsidR="00496804" w:rsidRDefault="00496804">
      <w:pPr>
        <w:spacing w:line="240" w:lineRule="auto"/>
        <w:jc w:val="left"/>
        <w:rPr>
          <w:rFonts w:ascii="Times New Roman" w:hAnsi="Times New Roman"/>
          <w:sz w:val="24"/>
        </w:rPr>
      </w:pPr>
    </w:p>
    <w:p w14:paraId="45D057F0" w14:textId="77777777" w:rsidR="00496804" w:rsidRDefault="0037359D">
      <w:pPr>
        <w:spacing w:line="240" w:lineRule="auto"/>
        <w:jc w:val="left"/>
        <w:rPr>
          <w:rFonts w:ascii="Times New Roman" w:hAnsi="Times New Roman"/>
          <w:sz w:val="24"/>
          <w:lang w:eastAsia="hr-HR"/>
        </w:rPr>
      </w:pPr>
      <w:r>
        <w:rPr>
          <w:rFonts w:ascii="Times New Roman" w:hAnsi="Times New Roman"/>
          <w:sz w:val="24"/>
        </w:rPr>
        <w:br w:type="page"/>
      </w:r>
    </w:p>
    <w:p w14:paraId="45D057F1" w14:textId="77777777" w:rsidR="00496804" w:rsidRDefault="0037359D">
      <w:pPr>
        <w:pStyle w:val="Naslov10"/>
        <w:spacing w:line="240" w:lineRule="auto"/>
        <w:ind w:left="426" w:hanging="426"/>
        <w:outlineLvl w:val="0"/>
        <w:rPr>
          <w:rFonts w:ascii="Times New Roman" w:hAnsi="Times New Roman" w:cs="Times New Roman"/>
          <w:sz w:val="24"/>
          <w:szCs w:val="24"/>
        </w:rPr>
      </w:pPr>
      <w:bookmarkStart w:id="1" w:name="_Toc51851618"/>
      <w:r>
        <w:rPr>
          <w:rFonts w:ascii="Times New Roman" w:hAnsi="Times New Roman" w:cs="Times New Roman"/>
          <w:sz w:val="24"/>
          <w:szCs w:val="24"/>
        </w:rPr>
        <w:lastRenderedPageBreak/>
        <w:t>UVOD</w:t>
      </w:r>
      <w:bookmarkEnd w:id="1"/>
    </w:p>
    <w:p w14:paraId="45D057F2" w14:textId="77777777" w:rsidR="00496804" w:rsidRDefault="00496804">
      <w:pPr>
        <w:pStyle w:val="tekst"/>
        <w:spacing w:line="240" w:lineRule="auto"/>
        <w:rPr>
          <w:rFonts w:ascii="Times New Roman" w:hAnsi="Times New Roman" w:cs="Times New Roman"/>
          <w:sz w:val="24"/>
          <w:szCs w:val="24"/>
        </w:rPr>
      </w:pPr>
    </w:p>
    <w:p w14:paraId="45D057F3"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bCs/>
          <w:sz w:val="24"/>
          <w:szCs w:val="24"/>
        </w:rPr>
        <w:t>Program razvoja kružnog gospodarenja prostorom i zgradama</w:t>
      </w:r>
      <w:r>
        <w:rPr>
          <w:rFonts w:ascii="Times New Roman" w:hAnsi="Times New Roman" w:cs="Times New Roman"/>
          <w:sz w:val="24"/>
          <w:szCs w:val="24"/>
        </w:rPr>
        <w:t xml:space="preserve"> </w:t>
      </w:r>
      <w:r>
        <w:rPr>
          <w:rFonts w:ascii="Times New Roman" w:hAnsi="Times New Roman"/>
          <w:sz w:val="24"/>
        </w:rPr>
        <w:t>za razdoblje 2021. do 2030. godine</w:t>
      </w:r>
      <w:r>
        <w:rPr>
          <w:rFonts w:ascii="Times New Roman" w:hAnsi="Times New Roman" w:cs="Times New Roman"/>
          <w:sz w:val="24"/>
          <w:szCs w:val="24"/>
        </w:rPr>
        <w:t xml:space="preserve"> (u daljnjem tekstu: Program razvoja KG) izrađen je u cilju razvoja </w:t>
      </w:r>
      <w:bookmarkStart w:id="2" w:name="_Hlk32661897"/>
      <w:r>
        <w:rPr>
          <w:rFonts w:ascii="Times New Roman" w:hAnsi="Times New Roman" w:cs="Times New Roman"/>
          <w:sz w:val="24"/>
          <w:szCs w:val="24"/>
        </w:rPr>
        <w:t xml:space="preserve">održivih, uključivih, sigurnih i otpornih </w:t>
      </w:r>
      <w:bookmarkEnd w:id="2"/>
      <w:r>
        <w:rPr>
          <w:rFonts w:ascii="Times New Roman" w:hAnsi="Times New Roman" w:cs="Times New Roman"/>
          <w:sz w:val="24"/>
          <w:szCs w:val="24"/>
        </w:rPr>
        <w:t xml:space="preserve">gradova kroz poticanje mjera kružnosti kod planiranja novih zgrada i definiranja smjernica gradnje po načelima kružne ekonomije, poticanje ponovnog korištenja zgrada i prostora i produljenje trajnosti postojećih prostora i zgrada, poticanje mjera smanjenja količine građevnog otpada te povećanja energetske učinkovitosti i korištenja obnovljivih izvora energije (OIE) te ponovnog korištenja postojećih građevnih proizvoda i materijala. </w:t>
      </w:r>
    </w:p>
    <w:p w14:paraId="45D057F4" w14:textId="77777777" w:rsidR="00496804" w:rsidRDefault="00496804">
      <w:pPr>
        <w:pStyle w:val="tekst"/>
        <w:spacing w:line="240" w:lineRule="auto"/>
        <w:rPr>
          <w:rFonts w:ascii="Times New Roman" w:hAnsi="Times New Roman" w:cs="Times New Roman"/>
          <w:sz w:val="24"/>
          <w:szCs w:val="24"/>
        </w:rPr>
      </w:pPr>
    </w:p>
    <w:p w14:paraId="45D057F5"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Kružno gospodarenje prostorom i zgradama prepoznato je kao važan aspekt razvoja u </w:t>
      </w:r>
      <w:bookmarkStart w:id="3" w:name="_Hlk36840166"/>
      <w:r>
        <w:rPr>
          <w:rFonts w:ascii="Times New Roman" w:hAnsi="Times New Roman" w:cs="Times New Roman"/>
          <w:bCs/>
          <w:iCs/>
          <w:sz w:val="24"/>
          <w:szCs w:val="24"/>
        </w:rPr>
        <w:t>Strategiji prostornog razvoja Republike Hrvatske</w:t>
      </w:r>
      <w:bookmarkEnd w:id="3"/>
      <w:r>
        <w:rPr>
          <w:rFonts w:ascii="Times New Roman" w:hAnsi="Times New Roman" w:cs="Times New Roman"/>
          <w:bCs/>
          <w:iCs/>
          <w:sz w:val="24"/>
          <w:szCs w:val="24"/>
        </w:rPr>
        <w:t xml:space="preserve"> (SPRRH)</w:t>
      </w:r>
      <w:r>
        <w:rPr>
          <w:rStyle w:val="Referencafusnote"/>
          <w:rFonts w:ascii="Times New Roman" w:hAnsi="Times New Roman" w:cs="Times New Roman"/>
          <w:iCs/>
          <w:sz w:val="24"/>
          <w:szCs w:val="24"/>
        </w:rPr>
        <w:footnoteReference w:id="1"/>
      </w:r>
      <w:r>
        <w:rPr>
          <w:rFonts w:ascii="Times New Roman" w:hAnsi="Times New Roman" w:cs="Times New Roman"/>
          <w:sz w:val="24"/>
          <w:szCs w:val="24"/>
        </w:rPr>
        <w:t xml:space="preserve"> koju je</w:t>
      </w:r>
      <w:r>
        <w:rPr>
          <w:rFonts w:ascii="Times New Roman" w:hAnsi="Times New Roman" w:cs="Times New Roman"/>
          <w:iCs/>
          <w:sz w:val="24"/>
          <w:szCs w:val="24"/>
        </w:rPr>
        <w:t xml:space="preserve"> 2017. godine</w:t>
      </w:r>
      <w:r>
        <w:rPr>
          <w:rFonts w:ascii="Times New Roman" w:hAnsi="Times New Roman" w:cs="Times New Roman"/>
          <w:sz w:val="24"/>
          <w:szCs w:val="24"/>
        </w:rPr>
        <w:t xml:space="preserve"> donio Hrvatski Sabor kao usmjeravajući dokument koji se planski operacionalizira uz pomoć sustava prostornog planiranja na državnoj, područnoj (regionalnoj) i lokalnoj razini. SPRRH </w:t>
      </w:r>
      <w:r>
        <w:rPr>
          <w:rFonts w:ascii="Times New Roman" w:hAnsi="Times New Roman" w:cs="Times New Roman"/>
          <w:sz w:val="24"/>
          <w:szCs w:val="24"/>
          <w:shd w:val="clear" w:color="auto" w:fill="FFFFFF"/>
        </w:rPr>
        <w:t>kao temeljni državni dokument za usmjerenje razvoja u prostoru,</w:t>
      </w:r>
      <w:r>
        <w:rPr>
          <w:rFonts w:ascii="Times New Roman" w:hAnsi="Times New Roman" w:cs="Times New Roman"/>
          <w:sz w:val="24"/>
          <w:szCs w:val="24"/>
        </w:rPr>
        <w:t xml:space="preserve"> navodi važnost različitih aspekata kružnosti u održivom prostornom razvoju, poput ponovnog korištenja postojećih napuštenih prostora, revitalizacije </w:t>
      </w:r>
      <w:r>
        <w:rPr>
          <w:rFonts w:ascii="Times New Roman" w:hAnsi="Times New Roman" w:cs="Times New Roman"/>
          <w:i/>
          <w:iCs/>
          <w:sz w:val="24"/>
          <w:szCs w:val="24"/>
        </w:rPr>
        <w:t>brownfield</w:t>
      </w:r>
      <w:r>
        <w:rPr>
          <w:rFonts w:ascii="Times New Roman" w:hAnsi="Times New Roman" w:cs="Times New Roman"/>
          <w:sz w:val="24"/>
          <w:szCs w:val="24"/>
        </w:rPr>
        <w:t xml:space="preserve"> područja, ali i poticanja smanjenja stvaranja građevnog otpada. SPRRH također naglašava značaj povećanja energetske učinkovitosti u zgradarstvu.</w:t>
      </w:r>
    </w:p>
    <w:p w14:paraId="45D057F6" w14:textId="77777777" w:rsidR="00496804" w:rsidRDefault="00496804">
      <w:pPr>
        <w:pStyle w:val="tekst"/>
        <w:spacing w:line="240" w:lineRule="auto"/>
        <w:rPr>
          <w:rFonts w:ascii="Times New Roman" w:hAnsi="Times New Roman" w:cs="Times New Roman"/>
          <w:sz w:val="24"/>
          <w:szCs w:val="24"/>
        </w:rPr>
      </w:pPr>
    </w:p>
    <w:p w14:paraId="45D057F7"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Ostvarenje održive, klimatski neutralne i zelene Europe do 2050. godine jedan je od prioriteta EU, a Komunikacija Komisije Europskom parlamentu, Europskom vijeću, Vijeću, Europskom gospodarskom i socijalnom odboru i Odboru regija: Europski zeleni plan (COM(2019) 640 final) od 11.12.2019. godine</w:t>
      </w:r>
      <w:r>
        <w:rPr>
          <w:rStyle w:val="Referencafusnote"/>
          <w:rFonts w:ascii="Times New Roman" w:hAnsi="Times New Roman" w:cs="Times New Roman"/>
          <w:sz w:val="24"/>
          <w:szCs w:val="24"/>
        </w:rPr>
        <w:footnoteReference w:id="2"/>
      </w:r>
      <w:r>
        <w:rPr>
          <w:rFonts w:ascii="Times New Roman" w:hAnsi="Times New Roman" w:cs="Times New Roman"/>
          <w:sz w:val="24"/>
          <w:szCs w:val="24"/>
        </w:rPr>
        <w:t>, kao nova strategija rasta, nastoji EU preobraziti u pravedno i prosperitetno društvo s modernim, resursno učinkovitim i konkurentnim gospodarstvom u kojem 2050. godine neće biti neto emisija stakleničkih plinova, a gospodarski rast neće biti povezan s upotrebom resursa.</w:t>
      </w:r>
    </w:p>
    <w:p w14:paraId="45D057F8" w14:textId="77777777" w:rsidR="00496804" w:rsidRDefault="00496804">
      <w:pPr>
        <w:pStyle w:val="tekst"/>
        <w:spacing w:line="240" w:lineRule="auto"/>
        <w:rPr>
          <w:rFonts w:ascii="Times New Roman" w:hAnsi="Times New Roman" w:cs="Times New Roman"/>
          <w:sz w:val="24"/>
          <w:szCs w:val="24"/>
        </w:rPr>
      </w:pPr>
    </w:p>
    <w:p w14:paraId="45D057F9"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U urbanim područjima EU trenutačno živi 74% stanovništva. Urbana područja, posebice gradovi, prepoznati su kao pokretači ekonomskog rasta, a imaju najveći utjecaj na održivi razvoj. Važan čimbenik održivog razvoja je unaprjeđenje održivosti i otpornosti urbanih sredina, poboljšanje okoliša u gradovima i povećanje kvalitete života i zdravlja ljudi. Većina resursa koji se koriste u gradovima su u obliku zgrada, parkova i cesta i predstavljaju veliku količinu resursa u korištenju. Razvojem kružnog gospodarenja prostorom i zgradama pridonosi se smanjenju nastanka otpada jer će resursi ostati u daljnjoj uporabi u najvećoj mogućoj mjeri, a doprinosi se i povećanju prostorne učinkovitosti. </w:t>
      </w:r>
    </w:p>
    <w:p w14:paraId="45D057FA" w14:textId="77777777" w:rsidR="00496804" w:rsidRDefault="00496804">
      <w:pPr>
        <w:pStyle w:val="tekst"/>
        <w:spacing w:line="240" w:lineRule="auto"/>
        <w:rPr>
          <w:rFonts w:ascii="Times New Roman" w:hAnsi="Times New Roman" w:cs="Times New Roman"/>
          <w:sz w:val="24"/>
          <w:szCs w:val="24"/>
        </w:rPr>
      </w:pPr>
    </w:p>
    <w:p w14:paraId="45D057FB"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Građevinski fond RH se mijenja, a u većoj mjeri karakterizira ga značajan broj nekorištenih prostora i zgrada. </w:t>
      </w:r>
      <w:r>
        <w:rPr>
          <w:rFonts w:ascii="Times New Roman" w:hAnsi="Times New Roman" w:cs="Times New Roman"/>
          <w:iCs/>
          <w:sz w:val="24"/>
          <w:szCs w:val="24"/>
        </w:rPr>
        <w:t>Zakon o prostornom uređenju</w:t>
      </w:r>
      <w:r>
        <w:rPr>
          <w:rStyle w:val="Referencafusnote"/>
          <w:rFonts w:ascii="Times New Roman" w:hAnsi="Times New Roman" w:cs="Times New Roman"/>
          <w:iCs/>
          <w:sz w:val="24"/>
          <w:szCs w:val="24"/>
        </w:rPr>
        <w:footnoteReference w:id="3"/>
      </w:r>
      <w:r>
        <w:rPr>
          <w:rFonts w:ascii="Times New Roman" w:hAnsi="Times New Roman" w:cs="Times New Roman"/>
          <w:i/>
          <w:iCs/>
          <w:sz w:val="24"/>
          <w:szCs w:val="24"/>
        </w:rPr>
        <w:t xml:space="preserve"> </w:t>
      </w:r>
      <w:r>
        <w:rPr>
          <w:rFonts w:ascii="Times New Roman" w:hAnsi="Times New Roman" w:cs="Times New Roman"/>
          <w:sz w:val="24"/>
          <w:szCs w:val="24"/>
        </w:rPr>
        <w:t>navodi kako se održivi razvitak podržava kružnim gospodarenjem prostorom i građevinama tako da se očuvaju postojeći resursi uređenjem i revitalizacijom prostora i ponovnom uporabom građevina kako bi se stvorila dodatna duža vrijednost i omogućilo učinkovito gospodarenje resursima.</w:t>
      </w:r>
    </w:p>
    <w:p w14:paraId="45D057FC" w14:textId="77777777" w:rsidR="00496804" w:rsidRDefault="00496804">
      <w:pPr>
        <w:pStyle w:val="tekst"/>
        <w:spacing w:line="240" w:lineRule="auto"/>
        <w:rPr>
          <w:rFonts w:ascii="Times New Roman" w:hAnsi="Times New Roman" w:cs="Times New Roman"/>
          <w:sz w:val="24"/>
          <w:szCs w:val="24"/>
        </w:rPr>
      </w:pPr>
    </w:p>
    <w:p w14:paraId="45D057FD"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Postavljeni prioriteti ovog Programa su: revitalizacija nekorištenih prostora i zgrada i smjernice za planiranje novih zgrada po načelu modela kružnog gospodarstva, a mjere su usmjerene na povećanje trajnosti i c</w:t>
      </w:r>
      <w:r>
        <w:rPr>
          <w:rFonts w:ascii="Times New Roman" w:hAnsi="Times New Roman"/>
          <w:sz w:val="24"/>
        </w:rPr>
        <w:t>jeloživotnog</w:t>
      </w:r>
      <w:r>
        <w:rPr>
          <w:rFonts w:ascii="Times New Roman" w:hAnsi="Times New Roman" w:cs="Times New Roman"/>
          <w:sz w:val="24"/>
          <w:szCs w:val="24"/>
        </w:rPr>
        <w:t xml:space="preserve"> vijeka zgrada u prostoru, povećanje energetske učinkovitosti zgrada, te smanjenje nastanka građevnog otpada u cilju održivog razvoja. </w:t>
      </w:r>
    </w:p>
    <w:p w14:paraId="45D057FE" w14:textId="77777777" w:rsidR="00496804" w:rsidRDefault="00496804">
      <w:pPr>
        <w:pStyle w:val="tekst"/>
        <w:spacing w:line="240" w:lineRule="auto"/>
        <w:rPr>
          <w:rFonts w:ascii="Times New Roman" w:hAnsi="Times New Roman" w:cs="Times New Roman"/>
          <w:sz w:val="24"/>
          <w:szCs w:val="24"/>
        </w:rPr>
      </w:pPr>
    </w:p>
    <w:p w14:paraId="45D057FF"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Posebni ciljevi predloženi Programom razvoja KG su:</w:t>
      </w:r>
    </w:p>
    <w:p w14:paraId="45D05800" w14:textId="77777777" w:rsidR="00496804" w:rsidRDefault="00496804">
      <w:pPr>
        <w:pStyle w:val="tekst"/>
        <w:spacing w:line="240" w:lineRule="auto"/>
        <w:rPr>
          <w:rFonts w:ascii="Times New Roman" w:hAnsi="Times New Roman" w:cs="Times New Roman"/>
          <w:sz w:val="24"/>
          <w:szCs w:val="24"/>
        </w:rPr>
      </w:pPr>
    </w:p>
    <w:p w14:paraId="45D05801" w14:textId="77777777" w:rsidR="00496804" w:rsidRDefault="0037359D">
      <w:pPr>
        <w:pStyle w:val="Odlomakpopisa"/>
        <w:tabs>
          <w:tab w:val="left" w:pos="1560"/>
        </w:tabs>
        <w:spacing w:line="240" w:lineRule="auto"/>
        <w:ind w:left="1560" w:hanging="1560"/>
        <w:rPr>
          <w:rFonts w:ascii="Times New Roman" w:hAnsi="Times New Roman" w:cs="Times New Roman"/>
          <w:b w:val="0"/>
          <w:sz w:val="24"/>
        </w:rPr>
      </w:pPr>
      <w:r>
        <w:rPr>
          <w:rFonts w:ascii="Times New Roman" w:hAnsi="Times New Roman" w:cs="Times New Roman"/>
          <w:b w:val="0"/>
          <w:sz w:val="24"/>
        </w:rPr>
        <w:t xml:space="preserve">Posebni cilj 1. </w:t>
      </w:r>
      <w:r>
        <w:rPr>
          <w:rFonts w:ascii="Times New Roman" w:hAnsi="Times New Roman" w:cs="Times New Roman"/>
          <w:b w:val="0"/>
          <w:sz w:val="24"/>
        </w:rPr>
        <w:tab/>
        <w:t>Razvoj sustava kružnog gospodarenja prostorom i zgradama</w:t>
      </w:r>
    </w:p>
    <w:p w14:paraId="45D05802" w14:textId="77777777" w:rsidR="00496804" w:rsidRDefault="0037359D">
      <w:pPr>
        <w:pStyle w:val="Odlomakpopisa"/>
        <w:tabs>
          <w:tab w:val="left" w:pos="1560"/>
        </w:tabs>
        <w:spacing w:line="240" w:lineRule="auto"/>
        <w:ind w:left="1560" w:hanging="1560"/>
        <w:rPr>
          <w:rFonts w:ascii="Times New Roman" w:hAnsi="Times New Roman" w:cs="Times New Roman"/>
          <w:b w:val="0"/>
          <w:sz w:val="24"/>
        </w:rPr>
      </w:pPr>
      <w:r>
        <w:rPr>
          <w:rFonts w:ascii="Times New Roman" w:hAnsi="Times New Roman" w:cs="Times New Roman"/>
          <w:b w:val="0"/>
          <w:sz w:val="24"/>
        </w:rPr>
        <w:t xml:space="preserve">Posebni cilj 2. </w:t>
      </w:r>
      <w:r>
        <w:rPr>
          <w:rFonts w:ascii="Times New Roman" w:hAnsi="Times New Roman" w:cs="Times New Roman"/>
          <w:b w:val="0"/>
          <w:sz w:val="24"/>
        </w:rPr>
        <w:tab/>
        <w:t>Kružna obnova nekorištenih prostora i zgrada</w:t>
      </w:r>
    </w:p>
    <w:p w14:paraId="45D05803" w14:textId="77777777" w:rsidR="00496804" w:rsidRDefault="0037359D">
      <w:pPr>
        <w:pStyle w:val="Odlomakpopisa"/>
        <w:tabs>
          <w:tab w:val="left" w:pos="1560"/>
        </w:tabs>
        <w:spacing w:line="240" w:lineRule="auto"/>
        <w:ind w:left="1560" w:hanging="1560"/>
        <w:rPr>
          <w:rFonts w:ascii="Times New Roman" w:hAnsi="Times New Roman" w:cs="Times New Roman"/>
          <w:b w:val="0"/>
          <w:sz w:val="24"/>
        </w:rPr>
      </w:pPr>
      <w:r>
        <w:rPr>
          <w:rFonts w:ascii="Times New Roman" w:hAnsi="Times New Roman" w:cs="Times New Roman"/>
          <w:b w:val="0"/>
          <w:sz w:val="24"/>
        </w:rPr>
        <w:t>Posebni cilj 3.</w:t>
      </w:r>
      <w:r>
        <w:rPr>
          <w:rFonts w:ascii="Times New Roman" w:hAnsi="Times New Roman" w:cs="Times New Roman"/>
          <w:b w:val="0"/>
          <w:sz w:val="24"/>
        </w:rPr>
        <w:tab/>
        <w:t>Visoka razina znanja i društvene svijesti o kružnom gospodarenju prostorom i zgradama</w:t>
      </w:r>
    </w:p>
    <w:p w14:paraId="45D05804" w14:textId="77777777" w:rsidR="00496804" w:rsidRDefault="00496804">
      <w:pPr>
        <w:spacing w:line="240" w:lineRule="auto"/>
        <w:ind w:left="426"/>
        <w:rPr>
          <w:rFonts w:ascii="Times New Roman" w:hAnsi="Times New Roman"/>
          <w:sz w:val="24"/>
          <w:lang w:eastAsia="hr-HR"/>
        </w:rPr>
      </w:pPr>
    </w:p>
    <w:p w14:paraId="45D05805" w14:textId="77777777" w:rsidR="00496804" w:rsidRDefault="0037359D">
      <w:pPr>
        <w:pStyle w:val="tekst"/>
        <w:spacing w:line="240" w:lineRule="auto"/>
        <w:rPr>
          <w:rFonts w:ascii="Times New Roman" w:hAnsi="Times New Roman" w:cs="Times New Roman"/>
          <w:bCs/>
          <w:sz w:val="24"/>
          <w:szCs w:val="24"/>
        </w:rPr>
      </w:pPr>
      <w:r>
        <w:rPr>
          <w:rFonts w:ascii="Times New Roman" w:hAnsi="Times New Roman" w:cs="Times New Roman"/>
          <w:sz w:val="24"/>
          <w:szCs w:val="24"/>
        </w:rPr>
        <w:t xml:space="preserve">Svrha Programa razvoja KG je pružiti svim dionicima okvir za provedbu kružnog gospodarenja prostorom i zgradama. Ovim </w:t>
      </w:r>
      <w:r>
        <w:rPr>
          <w:rFonts w:ascii="Times New Roman" w:hAnsi="Times New Roman" w:cs="Times New Roman"/>
          <w:sz w:val="24"/>
          <w:szCs w:val="24"/>
          <w:u w:color="942192"/>
        </w:rPr>
        <w:t xml:space="preserve">Programom se prvenstveno nastoji potaknuti obnova postojećeg nacionalnog fonda zgrada prema načelima kružnog gospodarenja u svrhu </w:t>
      </w:r>
      <w:r>
        <w:rPr>
          <w:rFonts w:ascii="Times New Roman" w:hAnsi="Times New Roman" w:cs="Times New Roman"/>
          <w:sz w:val="24"/>
          <w:szCs w:val="24"/>
        </w:rPr>
        <w:t>produljenja c</w:t>
      </w:r>
      <w:r>
        <w:rPr>
          <w:rFonts w:ascii="Times New Roman" w:hAnsi="Times New Roman"/>
          <w:sz w:val="24"/>
        </w:rPr>
        <w:t>jeloživotnog</w:t>
      </w:r>
      <w:r>
        <w:rPr>
          <w:rFonts w:ascii="Times New Roman" w:hAnsi="Times New Roman" w:cs="Times New Roman"/>
          <w:sz w:val="24"/>
          <w:szCs w:val="24"/>
        </w:rPr>
        <w:t xml:space="preserve"> vijeka zgrada te potaknuti postupke oporabe građevnog otpada koji je nastao tijekom obnove. </w:t>
      </w:r>
      <w:r>
        <w:rPr>
          <w:rFonts w:ascii="Times New Roman" w:hAnsi="Times New Roman" w:cs="Times New Roman"/>
          <w:bCs/>
          <w:sz w:val="24"/>
          <w:szCs w:val="24"/>
        </w:rPr>
        <w:t xml:space="preserve">Program razvoja KG će stoga utvrditi stanje u prostoru RH i analizirati moguće primjene kružnog gospodarenja prostorom i zgradama, utvrditi potencijal, prepreke i prioritete razvoja kružnog gospodarenja prostorom i zgradama, identificirati i razraditi mjere i aktivnosti provedbe Programa, ocijeniti učinak definiranih mjera te izvora financiranja, a sve u skladu s obvezama i preporukama proizašlim iz međunarodnog i europskog okvira te nacionalnog strateškog i zakonodavnog okvira. </w:t>
      </w:r>
      <w:r>
        <w:rPr>
          <w:rFonts w:ascii="Times New Roman" w:hAnsi="Times New Roman" w:cs="Times New Roman"/>
          <w:sz w:val="24"/>
          <w:szCs w:val="24"/>
        </w:rPr>
        <w:t>Visoka razina znanja i društvene svijesti postići će se uključivanjem širokog kruga javnosti i dionika, informiranjem i edukacijom o kružnom gospodarenju prostorom i zgradama. Posebno važnu ulogu imaju kreatori politika na lokalnoj razini jer je uspješnost mjera usko vezana uz izradu razvojnih i prostornih planova na lokalnoj razini.</w:t>
      </w:r>
    </w:p>
    <w:p w14:paraId="45D05806" w14:textId="77777777" w:rsidR="00496804" w:rsidRDefault="00496804">
      <w:pPr>
        <w:spacing w:line="240" w:lineRule="auto"/>
        <w:rPr>
          <w:rFonts w:ascii="Times New Roman" w:hAnsi="Times New Roman"/>
          <w:sz w:val="24"/>
          <w:lang w:eastAsia="hr-HR"/>
        </w:rPr>
      </w:pPr>
    </w:p>
    <w:p w14:paraId="45D05807" w14:textId="77777777" w:rsidR="00496804" w:rsidRDefault="00496804">
      <w:pPr>
        <w:spacing w:line="240" w:lineRule="auto"/>
        <w:rPr>
          <w:rFonts w:ascii="Times New Roman" w:hAnsi="Times New Roman"/>
          <w:sz w:val="24"/>
          <w:lang w:eastAsia="hr-HR"/>
        </w:rPr>
      </w:pPr>
    </w:p>
    <w:p w14:paraId="45D05808" w14:textId="77777777" w:rsidR="00496804" w:rsidRDefault="0037359D">
      <w:pPr>
        <w:pStyle w:val="Naslov10"/>
        <w:spacing w:line="240" w:lineRule="auto"/>
        <w:ind w:left="426" w:hanging="426"/>
        <w:outlineLvl w:val="0"/>
        <w:rPr>
          <w:rFonts w:ascii="Times New Roman" w:hAnsi="Times New Roman" w:cs="Times New Roman"/>
          <w:sz w:val="24"/>
          <w:szCs w:val="24"/>
        </w:rPr>
      </w:pPr>
      <w:bookmarkStart w:id="4" w:name="_Toc31284790"/>
      <w:bookmarkStart w:id="5" w:name="_Toc31285284"/>
      <w:bookmarkStart w:id="6" w:name="_Toc31284157"/>
      <w:bookmarkStart w:id="7" w:name="_Toc31284617"/>
      <w:bookmarkStart w:id="8" w:name="_Toc31285344"/>
      <w:bookmarkStart w:id="9" w:name="_Toc31287506"/>
      <w:bookmarkStart w:id="10" w:name="_Toc31287657"/>
      <w:bookmarkStart w:id="11" w:name="_Toc31287809"/>
      <w:bookmarkStart w:id="12" w:name="_Toc31287961"/>
      <w:bookmarkStart w:id="13" w:name="_Toc31288113"/>
      <w:bookmarkStart w:id="14" w:name="_Toc31288265"/>
      <w:bookmarkStart w:id="15" w:name="_Toc31288296"/>
      <w:bookmarkStart w:id="16" w:name="_Toc31290319"/>
      <w:bookmarkStart w:id="17" w:name="_Toc31369388"/>
      <w:bookmarkStart w:id="18" w:name="_Toc31369706"/>
      <w:bookmarkStart w:id="19" w:name="_Toc31369766"/>
      <w:bookmarkStart w:id="20" w:name="_Toc31369813"/>
      <w:bookmarkStart w:id="21" w:name="_Toc31369893"/>
      <w:bookmarkStart w:id="22" w:name="_Toc31369926"/>
      <w:bookmarkStart w:id="23" w:name="_Toc31369975"/>
      <w:bookmarkStart w:id="24" w:name="_Toc31370224"/>
      <w:bookmarkStart w:id="25" w:name="_Toc51851619"/>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Pr>
          <w:rFonts w:ascii="Times New Roman" w:hAnsi="Times New Roman" w:cs="Times New Roman"/>
          <w:sz w:val="24"/>
          <w:szCs w:val="24"/>
        </w:rPr>
        <w:t>OKVIR I METODOLOGIJA IZRADE</w:t>
      </w:r>
      <w:bookmarkEnd w:id="25"/>
    </w:p>
    <w:p w14:paraId="45D05809" w14:textId="77777777" w:rsidR="00496804" w:rsidRDefault="00496804">
      <w:pPr>
        <w:spacing w:line="240" w:lineRule="auto"/>
        <w:rPr>
          <w:rFonts w:ascii="Times New Roman" w:hAnsi="Times New Roman"/>
          <w:sz w:val="24"/>
        </w:rPr>
      </w:pPr>
    </w:p>
    <w:p w14:paraId="45D0580A" w14:textId="77777777" w:rsidR="00496804" w:rsidRDefault="0037359D">
      <w:pPr>
        <w:pStyle w:val="Naslov2"/>
        <w:ind w:left="426" w:hanging="426"/>
        <w:rPr>
          <w:rFonts w:ascii="Times New Roman" w:hAnsi="Times New Roman" w:cs="Times New Roman"/>
          <w:color w:val="auto"/>
          <w:sz w:val="24"/>
          <w:szCs w:val="24"/>
        </w:rPr>
      </w:pPr>
      <w:bookmarkStart w:id="26" w:name="_Toc51851620"/>
      <w:r>
        <w:rPr>
          <w:rFonts w:ascii="Times New Roman" w:hAnsi="Times New Roman" w:cs="Times New Roman"/>
          <w:color w:val="auto"/>
          <w:sz w:val="24"/>
          <w:szCs w:val="24"/>
        </w:rPr>
        <w:t>MEĐUNARODNI KONTEKST</w:t>
      </w:r>
      <w:bookmarkEnd w:id="26"/>
    </w:p>
    <w:p w14:paraId="45D0580B" w14:textId="77777777" w:rsidR="00496804" w:rsidRDefault="00496804">
      <w:pPr>
        <w:spacing w:line="240" w:lineRule="auto"/>
        <w:rPr>
          <w:rFonts w:ascii="Times New Roman" w:hAnsi="Times New Roman"/>
          <w:sz w:val="24"/>
        </w:rPr>
      </w:pPr>
    </w:p>
    <w:p w14:paraId="45D0580C" w14:textId="77777777" w:rsidR="00496804" w:rsidRDefault="0037359D">
      <w:pPr>
        <w:pStyle w:val="tekst"/>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rPr>
        <w:t xml:space="preserve">Program razvoja KG  izrađen je u skladu s međunarodnim kontekstom koji obilježava razvojna politika usmjerena na održivi razvoj, u okviru koje kružno gospodarstvo ima izniman značaj. </w:t>
      </w:r>
    </w:p>
    <w:p w14:paraId="45D0580D" w14:textId="77777777" w:rsidR="00496804" w:rsidRDefault="00496804">
      <w:pPr>
        <w:pStyle w:val="tekst"/>
        <w:spacing w:line="240" w:lineRule="auto"/>
        <w:rPr>
          <w:rFonts w:ascii="Times New Roman" w:hAnsi="Times New Roman" w:cs="Times New Roman"/>
          <w:sz w:val="24"/>
          <w:szCs w:val="24"/>
        </w:rPr>
      </w:pPr>
    </w:p>
    <w:p w14:paraId="45D0580E" w14:textId="7C78D813"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bCs/>
          <w:iCs/>
          <w:sz w:val="24"/>
          <w:szCs w:val="24"/>
        </w:rPr>
        <w:t>Program Ujedinjenih Naroda za održivi razvoj 2030 (Program 2030)</w:t>
      </w:r>
      <w:r>
        <w:rPr>
          <w:rStyle w:val="Referencafusnote"/>
          <w:rFonts w:ascii="Times New Roman" w:hAnsi="Times New Roman" w:cs="Times New Roman"/>
          <w:sz w:val="24"/>
          <w:szCs w:val="24"/>
        </w:rPr>
        <w:footnoteReference w:id="4"/>
      </w:r>
      <w:r>
        <w:rPr>
          <w:rFonts w:ascii="Times New Roman" w:hAnsi="Times New Roman" w:cs="Times New Roman"/>
          <w:sz w:val="24"/>
          <w:szCs w:val="24"/>
        </w:rPr>
        <w:t xml:space="preserve"> usmjeren je prema ostvarenju održivog razvoja te predstavlja najvažniji dokument na međunarodnoj razini. Program 2030 postavlja 17 novih globalnih ciljeva održivog razvoja kojim se do 2030. godine nastoji zaustaviti svaki oblik siromaštva, riješiti problem klimatskih promjena, pojačati borbu protiv nejednakosti istovremeno osiguravajući da nitko ne bude isključen te doprinijeti održivom gospodarskom razvoju. Jedan od ciljeva Programa 2030 je cilj 11, a koji je usmjeren na razvoj uključivih, sigurnih, otpornih i održivih gradova i naselja, u kojemu važnu ulogu ima korištenje već postojećih prostora, sve u cilju sprečavanja nekontroliranog širenja građevinskih zemljišta. Kružno gospodarenje se, u određenoj mjeri, može povezati i s ostalim ciljevima Programa 2030, poput onih usmjerenih na borbu protiv klimatskih promjena i ublažavanje posljedica istih (cilj 13), odgovornu proizvodnju i korištenje (cilj 12) te razvoj otporne i prilagodljive infrastrukture (cilj 9). </w:t>
      </w:r>
      <w:r>
        <w:rPr>
          <w:rFonts w:ascii="Times New Roman" w:hAnsi="Times New Roman" w:cs="Times New Roman"/>
          <w:sz w:val="24"/>
          <w:szCs w:val="24"/>
          <w:u w:color="942192"/>
        </w:rPr>
        <w:t>Program razvoja KG osmišljava održivost na više međupovezanih razina (procesa i materijala) sa ciljem zadržavanja vrijednosti materijala tijekom čitavog procesa (proizvodnja i eksploatacija) i smanjenja proizvodnje otpada.</w:t>
      </w:r>
    </w:p>
    <w:p w14:paraId="45D0580F" w14:textId="77777777" w:rsidR="00496804" w:rsidRDefault="00496804">
      <w:pPr>
        <w:pStyle w:val="tekst"/>
        <w:spacing w:line="240" w:lineRule="auto"/>
        <w:rPr>
          <w:rFonts w:ascii="Times New Roman" w:hAnsi="Times New Roman" w:cs="Times New Roman"/>
          <w:sz w:val="24"/>
          <w:szCs w:val="24"/>
        </w:rPr>
      </w:pPr>
    </w:p>
    <w:p w14:paraId="45D05810"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Uz Program 2030 ističe se i Nova urbana agenda</w:t>
      </w:r>
      <w:r>
        <w:rPr>
          <w:rStyle w:val="Referencafusnote"/>
          <w:rFonts w:ascii="Times New Roman" w:hAnsi="Times New Roman" w:cs="Times New Roman"/>
          <w:sz w:val="24"/>
          <w:szCs w:val="24"/>
        </w:rPr>
        <w:footnoteReference w:id="5"/>
      </w:r>
      <w:r>
        <w:rPr>
          <w:rFonts w:ascii="Times New Roman" w:hAnsi="Times New Roman" w:cs="Times New Roman"/>
          <w:sz w:val="24"/>
          <w:szCs w:val="24"/>
        </w:rPr>
        <w:t xml:space="preserve"> usvojena 2016. godine od strane UN-a koja utvrđuje standarde i načela za planiranje, izgradnju, razvoj, upravljanje i poboljšanje urbanih područja, pri čemu također navodi značaj održivog korištenja prostornih resursa te kružnog </w:t>
      </w:r>
      <w:r>
        <w:rPr>
          <w:rFonts w:ascii="Times New Roman" w:hAnsi="Times New Roman" w:cs="Times New Roman"/>
          <w:sz w:val="24"/>
          <w:szCs w:val="24"/>
        </w:rPr>
        <w:lastRenderedPageBreak/>
        <w:t>gospodarenja. Prema podacima koje UN navodi u publikaciji Revision of World Urbanization Prospects</w:t>
      </w:r>
      <w:r>
        <w:rPr>
          <w:rStyle w:val="Referencafusnote"/>
          <w:rFonts w:ascii="Times New Roman" w:hAnsi="Times New Roman" w:cs="Times New Roman"/>
          <w:sz w:val="24"/>
          <w:szCs w:val="24"/>
        </w:rPr>
        <w:footnoteReference w:id="6"/>
      </w:r>
      <w:r>
        <w:rPr>
          <w:rFonts w:ascii="Times New Roman" w:hAnsi="Times New Roman" w:cs="Times New Roman"/>
          <w:sz w:val="24"/>
          <w:szCs w:val="24"/>
        </w:rPr>
        <w:t xml:space="preserve"> iz 2018. godine, danas više od 55% svjetske populacije živi u gradovima, a projekcija je da će do 2050. godine taj udio biti znatno veći. Razumijevanje i primjena novih trendova u procesima urbanizacije koja će se odvijati tijekom nekoliko sljedećih godina presudna je za stvaranje okvira održivog urbanog razvoja. Održivi razvoj je onaj koji „zadovoljava potrebe današnjice, a pritom ne ugrožava potrebe budućih generacija“ prema definiciji Brundtlandske komisije. </w:t>
      </w:r>
    </w:p>
    <w:p w14:paraId="45D05811" w14:textId="77777777" w:rsidR="00496804" w:rsidRDefault="00496804">
      <w:pPr>
        <w:pStyle w:val="tekst"/>
        <w:spacing w:line="240" w:lineRule="auto"/>
        <w:rPr>
          <w:rFonts w:ascii="Times New Roman" w:hAnsi="Times New Roman" w:cs="Times New Roman"/>
          <w:sz w:val="24"/>
          <w:szCs w:val="24"/>
        </w:rPr>
      </w:pPr>
    </w:p>
    <w:p w14:paraId="45D05812"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S obzirom na značaj kružnog gospodarenja prostorom i zgradama s aspekta doprinosa energetskoj učinkovitosti i borbi protiv klimatskih promjena, bitno je istaknuti doprinos Programa razvoja KG </w:t>
      </w:r>
      <w:r>
        <w:rPr>
          <w:rFonts w:ascii="Times New Roman" w:hAnsi="Times New Roman" w:cs="Times New Roman"/>
          <w:bCs/>
          <w:sz w:val="24"/>
          <w:szCs w:val="24"/>
        </w:rPr>
        <w:t>Pariškom sporazumu</w:t>
      </w:r>
      <w:r>
        <w:rPr>
          <w:rStyle w:val="Referencafusnote"/>
          <w:rFonts w:ascii="Times New Roman" w:hAnsi="Times New Roman" w:cs="Times New Roman"/>
          <w:sz w:val="24"/>
          <w:szCs w:val="24"/>
        </w:rPr>
        <w:footnoteReference w:id="7"/>
      </w:r>
      <w:r>
        <w:rPr>
          <w:rFonts w:ascii="Times New Roman" w:hAnsi="Times New Roman" w:cs="Times New Roman"/>
          <w:sz w:val="24"/>
          <w:szCs w:val="24"/>
        </w:rPr>
        <w:t xml:space="preserve"> kojim su se države članice EU obvezale do 2030. godine smanjiti emisije stakleničkih plinova za najmanje 40% i doprinijeti ograničenju rasta globalne temperature na manje od 2˚C u odnosu na predindustrijsku razinu. </w:t>
      </w:r>
    </w:p>
    <w:p w14:paraId="45D05813" w14:textId="77777777" w:rsidR="00496804" w:rsidRDefault="00496804">
      <w:pPr>
        <w:pStyle w:val="tekst"/>
        <w:spacing w:line="240" w:lineRule="auto"/>
        <w:rPr>
          <w:rFonts w:ascii="Times New Roman" w:hAnsi="Times New Roman" w:cs="Times New Roman"/>
          <w:sz w:val="24"/>
          <w:szCs w:val="24"/>
          <w:u w:color="942192"/>
        </w:rPr>
      </w:pPr>
    </w:p>
    <w:p w14:paraId="45D05814"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bCs/>
          <w:sz w:val="24"/>
          <w:szCs w:val="24"/>
        </w:rPr>
        <w:t>Strategija Europa 2020</w:t>
      </w:r>
      <w:r>
        <w:rPr>
          <w:rStyle w:val="Referencafusnote"/>
          <w:rFonts w:ascii="Times New Roman" w:hAnsi="Times New Roman" w:cs="Times New Roman"/>
          <w:sz w:val="24"/>
          <w:szCs w:val="24"/>
        </w:rPr>
        <w:footnoteReference w:id="8"/>
      </w:r>
      <w:r>
        <w:rPr>
          <w:rFonts w:ascii="Times New Roman" w:hAnsi="Times New Roman" w:cs="Times New Roman"/>
          <w:sz w:val="24"/>
          <w:szCs w:val="24"/>
        </w:rPr>
        <w:t xml:space="preserve"> naglašavala je pametan, održiv i uključiv rast kao način prevladavanja strukturnih slabosti europskog gospodarstva i poboljšanja njegove konkurentnosti i produktivnosti te podupiranja održivog socijalnog tržišnog gospodarstva, a danas Urbana agenda za EU</w:t>
      </w:r>
      <w:r>
        <w:rPr>
          <w:rStyle w:val="Referencafusnote"/>
          <w:rFonts w:ascii="Times New Roman" w:hAnsi="Times New Roman" w:cs="Times New Roman"/>
          <w:bCs/>
          <w:sz w:val="24"/>
          <w:szCs w:val="24"/>
        </w:rPr>
        <w:footnoteReference w:id="9"/>
      </w:r>
      <w:r>
        <w:rPr>
          <w:rFonts w:ascii="Times New Roman" w:hAnsi="Times New Roman" w:cs="Times New Roman"/>
          <w:sz w:val="24"/>
          <w:szCs w:val="24"/>
        </w:rPr>
        <w:t xml:space="preserve"> (kao prilog Amsterdamskog pakta) ističe kružno gospodarstvo kao jedan od svojih prioriteta </w:t>
      </w:r>
      <w:r>
        <w:rPr>
          <w:rFonts w:ascii="Times New Roman" w:hAnsi="Times New Roman" w:cs="Times New Roman"/>
          <w:iCs/>
          <w:sz w:val="24"/>
          <w:szCs w:val="24"/>
        </w:rPr>
        <w:t>(Partnership on Circular Economy)</w:t>
      </w:r>
      <w:r>
        <w:rPr>
          <w:rFonts w:ascii="Times New Roman" w:hAnsi="Times New Roman" w:cs="Times New Roman"/>
          <w:sz w:val="24"/>
          <w:szCs w:val="24"/>
        </w:rPr>
        <w:t>. Partnerstvo za kružno gospodarstvo u dokumentu Akcijski plan za kružno gospodarstvo</w:t>
      </w:r>
      <w:r>
        <w:rPr>
          <w:rStyle w:val="Referencafusnote"/>
          <w:rFonts w:ascii="Times New Roman" w:hAnsi="Times New Roman" w:cs="Times New Roman"/>
          <w:sz w:val="24"/>
          <w:szCs w:val="24"/>
        </w:rPr>
        <w:footnoteReference w:id="10"/>
      </w:r>
      <w:r>
        <w:rPr>
          <w:rFonts w:ascii="Times New Roman" w:hAnsi="Times New Roman" w:cs="Times New Roman"/>
          <w:sz w:val="24"/>
          <w:szCs w:val="24"/>
        </w:rPr>
        <w:t xml:space="preserve"> ističe da će većina zgrada koje će se ovdje nalaziti 2050. godine već sada postoje u prostoru te će im biti potrebna obnova kako bi se postigli ciljevi smanjenja emisija CO</w:t>
      </w:r>
      <w:r>
        <w:rPr>
          <w:rFonts w:ascii="Times New Roman" w:hAnsi="Times New Roman" w:cs="Times New Roman"/>
          <w:sz w:val="24"/>
          <w:szCs w:val="24"/>
          <w:vertAlign w:val="subscript"/>
        </w:rPr>
        <w:t>2</w:t>
      </w:r>
      <w:r>
        <w:rPr>
          <w:rFonts w:ascii="Times New Roman" w:hAnsi="Times New Roman" w:cs="Times New Roman"/>
          <w:sz w:val="24"/>
          <w:szCs w:val="24"/>
        </w:rPr>
        <w:t>. Kontinuirano održavanje postojećih zgrada neophodno je kako bi se omogućilo kružno upravljanje i spriječio nastanak otpada, a postojeći građevinski fond bi trebao biti u odgovarajućoj namjeni. U ovoj novoj kružnoj viziji grada nekorištenu zgradu treba promatrati kao resurs, a rušenje izbjegavati. U tom smislu potrebno je razmatrati i inovativne oblike urbanog upravljanja na lokalnoj razini potrebne za promicanje tranzicije prema kružnom gradu, s posebnim naglaskom na jačanje zaposlenosti, pokretanje novih poduzeća i nove poslovne modele.</w:t>
      </w:r>
    </w:p>
    <w:p w14:paraId="45D05815" w14:textId="77777777" w:rsidR="00496804" w:rsidRDefault="00496804">
      <w:pPr>
        <w:pStyle w:val="tekst"/>
        <w:spacing w:line="240" w:lineRule="auto"/>
        <w:rPr>
          <w:rFonts w:ascii="Times New Roman" w:hAnsi="Times New Roman" w:cs="Times New Roman"/>
          <w:sz w:val="24"/>
          <w:szCs w:val="24"/>
        </w:rPr>
      </w:pPr>
    </w:p>
    <w:p w14:paraId="45D05816" w14:textId="7B3BCDA0" w:rsidR="00496804" w:rsidRDefault="0037359D">
      <w:pPr>
        <w:spacing w:line="240" w:lineRule="auto"/>
        <w:rPr>
          <w:rFonts w:ascii="Times New Roman" w:hAnsi="Times New Roman"/>
          <w:sz w:val="24"/>
        </w:rPr>
      </w:pPr>
      <w:r>
        <w:rPr>
          <w:rFonts w:ascii="Times New Roman" w:hAnsi="Times New Roman"/>
          <w:bCs/>
          <w:sz w:val="24"/>
        </w:rPr>
        <w:t>Teritorijalna agenda Europske unije 2020 (TA 2020)</w:t>
      </w:r>
      <w:r>
        <w:rPr>
          <w:rStyle w:val="Referencafusnote"/>
          <w:rFonts w:ascii="Times New Roman" w:hAnsi="Times New Roman"/>
          <w:sz w:val="24"/>
        </w:rPr>
        <w:footnoteReference w:id="11"/>
      </w:r>
      <w:r>
        <w:rPr>
          <w:rFonts w:ascii="Times New Roman" w:hAnsi="Times New Roman"/>
          <w:sz w:val="24"/>
        </w:rPr>
        <w:t xml:space="preserve"> iz 2007. godine, ističe da klimatske promjene mogu dovesti do novih mogućnosti razvoja, npr. u području poljoprivrede, zelenog gospodarstva i proizvodnje obnovljive energije, a mogućnosti regija u tom se smislu razlikuju. Ekološke vrijednosti, okolišna kakvoća i kulturna dobra ključna su za dobrobit i gospodarska perspektiva, a njihova prekomjerna eksploatacija kako bi se zadovoljila povećana potražnja kao i industrijski rizici, može uzrokovati značajnu štetu te može biti prijetnja teritorijalnom razvoju. </w:t>
      </w:r>
      <w:r w:rsidR="00CC2B22">
        <w:rPr>
          <w:rFonts w:ascii="Times New Roman" w:hAnsi="Times New Roman"/>
          <w:bCs/>
          <w:sz w:val="24"/>
        </w:rPr>
        <w:t xml:space="preserve">Teritorijalna </w:t>
      </w:r>
      <w:r w:rsidR="00CC2B22">
        <w:rPr>
          <w:rFonts w:ascii="Times New Roman" w:hAnsi="Times New Roman"/>
          <w:sz w:val="24"/>
        </w:rPr>
        <w:t>a</w:t>
      </w:r>
      <w:r w:rsidR="00CC2B22">
        <w:rPr>
          <w:rFonts w:ascii="Times New Roman" w:hAnsi="Times New Roman"/>
          <w:bCs/>
          <w:sz w:val="24"/>
        </w:rPr>
        <w:t xml:space="preserve">genda </w:t>
      </w:r>
      <w:r>
        <w:rPr>
          <w:rFonts w:ascii="Times New Roman" w:hAnsi="Times New Roman"/>
          <w:bCs/>
          <w:sz w:val="24"/>
        </w:rPr>
        <w:t>2030</w:t>
      </w:r>
      <w:r>
        <w:rPr>
          <w:rFonts w:ascii="Times New Roman" w:hAnsi="Times New Roman"/>
          <w:b/>
          <w:bCs/>
          <w:sz w:val="24"/>
        </w:rPr>
        <w:t xml:space="preserve"> </w:t>
      </w:r>
      <w:r>
        <w:rPr>
          <w:rFonts w:ascii="Times New Roman" w:hAnsi="Times New Roman"/>
          <w:bCs/>
          <w:sz w:val="24"/>
        </w:rPr>
        <w:t>(TA 2030)</w:t>
      </w:r>
      <w:r>
        <w:rPr>
          <w:rStyle w:val="Referencafusnote"/>
          <w:rFonts w:ascii="Times New Roman" w:hAnsi="Times New Roman"/>
          <w:sz w:val="24"/>
        </w:rPr>
        <w:footnoteReference w:id="12"/>
      </w:r>
      <w:r>
        <w:rPr>
          <w:rFonts w:ascii="Times New Roman" w:hAnsi="Times New Roman"/>
          <w:sz w:val="24"/>
        </w:rPr>
        <w:t xml:space="preserve">, predstavlja strateški okvir za prostorno planiranje s naglašenim teritorijalnim pristupom u svim razvojnim politikama. TA 2030 predstavlja reviziju TA 2020 iz 2007. godine, koja je dijelom izmijenjena 2011. godine te </w:t>
      </w:r>
      <w:r w:rsidR="002A57AB">
        <w:rPr>
          <w:rFonts w:ascii="Times New Roman" w:hAnsi="Times New Roman"/>
          <w:sz w:val="24"/>
        </w:rPr>
        <w:t xml:space="preserve">je usvojena </w:t>
      </w:r>
      <w:r>
        <w:rPr>
          <w:rFonts w:ascii="Times New Roman" w:hAnsi="Times New Roman"/>
          <w:sz w:val="24"/>
        </w:rPr>
        <w:t xml:space="preserve"> u prosincu 2020. godine tijekom predsjedanja Savezne Republike Njemačke Vijećem EU. TA 2030 želi omogućiti provedbeni okvir za potporu razvoju teritorijalne kohezije u Europi. Jedan od ciljeva je Zelena Europa koja između ostalog promovira prijelaz na kružno gospodarstvo unutar kojeg se planira razvoj snažnih i održivih lokalnih gospodarstva, te potpora izradi strategija za energetsku tranziciju i mjerama održivog razvoja u građevinskom, transportnom i bioekonomskom području.</w:t>
      </w:r>
    </w:p>
    <w:p w14:paraId="45D05817" w14:textId="77777777" w:rsidR="00496804" w:rsidRDefault="00496804">
      <w:pPr>
        <w:pStyle w:val="tekst"/>
        <w:spacing w:line="240" w:lineRule="auto"/>
        <w:rPr>
          <w:rFonts w:ascii="Times New Roman" w:hAnsi="Times New Roman" w:cs="Times New Roman"/>
          <w:sz w:val="24"/>
          <w:szCs w:val="24"/>
        </w:rPr>
      </w:pPr>
    </w:p>
    <w:p w14:paraId="45D05818" w14:textId="023337CF" w:rsidR="00496804" w:rsidRDefault="00C13A52">
      <w:pPr>
        <w:pStyle w:val="tekst"/>
        <w:spacing w:line="240" w:lineRule="auto"/>
        <w:rPr>
          <w:rFonts w:ascii="Times New Roman" w:hAnsi="Times New Roman" w:cs="Times New Roman"/>
          <w:sz w:val="24"/>
          <w:szCs w:val="24"/>
        </w:rPr>
      </w:pPr>
      <w:r>
        <w:rPr>
          <w:rFonts w:ascii="Times New Roman" w:hAnsi="Times New Roman" w:cs="Times New Roman"/>
          <w:bCs/>
          <w:sz w:val="24"/>
          <w:szCs w:val="24"/>
        </w:rPr>
        <w:lastRenderedPageBreak/>
        <w:t xml:space="preserve">Nova povelja </w:t>
      </w:r>
      <w:r w:rsidR="0037359D">
        <w:rPr>
          <w:rFonts w:ascii="Times New Roman" w:hAnsi="Times New Roman" w:cs="Times New Roman"/>
          <w:bCs/>
          <w:sz w:val="24"/>
          <w:szCs w:val="24"/>
        </w:rPr>
        <w:t>iz Leipziga</w:t>
      </w:r>
      <w:r w:rsidR="00FF0E17">
        <w:rPr>
          <w:rStyle w:val="Referencafusnote"/>
          <w:rFonts w:ascii="Times New Roman" w:hAnsi="Times New Roman" w:cs="Times New Roman"/>
          <w:bCs/>
          <w:sz w:val="24"/>
          <w:szCs w:val="24"/>
        </w:rPr>
        <w:footnoteReference w:id="13"/>
      </w:r>
      <w:r w:rsidR="0037359D">
        <w:rPr>
          <w:rFonts w:ascii="Times New Roman" w:hAnsi="Times New Roman" w:cs="Times New Roman"/>
          <w:sz w:val="24"/>
          <w:szCs w:val="24"/>
        </w:rPr>
        <w:t xml:space="preserve">, </w:t>
      </w:r>
      <w:r w:rsidR="00DF3A64">
        <w:rPr>
          <w:rFonts w:ascii="Times New Roman" w:hAnsi="Times New Roman" w:cs="Times New Roman"/>
          <w:sz w:val="24"/>
          <w:szCs w:val="24"/>
        </w:rPr>
        <w:t xml:space="preserve">usvojena </w:t>
      </w:r>
      <w:r w:rsidR="0037359D">
        <w:rPr>
          <w:rFonts w:ascii="Times New Roman" w:hAnsi="Times New Roman" w:cs="Times New Roman"/>
          <w:sz w:val="24"/>
          <w:szCs w:val="24"/>
        </w:rPr>
        <w:t xml:space="preserve">u </w:t>
      </w:r>
      <w:r w:rsidR="00DF3A64">
        <w:rPr>
          <w:rFonts w:ascii="Times New Roman" w:hAnsi="Times New Roman" w:cs="Times New Roman"/>
          <w:sz w:val="24"/>
          <w:szCs w:val="24"/>
        </w:rPr>
        <w:t xml:space="preserve">studenom </w:t>
      </w:r>
      <w:r w:rsidR="0037359D">
        <w:rPr>
          <w:rFonts w:ascii="Times New Roman" w:hAnsi="Times New Roman" w:cs="Times New Roman"/>
          <w:sz w:val="24"/>
          <w:szCs w:val="24"/>
        </w:rPr>
        <w:t xml:space="preserve">2020. godine tijekom predsjedanja </w:t>
      </w:r>
      <w:r w:rsidR="0037359D">
        <w:rPr>
          <w:rFonts w:ascii="Times New Roman" w:hAnsi="Times New Roman"/>
          <w:sz w:val="24"/>
        </w:rPr>
        <w:t xml:space="preserve">Savezne Republike Njemačke </w:t>
      </w:r>
      <w:r w:rsidR="0037359D">
        <w:rPr>
          <w:rFonts w:ascii="Times New Roman" w:hAnsi="Times New Roman" w:cs="Times New Roman"/>
          <w:sz w:val="24"/>
          <w:szCs w:val="24"/>
        </w:rPr>
        <w:t>Vijećem EU, nadovezuje se na Leipzišku povelju o održivim europskim gradovima usvojenu 2007. godine. Novi strateški dokument za razvoj urbanih područja ima i nadalje isti ključni cilj: promovirati integrirani urbani razvoj. Dokument sagledava nove okolnosti posebice vezano za klimatske promjene, demografske izazove i promjene u gospodarskim djelatnostima. Jedan od razvojnih smjerova koji doprinosi stvaranju otpornih urbanih područja je Učinkoviti grad (</w:t>
      </w:r>
      <w:r w:rsidR="0037359D" w:rsidRPr="00DE47F2">
        <w:rPr>
          <w:rFonts w:ascii="Times New Roman" w:hAnsi="Times New Roman" w:cs="Times New Roman"/>
          <w:sz w:val="24"/>
          <w:szCs w:val="24"/>
          <w:lang w:val="en-GB"/>
        </w:rPr>
        <w:t>Productive</w:t>
      </w:r>
      <w:r w:rsidR="0037359D">
        <w:rPr>
          <w:rFonts w:ascii="Times New Roman" w:hAnsi="Times New Roman" w:cs="Times New Roman"/>
          <w:sz w:val="24"/>
          <w:szCs w:val="24"/>
        </w:rPr>
        <w:t xml:space="preserve"> City), u kojem se navodi da u gradovima treba razvijati priuštive i pristupačne prostore (</w:t>
      </w:r>
      <w:r w:rsidR="0037359D" w:rsidRPr="00DE47F2">
        <w:rPr>
          <w:rFonts w:ascii="Times New Roman" w:hAnsi="Times New Roman" w:cs="Times New Roman"/>
          <w:sz w:val="24"/>
          <w:szCs w:val="24"/>
          <w:lang w:val="en-GB"/>
        </w:rPr>
        <w:t>affordable and accessible</w:t>
      </w:r>
      <w:r w:rsidR="0037359D">
        <w:rPr>
          <w:rFonts w:ascii="Times New Roman" w:hAnsi="Times New Roman" w:cs="Times New Roman"/>
          <w:sz w:val="24"/>
          <w:szCs w:val="24"/>
        </w:rPr>
        <w:t>), a integralni prostori su dio urbanog planiranja i doprinose razvoju kružnog gospodarstva.</w:t>
      </w:r>
    </w:p>
    <w:p w14:paraId="45D05819" w14:textId="77777777" w:rsidR="00496804" w:rsidRDefault="00496804">
      <w:pPr>
        <w:pStyle w:val="tekst"/>
        <w:spacing w:line="240" w:lineRule="auto"/>
        <w:rPr>
          <w:rFonts w:ascii="Times New Roman" w:hAnsi="Times New Roman" w:cs="Times New Roman"/>
          <w:sz w:val="24"/>
          <w:szCs w:val="24"/>
        </w:rPr>
      </w:pPr>
    </w:p>
    <w:p w14:paraId="45D0581A"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Navedeni prioriteti, kao i mnogi drugi, objedinjeni su krajem 2019. godine u </w:t>
      </w:r>
      <w:r>
        <w:rPr>
          <w:rFonts w:ascii="Times New Roman" w:hAnsi="Times New Roman" w:cs="Times New Roman"/>
          <w:bCs/>
          <w:sz w:val="24"/>
          <w:szCs w:val="24"/>
        </w:rPr>
        <w:t>Europskom zelenom planu (EZP)</w:t>
      </w:r>
      <w:r>
        <w:rPr>
          <w:rFonts w:ascii="Times New Roman" w:hAnsi="Times New Roman" w:cs="Times New Roman"/>
          <w:sz w:val="24"/>
          <w:szCs w:val="24"/>
        </w:rPr>
        <w:t xml:space="preserve">, koji je sastavni dio strategije EK za provedbu </w:t>
      </w:r>
      <w:r>
        <w:rPr>
          <w:rFonts w:ascii="Times New Roman" w:hAnsi="Times New Roman" w:cs="Times New Roman"/>
          <w:iCs/>
          <w:sz w:val="24"/>
          <w:szCs w:val="24"/>
        </w:rPr>
        <w:t>Programa</w:t>
      </w:r>
      <w:r>
        <w:rPr>
          <w:rFonts w:ascii="Times New Roman" w:hAnsi="Times New Roman" w:cs="Times New Roman"/>
          <w:i/>
          <w:iCs/>
          <w:sz w:val="24"/>
          <w:szCs w:val="24"/>
        </w:rPr>
        <w:t xml:space="preserve"> </w:t>
      </w:r>
      <w:r>
        <w:rPr>
          <w:rFonts w:ascii="Times New Roman" w:hAnsi="Times New Roman" w:cs="Times New Roman"/>
          <w:iCs/>
          <w:sz w:val="24"/>
          <w:szCs w:val="24"/>
        </w:rPr>
        <w:t>2030</w:t>
      </w:r>
      <w:r>
        <w:rPr>
          <w:rFonts w:ascii="Times New Roman" w:hAnsi="Times New Roman" w:cs="Times New Roman"/>
          <w:i/>
          <w:iCs/>
          <w:sz w:val="24"/>
          <w:szCs w:val="24"/>
        </w:rPr>
        <w:t>.</w:t>
      </w:r>
      <w:r>
        <w:rPr>
          <w:rFonts w:ascii="Times New Roman" w:hAnsi="Times New Roman" w:cs="Times New Roman"/>
          <w:sz w:val="24"/>
          <w:szCs w:val="24"/>
        </w:rPr>
        <w:t xml:space="preserve"> i ciljeva održivog razvoja, te drugih prioriteta kojima se predviđa niz mjera sa ciljem postizanja klimatski neutralne Europe do 2050. godine. To je nova strategija rasta kojom se EU nastoji preobraziti u pravedno i prosperitetno društvo s modernim, resursno učinkovitim i konkurentnim gospodarstvom u kojem 2050. godine neće biti neto emisija stakleničkih plinova i u kojem gospodarski rast nije povezan s upotrebom resursa. Mjere koje su predviđene usmjerene su na dekarbonizaciju sektora energetike, obnovu građevnog fonda, inovacije i razvoj industrije i temu mobilnosti EZP, Područje politike ”</w:t>
      </w:r>
      <w:r>
        <w:t xml:space="preserve"> </w:t>
      </w:r>
      <w:r>
        <w:rPr>
          <w:rFonts w:ascii="Times New Roman" w:hAnsi="Times New Roman" w:cs="Times New Roman"/>
          <w:sz w:val="24"/>
          <w:szCs w:val="24"/>
        </w:rPr>
        <w:t>Izgradnja i obnova uz učinkovitu upotrebu energije i resursa”. EZP stoga osigurava paket mjera koji bi građanima i poduzećima u Europi trebao omogućiti koristi od održive zelene tranzicije, a plan je poticati rast kroz ulaganja u zelene tehnologije, održiva rješenja i nova poduzeća, osiguravajući potporu i sudjelovanje javnosti i svih dionika.</w:t>
      </w:r>
    </w:p>
    <w:p w14:paraId="45D0581B" w14:textId="77777777" w:rsidR="00496804" w:rsidRDefault="00496804">
      <w:pPr>
        <w:pStyle w:val="tekst"/>
        <w:spacing w:line="240" w:lineRule="auto"/>
        <w:rPr>
          <w:rFonts w:ascii="Times New Roman" w:hAnsi="Times New Roman" w:cs="Times New Roman"/>
          <w:sz w:val="24"/>
          <w:szCs w:val="24"/>
        </w:rPr>
      </w:pPr>
    </w:p>
    <w:p w14:paraId="45D0581C"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EK je 2015. godine usvojila Komunikaciju Komisije Europskom parlamentu, Vijeću, Europskom gospodarskom i socijalnom odboru i Odboru regija: Zatvaranje kruga — akcijski plan EU-a za kružno gospodarstvo </w:t>
      </w:r>
      <w:bookmarkStart w:id="27" w:name="_Hlk51245525"/>
      <w:r>
        <w:rPr>
          <w:rFonts w:ascii="Times New Roman" w:hAnsi="Times New Roman" w:cs="Times New Roman"/>
          <w:sz w:val="24"/>
          <w:szCs w:val="24"/>
        </w:rPr>
        <w:t>(COM(2015) 614 final) od 2.12.2015. godine</w:t>
      </w:r>
      <w:bookmarkEnd w:id="27"/>
      <w:r>
        <w:rPr>
          <w:rStyle w:val="Referencafusnote"/>
          <w:rFonts w:ascii="Times New Roman" w:hAnsi="Times New Roman" w:cs="Times New Roman"/>
          <w:bCs/>
          <w:sz w:val="24"/>
          <w:szCs w:val="24"/>
        </w:rPr>
        <w:footnoteReference w:id="14"/>
      </w:r>
      <w:r>
        <w:rPr>
          <w:rFonts w:ascii="Times New Roman" w:hAnsi="Times New Roman" w:cs="Times New Roman"/>
          <w:sz w:val="24"/>
          <w:szCs w:val="24"/>
        </w:rPr>
        <w:t xml:space="preserve"> kako bi iznova potaknula zapošljavanje, rast i ulaganja te razvila ugljično neutralno, resursno učinkovito i konkurentno gospodarstvo. Na temelju tog akcijskog plana dosad su dovršene ili se trenutačno provode 54 mjere. U ožujku 2020. godine EK objavljuje Komunikaciju Komisije Europskom parlamentu, Vijeću, Europskom gospodarskom i socijalnom odboru i Odboru regija: </w:t>
      </w:r>
      <w:r>
        <w:rPr>
          <w:rFonts w:ascii="Times New Roman" w:hAnsi="Times New Roman" w:cs="Times New Roman"/>
          <w:bCs/>
          <w:sz w:val="24"/>
          <w:szCs w:val="24"/>
        </w:rPr>
        <w:t>Novi akcijski plan za kružno gospodarstvo - Za čišću i konkurentniju Europu</w:t>
      </w:r>
      <w:r>
        <w:rPr>
          <w:rStyle w:val="Referencafusnote"/>
          <w:rFonts w:ascii="Times New Roman" w:hAnsi="Times New Roman" w:cs="Times New Roman"/>
          <w:bCs/>
          <w:sz w:val="24"/>
          <w:szCs w:val="24"/>
          <w:vertAlign w:val="baseline"/>
        </w:rPr>
        <w:t xml:space="preserve"> </w:t>
      </w:r>
      <w:r>
        <w:rPr>
          <w:rFonts w:ascii="Times New Roman" w:hAnsi="Times New Roman" w:cs="Times New Roman"/>
          <w:bCs/>
          <w:sz w:val="24"/>
          <w:szCs w:val="24"/>
        </w:rPr>
        <w:t>(COM(2020) 98 final) od 11.3.2020. godine</w:t>
      </w:r>
      <w:r>
        <w:rPr>
          <w:rStyle w:val="Referencafusnote"/>
          <w:rFonts w:ascii="Times New Roman" w:hAnsi="Times New Roman" w:cs="Times New Roman"/>
          <w:bCs/>
          <w:sz w:val="24"/>
          <w:szCs w:val="24"/>
        </w:rPr>
        <w:footnoteReference w:id="15"/>
      </w:r>
      <w:r>
        <w:rPr>
          <w:rFonts w:ascii="Times New Roman" w:hAnsi="Times New Roman" w:cs="Times New Roman"/>
          <w:sz w:val="24"/>
          <w:szCs w:val="24"/>
        </w:rPr>
        <w:t xml:space="preserve"> u sklopu industrijske strategije EU-a. Novi akcijski plan će poslužiti za tranziciju svih sektora, a djelovanje će se posebno usmjeriti na resursno intenzivne sektore, kao što su tekstilni sektor i građevinarstvo. Novi akcijski plan ističe da će EK pokrenuti novu sveobuhvatnu strategiju za održivi izgrađeni okoliš koja će osigurati horizontalnu usklađenost relevantnih područja politike i promicati načela kružnosti tijekom c</w:t>
      </w:r>
      <w:r>
        <w:rPr>
          <w:rFonts w:ascii="Times New Roman" w:hAnsi="Times New Roman"/>
          <w:sz w:val="24"/>
          <w:szCs w:val="24"/>
        </w:rPr>
        <w:t>jeloživotnog</w:t>
      </w:r>
      <w:r>
        <w:rPr>
          <w:rFonts w:ascii="Times New Roman" w:hAnsi="Times New Roman" w:cs="Times New Roman"/>
          <w:sz w:val="24"/>
          <w:szCs w:val="24"/>
        </w:rPr>
        <w:t xml:space="preserve"> vijeka zgrada, a što će podrazumijevati usmjeravanje na stupanj održivosti građevnih proizvoda, promicanje mjera za poboljšanje trajnosti i prilagodljivosti izgrađene imovine u skladu s načelima kružnog gospodarstva za projektiranje zgrada, razvoj digitalnih očevidnika, primjenu okvira za izvješćivanje Level(s)</w:t>
      </w:r>
      <w:r>
        <w:rPr>
          <w:rStyle w:val="Referencafusnote"/>
          <w:rFonts w:ascii="Times New Roman" w:hAnsi="Times New Roman" w:cs="Times New Roman"/>
          <w:sz w:val="24"/>
          <w:szCs w:val="24"/>
        </w:rPr>
        <w:footnoteReference w:id="16"/>
      </w:r>
      <w:r>
        <w:rPr>
          <w:rFonts w:ascii="Times New Roman" w:hAnsi="Times New Roman" w:cs="Times New Roman"/>
          <w:sz w:val="24"/>
          <w:szCs w:val="24"/>
        </w:rPr>
        <w:t xml:space="preserve">. </w:t>
      </w:r>
    </w:p>
    <w:p w14:paraId="45D0581D" w14:textId="77777777" w:rsidR="00496804" w:rsidRDefault="00496804">
      <w:pPr>
        <w:pStyle w:val="tekst"/>
        <w:spacing w:line="240" w:lineRule="auto"/>
        <w:rPr>
          <w:rFonts w:ascii="Times New Roman" w:hAnsi="Times New Roman"/>
          <w:sz w:val="24"/>
          <w:szCs w:val="24"/>
        </w:rPr>
      </w:pPr>
    </w:p>
    <w:p w14:paraId="45D0581E"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Inicijativa „val obnove“ provoditi će se u skladu s načelima kružnog gospodarstva, odnosno produženjem c</w:t>
      </w:r>
      <w:r>
        <w:rPr>
          <w:rFonts w:ascii="Times New Roman" w:hAnsi="Times New Roman"/>
          <w:sz w:val="24"/>
        </w:rPr>
        <w:t>jeloživotnog</w:t>
      </w:r>
      <w:r>
        <w:rPr>
          <w:rFonts w:ascii="Times New Roman" w:hAnsi="Times New Roman" w:cs="Times New Roman"/>
          <w:sz w:val="24"/>
          <w:szCs w:val="24"/>
        </w:rPr>
        <w:t xml:space="preserve"> vijeka zgrada i poboljšanjem njihove učinkovitosti.</w:t>
      </w:r>
    </w:p>
    <w:p w14:paraId="45D0581F" w14:textId="77777777" w:rsidR="00496804" w:rsidRDefault="00496804">
      <w:pPr>
        <w:pStyle w:val="tekst"/>
        <w:spacing w:line="240" w:lineRule="auto"/>
        <w:rPr>
          <w:rFonts w:ascii="Times New Roman" w:hAnsi="Times New Roman" w:cs="Times New Roman"/>
          <w:sz w:val="24"/>
          <w:szCs w:val="24"/>
        </w:rPr>
      </w:pPr>
    </w:p>
    <w:p w14:paraId="45D05820"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Slijedeći principe postavljene Komunikacijom Komisije Europskom parlamentu i Vijeću: </w:t>
      </w:r>
      <w:r>
        <w:rPr>
          <w:rFonts w:ascii="Times New Roman" w:hAnsi="Times New Roman" w:cs="Times New Roman"/>
          <w:bCs/>
          <w:iCs/>
          <w:sz w:val="24"/>
          <w:szCs w:val="24"/>
        </w:rPr>
        <w:t>Strategija za održivu konkurentnost građevinskog sektora i poduzeća u tom sektoru (COM(2012) 0433 final) od 31.7.2012. godine</w:t>
      </w:r>
      <w:r>
        <w:rPr>
          <w:rStyle w:val="Referencafusnote"/>
          <w:rFonts w:ascii="Times New Roman" w:hAnsi="Times New Roman" w:cs="Times New Roman"/>
          <w:bCs/>
          <w:sz w:val="24"/>
          <w:szCs w:val="24"/>
        </w:rPr>
        <w:footnoteReference w:id="17"/>
      </w:r>
      <w:r>
        <w:rPr>
          <w:rFonts w:ascii="Times New Roman" w:hAnsi="Times New Roman" w:cs="Times New Roman"/>
          <w:bCs/>
          <w:sz w:val="24"/>
          <w:szCs w:val="24"/>
        </w:rPr>
        <w:t xml:space="preserve"> </w:t>
      </w:r>
      <w:r>
        <w:rPr>
          <w:rFonts w:ascii="Times New Roman" w:hAnsi="Times New Roman" w:cs="Times New Roman"/>
          <w:sz w:val="24"/>
          <w:szCs w:val="24"/>
        </w:rPr>
        <w:t xml:space="preserve">i nakon najave </w:t>
      </w:r>
      <w:r>
        <w:rPr>
          <w:rFonts w:ascii="Times New Roman" w:hAnsi="Times New Roman" w:cs="Times New Roman"/>
          <w:bCs/>
          <w:iCs/>
          <w:sz w:val="24"/>
          <w:szCs w:val="24"/>
        </w:rPr>
        <w:t>Paketa za čistu energiju</w:t>
      </w:r>
      <w:r>
        <w:rPr>
          <w:rStyle w:val="Referencafusnote"/>
          <w:rFonts w:ascii="Times New Roman" w:hAnsi="Times New Roman" w:cs="Times New Roman"/>
          <w:sz w:val="24"/>
          <w:szCs w:val="24"/>
        </w:rPr>
        <w:footnoteReference w:id="18"/>
      </w:r>
      <w:r>
        <w:rPr>
          <w:rFonts w:ascii="Times New Roman" w:hAnsi="Times New Roman" w:cs="Times New Roman"/>
          <w:sz w:val="24"/>
          <w:szCs w:val="24"/>
        </w:rPr>
        <w:t xml:space="preserve"> i </w:t>
      </w:r>
      <w:r>
        <w:rPr>
          <w:rFonts w:ascii="Times New Roman" w:hAnsi="Times New Roman" w:cs="Times New Roman"/>
          <w:bCs/>
          <w:iCs/>
          <w:sz w:val="24"/>
          <w:szCs w:val="24"/>
        </w:rPr>
        <w:t>EU protokola i smjernica za gradnju i upravljanjem građevnim otpadom</w:t>
      </w:r>
      <w:r>
        <w:rPr>
          <w:rStyle w:val="Referencafusnote"/>
          <w:rFonts w:ascii="Times New Roman" w:hAnsi="Times New Roman" w:cs="Times New Roman"/>
          <w:sz w:val="24"/>
          <w:szCs w:val="24"/>
        </w:rPr>
        <w:footnoteReference w:id="19"/>
      </w:r>
      <w:r>
        <w:rPr>
          <w:rFonts w:ascii="Times New Roman" w:hAnsi="Times New Roman" w:cs="Times New Roman"/>
          <w:sz w:val="24"/>
          <w:szCs w:val="24"/>
        </w:rPr>
        <w:t xml:space="preserve">, kao dodatna mjera smanjivanja nastanka građevnog otpada pokrenuta je inicijativa izrade principa održivog dizajna zgrada, usmjerena upravo na metode smanjivanja nastanka građevnog otpada te poticanja upotrebe korištenih ili oporabljenih građevnih materijala, proizvoda i građevnih elemenata, objedinjenih u dokumentu </w:t>
      </w:r>
      <w:r>
        <w:rPr>
          <w:rFonts w:ascii="Times New Roman" w:hAnsi="Times New Roman" w:cs="Times New Roman"/>
          <w:bCs/>
          <w:sz w:val="24"/>
          <w:szCs w:val="24"/>
        </w:rPr>
        <w:t>Principi kružnog gospodarenja u dizajnu zgrada</w:t>
      </w:r>
      <w:r>
        <w:rPr>
          <w:rStyle w:val="Referencafusnote"/>
          <w:rFonts w:ascii="Times New Roman" w:hAnsi="Times New Roman" w:cs="Times New Roman"/>
          <w:sz w:val="24"/>
          <w:szCs w:val="24"/>
        </w:rPr>
        <w:footnoteReference w:id="20"/>
      </w:r>
      <w:r>
        <w:rPr>
          <w:rFonts w:ascii="Times New Roman" w:hAnsi="Times New Roman" w:cs="Times New Roman"/>
          <w:sz w:val="24"/>
          <w:szCs w:val="24"/>
        </w:rPr>
        <w:t>. Ciljevi ovog dokumenta su definiranje i informiranje dionika građevinskog sektora, te formiranje osnovnih načela za kružno oblikovanje zgrada.</w:t>
      </w:r>
    </w:p>
    <w:p w14:paraId="45D05821" w14:textId="77777777" w:rsidR="00496804" w:rsidRDefault="0037359D">
      <w:pPr>
        <w:pStyle w:val="tekst"/>
        <w:spacing w:line="240" w:lineRule="auto"/>
        <w:rPr>
          <w:rFonts w:ascii="Times New Roman" w:hAnsi="Times New Roman" w:cs="Times New Roman"/>
          <w:sz w:val="24"/>
          <w:szCs w:val="24"/>
          <w:shd w:val="clear" w:color="auto" w:fill="FFFFFF"/>
        </w:rPr>
      </w:pPr>
      <w:r>
        <w:rPr>
          <w:rFonts w:ascii="Times New Roman" w:hAnsi="Times New Roman" w:cs="Times New Roman"/>
          <w:bCs/>
          <w:sz w:val="24"/>
          <w:szCs w:val="24"/>
        </w:rPr>
        <w:t xml:space="preserve">Direktiva 2012/27/EU Europskog parlamenta i Vijeća </w:t>
      </w:r>
      <w:r>
        <w:rPr>
          <w:rFonts w:ascii="Times New Roman" w:hAnsi="Times New Roman" w:cs="Times New Roman"/>
          <w:sz w:val="24"/>
          <w:szCs w:val="24"/>
        </w:rPr>
        <w:t xml:space="preserve">od 25. listopada 2012. </w:t>
      </w:r>
      <w:r>
        <w:rPr>
          <w:rFonts w:ascii="Times New Roman" w:hAnsi="Times New Roman" w:cs="Times New Roman"/>
          <w:bCs/>
          <w:sz w:val="24"/>
          <w:szCs w:val="24"/>
        </w:rPr>
        <w:t xml:space="preserve">o energetskoj učinkovitosti, </w:t>
      </w:r>
      <w:r>
        <w:rPr>
          <w:rFonts w:ascii="Times New Roman" w:hAnsi="Times New Roman" w:cs="Times New Roman"/>
          <w:sz w:val="24"/>
          <w:szCs w:val="24"/>
        </w:rPr>
        <w:t xml:space="preserve">izmjeni direktiva 2009/125/EZ i 2010/30/EU i stavljanju izvan snage direktiva 2004/8/EZ i 2006/32/EZ </w:t>
      </w:r>
      <w:bookmarkStart w:id="29" w:name="_Hlk51248276"/>
      <w:r>
        <w:rPr>
          <w:rFonts w:ascii="Times New Roman" w:hAnsi="Times New Roman" w:cs="Times New Roman"/>
          <w:sz w:val="24"/>
          <w:szCs w:val="24"/>
        </w:rPr>
        <w:t>(Tekst značajan za EGP)</w:t>
      </w:r>
      <w:r>
        <w:rPr>
          <w:rStyle w:val="Referencafusnote"/>
          <w:rFonts w:ascii="Times New Roman" w:hAnsi="Times New Roman" w:cs="Times New Roman"/>
          <w:sz w:val="24"/>
          <w:szCs w:val="24"/>
        </w:rPr>
        <w:t xml:space="preserve"> </w:t>
      </w:r>
      <w:r>
        <w:rPr>
          <w:rFonts w:ascii="Times New Roman" w:hAnsi="Times New Roman" w:cs="Times New Roman"/>
          <w:sz w:val="24"/>
          <w:szCs w:val="24"/>
        </w:rPr>
        <w:t>(SL L 315/1, 14.11.2012.)</w:t>
      </w:r>
      <w:bookmarkEnd w:id="29"/>
      <w:r>
        <w:rPr>
          <w:rStyle w:val="Referencafusnote"/>
          <w:rFonts w:ascii="Times New Roman" w:hAnsi="Times New Roman" w:cs="Times New Roman"/>
          <w:sz w:val="24"/>
          <w:szCs w:val="24"/>
        </w:rPr>
        <w:footnoteReference w:id="21"/>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 xml:space="preserve">od država članica zahtijeva utvrđivanje okvirnih nacionalnih ciljeva u pogledu energetske učinkovitosti kojima će se zajamčiti postizanje glavnog cilja EU-a. Dugoročni cilj EU je smanjiti emisije </w:t>
      </w: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 xml:space="preserve"> iz sektora zgradarstva od 80-95% do 2050. </w:t>
      </w:r>
      <w:bookmarkStart w:id="30" w:name="_Hlk37755495"/>
      <w:r>
        <w:rPr>
          <w:rFonts w:ascii="Times New Roman" w:hAnsi="Times New Roman" w:cs="Times New Roman"/>
          <w:sz w:val="24"/>
          <w:szCs w:val="24"/>
        </w:rPr>
        <w:t xml:space="preserve">Direktiva (EU) </w:t>
      </w:r>
      <w:bookmarkStart w:id="31" w:name="_Hlk38262302"/>
      <w:r>
        <w:rPr>
          <w:rFonts w:ascii="Times New Roman" w:hAnsi="Times New Roman" w:cs="Times New Roman"/>
          <w:sz w:val="24"/>
          <w:szCs w:val="24"/>
        </w:rPr>
        <w:t xml:space="preserve">2018/844 </w:t>
      </w:r>
      <w:r>
        <w:rPr>
          <w:rFonts w:ascii="Times New Roman" w:hAnsi="Times New Roman" w:cs="Times New Roman"/>
          <w:bCs/>
          <w:sz w:val="24"/>
          <w:szCs w:val="24"/>
        </w:rPr>
        <w:t xml:space="preserve"> Europskog parlamenta i Vijeća od 30. svibnja 2018. </w:t>
      </w:r>
      <w:r>
        <w:rPr>
          <w:rFonts w:ascii="Times New Roman" w:hAnsi="Times New Roman" w:cs="Times New Roman"/>
          <w:sz w:val="24"/>
          <w:szCs w:val="24"/>
        </w:rPr>
        <w:t>o izmjeni Direktive 2010/31/EU o energetskim svojstvima zgrada i Direktive 2012/27/EU o energetskoj učinkovitosti</w:t>
      </w:r>
      <w:bookmarkEnd w:id="30"/>
      <w:bookmarkEnd w:id="31"/>
      <w:r>
        <w:rPr>
          <w:rFonts w:ascii="Times New Roman" w:hAnsi="Times New Roman" w:cs="Times New Roman"/>
          <w:sz w:val="24"/>
          <w:szCs w:val="24"/>
        </w:rPr>
        <w:t xml:space="preserve"> (Tekst značajan za EGP) (SL L 156/75, 19.6.2018.)</w:t>
      </w:r>
      <w:r>
        <w:rPr>
          <w:rStyle w:val="Referencafusnote"/>
          <w:rFonts w:ascii="Times New Roman" w:hAnsi="Times New Roman" w:cs="Times New Roman"/>
          <w:sz w:val="24"/>
          <w:szCs w:val="24"/>
        </w:rPr>
        <w:footnoteReference w:id="22"/>
      </w:r>
      <w:r>
        <w:rPr>
          <w:rFonts w:ascii="Times New Roman" w:hAnsi="Times New Roman" w:cs="Times New Roman"/>
          <w:sz w:val="24"/>
          <w:szCs w:val="24"/>
        </w:rPr>
        <w:t xml:space="preserve">, obvezuje države članice na izradu dugoročnih strategija obnove. U pogledu novih zgrada i zgrada koje se podvrgavaju većoj rekonstrukciji, države članice trebale bi poticati visokoučinkovite alternativne sustave ako je to tehnički, funkcionalno i gospodarski izvedivo, istodobno uzimajući u obzir pitanja u vezi sa zdravim unutarnjim klimatskim uvjetima, zaštitom od požara i rizicima povezanima s pojačanom seizmičkom aktivnošću, u skladu s nacionalnim sigurnosnim propisima. Rješenjima temeljenima na prirodi, kao što su dobro osmišljeno ulično zelenilo, zeleni krovovi i zidovi koji zgradama pružaju izolaciju i hlad, doprinosi se smanjenju potražnje za energijom i na taj način ograničava se potreba za grijanjem i hlađenjem te poboljšavaju energetska svojstva zgrade. </w:t>
      </w:r>
    </w:p>
    <w:p w14:paraId="45D05822" w14:textId="77777777" w:rsidR="00496804" w:rsidRDefault="00496804">
      <w:pPr>
        <w:pStyle w:val="tekst"/>
        <w:spacing w:line="240" w:lineRule="auto"/>
        <w:rPr>
          <w:rFonts w:ascii="Times New Roman" w:hAnsi="Times New Roman" w:cs="Times New Roman"/>
          <w:sz w:val="24"/>
          <w:szCs w:val="24"/>
          <w:shd w:val="clear" w:color="auto" w:fill="FFFFFF"/>
        </w:rPr>
      </w:pPr>
    </w:p>
    <w:p w14:paraId="45D05823"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U </w:t>
      </w:r>
      <w:bookmarkStart w:id="33" w:name="_Hlk51314134"/>
      <w:r>
        <w:rPr>
          <w:rFonts w:ascii="Times New Roman" w:hAnsi="Times New Roman" w:cs="Times New Roman"/>
          <w:sz w:val="24"/>
          <w:szCs w:val="24"/>
        </w:rPr>
        <w:t>Izvješću komisije Europskom parlamentu, Vijeću, Europskom gospodarskom i socijalnom odboru, Europskom odboru regija i Europskoj investicijskoj banci:</w:t>
      </w:r>
      <w:r>
        <w:rPr>
          <w:rFonts w:ascii="Times New Roman" w:hAnsi="Times New Roman" w:cs="Times New Roman"/>
          <w:bCs/>
          <w:sz w:val="24"/>
          <w:szCs w:val="24"/>
        </w:rPr>
        <w:t xml:space="preserve"> Četvrto izvješće o stanju energetske unije (COM(2019) 175 final) od 9.4.2019. godine</w:t>
      </w:r>
      <w:bookmarkEnd w:id="33"/>
      <w:r>
        <w:rPr>
          <w:rStyle w:val="Referencafusnote"/>
          <w:rFonts w:ascii="Times New Roman" w:hAnsi="Times New Roman" w:cs="Times New Roman"/>
          <w:sz w:val="24"/>
          <w:szCs w:val="24"/>
        </w:rPr>
        <w:footnoteReference w:id="23"/>
      </w:r>
      <w:r>
        <w:rPr>
          <w:rFonts w:ascii="Times New Roman" w:hAnsi="Times New Roman" w:cs="Times New Roman"/>
          <w:sz w:val="24"/>
          <w:szCs w:val="24"/>
        </w:rPr>
        <w:t xml:space="preserve"> EK navodi da je potpuna</w:t>
      </w:r>
      <w:r>
        <w:rPr>
          <w:rFonts w:ascii="Times New Roman" w:hAnsi="Times New Roman" w:cs="Times New Roman"/>
          <w:b/>
          <w:bCs/>
          <w:i/>
          <w:iCs/>
          <w:sz w:val="24"/>
          <w:szCs w:val="24"/>
        </w:rPr>
        <w:t xml:space="preserve"> </w:t>
      </w:r>
      <w:r>
        <w:rPr>
          <w:rFonts w:ascii="Times New Roman" w:hAnsi="Times New Roman" w:cs="Times New Roman"/>
          <w:sz w:val="24"/>
          <w:szCs w:val="24"/>
        </w:rPr>
        <w:t>provedba pristupa kružnog gospodarstva ključna i za dekarbonizaciju europskog gospodarstva, osobito energetski intenzivnih sektora kao što su čelik, cement ili staklo, uz zadržavanje ili povećanje njegove konkurentnosti. Ponovna upotreba i recikliranje sirovina dovode do smanjenja emisija stakleničkih plinova i smanjenja ovisnosti Europe o opskrbi sirovinama.</w:t>
      </w:r>
    </w:p>
    <w:p w14:paraId="45D05824" w14:textId="77777777" w:rsidR="00496804" w:rsidRDefault="00496804">
      <w:pPr>
        <w:pStyle w:val="tekst"/>
        <w:spacing w:line="240" w:lineRule="auto"/>
        <w:rPr>
          <w:rFonts w:ascii="Times New Roman" w:hAnsi="Times New Roman" w:cs="Times New Roman"/>
          <w:sz w:val="24"/>
          <w:szCs w:val="24"/>
        </w:rPr>
      </w:pPr>
    </w:p>
    <w:p w14:paraId="45D05825"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bCs/>
          <w:sz w:val="24"/>
          <w:szCs w:val="24"/>
        </w:rPr>
        <w:t>Prijedlog Uredbe europskog parlamenta i vijeća o Europskom fondu za regionalni razvoj i Kohezijskom fondu (COM(2018) 372 final – 2018/0197 (COD)) od 29.5.2018. godine</w:t>
      </w:r>
      <w:r>
        <w:rPr>
          <w:rStyle w:val="Referencafusnote"/>
          <w:rFonts w:ascii="Times New Roman" w:hAnsi="Times New Roman" w:cs="Times New Roman"/>
          <w:sz w:val="24"/>
          <w:szCs w:val="24"/>
        </w:rPr>
        <w:footnoteReference w:id="24"/>
      </w:r>
      <w:r>
        <w:rPr>
          <w:rFonts w:ascii="Times New Roman" w:hAnsi="Times New Roman" w:cs="Times New Roman"/>
          <w:b/>
          <w:bCs/>
          <w:sz w:val="24"/>
          <w:szCs w:val="24"/>
        </w:rPr>
        <w:t xml:space="preserve"> </w:t>
      </w:r>
      <w:r>
        <w:rPr>
          <w:rFonts w:ascii="Times New Roman" w:hAnsi="Times New Roman" w:cs="Times New Roman"/>
          <w:sz w:val="24"/>
          <w:szCs w:val="24"/>
        </w:rPr>
        <w:t xml:space="preserve">navodi 5 posebnih ciljeva, od kojih je jedan „Zelenija Europa s niskom razinom emisije ugljika, promicanjem </w:t>
      </w:r>
      <w:r>
        <w:rPr>
          <w:rFonts w:ascii="Times New Roman" w:hAnsi="Times New Roman" w:cs="Times New Roman"/>
          <w:sz w:val="24"/>
          <w:szCs w:val="24"/>
        </w:rPr>
        <w:lastRenderedPageBreak/>
        <w:t>prelaska na čistu i pravednu energiju, zelenih i plavih ulaganja, kružno gospodarstvo, prilagodbe klimatskim promjenama, upravljanje rizikom i njegovo sprječavanje te smanjenje onečišćenja”. Ovaj posebni cilj se planira ostvariti, između ostalog, promicanjem mjera energetske učinkovitosti, promicanjem energije iz obnovljivih izvora, promicanjem prelaska na kružno gospodarstvo, promicanjem zelene infrastrukture u urbanom okruženju i smanjenjem onečišćenja.</w:t>
      </w:r>
    </w:p>
    <w:p w14:paraId="45D05826" w14:textId="77777777" w:rsidR="00496804" w:rsidRDefault="00496804">
      <w:pPr>
        <w:spacing w:line="240" w:lineRule="auto"/>
        <w:rPr>
          <w:rFonts w:ascii="Times New Roman" w:hAnsi="Times New Roman"/>
          <w:sz w:val="24"/>
        </w:rPr>
      </w:pPr>
    </w:p>
    <w:p w14:paraId="45D05827" w14:textId="77777777" w:rsidR="00496804" w:rsidRDefault="0037359D">
      <w:pPr>
        <w:spacing w:line="240" w:lineRule="auto"/>
        <w:rPr>
          <w:rFonts w:ascii="Times New Roman" w:hAnsi="Times New Roman"/>
          <w:sz w:val="24"/>
        </w:rPr>
      </w:pPr>
      <w:r>
        <w:rPr>
          <w:rFonts w:ascii="Times New Roman" w:hAnsi="Times New Roman"/>
          <w:sz w:val="24"/>
        </w:rPr>
        <w:t>Program razvoja KG predstavlja doprinos razvoju cjelokupnog modela kružnog gospodarenja u RH, a njegovi ciljevi i sadržaj prate niz dokumenata na globalnoj i europskoj razini te se njihovim ispunjenjem očekuje i daje doprinos ostvarenju globalnih i EU ciljeva na razini RH.</w:t>
      </w:r>
    </w:p>
    <w:p w14:paraId="45D05828" w14:textId="77777777" w:rsidR="00496804" w:rsidRDefault="00496804">
      <w:pPr>
        <w:spacing w:line="240" w:lineRule="auto"/>
        <w:rPr>
          <w:rFonts w:ascii="Times New Roman" w:hAnsi="Times New Roman"/>
          <w:sz w:val="24"/>
        </w:rPr>
      </w:pPr>
    </w:p>
    <w:p w14:paraId="45D05829" w14:textId="77777777" w:rsidR="00496804" w:rsidRDefault="00496804">
      <w:pPr>
        <w:spacing w:line="240" w:lineRule="auto"/>
        <w:rPr>
          <w:rFonts w:ascii="Times New Roman" w:hAnsi="Times New Roman"/>
          <w:sz w:val="24"/>
        </w:rPr>
      </w:pPr>
    </w:p>
    <w:p w14:paraId="45D0582A" w14:textId="77777777" w:rsidR="00496804" w:rsidRDefault="0037359D">
      <w:pPr>
        <w:pStyle w:val="Naslov2"/>
        <w:ind w:left="426" w:hanging="426"/>
        <w:rPr>
          <w:rFonts w:ascii="Times New Roman" w:hAnsi="Times New Roman" w:cs="Times New Roman"/>
          <w:color w:val="auto"/>
          <w:sz w:val="24"/>
          <w:szCs w:val="24"/>
        </w:rPr>
      </w:pPr>
      <w:bookmarkStart w:id="36" w:name="_Toc51851621"/>
      <w:r>
        <w:rPr>
          <w:rFonts w:ascii="Times New Roman" w:hAnsi="Times New Roman" w:cs="Times New Roman"/>
          <w:color w:val="auto"/>
          <w:sz w:val="24"/>
          <w:szCs w:val="24"/>
        </w:rPr>
        <w:t>NACIONALNI ZAKONSKI KONTEKST</w:t>
      </w:r>
      <w:bookmarkEnd w:id="36"/>
    </w:p>
    <w:p w14:paraId="45D0582B" w14:textId="77777777" w:rsidR="00496804" w:rsidRDefault="00496804">
      <w:pPr>
        <w:spacing w:line="240" w:lineRule="auto"/>
        <w:rPr>
          <w:rFonts w:ascii="Times New Roman" w:hAnsi="Times New Roman"/>
          <w:sz w:val="24"/>
          <w:lang w:eastAsia="hr-HR"/>
        </w:rPr>
      </w:pPr>
    </w:p>
    <w:p w14:paraId="45D0582C"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Program razvoja KG izrađen je u skladu s postojećim zakonskim okvirom, odnosno relevantnim i nadležnim zakonskim aktima RH te strateškim okvirom na razini RH.</w:t>
      </w:r>
    </w:p>
    <w:p w14:paraId="45D0582D" w14:textId="77777777" w:rsidR="00496804" w:rsidRDefault="00496804">
      <w:pPr>
        <w:pStyle w:val="tekst"/>
        <w:spacing w:line="240" w:lineRule="auto"/>
        <w:rPr>
          <w:rFonts w:ascii="Times New Roman" w:hAnsi="Times New Roman" w:cs="Times New Roman"/>
          <w:sz w:val="24"/>
          <w:szCs w:val="24"/>
        </w:rPr>
      </w:pPr>
    </w:p>
    <w:p w14:paraId="45D0582E" w14:textId="328AC799"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Izrada ovog Programa definirana je </w:t>
      </w:r>
      <w:r>
        <w:rPr>
          <w:rFonts w:ascii="Times New Roman" w:hAnsi="Times New Roman" w:cs="Times New Roman"/>
          <w:iCs/>
          <w:sz w:val="24"/>
          <w:szCs w:val="24"/>
        </w:rPr>
        <w:t>Zakonom o gradnji</w:t>
      </w:r>
      <w:r>
        <w:rPr>
          <w:rStyle w:val="Referencafusnote"/>
          <w:rFonts w:ascii="Times New Roman" w:hAnsi="Times New Roman" w:cs="Times New Roman"/>
          <w:sz w:val="24"/>
          <w:szCs w:val="24"/>
        </w:rPr>
        <w:footnoteReference w:id="25"/>
      </w:r>
      <w:r>
        <w:rPr>
          <w:rFonts w:ascii="Times New Roman" w:hAnsi="Times New Roman" w:cs="Times New Roman"/>
          <w:sz w:val="24"/>
          <w:szCs w:val="24"/>
        </w:rPr>
        <w:t xml:space="preserve"> koji u članku 47.d navodi kako </w:t>
      </w:r>
      <w:r>
        <w:rPr>
          <w:rFonts w:ascii="Times New Roman" w:hAnsi="Times New Roman" w:cs="Times New Roman"/>
          <w:iCs/>
          <w:sz w:val="24"/>
          <w:szCs w:val="24"/>
        </w:rPr>
        <w:t>Program razvoja kružnog gospodarenja prostorom i zgradama</w:t>
      </w:r>
      <w:r>
        <w:rPr>
          <w:rFonts w:ascii="Times New Roman" w:hAnsi="Times New Roman" w:cs="Times New Roman"/>
          <w:sz w:val="24"/>
          <w:szCs w:val="24"/>
        </w:rPr>
        <w:t xml:space="preserve"> za razdoblje 2021. do 2030. godine donosi Vlada Republike Hrvatske na prijedlog Ministarstv</w:t>
      </w:r>
      <w:r w:rsidRPr="00DE47F2">
        <w:rPr>
          <w:rFonts w:ascii="Times New Roman" w:hAnsi="Times New Roman" w:cs="Times New Roman"/>
          <w:sz w:val="24"/>
          <w:szCs w:val="24"/>
        </w:rPr>
        <w:t xml:space="preserve">a </w:t>
      </w:r>
      <w:r>
        <w:rPr>
          <w:rFonts w:ascii="Times New Roman" w:hAnsi="Times New Roman" w:cs="Times New Roman"/>
          <w:sz w:val="24"/>
          <w:szCs w:val="24"/>
        </w:rPr>
        <w:t>prostornoga uređenja, graditeljstva i državne imovine. Program razrađuje ciljeve i mjere za kružno gospodarenje prostorom i zgradama kojima se među ostalim potiču mjere kružnosti kod planiranja novih zgrada, ponovno korištenje napuštenih i/ili zapuštenih i produljenje trajnosti postojećih prostora i zgrada, smanjenje količine građevnog otpada te povećanje energetske učinkovitosti zgrada.</w:t>
      </w:r>
    </w:p>
    <w:p w14:paraId="45D0582F" w14:textId="77777777" w:rsidR="00496804" w:rsidRDefault="00496804">
      <w:pPr>
        <w:pStyle w:val="tekst"/>
        <w:spacing w:line="240" w:lineRule="auto"/>
        <w:rPr>
          <w:rFonts w:ascii="Times New Roman" w:hAnsi="Times New Roman" w:cs="Times New Roman"/>
          <w:sz w:val="24"/>
          <w:szCs w:val="24"/>
        </w:rPr>
      </w:pPr>
    </w:p>
    <w:p w14:paraId="45D05830"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Članak 14. </w:t>
      </w:r>
      <w:r>
        <w:rPr>
          <w:rFonts w:ascii="Times New Roman" w:hAnsi="Times New Roman" w:cs="Times New Roman"/>
          <w:iCs/>
          <w:sz w:val="24"/>
          <w:szCs w:val="24"/>
        </w:rPr>
        <w:t>Zakona o gradnji</w:t>
      </w:r>
      <w:r>
        <w:rPr>
          <w:rFonts w:ascii="Times New Roman" w:hAnsi="Times New Roman" w:cs="Times New Roman"/>
          <w:sz w:val="24"/>
          <w:szCs w:val="24"/>
        </w:rPr>
        <w:t xml:space="preserve"> pod nazivom </w:t>
      </w:r>
      <w:r>
        <w:rPr>
          <w:rFonts w:ascii="Times New Roman" w:hAnsi="Times New Roman" w:cs="Times New Roman"/>
          <w:bCs/>
          <w:i/>
          <w:sz w:val="24"/>
          <w:szCs w:val="24"/>
        </w:rPr>
        <w:t>Gospodarenje energijom i očuvanje topline</w:t>
      </w:r>
      <w:r>
        <w:rPr>
          <w:rFonts w:ascii="Times New Roman" w:hAnsi="Times New Roman" w:cs="Times New Roman"/>
          <w:sz w:val="24"/>
          <w:szCs w:val="24"/>
        </w:rPr>
        <w:t xml:space="preserve"> uređuje da: "</w:t>
      </w:r>
      <w:r>
        <w:rPr>
          <w:rFonts w:ascii="Times New Roman" w:hAnsi="Times New Roman" w:cs="Times New Roman"/>
          <w:iCs/>
          <w:sz w:val="24"/>
          <w:szCs w:val="24"/>
        </w:rPr>
        <w:t>Građevine i njihove instalacije za grijanje, hlađenje, osvjetljenje i provjetravanje moraju biti projektirane i izgrađene tako da količina energije koju zahtijevaju ostane na niskoj razini, uzimajući u obzir korisnike i klimatske uvjete smještaja građevine. Građevine također moraju biti energetski učinkovite, tako da koriste što je moguće manje energije tijekom građenja i razgradnje.</w:t>
      </w:r>
      <w:r>
        <w:rPr>
          <w:rFonts w:ascii="Times New Roman" w:hAnsi="Times New Roman" w:cs="Times New Roman"/>
          <w:sz w:val="24"/>
          <w:szCs w:val="24"/>
        </w:rPr>
        <w:t>"</w:t>
      </w:r>
    </w:p>
    <w:p w14:paraId="45D05831" w14:textId="77777777" w:rsidR="00496804" w:rsidRDefault="00496804">
      <w:pPr>
        <w:pStyle w:val="tekst"/>
        <w:spacing w:line="240" w:lineRule="auto"/>
        <w:rPr>
          <w:rFonts w:ascii="Times New Roman" w:hAnsi="Times New Roman" w:cs="Times New Roman"/>
          <w:sz w:val="24"/>
          <w:szCs w:val="24"/>
        </w:rPr>
      </w:pPr>
    </w:p>
    <w:p w14:paraId="45D05832"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Također u članku 15. </w:t>
      </w:r>
      <w:r>
        <w:rPr>
          <w:rFonts w:ascii="Times New Roman" w:hAnsi="Times New Roman" w:cs="Times New Roman"/>
          <w:bCs/>
          <w:i/>
          <w:sz w:val="24"/>
          <w:szCs w:val="24"/>
        </w:rPr>
        <w:t>Održiva uporaba prirodnih izvor</w:t>
      </w:r>
      <w:r>
        <w:rPr>
          <w:rFonts w:ascii="Times New Roman" w:hAnsi="Times New Roman" w:cs="Times New Roman"/>
          <w:bCs/>
          <w:sz w:val="24"/>
          <w:szCs w:val="24"/>
        </w:rPr>
        <w:t>a</w:t>
      </w:r>
      <w:r>
        <w:rPr>
          <w:rFonts w:ascii="Times New Roman" w:hAnsi="Times New Roman" w:cs="Times New Roman"/>
          <w:sz w:val="24"/>
          <w:szCs w:val="24"/>
        </w:rPr>
        <w:t xml:space="preserve"> navodi se: "</w:t>
      </w:r>
      <w:r>
        <w:rPr>
          <w:rFonts w:ascii="Times New Roman" w:hAnsi="Times New Roman" w:cs="Times New Roman"/>
          <w:iCs/>
          <w:sz w:val="24"/>
          <w:szCs w:val="24"/>
        </w:rPr>
        <w:t>Građevine moraju biti projektirane, izgrađene i uklonjene tako da je uporaba prirodnih izvora održiva, a posebno moraju zajamčiti sljedeće: 1. ponovnu uporabu ili mogućnost reciklaže građevine, njezinih materijala i dijelova nakon uklanjanja, 2. trajnost građevine, 3. uporabu okolišu prihvatljivih sirovina i sekundarnih materijala u građevinama</w:t>
      </w:r>
      <w:r>
        <w:rPr>
          <w:rFonts w:ascii="Times New Roman" w:hAnsi="Times New Roman" w:cs="Times New Roman"/>
          <w:sz w:val="24"/>
          <w:szCs w:val="24"/>
        </w:rPr>
        <w:t>."</w:t>
      </w:r>
    </w:p>
    <w:p w14:paraId="45D05833" w14:textId="77777777" w:rsidR="00496804" w:rsidRDefault="00496804">
      <w:pPr>
        <w:pStyle w:val="tekst"/>
        <w:spacing w:line="240" w:lineRule="auto"/>
        <w:rPr>
          <w:rFonts w:ascii="Times New Roman" w:hAnsi="Times New Roman" w:cs="Times New Roman"/>
          <w:b/>
          <w:bCs/>
          <w:sz w:val="24"/>
          <w:szCs w:val="24"/>
        </w:rPr>
      </w:pPr>
    </w:p>
    <w:p w14:paraId="45D05834"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bCs/>
          <w:sz w:val="24"/>
          <w:szCs w:val="24"/>
        </w:rPr>
        <w:t>Zakon o prostornom uređenju</w:t>
      </w:r>
      <w:r>
        <w:rPr>
          <w:rFonts w:ascii="Times New Roman" w:hAnsi="Times New Roman" w:cs="Times New Roman"/>
          <w:sz w:val="24"/>
          <w:szCs w:val="24"/>
        </w:rPr>
        <w:t xml:space="preserve"> ističe kao jedno od načela prostorne održivosti razvitka i vrsnoće gradnje kako se "Održivi razvitak podržava i kružnim gospodarenjem prostorom i građevinama tako da se očuvaju postojeći resursi uređenjem i revitalizacijom prostora i ponovnom uporabom građevina kako bi se stvorila dodatna duža vrijednost i omogućilo učinkovito gospodarenje resursima."</w:t>
      </w:r>
    </w:p>
    <w:p w14:paraId="45D05835" w14:textId="77777777" w:rsidR="00496804" w:rsidRDefault="00496804">
      <w:pPr>
        <w:pStyle w:val="tekst"/>
        <w:spacing w:line="240" w:lineRule="auto"/>
        <w:rPr>
          <w:rFonts w:ascii="Times New Roman" w:hAnsi="Times New Roman" w:cs="Times New Roman"/>
          <w:sz w:val="24"/>
          <w:szCs w:val="24"/>
        </w:rPr>
      </w:pPr>
    </w:p>
    <w:p w14:paraId="45D05836"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Program razvoja KG je izrađen u skladu sa </w:t>
      </w:r>
      <w:r>
        <w:rPr>
          <w:rFonts w:ascii="Times New Roman" w:hAnsi="Times New Roman" w:cs="Times New Roman"/>
          <w:bCs/>
          <w:iCs/>
          <w:sz w:val="24"/>
          <w:szCs w:val="24"/>
        </w:rPr>
        <w:t>Zakonom o sustavu strateškog planiranja i upravljanja razvojem Republike Hrvatske</w:t>
      </w:r>
      <w:r>
        <w:rPr>
          <w:rStyle w:val="Referencafusnote"/>
          <w:rFonts w:ascii="Times New Roman" w:hAnsi="Times New Roman" w:cs="Times New Roman"/>
          <w:sz w:val="24"/>
          <w:szCs w:val="24"/>
        </w:rPr>
        <w:footnoteReference w:id="26"/>
      </w:r>
      <w:r>
        <w:rPr>
          <w:rFonts w:ascii="Times New Roman" w:hAnsi="Times New Roman" w:cs="Times New Roman"/>
          <w:b/>
          <w:bCs/>
          <w:i/>
          <w:iCs/>
          <w:sz w:val="24"/>
          <w:szCs w:val="24"/>
        </w:rPr>
        <w:t xml:space="preserve"> </w:t>
      </w:r>
      <w:r>
        <w:rPr>
          <w:rFonts w:ascii="Times New Roman" w:hAnsi="Times New Roman" w:cs="Times New Roman"/>
          <w:sz w:val="24"/>
          <w:szCs w:val="24"/>
        </w:rPr>
        <w:t xml:space="preserve">i pripadajućim podzakonskim aktima te sukladno navedenom, predstavlja tip srednjoročnog akta strateškog planiranja od nacionalnog značaja koji se izrađuje i donosi za razdoblje od pet do deset godina, pri čemu on pobliže definira </w:t>
      </w:r>
      <w:r>
        <w:rPr>
          <w:rFonts w:ascii="Times New Roman" w:hAnsi="Times New Roman" w:cs="Times New Roman"/>
          <w:bCs/>
          <w:sz w:val="24"/>
          <w:szCs w:val="24"/>
        </w:rPr>
        <w:t xml:space="preserve">provedbu strateških ciljeva </w:t>
      </w:r>
      <w:r>
        <w:rPr>
          <w:rFonts w:ascii="Times New Roman" w:hAnsi="Times New Roman" w:cs="Times New Roman"/>
          <w:bCs/>
          <w:sz w:val="24"/>
          <w:szCs w:val="24"/>
        </w:rPr>
        <w:lastRenderedPageBreak/>
        <w:t>Nacionalne razvojne strategije Republike Hrvatske do 2030. godine</w:t>
      </w:r>
      <w:r>
        <w:rPr>
          <w:rStyle w:val="Referencafusnote"/>
          <w:rFonts w:ascii="Times New Roman" w:hAnsi="Times New Roman" w:cs="Times New Roman"/>
          <w:bCs/>
          <w:sz w:val="24"/>
          <w:szCs w:val="24"/>
        </w:rPr>
        <w:footnoteReference w:id="27"/>
      </w:r>
      <w:r>
        <w:rPr>
          <w:rFonts w:ascii="Times New Roman" w:hAnsi="Times New Roman" w:cs="Times New Roman"/>
          <w:bCs/>
          <w:sz w:val="24"/>
          <w:szCs w:val="24"/>
        </w:rPr>
        <w:t xml:space="preserve"> (NRS 2030), višesektorskih i sektorskih strategija</w:t>
      </w:r>
      <w:r>
        <w:rPr>
          <w:rFonts w:ascii="Times New Roman" w:hAnsi="Times New Roman" w:cs="Times New Roman"/>
          <w:sz w:val="24"/>
          <w:szCs w:val="24"/>
        </w:rPr>
        <w:t xml:space="preserve">. </w:t>
      </w:r>
      <w:r>
        <w:rPr>
          <w:rFonts w:ascii="Times New Roman" w:hAnsi="Times New Roman" w:cs="Times New Roman"/>
          <w:iCs/>
          <w:sz w:val="24"/>
          <w:szCs w:val="24"/>
        </w:rPr>
        <w:t>Uredbom o smjernicama za izradu akata strateškog planiranja od nacionalnog značaja i od značaja za jedinice lokalne i područne (regionalne) samouprave</w:t>
      </w:r>
      <w:r>
        <w:rPr>
          <w:rStyle w:val="Referencafusnote"/>
          <w:rFonts w:ascii="Times New Roman" w:hAnsi="Times New Roman" w:cs="Times New Roman"/>
          <w:sz w:val="24"/>
          <w:szCs w:val="24"/>
        </w:rPr>
        <w:footnoteReference w:id="28"/>
      </w:r>
      <w:r>
        <w:rPr>
          <w:rFonts w:ascii="Times New Roman" w:hAnsi="Times New Roman" w:cs="Times New Roman"/>
          <w:i/>
          <w:iCs/>
          <w:sz w:val="24"/>
          <w:szCs w:val="24"/>
        </w:rPr>
        <w:t>,</w:t>
      </w:r>
      <w:r>
        <w:rPr>
          <w:rFonts w:ascii="Times New Roman" w:hAnsi="Times New Roman" w:cs="Times New Roman"/>
          <w:sz w:val="24"/>
          <w:szCs w:val="24"/>
        </w:rPr>
        <w:t xml:space="preserve"> propisan je obavezni sadržaj i postupak izrade, izvještavanja, praćenja i vrednovanja akata strateškog planiranja pa tako i samog Programa razvoja KG. </w:t>
      </w:r>
      <w:r>
        <w:rPr>
          <w:rFonts w:ascii="Times New Roman" w:hAnsi="Times New Roman" w:cs="Times New Roman"/>
          <w:iCs/>
          <w:sz w:val="24"/>
          <w:szCs w:val="24"/>
          <w:shd w:val="clear" w:color="auto" w:fill="FFFFFF"/>
        </w:rPr>
        <w:t>Pravilnikom o rokovima i postupcima praćenja i izvještavanja o provedbi akata strateškog planiranja od nacionalnog značaja i od značaja za jedinice lokalne i područne (regionalne) samouprave</w:t>
      </w:r>
      <w:r>
        <w:rPr>
          <w:rStyle w:val="Referencafusnote"/>
          <w:rFonts w:ascii="Times New Roman" w:hAnsi="Times New Roman" w:cs="Times New Roman"/>
          <w:sz w:val="24"/>
          <w:szCs w:val="24"/>
        </w:rPr>
        <w:footnoteReference w:id="29"/>
      </w:r>
      <w:r>
        <w:rPr>
          <w:rFonts w:ascii="Times New Roman" w:hAnsi="Times New Roman" w:cs="Times New Roman"/>
          <w:sz w:val="24"/>
          <w:szCs w:val="24"/>
          <w:shd w:val="clear" w:color="auto" w:fill="FFFFFF"/>
        </w:rPr>
        <w:t xml:space="preserve"> propisuju se rokovi i postupci praćenja i izvještavanja o provedbi akata strateškog planiranja od nacionalnog značaja i od značaja za jedinice lokalne i područne (regionalne) samouprave.</w:t>
      </w:r>
    </w:p>
    <w:p w14:paraId="45D05837" w14:textId="77777777" w:rsidR="00496804" w:rsidRDefault="00496804">
      <w:pPr>
        <w:pStyle w:val="tekst"/>
        <w:spacing w:line="240" w:lineRule="auto"/>
        <w:rPr>
          <w:rFonts w:ascii="Times New Roman" w:hAnsi="Times New Roman" w:cs="Times New Roman"/>
          <w:sz w:val="24"/>
          <w:szCs w:val="24"/>
        </w:rPr>
      </w:pPr>
    </w:p>
    <w:p w14:paraId="45D05838" w14:textId="77777777" w:rsidR="00496804" w:rsidRDefault="00496804">
      <w:pPr>
        <w:spacing w:line="240" w:lineRule="auto"/>
        <w:jc w:val="left"/>
        <w:rPr>
          <w:rFonts w:ascii="Times New Roman" w:hAnsi="Times New Roman"/>
          <w:sz w:val="24"/>
        </w:rPr>
      </w:pPr>
    </w:p>
    <w:p w14:paraId="45D05839" w14:textId="77777777" w:rsidR="00496804" w:rsidRDefault="0031420A">
      <w:pPr>
        <w:pStyle w:val="Naslov2"/>
        <w:ind w:left="426" w:hanging="426"/>
        <w:rPr>
          <w:rFonts w:ascii="Times New Roman" w:hAnsi="Times New Roman" w:cs="Times New Roman"/>
          <w:color w:val="auto"/>
          <w:sz w:val="24"/>
          <w:szCs w:val="24"/>
        </w:rPr>
      </w:pPr>
      <w:hyperlink w:anchor="_Toc26534321" w:history="1">
        <w:bookmarkStart w:id="37" w:name="_Toc51851622"/>
        <w:r w:rsidR="0037359D">
          <w:rPr>
            <w:rFonts w:ascii="Times New Roman" w:hAnsi="Times New Roman" w:cs="Times New Roman"/>
            <w:color w:val="auto"/>
            <w:sz w:val="24"/>
            <w:szCs w:val="24"/>
          </w:rPr>
          <w:t>USKLAĐENOST PROGRAMA S NACIONALNOM RAZVOJNOM STRATEGIJOM, SEKTORSKIM I VIŠESEKTORSKIM STRATEGIJAMA TE DOKUMENTIMA PROSTORNOG UREĐENJA</w:t>
        </w:r>
        <w:bookmarkEnd w:id="37"/>
      </w:hyperlink>
    </w:p>
    <w:p w14:paraId="45D0583A" w14:textId="77777777" w:rsidR="00496804" w:rsidRDefault="00496804">
      <w:pPr>
        <w:pStyle w:val="tekst"/>
        <w:spacing w:line="240" w:lineRule="auto"/>
        <w:rPr>
          <w:rFonts w:ascii="Times New Roman" w:hAnsi="Times New Roman" w:cs="Times New Roman"/>
          <w:b/>
          <w:bCs/>
          <w:sz w:val="24"/>
          <w:szCs w:val="24"/>
        </w:rPr>
      </w:pPr>
    </w:p>
    <w:p w14:paraId="45D0583B"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iCs/>
          <w:sz w:val="24"/>
          <w:szCs w:val="24"/>
        </w:rPr>
        <w:t xml:space="preserve">Program razvoja KG </w:t>
      </w:r>
      <w:r>
        <w:rPr>
          <w:rFonts w:ascii="Times New Roman" w:hAnsi="Times New Roman" w:cs="Times New Roman"/>
          <w:sz w:val="24"/>
          <w:szCs w:val="24"/>
        </w:rPr>
        <w:t xml:space="preserve">izrađen je u skladu s </w:t>
      </w:r>
      <w:r>
        <w:rPr>
          <w:rFonts w:ascii="Times New Roman" w:hAnsi="Times New Roman" w:cs="Times New Roman"/>
          <w:bCs/>
          <w:iCs/>
          <w:sz w:val="24"/>
          <w:szCs w:val="24"/>
        </w:rPr>
        <w:t>Nacionalnom razvojnom strategijom Republike Hrvatske do 2030</w:t>
      </w:r>
      <w:r>
        <w:rPr>
          <w:rFonts w:ascii="Times New Roman" w:hAnsi="Times New Roman" w:cs="Times New Roman"/>
          <w:bCs/>
          <w:sz w:val="24"/>
          <w:szCs w:val="24"/>
        </w:rPr>
        <w:t xml:space="preserve"> (NRS 2030)</w:t>
      </w:r>
      <w:r>
        <w:rPr>
          <w:rFonts w:ascii="Times New Roman" w:hAnsi="Times New Roman" w:cs="Times New Roman"/>
          <w:sz w:val="24"/>
          <w:szCs w:val="24"/>
        </w:rPr>
        <w:t xml:space="preserve"> koja služi za oblikovanje i provedbu razvojnih politika RH, a definira dugoročnu viziju razvoja RH i prioritete za ulaganje u desetogodišnjem razdoblju. Unutar NRS 2030 definiraju se razvojni smjerovi, strateški ciljevi, smjerovi javne politike i očekivani učinci, prijedlozi strukturnih reformi, strateških projekata i programa, te provedbenih mehanizama za RH do 2030. godine.</w:t>
      </w:r>
      <w:r>
        <w:rPr>
          <w:rFonts w:ascii="Times New Roman" w:hAnsi="Times New Roman" w:cs="Times New Roman"/>
          <w:i/>
          <w:iCs/>
          <w:sz w:val="24"/>
          <w:szCs w:val="24"/>
        </w:rPr>
        <w:t xml:space="preserve"> Zelena i digitalna tranzicija,</w:t>
      </w:r>
      <w:r>
        <w:rPr>
          <w:rFonts w:ascii="Times New Roman" w:hAnsi="Times New Roman" w:cs="Times New Roman"/>
          <w:sz w:val="24"/>
          <w:szCs w:val="24"/>
        </w:rPr>
        <w:t xml:space="preserve"> jedan od razvojnih smjerova </w:t>
      </w:r>
      <w:r>
        <w:rPr>
          <w:rFonts w:ascii="Times New Roman" w:hAnsi="Times New Roman" w:cs="Times New Roman"/>
          <w:bCs/>
          <w:sz w:val="24"/>
          <w:szCs w:val="24"/>
        </w:rPr>
        <w:t>NRS 2030,</w:t>
      </w:r>
      <w:r>
        <w:rPr>
          <w:rFonts w:ascii="Times New Roman" w:hAnsi="Times New Roman" w:cs="Times New Roman"/>
          <w:sz w:val="24"/>
          <w:szCs w:val="24"/>
        </w:rPr>
        <w:t xml:space="preserve"> ima za strateški cilj </w:t>
      </w:r>
      <w:r>
        <w:rPr>
          <w:rFonts w:ascii="Times New Roman" w:hAnsi="Times New Roman" w:cs="Times New Roman"/>
          <w:bCs/>
          <w:i/>
          <w:iCs/>
          <w:sz w:val="24"/>
          <w:szCs w:val="24"/>
        </w:rPr>
        <w:t>Ekološku i energetsku tranziciju za klimatsku neutralnost</w:t>
      </w:r>
      <w:r>
        <w:rPr>
          <w:rFonts w:ascii="Times New Roman" w:hAnsi="Times New Roman" w:cs="Times New Roman"/>
          <w:sz w:val="24"/>
          <w:szCs w:val="24"/>
        </w:rPr>
        <w:t xml:space="preserve"> unutar kojega je razvoj kružnog gospodarenja prostorom i zgradama prioritet javne politike na području održivog okoliša, dok je povećanje energetske učinkovitosti u zgradarstvu jedan od prioriteta nacionalne energetske politike.</w:t>
      </w:r>
    </w:p>
    <w:p w14:paraId="45D0583C" w14:textId="77777777" w:rsidR="00496804" w:rsidRDefault="00496804">
      <w:pPr>
        <w:pStyle w:val="tekst"/>
        <w:spacing w:line="240" w:lineRule="auto"/>
        <w:rPr>
          <w:rFonts w:ascii="Times New Roman" w:hAnsi="Times New Roman" w:cs="Times New Roman"/>
          <w:sz w:val="24"/>
          <w:szCs w:val="24"/>
        </w:rPr>
      </w:pPr>
    </w:p>
    <w:p w14:paraId="45D0583D" w14:textId="471A733F"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Ministarstvo gospodarstva i održivog razvoja kroz </w:t>
      </w:r>
      <w:r>
        <w:rPr>
          <w:rFonts w:ascii="Times New Roman" w:hAnsi="Times New Roman" w:cs="Times New Roman"/>
          <w:bCs/>
          <w:sz w:val="24"/>
          <w:szCs w:val="24"/>
        </w:rPr>
        <w:t>Integrirani nacionalni energetski i klimatski plan za Republiku Hrvatsku</w:t>
      </w:r>
      <w:r>
        <w:rPr>
          <w:rFonts w:ascii="Times New Roman" w:hAnsi="Times New Roman" w:cs="Times New Roman"/>
          <w:sz w:val="24"/>
          <w:szCs w:val="24"/>
        </w:rPr>
        <w:t xml:space="preserve"> </w:t>
      </w:r>
      <w:r>
        <w:rPr>
          <w:rFonts w:ascii="Times New Roman" w:hAnsi="Times New Roman" w:cs="Times New Roman"/>
          <w:bCs/>
          <w:sz w:val="24"/>
          <w:szCs w:val="24"/>
        </w:rPr>
        <w:t>za razdoblje 2021. do 2030. godine</w:t>
      </w:r>
      <w:r>
        <w:rPr>
          <w:rStyle w:val="Referencafusnote"/>
          <w:rFonts w:ascii="Times New Roman" w:hAnsi="Times New Roman" w:cs="Times New Roman"/>
          <w:sz w:val="24"/>
          <w:szCs w:val="24"/>
        </w:rPr>
        <w:footnoteReference w:id="30"/>
      </w:r>
      <w:r>
        <w:rPr>
          <w:rFonts w:ascii="Times New Roman" w:hAnsi="Times New Roman" w:cs="Times New Roman"/>
          <w:sz w:val="24"/>
          <w:szCs w:val="24"/>
        </w:rPr>
        <w:t xml:space="preserve"> definiralo je nacionalne ciljeve koji posebno uključuju smanjenje emisija stakleničkih plinova, energiju iz obnovljivih izvora, energetsku učinkovitost</w:t>
      </w:r>
      <w:r>
        <w:rPr>
          <w:rFonts w:ascii="Times New Roman" w:hAnsi="Times New Roman" w:cs="Times New Roman"/>
          <w:b/>
          <w:bCs/>
          <w:sz w:val="24"/>
          <w:szCs w:val="24"/>
        </w:rPr>
        <w:t xml:space="preserve"> </w:t>
      </w:r>
      <w:r>
        <w:rPr>
          <w:rFonts w:ascii="Times New Roman" w:hAnsi="Times New Roman" w:cs="Times New Roman"/>
          <w:sz w:val="24"/>
          <w:szCs w:val="24"/>
        </w:rPr>
        <w:t>i elektroenergetsku međusobnu povezanost. Integrirani energetski i klimatski plan nadovezuje se na postojeće nacionalne strategije i planove, a ciljevi ovog Programa usklađeni su i doprinose ciljevima Integriranog nacionalnog energetskog i klimatskog plana.</w:t>
      </w:r>
    </w:p>
    <w:p w14:paraId="45D0583E" w14:textId="77777777" w:rsidR="00496804" w:rsidRDefault="00496804">
      <w:pPr>
        <w:pStyle w:val="tekst"/>
        <w:spacing w:line="240" w:lineRule="auto"/>
        <w:rPr>
          <w:rFonts w:ascii="Times New Roman" w:hAnsi="Times New Roman" w:cs="Times New Roman"/>
          <w:sz w:val="24"/>
          <w:szCs w:val="24"/>
        </w:rPr>
      </w:pPr>
    </w:p>
    <w:p w14:paraId="45D0583F"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bCs/>
          <w:sz w:val="24"/>
          <w:szCs w:val="24"/>
        </w:rPr>
        <w:t xml:space="preserve">Četvrti nacionalni akcijski plan energetske učinkovitosti </w:t>
      </w:r>
      <w:r>
        <w:rPr>
          <w:rFonts w:ascii="Times New Roman" w:hAnsi="Times New Roman" w:cs="Times New Roman"/>
          <w:sz w:val="24"/>
          <w:szCs w:val="24"/>
        </w:rPr>
        <w:t>za razdoblje do kraja 2019. godine</w:t>
      </w:r>
      <w:r>
        <w:rPr>
          <w:rStyle w:val="Referencafusnote"/>
          <w:rFonts w:ascii="Times New Roman" w:hAnsi="Times New Roman" w:cs="Times New Roman"/>
          <w:bCs/>
          <w:sz w:val="24"/>
          <w:szCs w:val="24"/>
        </w:rPr>
        <w:footnoteReference w:id="31"/>
      </w:r>
      <w:r>
        <w:rPr>
          <w:rFonts w:ascii="Times New Roman" w:hAnsi="Times New Roman" w:cs="Times New Roman"/>
          <w:sz w:val="24"/>
          <w:szCs w:val="24"/>
        </w:rPr>
        <w:t xml:space="preserve"> (4. NAPEnU) godine kao sveobuhvatni provedbeni dokument definirao je politiku energetske učinkovitosti za obuhvaćeno trogodišnje razdoblje (2017. – 2019.). Uštede predviđene 4. NAPEnU se, između ostalog, postižu provedbom </w:t>
      </w:r>
      <w:r>
        <w:rPr>
          <w:rFonts w:ascii="Times New Roman" w:hAnsi="Times New Roman" w:cs="Times New Roman"/>
          <w:iCs/>
          <w:sz w:val="24"/>
          <w:szCs w:val="24"/>
        </w:rPr>
        <w:t>programa energetske obnove stambenih zgrada i zgrada javnog sektora</w:t>
      </w:r>
      <w:r>
        <w:rPr>
          <w:rStyle w:val="Referencafusnote"/>
          <w:rFonts w:ascii="Times New Roman" w:hAnsi="Times New Roman" w:cs="Times New Roman"/>
          <w:sz w:val="24"/>
          <w:szCs w:val="24"/>
        </w:rPr>
        <w:footnoteReference w:id="32"/>
      </w:r>
      <w:r>
        <w:rPr>
          <w:rFonts w:ascii="Times New Roman" w:hAnsi="Times New Roman" w:cs="Times New Roman"/>
          <w:i/>
          <w:iCs/>
          <w:sz w:val="24"/>
          <w:szCs w:val="24"/>
        </w:rPr>
        <w:t>.</w:t>
      </w:r>
    </w:p>
    <w:p w14:paraId="45D05840" w14:textId="77777777" w:rsidR="00496804" w:rsidRDefault="00496804">
      <w:pPr>
        <w:pStyle w:val="tekst"/>
        <w:spacing w:line="240" w:lineRule="auto"/>
        <w:rPr>
          <w:rFonts w:ascii="Times New Roman" w:hAnsi="Times New Roman" w:cs="Times New Roman"/>
          <w:sz w:val="24"/>
          <w:szCs w:val="24"/>
        </w:rPr>
      </w:pPr>
    </w:p>
    <w:p w14:paraId="45D05841"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bCs/>
          <w:sz w:val="24"/>
          <w:szCs w:val="24"/>
        </w:rPr>
        <w:t>Dugoročna strategija obnove nacionalnog fonda zgrada do 2050. godine</w:t>
      </w:r>
      <w:r>
        <w:rPr>
          <w:rStyle w:val="Referencafusnote"/>
          <w:rFonts w:ascii="Times New Roman" w:hAnsi="Times New Roman" w:cs="Times New Roman"/>
          <w:bCs/>
          <w:sz w:val="24"/>
          <w:szCs w:val="24"/>
        </w:rPr>
        <w:footnoteReference w:id="33"/>
      </w:r>
      <w:r>
        <w:rPr>
          <w:rFonts w:ascii="Times New Roman" w:hAnsi="Times New Roman" w:cs="Times New Roman"/>
          <w:bCs/>
          <w:sz w:val="24"/>
          <w:szCs w:val="24"/>
        </w:rPr>
        <w:t xml:space="preserve"> (u daljnjem tekstu: Dugoročna strategija)</w:t>
      </w:r>
      <w:r>
        <w:rPr>
          <w:rFonts w:ascii="Times New Roman" w:hAnsi="Times New Roman" w:cs="Times New Roman"/>
          <w:sz w:val="24"/>
          <w:szCs w:val="24"/>
        </w:rPr>
        <w:t xml:space="preserve"> postavlja, u skladu s Direktivom (EU) 2018/844, dugoročne ciljeve obnove </w:t>
      </w:r>
      <w:r>
        <w:rPr>
          <w:rFonts w:ascii="Times New Roman" w:hAnsi="Times New Roman" w:cs="Times New Roman"/>
          <w:sz w:val="24"/>
          <w:szCs w:val="24"/>
        </w:rPr>
        <w:lastRenderedPageBreak/>
        <w:t xml:space="preserve">nacionalnog fonda zgrada, predlaže financijske modele za obnovu nacionalnog fonda zgrada do 2050. godine, procjenjuje utjecaj predloženih politika i mjera na nacionalni gospodarski razvitak, procjenjuje očekivane uštede energije u nacionalnom fondu zgrada, predlaže nove mehanizme za dugoročno financiranje te definira planove i perspektive koji će osigurati stabilnu investicijsku klimu svih sudionika na tržištu. Dugoročna strategija predviđa mjere za poticanje troškovno učinkovite integralne obnove nacionalnog fonda zgrada RH, kojom bi se trebalo obuhvatiti procjene rizika za zgrade i moguće načine ublažavanja rizika u odnosu na uvjete za zgrade u pogledu zaštite od požara i rizika povezanih s pojačanom seizmičkom aktivnošću. Mjere kružnog gospodarenja prostorom i zgradama predstavljaju doprinos ukupnoj dekarbonizaciji zgrada kao i smanjenju rizika od požara i rizika povezanih s pojačanom seizmičkom aktivnošću. </w:t>
      </w:r>
    </w:p>
    <w:p w14:paraId="45D05842" w14:textId="77777777" w:rsidR="00496804" w:rsidRDefault="00496804">
      <w:pPr>
        <w:pStyle w:val="tekst"/>
        <w:spacing w:line="240" w:lineRule="auto"/>
        <w:rPr>
          <w:rFonts w:ascii="Times New Roman" w:hAnsi="Times New Roman" w:cs="Times New Roman"/>
          <w:sz w:val="24"/>
          <w:szCs w:val="24"/>
        </w:rPr>
      </w:pPr>
    </w:p>
    <w:p w14:paraId="45D05843"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Prema </w:t>
      </w:r>
      <w:r>
        <w:rPr>
          <w:rFonts w:ascii="Times New Roman" w:hAnsi="Times New Roman" w:cs="Times New Roman"/>
          <w:bCs/>
          <w:sz w:val="24"/>
          <w:szCs w:val="24"/>
        </w:rPr>
        <w:t>SPRRH</w:t>
      </w:r>
      <w:r>
        <w:rPr>
          <w:rFonts w:ascii="Times New Roman" w:hAnsi="Times New Roman" w:cs="Times New Roman"/>
          <w:b/>
          <w:bCs/>
          <w:i/>
          <w:sz w:val="24"/>
          <w:szCs w:val="24"/>
        </w:rPr>
        <w:t xml:space="preserve"> </w:t>
      </w:r>
      <w:r>
        <w:rPr>
          <w:rFonts w:ascii="Times New Roman" w:hAnsi="Times New Roman" w:cs="Times New Roman"/>
          <w:sz w:val="24"/>
          <w:szCs w:val="24"/>
        </w:rPr>
        <w:t>jedan od prioriteta i strateških usmjerenja prostornog razvoja je učinkovita uporaba korištenog prostora. SPRRH tako navodi kako u kontekstu očuvanja i odmjerenog korištenja prostornog resursa, razvojne aktivnosti prioritetno treba usmjeravati prema već korištenom prostoru, bilo da je riječ o preobrazbi napuštenih ili nedovoljno iskorištenih prostornih sklopova koji više nisu u funkciji osnovne namjene, o urbanoj sanaciji područja inicijalno nezakonite gradnje ili o sanaciji dijelova urbanog teritorija sa specifičnim problemima i potrebama. U tom pogledu su u strategiji posebno istaknuti pojedinačni ciljevi:</w:t>
      </w:r>
    </w:p>
    <w:p w14:paraId="45D05844" w14:textId="77777777" w:rsidR="00496804" w:rsidRDefault="0037359D">
      <w:pPr>
        <w:pStyle w:val="Odlomakpopisa"/>
        <w:numPr>
          <w:ilvl w:val="0"/>
          <w:numId w:val="5"/>
        </w:numPr>
        <w:spacing w:line="240" w:lineRule="auto"/>
        <w:ind w:left="426" w:hanging="284"/>
        <w:rPr>
          <w:rFonts w:ascii="Times New Roman" w:hAnsi="Times New Roman" w:cs="Times New Roman"/>
          <w:b w:val="0"/>
          <w:sz w:val="24"/>
        </w:rPr>
      </w:pPr>
      <w:r>
        <w:rPr>
          <w:rFonts w:ascii="Times New Roman" w:hAnsi="Times New Roman" w:cs="Times New Roman"/>
          <w:b w:val="0"/>
          <w:sz w:val="24"/>
        </w:rPr>
        <w:t>revitalizacija napuštenih i zapuštenih zgrada i prostora uz dekontaminaciju prostora</w:t>
      </w:r>
    </w:p>
    <w:p w14:paraId="45D05845" w14:textId="77777777" w:rsidR="00496804" w:rsidRDefault="0037359D">
      <w:pPr>
        <w:pStyle w:val="Odlomakpopisa"/>
        <w:numPr>
          <w:ilvl w:val="0"/>
          <w:numId w:val="5"/>
        </w:numPr>
        <w:spacing w:line="240" w:lineRule="auto"/>
        <w:ind w:left="426" w:hanging="284"/>
        <w:rPr>
          <w:rFonts w:ascii="Times New Roman" w:hAnsi="Times New Roman" w:cs="Times New Roman"/>
          <w:b w:val="0"/>
          <w:sz w:val="24"/>
        </w:rPr>
      </w:pPr>
      <w:r>
        <w:rPr>
          <w:rFonts w:ascii="Times New Roman" w:hAnsi="Times New Roman" w:cs="Times New Roman"/>
          <w:b w:val="0"/>
          <w:sz w:val="24"/>
        </w:rPr>
        <w:t xml:space="preserve">vrednovanje potencijala postojeće izgrađene strukture </w:t>
      </w:r>
      <w:r>
        <w:rPr>
          <w:rFonts w:ascii="Times New Roman" w:hAnsi="Times New Roman" w:cs="Times New Roman"/>
          <w:b w:val="0"/>
          <w:i/>
          <w:sz w:val="24"/>
        </w:rPr>
        <w:t>brownfield</w:t>
      </w:r>
      <w:r>
        <w:rPr>
          <w:rFonts w:ascii="Times New Roman" w:hAnsi="Times New Roman" w:cs="Times New Roman"/>
          <w:b w:val="0"/>
          <w:sz w:val="24"/>
        </w:rPr>
        <w:t xml:space="preserve"> područja kao razvojni resurs od nacionalne do lokalne razine.</w:t>
      </w:r>
    </w:p>
    <w:p w14:paraId="45D05846" w14:textId="77777777" w:rsidR="00496804" w:rsidRDefault="00496804">
      <w:pPr>
        <w:spacing w:line="240" w:lineRule="auto"/>
        <w:rPr>
          <w:rFonts w:ascii="Times New Roman" w:hAnsi="Times New Roman"/>
          <w:b/>
          <w:sz w:val="24"/>
        </w:rPr>
      </w:pPr>
    </w:p>
    <w:p w14:paraId="45D05847" w14:textId="77777777" w:rsidR="00496804" w:rsidRDefault="0037359D">
      <w:pPr>
        <w:spacing w:line="240" w:lineRule="auto"/>
        <w:rPr>
          <w:rFonts w:ascii="Times New Roman" w:hAnsi="Times New Roman"/>
          <w:sz w:val="24"/>
        </w:rPr>
      </w:pPr>
      <w:r>
        <w:rPr>
          <w:rFonts w:ascii="Times New Roman" w:hAnsi="Times New Roman"/>
          <w:sz w:val="24"/>
        </w:rPr>
        <w:t xml:space="preserve">SPRRH precizno ukazuje na potrebe jasne nove politike oko napuštenih i zapuštenih zgrada i prostora, koje predstavljaju značajan prostorni potencijal i resurs. Preobrazba i reafirmacija napuštenih, zapuštenih i nedovoljno odnosno neprimjereno korištenih prostornih cjelina podrazumijeva provedbu vrednovanja potencijala </w:t>
      </w:r>
      <w:r>
        <w:rPr>
          <w:rFonts w:ascii="Times New Roman" w:hAnsi="Times New Roman"/>
          <w:sz w:val="24"/>
          <w:shd w:val="clear" w:color="auto" w:fill="FFFFFF"/>
        </w:rPr>
        <w:t>i prilagodbu dokumenata prostornog uređenja</w:t>
      </w:r>
      <w:r>
        <w:rPr>
          <w:rFonts w:ascii="Times New Roman" w:hAnsi="Times New Roman"/>
          <w:sz w:val="24"/>
        </w:rPr>
        <w:t xml:space="preserve"> određenog prostora od nacionalne do lokalne </w:t>
      </w:r>
      <w:r>
        <w:rPr>
          <w:rFonts w:ascii="Times New Roman" w:hAnsi="Times New Roman"/>
          <w:sz w:val="24"/>
          <w:shd w:val="clear" w:color="auto" w:fill="FFFFFF"/>
        </w:rPr>
        <w:t>i područne (regionalne) razine</w:t>
      </w:r>
      <w:r>
        <w:rPr>
          <w:rFonts w:ascii="Times New Roman" w:hAnsi="Times New Roman"/>
          <w:sz w:val="24"/>
        </w:rPr>
        <w:t>. Posebno se ističe značaj evidentiranja, analiziranja, vrednovanja, planiranja i aktiviranja napuštenih, zapuštenih i nedovoljno odnosno neprimjereno korištenih zona i građevina u javnom vlasništvu usmjeren prema novim, unaprjeđenim i održivim namjenama prostora i njegovom korištenju s odmjerenim sadržajima i infrastrukturom što je u fokusu ovog Programa.</w:t>
      </w:r>
    </w:p>
    <w:p w14:paraId="45D05848" w14:textId="77777777" w:rsidR="00496804" w:rsidRDefault="00496804">
      <w:pPr>
        <w:spacing w:line="240" w:lineRule="auto"/>
        <w:jc w:val="left"/>
        <w:rPr>
          <w:rFonts w:ascii="Times New Roman" w:hAnsi="Times New Roman"/>
          <w:sz w:val="24"/>
        </w:rPr>
      </w:pPr>
    </w:p>
    <w:p w14:paraId="45D05849" w14:textId="77777777" w:rsidR="00496804" w:rsidRDefault="00496804">
      <w:pPr>
        <w:spacing w:line="240" w:lineRule="auto"/>
        <w:jc w:val="left"/>
        <w:rPr>
          <w:rFonts w:ascii="Times New Roman" w:hAnsi="Times New Roman"/>
          <w:sz w:val="24"/>
        </w:rPr>
      </w:pPr>
    </w:p>
    <w:p w14:paraId="45D0584A" w14:textId="77777777" w:rsidR="00496804" w:rsidRDefault="0037359D">
      <w:pPr>
        <w:pStyle w:val="Naslov2"/>
        <w:ind w:left="426" w:hanging="426"/>
        <w:rPr>
          <w:rFonts w:ascii="Times New Roman" w:hAnsi="Times New Roman" w:cs="Times New Roman"/>
          <w:color w:val="auto"/>
          <w:sz w:val="24"/>
          <w:szCs w:val="24"/>
        </w:rPr>
      </w:pPr>
      <w:bookmarkStart w:id="38" w:name="_Toc51851623"/>
      <w:r>
        <w:rPr>
          <w:rFonts w:ascii="Times New Roman" w:hAnsi="Times New Roman" w:cs="Times New Roman"/>
          <w:color w:val="auto"/>
          <w:sz w:val="24"/>
          <w:szCs w:val="24"/>
        </w:rPr>
        <w:t>METODOLOGIJA IZRADE PROGRAMA</w:t>
      </w:r>
      <w:bookmarkEnd w:id="38"/>
    </w:p>
    <w:p w14:paraId="45D0584B" w14:textId="77777777" w:rsidR="00496804" w:rsidRDefault="00496804">
      <w:pPr>
        <w:spacing w:line="240" w:lineRule="auto"/>
        <w:rPr>
          <w:rFonts w:ascii="Times New Roman" w:hAnsi="Times New Roman"/>
          <w:sz w:val="24"/>
          <w:lang w:eastAsia="hr-HR"/>
        </w:rPr>
      </w:pPr>
    </w:p>
    <w:p w14:paraId="45D0584C" w14:textId="77777777" w:rsidR="00496804" w:rsidRDefault="0037359D">
      <w:pPr>
        <w:spacing w:line="240" w:lineRule="auto"/>
        <w:rPr>
          <w:rFonts w:ascii="Times New Roman" w:hAnsi="Times New Roman"/>
          <w:bCs/>
          <w:sz w:val="24"/>
          <w:lang w:eastAsia="en-US"/>
        </w:rPr>
      </w:pPr>
      <w:r>
        <w:rPr>
          <w:rFonts w:ascii="Times New Roman" w:hAnsi="Times New Roman"/>
          <w:bCs/>
          <w:sz w:val="24"/>
        </w:rPr>
        <w:t>Program razvoja KG sadrži poglavlja, u kojima je obrađena tipologija i koristi kružnog gospodarenja prostorom i zgradama, predstavljen je pregled stanja u prostoru, identificirane su razvojne potrebe i razvojni potencijali, izazovi u provedbi, opisani su prioriteti javne politike u strateškom razdoblju, dana srednjoročna vizija razvoja te postavljeni ciljevi, mjere i okvir za provedbu ovog Programa, kao i pokazatelji za praćenje provedbe Programa, izvještavanje o provedbi i vrednovanje.</w:t>
      </w:r>
    </w:p>
    <w:p w14:paraId="45D0584D" w14:textId="77777777" w:rsidR="00496804" w:rsidRDefault="00496804">
      <w:pPr>
        <w:spacing w:line="240" w:lineRule="auto"/>
        <w:rPr>
          <w:rFonts w:ascii="Times New Roman" w:hAnsi="Times New Roman"/>
          <w:sz w:val="24"/>
          <w:highlight w:val="yellow"/>
        </w:rPr>
      </w:pPr>
    </w:p>
    <w:p w14:paraId="45D0584E" w14:textId="77777777" w:rsidR="00496804" w:rsidRDefault="0037359D">
      <w:pPr>
        <w:spacing w:line="240" w:lineRule="auto"/>
        <w:rPr>
          <w:rFonts w:ascii="Times New Roman" w:hAnsi="Times New Roman"/>
          <w:sz w:val="24"/>
        </w:rPr>
      </w:pPr>
      <w:bookmarkStart w:id="39" w:name="_Hlk38131259"/>
      <w:r>
        <w:rPr>
          <w:rFonts w:ascii="Times New Roman" w:hAnsi="Times New Roman"/>
          <w:sz w:val="24"/>
        </w:rPr>
        <w:t>Trenutno nije moguće dobiti sustavne podatke o broju nekorištenih prostora i zgrada što ukazuje na prijeku potrebu uspostave objedinjenog sustava digitalnog evidentiranja i praćenja navedenih kategorija prostora i zgrada, za koji je ključna uspostava metodologije i dionika koji sudjeluju u prikupljanju i analizi podataka te mapiranje, a kako bi se utvrdilo stvarno početno stanje i omogućilo kvalitetno praćenje Programom definiranih mjera. Cjelovit uvid nužan je kako bi se mogle utvrditi specifičnosti RH u odnosu na europski i međunarodni kontekst, definirati izazovi u pripremi i provedbi kružnog gospodarenja te utvrditi smjernice za budući razvoj.</w:t>
      </w:r>
    </w:p>
    <w:bookmarkEnd w:id="39"/>
    <w:p w14:paraId="45D0584F" w14:textId="77777777" w:rsidR="00496804" w:rsidRDefault="00496804">
      <w:pPr>
        <w:spacing w:line="240" w:lineRule="auto"/>
        <w:rPr>
          <w:rFonts w:ascii="Times New Roman" w:hAnsi="Times New Roman"/>
          <w:sz w:val="24"/>
          <w:lang w:eastAsia="hr-HR"/>
        </w:rPr>
      </w:pPr>
    </w:p>
    <w:p w14:paraId="45D05850"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Kako bi se dobio što bolji uvid u stanje u prostoru RH te kako bi se što kvalitetnije identificirale potrebe i kvantificirali ulazni podaci potrebni za izradu ovog </w:t>
      </w:r>
      <w:r>
        <w:rPr>
          <w:rFonts w:ascii="Times New Roman" w:hAnsi="Times New Roman" w:cs="Times New Roman"/>
          <w:iCs/>
          <w:sz w:val="24"/>
          <w:szCs w:val="24"/>
        </w:rPr>
        <w:t xml:space="preserve">Programa, </w:t>
      </w:r>
      <w:r>
        <w:rPr>
          <w:rFonts w:ascii="Times New Roman" w:hAnsi="Times New Roman" w:cs="Times New Roman"/>
          <w:sz w:val="24"/>
          <w:szCs w:val="24"/>
        </w:rPr>
        <w:t xml:space="preserve">izvršene su sljedeće aktivnosti (detaljnije obrađene u poglavlju 4. </w:t>
      </w:r>
      <w:r>
        <w:rPr>
          <w:rFonts w:ascii="Times New Roman" w:hAnsi="Times New Roman" w:cs="Times New Roman"/>
          <w:iCs/>
          <w:sz w:val="24"/>
          <w:szCs w:val="24"/>
        </w:rPr>
        <w:t>Pregled stanja u prostoru</w:t>
      </w:r>
      <w:r>
        <w:rPr>
          <w:rFonts w:ascii="Times New Roman" w:hAnsi="Times New Roman" w:cs="Times New Roman"/>
          <w:sz w:val="24"/>
          <w:szCs w:val="24"/>
        </w:rPr>
        <w:t>):</w:t>
      </w:r>
    </w:p>
    <w:p w14:paraId="45D05851" w14:textId="6A952AF8" w:rsidR="00496804" w:rsidRDefault="0037359D">
      <w:pPr>
        <w:pStyle w:val="tekst"/>
        <w:numPr>
          <w:ilvl w:val="0"/>
          <w:numId w:val="6"/>
        </w:numPr>
        <w:spacing w:line="240" w:lineRule="auto"/>
        <w:ind w:left="426" w:hanging="284"/>
        <w:rPr>
          <w:rFonts w:ascii="Times New Roman" w:hAnsi="Times New Roman" w:cs="Times New Roman"/>
          <w:sz w:val="24"/>
          <w:szCs w:val="24"/>
        </w:rPr>
      </w:pPr>
      <w:r>
        <w:rPr>
          <w:rFonts w:ascii="Times New Roman" w:hAnsi="Times New Roman" w:cs="Times New Roman"/>
          <w:bCs/>
          <w:sz w:val="24"/>
          <w:szCs w:val="24"/>
        </w:rPr>
        <w:t xml:space="preserve">Analiza službenih izvora podataka koja je podrazumijevala </w:t>
      </w:r>
      <w:r>
        <w:rPr>
          <w:rFonts w:ascii="Times New Roman" w:hAnsi="Times New Roman" w:cs="Times New Roman"/>
          <w:sz w:val="24"/>
          <w:szCs w:val="24"/>
        </w:rPr>
        <w:t>pregled dostupne dokumentacije i podataka, u cilju utvrđivanja dostupnosti preciznih brojčanih pokazatelja stanja. Utemeljena je na različitim službenim izvorima i dokumentima nacionalne i lokalne razine, kao što su Izvješće o stanju u prostoru Republike Hrvatske</w:t>
      </w:r>
      <w:r w:rsidR="002E145F">
        <w:rPr>
          <w:rFonts w:ascii="Times New Roman" w:hAnsi="Times New Roman" w:cs="Times New Roman"/>
          <w:sz w:val="24"/>
          <w:szCs w:val="24"/>
        </w:rPr>
        <w:t xml:space="preserve"> za razdoblje</w:t>
      </w:r>
      <w:r>
        <w:rPr>
          <w:rFonts w:ascii="Times New Roman" w:hAnsi="Times New Roman" w:cs="Times New Roman"/>
          <w:sz w:val="24"/>
          <w:szCs w:val="24"/>
        </w:rPr>
        <w:t xml:space="preserve"> </w:t>
      </w:r>
      <w:r w:rsidR="004579F6">
        <w:rPr>
          <w:rFonts w:ascii="Times New Roman" w:hAnsi="Times New Roman" w:cs="Times New Roman"/>
          <w:sz w:val="24"/>
          <w:szCs w:val="24"/>
        </w:rPr>
        <w:t>2013</w:t>
      </w:r>
      <w:r>
        <w:rPr>
          <w:rFonts w:ascii="Times New Roman" w:hAnsi="Times New Roman" w:cs="Times New Roman"/>
          <w:sz w:val="24"/>
          <w:szCs w:val="24"/>
        </w:rPr>
        <w:t>.-</w:t>
      </w:r>
      <w:r w:rsidR="004579F6">
        <w:rPr>
          <w:rFonts w:ascii="Times New Roman" w:hAnsi="Times New Roman" w:cs="Times New Roman"/>
          <w:sz w:val="24"/>
          <w:szCs w:val="24"/>
        </w:rPr>
        <w:t>2019</w:t>
      </w:r>
      <w:r>
        <w:rPr>
          <w:rFonts w:ascii="Times New Roman" w:hAnsi="Times New Roman" w:cs="Times New Roman"/>
          <w:sz w:val="24"/>
          <w:szCs w:val="24"/>
        </w:rPr>
        <w:t>.</w:t>
      </w:r>
      <w:r>
        <w:rPr>
          <w:rFonts w:ascii="Times New Roman" w:hAnsi="Times New Roman" w:cs="Times New Roman"/>
          <w:sz w:val="24"/>
          <w:szCs w:val="24"/>
          <w:vertAlign w:val="superscript"/>
        </w:rPr>
        <w:footnoteReference w:id="34"/>
      </w:r>
      <w:r>
        <w:rPr>
          <w:rFonts w:ascii="Times New Roman" w:hAnsi="Times New Roman" w:cs="Times New Roman"/>
          <w:sz w:val="24"/>
          <w:szCs w:val="24"/>
        </w:rPr>
        <w:t>, podaci o energetskoj obnovi zgrada Ministarstva prostornoga uređenja, graditeljstva i državne imovine</w:t>
      </w:r>
      <w:r>
        <w:rPr>
          <w:rFonts w:ascii="Times New Roman" w:hAnsi="Times New Roman" w:cs="Times New Roman"/>
          <w:sz w:val="24"/>
          <w:szCs w:val="24"/>
          <w:vertAlign w:val="superscript"/>
        </w:rPr>
        <w:footnoteReference w:id="35"/>
      </w:r>
      <w:r>
        <w:rPr>
          <w:rFonts w:ascii="Times New Roman" w:hAnsi="Times New Roman" w:cs="Times New Roman"/>
          <w:sz w:val="24"/>
          <w:szCs w:val="24"/>
        </w:rPr>
        <w:t>, Informacijski sustav prostornog uređenja (ISPU)</w:t>
      </w:r>
      <w:r>
        <w:rPr>
          <w:rFonts w:ascii="Times New Roman" w:hAnsi="Times New Roman" w:cs="Times New Roman"/>
          <w:sz w:val="24"/>
          <w:szCs w:val="24"/>
          <w:vertAlign w:val="superscript"/>
        </w:rPr>
        <w:footnoteReference w:id="36"/>
      </w:r>
      <w:r>
        <w:rPr>
          <w:rFonts w:ascii="Times New Roman" w:hAnsi="Times New Roman" w:cs="Times New Roman"/>
          <w:sz w:val="24"/>
          <w:szCs w:val="24"/>
        </w:rPr>
        <w:t>, podaci Državnog zavoda za statistiku (DZS)</w:t>
      </w:r>
      <w:r>
        <w:rPr>
          <w:rFonts w:ascii="Times New Roman" w:hAnsi="Times New Roman" w:cs="Times New Roman"/>
          <w:sz w:val="24"/>
          <w:szCs w:val="24"/>
          <w:vertAlign w:val="superscript"/>
        </w:rPr>
        <w:footnoteReference w:id="37"/>
      </w:r>
      <w:r>
        <w:rPr>
          <w:rFonts w:ascii="Times New Roman" w:hAnsi="Times New Roman" w:cs="Times New Roman"/>
          <w:sz w:val="24"/>
          <w:szCs w:val="24"/>
        </w:rPr>
        <w:t xml:space="preserve">, prostorni planovi JLS, Izvješća o stanju u prostoru JLS, Izvješća Hrvatske agencije za okoliš i prirodu za 2018. godinu, podaci Regionalne energetske agencije sjeverozapadne Hrvatske, podaci Hrvatske platforme za smanjenje rizika od katastrofa, i drugi. </w:t>
      </w:r>
    </w:p>
    <w:p w14:paraId="45D05852" w14:textId="77777777" w:rsidR="00496804" w:rsidRDefault="0037359D">
      <w:pPr>
        <w:pStyle w:val="tekst"/>
        <w:numPr>
          <w:ilvl w:val="0"/>
          <w:numId w:val="6"/>
        </w:numPr>
        <w:spacing w:line="240" w:lineRule="auto"/>
        <w:ind w:left="426" w:hanging="284"/>
        <w:rPr>
          <w:rFonts w:ascii="Times New Roman" w:hAnsi="Times New Roman" w:cs="Times New Roman"/>
          <w:sz w:val="24"/>
          <w:szCs w:val="24"/>
        </w:rPr>
      </w:pPr>
      <w:r>
        <w:rPr>
          <w:rFonts w:ascii="Times New Roman" w:hAnsi="Times New Roman" w:cs="Times New Roman"/>
          <w:bCs/>
          <w:sz w:val="24"/>
          <w:szCs w:val="24"/>
        </w:rPr>
        <w:t>Internetsko istraživanje</w:t>
      </w:r>
      <w:r>
        <w:rPr>
          <w:rFonts w:ascii="Times New Roman" w:hAnsi="Times New Roman" w:cs="Times New Roman"/>
          <w:sz w:val="24"/>
          <w:szCs w:val="24"/>
        </w:rPr>
        <w:t xml:space="preserve"> se sastoji od analize dostupnih podataka iz ostalih izvora informiranja kao što su službene mrežne stranice jedinica lokalne samouprave, CROSBI i drugi međunarodni i nacionalni izvori. U ovom su dijelu prikupljene informacije o temama strateškog i prostornog planiranja, potom informacije o temama iz područja projektiranja, edukacija, informiranja, a sve u cilju prikupljanja recentnih informacija potrebnih za pripremu ovog Programa. </w:t>
      </w:r>
    </w:p>
    <w:p w14:paraId="45D05853" w14:textId="77777777" w:rsidR="00496804" w:rsidRDefault="0037359D">
      <w:pPr>
        <w:pStyle w:val="tekst"/>
        <w:numPr>
          <w:ilvl w:val="0"/>
          <w:numId w:val="6"/>
        </w:numPr>
        <w:spacing w:line="240" w:lineRule="auto"/>
        <w:ind w:left="426" w:hanging="284"/>
        <w:rPr>
          <w:rFonts w:ascii="Times New Roman" w:hAnsi="Times New Roman" w:cs="Times New Roman"/>
          <w:sz w:val="24"/>
          <w:szCs w:val="24"/>
        </w:rPr>
      </w:pPr>
      <w:r>
        <w:rPr>
          <w:rFonts w:ascii="Times New Roman" w:hAnsi="Times New Roman" w:cs="Times New Roman"/>
          <w:bCs/>
          <w:sz w:val="24"/>
          <w:szCs w:val="24"/>
        </w:rPr>
        <w:t>Benchmarking</w:t>
      </w:r>
      <w:r>
        <w:rPr>
          <w:rFonts w:ascii="Times New Roman" w:hAnsi="Times New Roman" w:cs="Times New Roman"/>
          <w:sz w:val="24"/>
          <w:szCs w:val="24"/>
        </w:rPr>
        <w:t xml:space="preserve"> kao izdvojeni vid istraživanja je bio usmjeren na </w:t>
      </w:r>
      <w:r>
        <w:rPr>
          <w:rFonts w:ascii="Times New Roman" w:hAnsi="Times New Roman" w:cs="Times New Roman"/>
          <w:bCs/>
          <w:sz w:val="24"/>
          <w:szCs w:val="24"/>
        </w:rPr>
        <w:t>primjere europske dobre prakse</w:t>
      </w:r>
      <w:r>
        <w:rPr>
          <w:rFonts w:ascii="Times New Roman" w:hAnsi="Times New Roman" w:cs="Times New Roman"/>
          <w:sz w:val="24"/>
          <w:szCs w:val="24"/>
        </w:rPr>
        <w:t xml:space="preserve"> unutar teme kružnog gospodarenja prostorom i zgradama, a podrazumijevao je pregled znanstveno-istraživačkih platformi koje se bave tematikom kružnog gospodarstva, s naglaskom na prostor i zgrade te istraživanje okvira primjene kružnog gospodarstva na prostoru RH.</w:t>
      </w:r>
    </w:p>
    <w:p w14:paraId="45D05854" w14:textId="77777777" w:rsidR="00496804" w:rsidRDefault="0037359D">
      <w:pPr>
        <w:pStyle w:val="tekst"/>
        <w:numPr>
          <w:ilvl w:val="0"/>
          <w:numId w:val="6"/>
        </w:numPr>
        <w:spacing w:line="240" w:lineRule="auto"/>
        <w:ind w:left="426" w:hanging="284"/>
        <w:rPr>
          <w:rFonts w:ascii="Times New Roman" w:hAnsi="Times New Roman" w:cs="Times New Roman"/>
          <w:sz w:val="24"/>
          <w:szCs w:val="24"/>
        </w:rPr>
      </w:pPr>
      <w:r>
        <w:rPr>
          <w:rFonts w:ascii="Times New Roman" w:hAnsi="Times New Roman" w:cs="Times New Roman"/>
          <w:sz w:val="24"/>
          <w:szCs w:val="24"/>
        </w:rPr>
        <w:t>Interdisciplinarna radionica</w:t>
      </w:r>
      <w:r>
        <w:rPr>
          <w:rStyle w:val="Referencafusnote"/>
          <w:rFonts w:ascii="Times New Roman" w:hAnsi="Times New Roman" w:cs="Times New Roman"/>
          <w:bCs/>
          <w:sz w:val="24"/>
          <w:szCs w:val="24"/>
        </w:rPr>
        <w:footnoteReference w:id="38"/>
      </w:r>
      <w:r>
        <w:rPr>
          <w:rFonts w:ascii="Times New Roman" w:hAnsi="Times New Roman" w:cs="Times New Roman"/>
          <w:b/>
          <w:sz w:val="24"/>
          <w:szCs w:val="24"/>
        </w:rPr>
        <w:t xml:space="preserve"> </w:t>
      </w:r>
      <w:r>
        <w:rPr>
          <w:rFonts w:ascii="Times New Roman" w:hAnsi="Times New Roman" w:cs="Times New Roman"/>
          <w:sz w:val="24"/>
          <w:szCs w:val="24"/>
        </w:rPr>
        <w:t>organizirana je u obliku stručne rasprave predstavnika akademske zajednice, javnog i privatnog sektora radi informiranja dionika i upoznavanja s temom razvoja kružnog gospodarenja zgradama, identificiranja potreba kao i izazovima za provođenje.</w:t>
      </w:r>
    </w:p>
    <w:p w14:paraId="45D05855" w14:textId="77777777" w:rsidR="00496804" w:rsidRDefault="0037359D">
      <w:pPr>
        <w:pStyle w:val="tekst"/>
        <w:numPr>
          <w:ilvl w:val="0"/>
          <w:numId w:val="6"/>
        </w:numPr>
        <w:spacing w:line="240" w:lineRule="auto"/>
        <w:ind w:left="426" w:hanging="284"/>
        <w:rPr>
          <w:rFonts w:ascii="Times New Roman" w:hAnsi="Times New Roman" w:cs="Times New Roman"/>
          <w:sz w:val="24"/>
          <w:szCs w:val="24"/>
        </w:rPr>
      </w:pPr>
      <w:r>
        <w:rPr>
          <w:rFonts w:ascii="Times New Roman" w:hAnsi="Times New Roman" w:cs="Times New Roman"/>
          <w:bCs/>
          <w:sz w:val="24"/>
          <w:szCs w:val="24"/>
        </w:rPr>
        <w:t>Anketni upitnik</w:t>
      </w:r>
      <w:r>
        <w:rPr>
          <w:rStyle w:val="Referencafusnote"/>
          <w:rFonts w:ascii="Times New Roman" w:hAnsi="Times New Roman" w:cs="Times New Roman"/>
          <w:sz w:val="24"/>
          <w:szCs w:val="24"/>
        </w:rPr>
        <w:footnoteReference w:id="39"/>
      </w:r>
      <w:r>
        <w:rPr>
          <w:rFonts w:ascii="Times New Roman" w:hAnsi="Times New Roman" w:cs="Times New Roman"/>
          <w:sz w:val="24"/>
          <w:szCs w:val="24"/>
        </w:rPr>
        <w:t xml:space="preserve"> proveden je s predstavnicima jedinica lokalne i područne (regionalne) samouprave, kako bi se utvrdila upoznatost s temom kružnog gospodarenja prostorom i zgradama te potencijali eventualne primjene iste.</w:t>
      </w:r>
    </w:p>
    <w:p w14:paraId="45D05856" w14:textId="77777777" w:rsidR="00496804" w:rsidRDefault="00496804">
      <w:pPr>
        <w:pStyle w:val="tekst"/>
        <w:spacing w:line="240" w:lineRule="auto"/>
        <w:rPr>
          <w:rFonts w:ascii="Times New Roman" w:hAnsi="Times New Roman" w:cs="Times New Roman"/>
          <w:sz w:val="24"/>
          <w:szCs w:val="24"/>
        </w:rPr>
      </w:pPr>
    </w:p>
    <w:p w14:paraId="45D05857"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Svi podaci prikupljeni u ovoj fazi pripreme Programa razvoja KG su i dalje okvirni i mogu odstupati od stvarnog stanja, a što će biti moguće tek uspostavom objedinjenog sustava digitalnog evidentiranja i praćenja. </w:t>
      </w:r>
    </w:p>
    <w:p w14:paraId="45D05858" w14:textId="77777777" w:rsidR="00496804" w:rsidRDefault="00496804">
      <w:pPr>
        <w:pStyle w:val="tekst"/>
        <w:spacing w:line="240" w:lineRule="auto"/>
        <w:rPr>
          <w:rFonts w:ascii="Times New Roman" w:hAnsi="Times New Roman" w:cs="Times New Roman"/>
          <w:sz w:val="24"/>
          <w:szCs w:val="24"/>
        </w:rPr>
      </w:pPr>
    </w:p>
    <w:p w14:paraId="45D05859" w14:textId="77777777" w:rsidR="00496804" w:rsidRDefault="00496804">
      <w:pPr>
        <w:pStyle w:val="tekst"/>
        <w:spacing w:line="240" w:lineRule="auto"/>
        <w:rPr>
          <w:rFonts w:ascii="Times New Roman" w:hAnsi="Times New Roman" w:cs="Times New Roman"/>
          <w:sz w:val="24"/>
          <w:szCs w:val="24"/>
        </w:rPr>
      </w:pPr>
    </w:p>
    <w:p w14:paraId="45D0585A" w14:textId="77777777" w:rsidR="00496804" w:rsidRDefault="0037359D">
      <w:pPr>
        <w:pStyle w:val="Naslov10"/>
        <w:spacing w:line="240" w:lineRule="auto"/>
        <w:ind w:left="426" w:hanging="426"/>
        <w:outlineLvl w:val="0"/>
        <w:rPr>
          <w:rFonts w:ascii="Times New Roman" w:hAnsi="Times New Roman" w:cs="Times New Roman"/>
          <w:sz w:val="24"/>
          <w:szCs w:val="24"/>
        </w:rPr>
      </w:pPr>
      <w:bookmarkStart w:id="41" w:name="_Toc51851624"/>
      <w:r>
        <w:rPr>
          <w:rFonts w:ascii="Times New Roman" w:hAnsi="Times New Roman" w:cs="Times New Roman"/>
          <w:sz w:val="24"/>
          <w:szCs w:val="24"/>
        </w:rPr>
        <w:t>TIPOLOGIJA I KORISTI KRUŽNOG GOSPODARENJA PROSTOROM I ZGRADAMA</w:t>
      </w:r>
      <w:bookmarkEnd w:id="41"/>
    </w:p>
    <w:p w14:paraId="45D0585B" w14:textId="77777777" w:rsidR="00496804" w:rsidRDefault="00496804">
      <w:pPr>
        <w:spacing w:line="240" w:lineRule="auto"/>
        <w:rPr>
          <w:rFonts w:ascii="Times New Roman" w:hAnsi="Times New Roman"/>
          <w:sz w:val="24"/>
          <w:lang w:eastAsia="hr-HR"/>
        </w:rPr>
      </w:pPr>
    </w:p>
    <w:p w14:paraId="45D0585C" w14:textId="77777777" w:rsidR="00496804" w:rsidRDefault="0037359D">
      <w:pPr>
        <w:pStyle w:val="Naslov2"/>
        <w:ind w:left="426" w:hanging="426"/>
        <w:rPr>
          <w:rFonts w:ascii="Times New Roman" w:hAnsi="Times New Roman" w:cs="Times New Roman"/>
          <w:color w:val="auto"/>
          <w:sz w:val="24"/>
          <w:szCs w:val="24"/>
        </w:rPr>
      </w:pPr>
      <w:bookmarkStart w:id="42" w:name="_Toc51851625"/>
      <w:r>
        <w:rPr>
          <w:rFonts w:ascii="Times New Roman" w:hAnsi="Times New Roman" w:cs="Times New Roman"/>
          <w:color w:val="auto"/>
          <w:sz w:val="24"/>
          <w:szCs w:val="24"/>
        </w:rPr>
        <w:t>TIPOLOGIJA KRUŽNOG GOSPODARENJA PROSTOROM I ZGRADAMA</w:t>
      </w:r>
      <w:bookmarkEnd w:id="42"/>
    </w:p>
    <w:p w14:paraId="45D0585D" w14:textId="77777777" w:rsidR="00496804" w:rsidRDefault="00496804">
      <w:pPr>
        <w:rPr>
          <w:lang w:eastAsia="hr-HR"/>
        </w:rPr>
      </w:pPr>
    </w:p>
    <w:p w14:paraId="45D0585E" w14:textId="77777777" w:rsidR="00496804" w:rsidRDefault="0037359D">
      <w:pPr>
        <w:pStyle w:val="tekst"/>
        <w:spacing w:line="240" w:lineRule="auto"/>
        <w:rPr>
          <w:rFonts w:ascii="Times New Roman" w:hAnsi="Times New Roman" w:cs="Times New Roman"/>
          <w:sz w:val="24"/>
          <w:szCs w:val="24"/>
          <w:u w:color="942192"/>
        </w:rPr>
      </w:pPr>
      <w:r>
        <w:rPr>
          <w:rFonts w:ascii="Times New Roman" w:hAnsi="Times New Roman" w:cs="Times New Roman"/>
          <w:sz w:val="24"/>
          <w:szCs w:val="24"/>
        </w:rPr>
        <w:t>U Europskoj uniji se trenutno oko polovina svih ekstrahiranih materijala, energije i vode troši prema linearnom modelu izgradnje i korištenja zgrada. Također, građevinski sektor stvara otprilike trećinu ukupne količine otpada</w:t>
      </w:r>
      <w:r>
        <w:rPr>
          <w:rStyle w:val="Referencafusnote"/>
          <w:rFonts w:ascii="Times New Roman" w:hAnsi="Times New Roman" w:cs="Times New Roman"/>
          <w:sz w:val="24"/>
          <w:szCs w:val="24"/>
        </w:rPr>
        <w:footnoteReference w:id="40"/>
      </w:r>
      <w:r>
        <w:rPr>
          <w:rFonts w:ascii="Times New Roman" w:hAnsi="Times New Roman" w:cs="Times New Roman"/>
          <w:sz w:val="24"/>
          <w:szCs w:val="24"/>
        </w:rPr>
        <w:t xml:space="preserve">. Sve navedeno rezultira snažnim pritiscima na okoliš do kojih dolazi u različitim fazama životnog vijeka zgrade, uključujući proizvodnju građevnih proizvoda, izgradnju </w:t>
      </w:r>
      <w:r>
        <w:rPr>
          <w:rFonts w:ascii="Times New Roman" w:hAnsi="Times New Roman" w:cs="Times New Roman"/>
          <w:sz w:val="24"/>
          <w:szCs w:val="24"/>
        </w:rPr>
        <w:lastRenderedPageBreak/>
        <w:t xml:space="preserve">zgrade, njezino korištenje i obnovu te gospodarenje građevnim otpadom koji nastaje. </w:t>
      </w:r>
      <w:r>
        <w:rPr>
          <w:rFonts w:ascii="Times New Roman" w:hAnsi="Times New Roman" w:cs="Times New Roman"/>
          <w:sz w:val="24"/>
          <w:szCs w:val="24"/>
          <w:u w:color="942192"/>
        </w:rPr>
        <w:t>Potrošnja prirodnih resursa dvostruko premašuje njihovu proizvodnju što ukazuje na neodrživost gospodarstva. Vrijednost resursa u linearnom modelu gospodarenja je u kontinuiranom padu od faze sirovine, preko konačnog proizvoda pa sve do otpada.</w:t>
      </w:r>
    </w:p>
    <w:p w14:paraId="45D0585F" w14:textId="77777777" w:rsidR="00496804" w:rsidRDefault="00496804">
      <w:pPr>
        <w:pStyle w:val="tekst"/>
        <w:spacing w:line="240" w:lineRule="auto"/>
        <w:rPr>
          <w:rFonts w:ascii="Times New Roman" w:hAnsi="Times New Roman" w:cs="Times New Roman"/>
          <w:sz w:val="24"/>
          <w:szCs w:val="24"/>
        </w:rPr>
      </w:pPr>
    </w:p>
    <w:p w14:paraId="45D05860"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noProof/>
          <w:sz w:val="24"/>
          <w:szCs w:val="24"/>
          <w:u w:color="942192"/>
        </w:rPr>
        <mc:AlternateContent>
          <mc:Choice Requires="wpg">
            <w:drawing>
              <wp:anchor distT="0" distB="0" distL="114300" distR="114300" simplePos="0" relativeHeight="251657216" behindDoc="0" locked="0" layoutInCell="1" allowOverlap="1" wp14:anchorId="45D061F5" wp14:editId="45D061F6">
                <wp:simplePos x="0" y="0"/>
                <wp:positionH relativeFrom="page">
                  <wp:align>center</wp:align>
                </wp:positionH>
                <wp:positionV relativeFrom="paragraph">
                  <wp:posOffset>0</wp:posOffset>
                </wp:positionV>
                <wp:extent cx="4964430" cy="3502660"/>
                <wp:effectExtent l="0" t="0" r="8255" b="2540"/>
                <wp:wrapTopAndBottom/>
                <wp:docPr id="3" name="Grupa 3"/>
                <wp:cNvGraphicFramePr/>
                <a:graphic xmlns:a="http://schemas.openxmlformats.org/drawingml/2006/main">
                  <a:graphicData uri="http://schemas.microsoft.com/office/word/2010/wordprocessingGroup">
                    <wpg:wgp>
                      <wpg:cNvGrpSpPr/>
                      <wpg:grpSpPr>
                        <a:xfrm>
                          <a:off x="0" y="0"/>
                          <a:ext cx="4964400" cy="3502800"/>
                          <a:chOff x="0" y="0"/>
                          <a:chExt cx="4180470" cy="3435453"/>
                        </a:xfrm>
                      </wpg:grpSpPr>
                      <pic:pic xmlns:pic="http://schemas.openxmlformats.org/drawingml/2006/picture">
                        <pic:nvPicPr>
                          <pic:cNvPr id="6" name="Picture 6" descr="A close up of a sign&#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892055" y="159488"/>
                            <a:ext cx="1288415" cy="3275965"/>
                          </a:xfrm>
                          <a:prstGeom prst="rect">
                            <a:avLst/>
                          </a:prstGeom>
                        </pic:spPr>
                      </pic:pic>
                      <pic:pic xmlns:pic="http://schemas.openxmlformats.org/drawingml/2006/picture">
                        <pic:nvPicPr>
                          <pic:cNvPr id="4"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1485" cy="3430270"/>
                          </a:xfrm>
                          <a:prstGeom prst="rect">
                            <a:avLst/>
                          </a:prstGeom>
                        </pic:spPr>
                      </pic:pic>
                    </wpg:wgp>
                  </a:graphicData>
                </a:graphic>
              </wp:anchor>
            </w:drawing>
          </mc:Choice>
          <mc:Fallback>
            <w:pict>
              <v:group w14:anchorId="697CBD37" id="Grupa 3" o:spid="_x0000_s1026" style="position:absolute;margin-left:0;margin-top:0;width:390.9pt;height:275.8pt;z-index:251657216;mso-position-horizontal:center;mso-position-horizontal-relative:page" coordsize="41804,3435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C/pygIAAM0HAAAOAAAAZHJzL2Uyb0RvYy54bWzUVclu2zAQvRfoPxAs&#10;0FuixZIjq7GDoG6MAkFrdPkAmqIkIhJJkJSXv++QkpzEDtAiQA85iOI68+bNG/L6Zt82aMu04VLM&#10;cXQZYsQElQUX1Rz//nV3kWFkLBEFaaRgc3xgBt8s3r+73qmcxbKWTcE0AiPC5Ds1x7W1Kg8CQ2vW&#10;EnMpFROwWErdEgtDXQWFJjuw3jZBHIbTYCd1obSkzBiYXfaLeOHtlyWj9ntZGmZRM8eAzfpW+3bj&#10;2mBxTfJKE1VzOsAgr0DREi7A6dHUkliCOs3PTLWcamlkaS+pbANZlpwyHwNEE4Un0ay07JSPpcp3&#10;lTrSBNSe8PRqs/Tbdq0RL+Z4gpEgLaRopTtF0MRRs1NVDjtWWv1Uaz1MVP3IRbsvdev+EAfae1IP&#10;R1LZ3iIKk8lsmiQhcE9hbZKGcQYDTzutITdn52j9ZTwZZWFyNZ5MJmmSelTB6Dhw+I5wFKc5fANL&#10;0Dtj6e9qglO20wwPRtp/stES/dCpC0ioIpZveMPtwYsTUudAie2a07XuB4+ET0fCYdU5RTBRMENB&#10;nbeINtIw1CkkS0SQ4ZX4+GF/+8k3S7eJKwslh0hnJZQGp6RpDqhigmliWeEIdq6dt943cdzcS/pg&#10;kJCfayIqdmsU1AdUrdsdPN/uh8+Abxqu7njTuHy7/kARoD3R4gss9zpfStq1TNi+cDVrALcUpubK&#10;YKRz1m4Y6FB/LSIQC1waFsSoNBe2l4uxmllaO/8l4PgB2B1ukh8XPOhHnC4iA7p9QalxNovDNMUI&#10;NBmlsyTLeh+jaKM4y5II1r1o46t0Nk09S6P0gE5t7IrJFrkOwAY4kG+Sk+29GYCNWwZ2eyweJEDr&#10;EwSdNyPY5FSwiaPkuW7ekszi/y4zuLvOL8R4NouSbNRWMgljuON6JY/36Sic12vLX43wZvgCGd43&#10;9yg9HUP/6Su8+AMAAP//AwBQSwMECgAAAAAAAAAhABtuIB46+AAAOvgAABUAAABkcnMvbWVkaWEv&#10;aW1hZ2UxLnRpZmZJSSoAnPQAAIAAIFA4JBYNB4RCYVC4ZDYdD4hEYlE4pFYtF4xGY1G45HY9H5BI&#10;ZFI5JJZNJ5RKZVK5ZLZdL5hMZlM5pNZtN5xOZ1O55PZ9P6BQaFQ6JRaNR6RSaVS6ZTadT6hUalU6&#10;pVatV6xWa1W65Xa9X7BYbFY7JZbNZ7RabVa7Zbbdb7hcblc7pdbtd7xeb1e75fb9f8BgcFg8JhcN&#10;h8RicVi8Zjcdj8hkclk8plYrAYAAIFA4JBYNB4RCYVC4ZDYdD4hEYlE4pFYtF4xGY1G45HY9H5BI&#10;ZFI5JJZNJ5RKZVK5ZLZdL5hMZlM5pNZtN5xOZ1O55PZ9P6BQaFQ6JRaNR6RSaVS6ZTadT6hUalU6&#10;pVatV6xWa1W65Xa9X7BYbFY7JZbNZ7RabVa7Zbbdb7hcblc7pdbtd7xeb1e75fb9f8BgcFg8JhcN&#10;h8RicVi8Zjcdj8hkclk8plYrAYAAIFA4JBYNB4RCYVC4ZDYdD4hEYlE4pFYtF4xGY1G45HY9H5BI&#10;ZFI5JJZNJ5RKZVK5ZLZdL5hMZlM5pNZtN5xOZ1O55PZ9P6BQaFQ6JRaNR6RSaVS6ZTadT6hUalU6&#10;pVatV6xWa1W65Xa9X7BYbFY7JZbNZ7RQFVaweVrc8bTcblc7pdbtd7xeb1Fj/fQIK8A3H/g3XAyg&#10;V8Q5b3i8Zjcdj8hkclk4mq8sicG/zqAc4Acy9cyb8QV07lNNp9RqdVq9ZrZco9gJwNs2qAtsA4Y/&#10;t00wPvR2UOA89dw+JxeNx+RybIqeY6dsAgtF3pun8Z9GpuV2e126tASAACBQOCQWDQeEQmFQuGQ2&#10;HQ+IRGJROKRWLReMRmNRuOR2PR+QQhUyNPAKTGGPv6VP5ewMnleYPeQzOaTWbTecTmdTueT2fT+g&#10;UGhUOiUWjUekUmlUuCqWnDMDVFkwMBzh7vqsE4t1teUyvV+wWGxWOyWWzWe0Wm1Wu2W2dJG4AcMX&#10;NtSYBB6iLUF3stEq/PK3YHBYPCYXDYfEYnFYvGY2IyNUqi7FemOuVmSYFdZY7OZ3PZ/QaHRaPSaX&#10;TRLIBsA6txv/XP3VgF+bEC65/gKg7Y1ZlMaffb/gcHhcPicXjaA/8kCCvmOTYheIbZ8wcCwPY6uM&#10;bZnFbuDOQLbwAd4eMIQMKQMR3YegP2P4q+878f5fP6fX7ff8fmvZBK7E0uuj59tshABti3CDtsfi&#10;Bg67grHQhBPwiCAGQoEjbBg2wQNiF7bBc2IHIGB0DIQ2xtQaE79RTFUVxZFsXRe37ICE2JctiAig&#10;H8giVtg7CBjUlYVNiILYgagbyoEA0bOskDbH1BoHoguBIgOCsqhaoJ9yyfovy4Z8YS/MEwzFMcyN&#10;KyBRLsLSqKKlZqsyFjID0gY/tpACfn694qxuh5Vz6QyBjyoh8SyfYQC1Q50zLRVFsagIgAAgUDgk&#10;Fg0HhEJhULhkNh0PiERiUTikVi0XjEZjUbjkdj0fjipkQ/AUlVcDCsghj+lj3AMvFBWmTikSpJEl&#10;AS3gb7lj+nACAcqhT+KtFAkDf8MVdLQ0DPNCiL4fdTEBaqzpqFZrVbrldr1fsFhsVjslls1ntFpt&#10;VrtltjaZuAKCNzTMvAJagYCkD/vl9f5zK+BR8EVGFF4DxDQgl+gb6uwHrN+qb7EhbyzepVMp1oqV&#10;UqxarFu0Wj0ml02n1Gp1Wr1mt12v2EDUmzFoF2zHnALjl9bsyKwkhCd4QVBvFcePhE9fN2A12AMg&#10;nuBwKqzKrpsCp9nzr7qtX2Pf8Hh8Xj8nl83n9Hp9UNVXtA19VV2Jt2vUPvr5c/5B5v/j5hA/wAAg&#10;VwGdq7Ach5/L6fq7AK3a+EY3w6uq64AOysztu60D1w3DkOw9D8QRDEURxIsjClQJTEAGUyBgehh+&#10;RgMgsxmTqIPaVRuLsEaKJ6fScAMjCelS6QsQmzbtMnDLQxLJkmydJ8oSjKUpyoqBPyuBAFS0WicC&#10;Gxa+GK3weqQiCalinAnI2fq/Lso8EJYabpBdIzsM5JLPyXKs9T3Pk+z9P9AUC0Ubi2vpNxgfgPMs&#10;LZ2IopZVkYgY5r2vjlpeyCFr6d7fAlOkKzszzvUFUdSVLU1T1RVMqxuAzfH0jEbjOuxMMivh+L6A&#10;KcKCpC+Hsetfg2MNhHghFHwpCyywxPFVWZZtnWfaFo2k8MThlFRlryrien8fqcAKvx83CFgu3Ia1&#10;is1OskVDDVp3bd0nICCAACBQOCQWDQeEQmFQuGQ2HQ+IRGJROKRWLReMRmNRuOR2PR+QRhUSMvAK&#10;TKgrSl9SBRS0FgmYPGBgOQwt/zd8wMDPyeEotT9cQhV0NDQM8zWIvh90sQT8tOmkVGpVOqVWrVes&#10;VmtVuuV2vV+wWGxWOyWWsJ+0BAF2tYgG3D5/XFale6E2Bv+QKq9Pq3AEC12bv99v3CHIs4dKUKiU&#10;awUqmU6oWbJZPKZXLZfMZnNZvOZ3PZ/QQdTaMYgTTLW+hmDv6Bl8q69SXm9Ny+iOKYG8QJ3X163F&#10;/M+BsTCP1qSYBOrfOgGct4E7nPbFKuiwKj1/HPumz/I6Hud3vd/weHxePyeXzeeDqf1InTAQ7RDA&#10;v5q/MEoH7SuNqn9K2BkSBnUvpsIGVrhmGw4sm6rqhukxiuMCfKeH4D7IPRCsLQvDEMw1DcOQ7DyN&#10;lLEIIvaWLjB6jZwMCEiUisfsPoG/RUg2volsAm4Cr6TEWRdF8ex9H8gSDIUhyJIbRlMIQCyUVyBg&#10;ejjcIGSEWDlIsqytK8sSzLUty5LrQxiSSBjU4yaKm4Z+hyLE1GWhkQlKKABziFi+ggwILL6CKBgg&#10;4wGMCA7Ar6AIBsCAy+gSvoEMDMoAUWaMWBwhBJ0kCYDUqe4z0w6EvU3TlO09T9QVDLC0E+CDlgYY&#10;qBhUrrfHgvoKR2hEYlCvotL6AlWLiZC6CuHKEL0VRpr6FiCN8fiBnY4x6N8ZjAmG4xpOGdVKgMeB&#10;2WuelMDPTVRW7b1v3BcNxXGgSRlQLDjE0voGrK3xjV4HdZP0RTjDqgb8AAAyuGo14qhbX69HuvoB&#10;JA3C+nw3x/r6daBnXFl43JiOJSsgIIAAIFA4JBYNB4RCYVC4ZDYdD4hEYlE4pFYtF4xGY1G45HY9&#10;H4YqJEkQFJTbA36AZU+3/LX/AwRIIg/pocCxN0nBFVOztKgCiYO+JhMoU2SrRxRCFTS3vJZLAwNR&#10;IVLnSVqsGKlWa1W65Xa9X7BYbFY7JZbNZ7RabVa7ZbYvO1U6J8F4pNH8958AYGBIGA4ReYe98E9x&#10;WXsM36WqTLTk1CJc+ahgI/Lm1VisJ4Qq81L4Hj58B67LmZlhrbtNp9RqdVq9Zrddr9hsdls9ZcKx&#10;AnFPgLXH1LgFnZ8AJdeQFdnCV+QIsSVKcq4e+77A9/G5c28sJp1OwHPn5CLs+qdUalLkrljZtPR6&#10;fV6/Z7fd7/h8fl84diUPTjxbZdnAA84GDyXBspxdIglx+OGpy/IuuxvuQK4RIIkRUBeAcKmgxyXI&#10;GfTPpAuwzQcTb6RFEcSRLE0TxRFMVRWr64GgnwXrK/aBmGasbCCQMcn8uAeJ8YaKQMyQAQUiS7HL&#10;BwOIIxI0KcS6JqEgSYo2fsqCEm4sF/FktS3Lkuy9L8wTDMSNsSCSfNylQFrAe67DrBxKoQU05BuA&#10;s6mQjC7H6pyCSIhq7HbBwKSUpZZqcJkgJafMOIufdGheLVIGlMdJ0pStLUvTFM00sbEiLAaspcZ7&#10;BigL9SnEhjNFWFyBmijj9p86CBPEhS7HtB01IGuBrJ8FNEP2f59vCiZ9UafYPUgLR003ZdmWbZ1n&#10;2haMUQkS8KgGNFXJaRkbGqO8ckCfyIFLcYSgNcxtJBGaBUUlUpINAzLN2gbEnOpzbotdQAQ2lTQI&#10;Wlx5nPgIKjfgjIWlg+EYThWF4ZhqNl/iACHViZrqcEiGXyc67CPK5qIwxINp8cchJkz1+IOfqjiq&#10;viB1SfSB3kj2TADft3paqqr4dnWd2egIgAAgUDgkFg0HhEJhULhkNh0PiERiUTikVi0XjEZjUbjk&#10;dj0fkEEVMjEgBkzUkwBA8If8tVTvmBhM8ze0ckapCspccplchg0tf78gYDlL+KtHAkEVdLoUCAc+&#10;gVAfkppMDoDMK1ZGtQrldr1fsFhsVjslls1ntFptVrtltt1vuFrU9zLQEuylf15msCKZXvy4rijw&#10;QOA+Fc0pBdkvL+fVUrJWAaqyQYlLlgYCsb6gYGxamvxXLdx0Wj0ml02n1Gp1Wr1mt12v2EYVGzTT&#10;62xxL25etgT+9BAL4D2lIBgb+q0Pf1Af1Fgb9qUpflAfsDAOPC6k7A+A3bYHDslAfNASufOex83n&#10;9Hp9Xr9nt93v+Hx+OzVBNlLylLxoD02z6ep8wAegxwGeiUn+kC5lOEABQYMyBgmgYOwYAQRKAC6B&#10;gKgYFO8i5+w8QwsRCPb5RJEsTRPFEUxVFcWRbF0XoIyRVAefcagmuwCAvDx+gwAcfBUgYcpSFiUg&#10;UxYJR2HYtSWZMYSdJ8oSjKUpypKsrIKRssgSDUuAoLMvnHK8xTHMkyzNM80TTNUXJuYsJh0liWuW&#10;kx4MWzSBHigZtwmaZ+T8cCUnIgZ6UGoB3S+LJwIY3pPgw4AFmigamgAdCgG0oBsIGb9A0GxZ4KAe&#10;M/H4ejci83c11RVNVVXVlW1dV6EKWVZzwesCgOIgx0MeDqGOwUgWu2AxmqBA6PH5CZ9oIoB7VAlJ&#10;7MeGbWJuCrFh1CYcIGV7PmVWFu29b9wXDcUWJudkJgazbvpaZrHhohhS3gIgC3mWaUgQtZ0qOKoM&#10;LQm4EoGJyBi+gYRQmDygQypzh1EO1EEXceIYi9iAgIAAIFA4JBYNB4RCYVC4ZDYdD4hEYlE4pFYt&#10;F4xGY1G45HY9H44qpE94GBoGAZRKJBCH/LVgVpgUYZIlUeYGhYG/JSBZXC5a/27MCsJIwo6MHALS&#10;QhAxwAqcW5+KJSFpSAo5P1tQiXPa5Xa9X7BYbFY7JZbNZ7RabVa7Zbbdb7hK5o+p2/rs+qcApNYJ&#10;+m6EZoYqcEsbyTp+/IGA5SAbDdn8uCvkSTGJo+MXaZ+8KEF7jnc9n9BodFo9JpdNp9RqdVo0jrQO&#10;Gtg9cTBMc+7zPK+iiruzvM5EzJSM4JP3zKQPjbsi8iVztlJE44GFeNZZ+9nP1wkb+0+dX3e93/B4&#10;fF4/J5fN5/RA1P6w6A/c4KrtLs/arl4/PzdQknDFR/Ww9wBhOliWp0lACK6n40KETKMMEVJXryKD&#10;HHyvLjrIxwJuWdz0w5DsPQ/EEQxFEcSRKjJTRQG4CRWY77IMxy8KcvaNJ+f6UiQ3Yql03xVHglIH&#10;oQx0CgCxSUq4JsclpBrBCsvJUuGlripRCyvn7KweCxLJixNLkuy9L8wTDMUxzIhL+lQLcAFIhkap&#10;+fy8gGjEanzOgWC7O5rR4y0poZGC8xmjsrH7LEtIw9ZThHFYCG5KE2ttGSu0ESUsiwN8y0vTFM01&#10;TdOU7TyLpoPKUkMiCfn2naNn9RQJijVp4R5U8DTYn6Un+garIvNqWhM5dGIuT9gAgBVhnZOFG1sg&#10;UhtwjyfnAoQQ0/aNpWnalq2ta7STOR0ADiik/Ugic3KFOKFxQUwLqSApytmh9TVQi7HHufF5g6L9&#10;7HbOSWgEVd+HUlIJ1mf8hwOjafnmoQHWxhWF4ZhuHYfiBWYkUCfi+ikaoHGyUVwhzDqFZczP6GUA&#10;GXW+Lyi6dwpa2SBAeoR+pCkRkJSG+AxrN6nXIjUcsZiGfZ/EiAiAACBQOCQWDQeEQmFQuGQ2HQ+I&#10;RGJROKRWLReMRmNRuOR2PR+MKiRL0ByUhRh/Sl9AKWAaIP+YPsrTOXQtUzcrywBKiMTCYQN+gGhA&#10;SXzB1TMrBeQTdUomdHaizChAF/QMBxh9VkRluuN6QV+wWGxWOyWWzWe0Wm1Wu2W23W+4XG5XO6Qt&#10;VXdrVMUxyfPupgWHuMq4MPQymHqdIW+TB+VapgGGSl/NYr5UV0ubl+dKCN1WBAKKP3RG4saVJ3XU&#10;anVavWa3Xa/YbHZbPabXbXdVOmphaPv2fALHwjJNnKlcUQyRKhHSUBnGQT5+VOiQvJLnikiQckWc&#10;xoVaKZJ+zqCVeH5JX8Upbb1ev2e33e/4fH5fP6fWEbjyAB31MG2F9IGmqDJ8ZakBswyblQnQrrCz&#10;wANAhapk8KkJjGkBMwuAoIw0eapgOjZ+oO/KEskarihY+0URTFUVxZFsXRfGEYo43AHoGcypgUsT&#10;oOkgjJE+4oxIY3BkKmG8dJgfMOoQnxGKQOqxFXKJzoGDDFn+xrPqnB6EnkwYqxrGUwzFMcyTLM0z&#10;zRNKFFHNgOARN5wO8sLoMcqbRH6MrSiwTkhLucSpg6syfSSoUPIGflEDULNFkusTcF+qYgOemMtT&#10;kgTJH1O4PC1Th0zVT9QVDUVR1JUtTIoU1UhcAtWGitVBw6e9ZB2L1amMhA/1yAQV14dypzAsifH+&#10;qZ/N+qYfy8YcoSiTCBjPI8rp8AKdAHYTJCNPReVPbduW7b1v3BcLWNwHip2UtNhIGf593YC6uC2d&#10;iEE5eYGgdexyv4tVML+rJ9BCLmAHCsRT4IIYCYPbS0H0nwCseyQ4OKSNxYnimK4ti+MYrghTie5h&#10;XIGx7ILQfcvQChJQZQDYE5WcNqLdO59GvmQFkDmssLAT+cgQBmeHutuFpgAjJFTPQtYzo+kRagKA&#10;ACBQOCQWDQeEQmFQuGQ2HQ+IRGJROKRWLReMRmNRuOR2PR+KJ+RAgFyULP6UBQAysMgOXBJ+TELQ&#10;MPSsAiaBiEBTsJwMBv+gA2bASCUB/v4rUkBwxW00LTF+HqaTsBCeUP4MTYBTYGz6OUakUqQQxVWV&#10;/TYA2OF0Z90ZzFe4CC1XO6XW7Xe8Xm9Xu+X2/X/AYHBYPCYXDYfCpnFAUM40CvfIAibAZ85UJF3M&#10;NaQYpMgUE58DAzRAh8aUDgTUCKBiuBjyrjKqV2BA+fUkrAy+WVVP2tYCrv17cEKGHiPDEcfkcnlc&#10;vmc3nc/odHpdPqdXrdeHqntL+qECIWCBvubPKrtqqN6rqwD+tflD3PPsfH5fP6fX7ff8fn9fv+f3&#10;lu0VIuIGTiqHooxsKMYyBmwqhkqMbbbH0/0JwpCsLQvDEMw1DcOQ6/jdAGfcRAcLcSuMgR/w9FUV&#10;xZFsXRfGEYxlGcaRrG0bxxHMdR3Hkex9H8gSDIUhyJIsjSPJEkyVJcmSbJ0nyhKMpSnKkqoUgICA&#10;ACBQOCQWDQeEQmFQuGQ2HQ+IRGJROKRWLReMRmNRuOR2PR+QSGRSOSSWTSeUSmVSuWS2XS+YTGZT&#10;OaTWbTecTmdTueT2fT+gUGhUOiUWjUekUmlUumU2nU+oVGpVOqVWrVesVmtVuuQ0Awd/12xWOyWW&#10;zWe0Wm1Wu2SkKQM8QMqQMPwdvQNSwNFQN6Qu8wIQyNmQM3QNRQMSQ9+QN5QNrQNIQNzRcIwNawd2&#10;wMmxdNQMWYqBuyBsaBpWBve26nVavWa3Xa/YR4XQNkQMExd6wMWwNvwdqQMVyNewMiQNowPZxp8w&#10;Mb8aJnqBoWFimBtiJseBjiN6iBD+BsvY+HxePyeXzeefgOB4uDWGBLyBm2Bv2Bo6BkyB1+BP6Bgu&#10;BnwgYtoGCaFkihY3oWcaBle5yBOSADGoEPqBgEgYJIGMKBg2/KBnKgYOImzKBQuhRUIGLLruygZ4&#10;oGP0KIGCqBiugYRQ4gT2AAB6Bns9Eex9H8gSDIUfGIgYdoO/CBMuhwoIGV0bAAWSBieib3IS/SIu&#10;PByBnQgYMofBSBRAgwFNOhbEoEbaDyWAAloPLCIOwgTtIFD0xIfFCBFMg49oGQ0h0BQNBUHQlCqX&#10;HiBNugTfoE3aLMegTqIE7gAAYgb+IdKyETgh8tABB8uoFL6HFYgYpoOBq+IWXbiUvLyBnSg4vsMh&#10;85ABOgATsAExojTT/ttQ1g2EmKAggAAgUDgkFg0HhEJhULhkNh0PiERiUTikVi0XjEZjUbjkdj0f&#10;kEHC0DdEDAMDQ8DPUXTsDMUHEMDcEPf8Lk8SaMDF0kgYZhYFgb2gYEg4Ggb7hc1gx/gaCgbrgYUg&#10;b0gYNh7HgY4gblgYcibOgYxg83kNls1ntFptVrtltt1vuFxuVzul1u13vF5s87gU5gxvgaSi58ga&#10;Dg4wgd+htKhNkiGKvkdR0DOcLM0DTMHDcDc2UgaMgeME0DbkLrECrUCrkCr0SWUDJtjvWz2m1223&#10;3G53W73m932/4G8FEDa8HPEDRMXRcDOkHFcDa00m0TyEbTUDNMDf0LzsCn0CbUDE8HCs8gQCgarg&#10;ZW01Zrddia6gZF2XB+33/H5/X7/n9/z/wBAKDKIgR9JM9L1ouYCBh+g4JIGd7pIUxyHuqgSoNQg7&#10;GKQgR4oGeaHhKgZswPAqgoWByBvQgUOABFKBHwg7TgA1IANWADWoidqBweg0KQFIEgyFIciSLI0j&#10;yRJKNHYgYJoPF4ARAhyrIFJiBKMgRuoGEiJsYhEfobCwAJK7yzE2gYyLM9iBPUg0ZxrG8coYsjto&#10;MZ6BhlJU9T3Pk+z9P9AUDQSHC+gZQIOb6Bh2gZzoOqSBQWgTnoNNKBJaiUvPqiMxTIADvo7LAAHg&#10;gYEoHLSBUqiJfoPOMZPc1T4IUC6BlKgYhoOGiBmbQdeV7X1f2BYNhWGj5eoGISDzqAByNCgYPRKg&#10;ploGGyL0zHzqJ081PI+HqBmEg4joG+SJFUgYqoPAgAH6gc3u0qaDgGgYFWggk2gBNdiXzfV935ft&#10;/X+/hIoGNShoefjAs8jVrILMCGU4nqPm8gaY2ui15oEeqDl9W12VeiLGQMgTJoEleAZNk+UZTlWV&#10;5YjVboEyKyGkgZeLM8aFRIiQQIGA6B4PLKP5ugt1oE0qNaEgjGPCgVnoFUqHZ+AFGoEoWW6tq8go&#10;CIAAIFA4JBYNB4RCYVC4ZDYdD4hEYlE4pFYtF4xGY1G45HY9H5BIZFI5JJZNJ5RKZVK5ZLZdL5hM&#10;ZlM5pNZtN5xOZ1O55PZ9P6BQaFQ6JRaNR6RSaVS6ZTadT6hUalU6pVatV6xWa1W65Xa9X7BYbFY7&#10;JZbNZ7RabVa7Zbbdb7hcblc7pdbtd7xeb1e75fb9f8BgcFg8JhcNh8RicVi8Zjcdj8hkclk8plYr&#10;AYAAIFA4JBYNB4RCYVC4ZDYdD4hEYlE4pFYtF4xGY1G45HY9H5BIZFI5JJZNJ5RKZVK5ZLZdL5hM&#10;ZlM5pNZtN5xOZ1O55PZ9P6BQaFQ6JRaNR6RSaVS6ZTadT6hUalU6pVatV6xWa1W65Xa9X7BYbFMA&#10;CqbMVgDaQe77YpDPb3tY7lc7pdbtd7xeb1QU/fQQCcAZYGYn9hT4WsQtbkqsYHn/j1PaQCNsk/8K&#10;/n5A0C1s4i0Dn39e9Fo9JpdNp9RqaXZlS+cloYEAYJj3+5CvtxJWD/uwEKt8nwFwSzAwLENo9cui&#10;yxy0Dqudz+h0el0+pqNY2OCAhPCMuwtuVx/VFJ4yeBvMqIGB8kAdo/4ZlYemWp8zZn0DsOr+f1+/&#10;5/f8/6TMYVRtMkEruMKXTviOqjWFoyUFoE9yDskADaNkg8LPWgb1gCy5pO+F8ARFEcSRLE0TtTAR&#10;uskEUDn8WjvibBizE87IwpYy5lO+G6SICIAAIFA4JBYNB4RCYVC4ZDYdD4hEYlE4pFYtF4xGY1G4&#10;5HY9H5BIZFI5JJZNJ5RKZVK5ZLYKq5g4YGHoQ/psrCvOSrLpMqZ8ngFQTDLJs/mVOSuN55S6ZTad&#10;T6hUalU6pVatV6xWa1W65DJgq3JAw3C1GVbMXq7ElPa1OBLcWKJNmhSBjabtd7xeb1e75fb9f8Bg&#10;cFPJ8qXPQQEGIWnLMVTLgsKewDkz7AwNkwC/n/m3/JM41Lpg9Fo9JpdNp9RqdVq9ZJlVr3TmAtNZ&#10;slKQbb1hRPiGBnAvmADS6LR5zStbx+RyeVy+Zzedz+bhXbiAltH8iqQd62pu4GrcBFRAx3A+DAn5&#10;A39A87J84+IGsKRQ+h8/p9ft9/x+f1+9eqnezAIIQzhACtApAqm/oBs4SDMDIzAEKezh+M4U7MDb&#10;AorHi/cNw5DsPPyZsQiQAcSEufkTiSGkVGxD8WxcjyvnggYHusPCkESp7CjWxBEM4BSSMwbB9yGL&#10;kSAGUjMBQg50n7JogCzKBtRfKcqSrKy8GpLIGH1LhasQHyCM4op/C0GczFTK80yuzgAxizAHIRE5&#10;+DnKAskclhUTyFjEF4zALpAzlAnWoowTqW6EFZRIfSafogKQQU1UjSVJ0ok5nUuLLMEyzAGoZQLO&#10;FWBlRC8E1SnzStUOhBLMHbGbrDYpBKpIwoVIGTTMB04CRnoopEGtX5EkDYTzsCgIgAAgUDgkFg0H&#10;hEJhULhkNh0PiERiUTikVi0XjEZjUbjkdj0fkEhkUZZElBwHlCygY+AMtAMYf8xa7qmg1I83esjn&#10;U7nk9n0/oFBhp/ogEFlHdkDB8If1NMxXqCbjiZqgKCFXUcuJsuAsgpr+fsDUYLshyJlnd9CtVrtl&#10;tt1vuFxuVzul1ubPvBRganlwHnUxmMDHoxwjFu2HxGJxWLgaqxwGgbrlwOhD7yxjLWZT0Uoh/AQq&#10;0CCAWjO0DrsfwGpa781g/LevpOM2Wz2m12233G53UcvDPDcDWMuGdwfkDRAv5B+lz/3fN53Pt+OV&#10;QzwCRlw6lz+1OAAEuWhW8F6hfSAeAKcuTEuCMg1MDb79+BsLPzW/Q+33/H5/X7/myZj/jgAkBEKg&#10;YFMSwBgnPBQjiVBp8v7CEIv0VMKDQlxLIGf7loQwCXoFDwAHggZXvAKwxlRFCWJa9KWhQl0QI6wB&#10;5oGOh3xsT4zxyfcJR5HsfR/IEgtqYkiAasgFmWgYTRe3J4ssfYZhrKRuyFKsrLbFBUDs0YBEQ1CB&#10;nAlwQIGASelAak0DOQM1n1K83TfOE4zlOYAP+Zg1AHPJHL6/Z8q+MIZUCU86UJQqDOkB7AElLgto&#10;GAbcvg+BjH1SgqC9S51UNTVN05TtPLUY9QhKBFSFmlwTzcUkbHeMIg1c4tP1i+zyMAOMuD+gYGN0&#10;r5uMAMwsWAX9ZWHYli2NY4AN6QCBjylzITc7aYm7Sh9BmHFrnlZFtLoU9uh1PIBlQgYOSY2qvnor&#10;4v3AWMSrDbd33heN5OgZt6g1cEkoEDVZK+fDAB4GeAmbeeCI66QMIGWjhOdNqBFEKuIDOgZ/YKhq&#10;AoAAIFA4JBYNB4RCYVC4ZDYdD4hEYlE4pFYtF4xGY1G45HY9H5BIYGf5IAidJ0AA5UeIGBZFL5hF&#10;n7M36hllN0AgZ0/pjPZ9P6BQZeoqICwPR0EAqUa4GB6FGX/UX5UX+uHzVzGXq06qfXa9X7BYbFY7&#10;JZbNZ7RaYKzLYKKUAltbxDarpE6o/4GwhjeyBdb9f8BFlRgzaAcNSaUEMDCKo4H9jymWMkzsXlct&#10;l8xmc1m85nYjVAC0NEj8MATbAwFns5j3883xrxSOtk5dVtdtFVBuQ2Ct44IG/dLPMtVAJpSwVeQr&#10;tvy+Zzedz+h0bQyuoMQL11vpQv0s5VHzpTKMPEo+55cAn/QEAT60tKgGVoGA9VVHq8vsGTJ+Xn5v&#10;5/f8/8AQCtJfwIAgIwOSiqDI0r5QEzKqH8qhShlCgvQdC6XsGVA2reQrSga576PseT8P1DETxRFM&#10;VRW8pjxcEr1gSYqBgrFjOruxsYheFMeP3G0fk3IILgdIhjNKELSgC7kRPu/IyR9H8oylKcqSqj5j&#10;SwBIES2SzSi80rUys2qqHmqghwoGRlzE8pQzaCbeAUSKqCu+LSn+1h/Le4QALugi8I+qh9oGdjSh&#10;BCC3n7PqBT+hslIECgrUiek10pStLUvFBp00Ix+U6UrSgpTDnQg0pAPEGBB1EzpVVYUCqCmt4DLA&#10;0CFniq58h+o4Djs0ouqo4DDUYhrQKoATSghSIrUnVVmWbZ1nrU4hn2mVTSifMFoRDHB/mMeNvCAI&#10;Nwn5bKxlTcwqNKTjSgewB0H3d4mreDK3kygYMSSjkmRJJ0oXIl6AgIAAIFA4JBYNB4RCYVC4ZDYd&#10;D4hEYlE4pFYtF4xGY1G45HY9H4g0JEMX/JWAAZQDpBK5ZLZdL4w7X7MxcM5s5phOZ1O4UrZ8GX5Q&#10;WEAqIJJ5EpK/3xM36gX9T1gBKks6IAhFLqSAaS95QAQuVrA9KPY7JZbNZ7RabVa7ZbbdLWZcQfVV&#10;BXSfXQDb71e75BqS+YGYxjg1LfcNLVdiQm+8Yj66XLxb6e/n7XVJAzYBs0AcY+3TAwTY6S9nlpQw&#10;ZNQ88Pq9Zrddr9hsdls4GzdsUgHuU7AwhtN9v5BTH6qpsMy1wN8qeUgKqc4GDL7k2tkyiWes2oIq&#10;+00oGLbPSXrpXkGdQZNVyPR6fV6/Z7fdF7izALUgIv4GO/f+f1CaS3nu/4WB1AR7v2sjlFSGyul0&#10;roHuip57MmJzrCyXqEO0VY7oGRC1vA8TyNTAsQxFEcSRLEyJmfFIooGUSuuhE8YPWpLzgAJLBhiY&#10;sYovA6jIEUqqhs1Z7qSTCwCsOSGFVJQPK6bDQQ4krwtLD7zR1K0ryxLMtLIZMugmAswFYqogS3Mr&#10;0n2pJDRuQEzIET83gQBc5EkrovoGA0HH8WqmDMLU/JwhasyUVRlKqGi3w7KbyxpNtG0dR9IRgZ1J&#10;iyqrdoE0NI001ykn+gZhm3UIhSMfsYQONaBkWqtMr2yZ0H1WAai7WZyIoU9bhS3IBmorp806twCo&#10;GCUjLFTdjWPZFkrckRoAspJcK6GNlWm2KknUzoaBtbRxveU1vBo+hXK6Dq+vApg8QmSiQFRdgWV0&#10;XyBgrKB/yk8dF2pfF831faImXfw3TAApDoGBV+YM10hpKMsbsK2dBg8gZNIGIqugEvh9KYTB442O&#10;gz48fadQOCSumUroRu/KMPXvg6coCIAAIFA4JBYNB4RCYVC4ZDYdD4hEYlE4pFYtF4xGY1G45HYq&#10;1pAE3zI17AxcAZQAY9K5ZLZdL5hMZlFX6/5sphjOS9M4yqZ8mJSYJSB55F2s+KQRC7S3PRYWqqgA&#10;4GrJSUKdAps/3q8q4GTJX3nV7FY7JZbNZ7RabVa7ZMQCzbgZwFc0jKQNbbxeb1e704XffxYQcE9L&#10;Ef8MAhZiSa/sYprmAgVeKzk3TjH8UyzmWNfIRPlSjMecYGAphWa3Xa+ZLDnNZrddr9hsdls400Ns&#10;JoGtIGJdpvd9v9hWXe/eIThpx2JMFLyxsBucnYGLL5pqyhyv10LwIMqO4WMepoRKX9BMsAJS//PC&#10;wFWQgVvdhO18fl8/p9ftnGf+UFAztQ/u/8AQCjp9qyRCchiPyME/BYIAVBxQpSJSUgIvZ+ssVKuH&#10;kNoyw4d0BIEWEQgafUSFcgYeIorKVIElIAtIgQIvcKz4Q/GsbRvHEcs4akeAlEh9Gux4LR1IkiyI&#10;yxhBlJQgIGf6FgCVcov2gQ8oGqS2smrJyx+Fali6eUjIIzw0MeS6ONNDKvLBMM2TbN03zCww/gEJ&#10;86j6lI9pSAs4T5Pr5nKrIeQOcMolWJask+lIKL4yx1oGOTriuUk/IG7hUDCAdMk9M6bNOeU1NVSl&#10;RVHUlSrMZ1UBelJZJSD1TVfWC+KQfB7nFWxsIGGEWskmx8KyQyUkTGR9VeqBVC8lJQ04rU0tS1dY&#10;2haNpWmgTbGgSasjSlMr2pbtvI88pz3EAB7XK17LGMeF1CUM92njbtjWQlFlI3NDUTXb9831fb7G&#10;nfwUn5gJgJTId+YNg6FPKeOFgAdmHM4yaBm5gJ+CoLWLmlg942TZdPVBZ+EJggKAACBQOCQWDQeE&#10;QmFQuGQ2HQ+IRGJROKRWLReMRmNRuLMyPAUByFIQMzgGTAOOSmVSuWS2XS+YTGZSl6TUAOqcAB+z&#10;uZxZ/z95QM7FWiJqTAF/z2lUuEqqnF6jqGOT9/vV5VcMmStPOmV2vV+wWGxWOyWWzTBl2kZAW2LW&#10;Bhiz3G5XO6XWzPu8ABzXsAPq/XYAVR+VRNvnDHUvYl64DGRGnKqoSapRuqVasVoyVzG5vOZ3PZ/Q&#10;aGLtTSAa8PtOQMuUcA6LXa/YbGLzt+gB17cAPPdZt/VRpgTgEMpcN27LXY/IgHJxrK1d5Vmt8bpd&#10;PqdXrbFodkhQNVQMJ9fweHxWOqAB4+fbbjN8ACP22AU4kz5JPx6DkVGpz/Lc/MZr6v/AEAwFARbQ&#10;KA4MwQUaBimo4BQHB8IQihR+QoABwwuAB/Q0zgHQ6AAKxAACjnu2gwBpE7uwks77sk/Kquc6DMxV&#10;GcaRrGyembHIXAFHhjKOBcbyDITwHhIr0nW0ASSVESTIKqknk4GUpDNIalxY5UXP3GL/SrLsvS/C&#10;BfzECAIzKUCqCc1kwTXNjNm9N6dJ4z4Szoihlpqeghh5PcuTai0ruWjLmsu6M/UNQ9EMAadFivCh&#10;+Eyo4H0TSdKK68puUw0EeQcEdOoqqh4qoJUpBkY1KodQEsxg/tT1bV1XotApbAODFal0o4ezVWFd&#10;14i7znim6cs+9gABDY1BJ+fkNH8OQZ2c+legBVLKP1VdC2il6AiAACBQOCQWDQeEQmFQuGQ2HQ+I&#10;RGJROKRWLReMRmLtCOEh/R9WAKRAuNSWTSeUSmVSuWS2XS+YOOZAB8TWYSkHTkABeeSt/z9cuehE&#10;8lUV8zekUmCKqmF4A09Qyafv96vKrBkyVl50quV2vV+wWGxWOyVyONALR9/KmRAIgWW4XG5XO6XW&#10;bty8ACp3aDAa/AAM4EAX4DS+ptwB4kji7GN6+XymKqnVCpT+q1esmSt4/OZ3PZ/QaG5M7SJingEu&#10;aeSaLWa3Xa/YXu8NzPhvbAAE7kAaevVN61MzDLhKbYVzI5MA1GS76rPKsVri9HpdPqdWvaRnOO2h&#10;zrd3vd/wRpv+MAPzzQ3EgMAP32RneTkHAALfPP1NODD8GfTv7wxfjtO5SNOYzDoP7A0DwRBLOuw7&#10;SRO5BUIQjCTWHvCoAHRDAAARDYAArDwAAJEKCnfEgAHdE4ALUgreAhFoAAnGDdqe2KfmQAsbiWFk&#10;dHdCaEv+yjlss5rns1HsjSPJEkodBjtyVJ0nygli9t4iC9xPHh5yyAAOS5EERPAqZ5raJgXzKYUk&#10;x+5LKqpIbMs3KM4TjOTpSZB05zvPE8pQfU+AAdU/y3LsIKnQhDOEGQ+R7NMAozAbnTdPVI0lSavu&#10;wd7TgbSlNU3TR908AB01CAUuA4/knACGNUvVBVFzWy9HwLTlZVnWiIGfW58NOA9a15XsjU8fcLwy&#10;DtiSUqZpVSGIXwhVsgzZAki18pCAgIAAIFA4JBYNB4RCYVC4ZDYdD4hEYlE4pFYtF4xGYWz449wD&#10;HwRGpFI5JJZNJ5RKZVK5ZLZdEX3MQA6JoAA7N5fOYo/540hjPxfOqFB1VRS9HwCoZHPH+9XlTwyZ&#10;Kk86HVatV6xWa1W65XYnHGe+IHSACBq9Z7RabVa7ZbYRMX3M5rNw7bpdTJ9QLtJKKqqPH6VIqZTq&#10;hUjJVL3icVi8ZjcdKbA+YJSLNj8tl8xmc1GrhcnRNpxm4veJ+MaDoobfb/SaXPMI8qjU9Rs9ptdt&#10;t4fkYGAqQBNxv+BweFKM7NM/dOHC6Y0dKMOSANVSMDGsHT9hhsRz+12+53ZPuoEAoGA7J3vN5/Rj&#10;s65/YAA97/Ty+bz+jgNbTetscP6f5/f87bIsogZ+vG/8DQPBCWvW9r3g8+KeOYn7nOS+rWME1z8u&#10;xBMNw5Dq3LAfSkAKpkQo+ysPRRFMVIJBZzvc+D0PlCT6KM6T7te/TsxXHceR6kRoSAfSBxGnh8KQ&#10;kMfSTJTvRbF8HRjCD5wpGr7Qu/DCtlJctS3LgASAaEhIEAsuzJMrcSbBsHn/CIYwm4cKumjLqyw/&#10;czJWgICAACBQOCQWDQeEQmFQuGQ2HQ+IRGJROKRWLReMRmFs+OPsAx8CRqRSOSRZ9SeSymPgEAAW&#10;XSmYTGZTOaTWUvucABzTsAB+fTagRh/0NojGjDCg0mFqqmF6VqGR0N/vV5VUMmSsPOlVuuV2vV+w&#10;WGxWOgRxnx6QQd8QMEWS3QuTvoAOO6W+Dga8AAO3u7X2/X+tzh9zqeT4P4CutAYYsY4iYUxVU6P1&#10;CRVKqVasGStY7OZ3PZ/QaG7NDSYOBSGB1J/yuWaKv4IAOLZAAg7UAVKwu3dABs729XzXcHhX/YTt&#10;zT2f8OU4rGcqJ5DJAHKRrLVV5Ves87tdvud3vV2zPyVgOCarWd+abDZOIAD/3AAJ/Hc7tj/Xfh30&#10;fn9Q9+/0AHfAAAOsAD+n6AADwQ+D5AXBj9oY5gYMbByDOgp6oqGy7rsyzcJw7D0PxAzjwvGhCpLQ&#10;AICxCir1Nm9wfwUCb5naAD6mO+8VRw4Z7R2AByx8ioEyCAAOSJFUIQlEEKsnC6pus7DNRzKMpSnK&#10;iMNIaB+IG8iDqkfKVgPKqGxY9kXRhGUaPsvb8TDNixtwbk4JICM5gACk7Q9I8VSU6UmQzJ8OTbQN&#10;BUHDqzH6lYBIXLLT0Ig0xva974xisDdRnGsb0bTKanZTj/wCmASVCACVv3PMQz26aMuqzDs01V1X&#10;1gx1DUQhZ/PMj8t0JR8y0lM9LzVWNgo04wAHrYyYhHZIAAFZlSsXCM9KbCzKwxJ0N2FbFs20m1Zo&#10;/RKHUWADUV0nL10hF9e0o+k0uBbd3IZYljHrZFlWZb781NJNpSXakm1ZKF3q8gKAACBQOCQWDQeE&#10;QmFQuGQ2HQ+IRGJROKRWLReMRmFs+OP4Ax8Awx/yN8yADxqUSmUPuWABxS8AD+ZAAJzWVRR2zkAM&#10;eeAAOz+b0GhUOiUWjRZ0UkAPOmUMSU8ASCj1OEtAYVcY1StQ1VV0vSBQymRv96vKzBkyWl51u2W2&#10;3W+4XG5XO6XOOM+PVKF2N9yAC3XAQWWPuXTCZD+aTa5Tl2zuez8O4HJZPKUV+5cAN7NSoIZ0ABXQ&#10;ZWg1asaKiV1VV+P2GUWOy2e0mS16babXbbfcbndQO7vyQAPd7XB4VxTGZzUJ3PGY5jz6gcHodG5v&#10;bqABy9eKgftc7I3rpQ/SDCs9+J6jVAHWRrXWZ5Wi1eT4fH5fP6XVofd/xSx3kAgL6oy4aXuKw7Eu&#10;SxadJ45rIP/BkGoky5+gAccJgBCCCrGAALw0AAGw7ByGvC8cPoM8ywLEkbXva2LZxHFsXRfGDdvu&#10;aD8om1yQAXGKHQCwzjsUuLlwS7kdSJIsjIdEMiRK1cTrI9j3NlI8pSnKkqonGcaoksZ/pAkMrIHH&#10;kBx9A0gQQx7ny/NM1PlJMdSW9EmxTKEWTXOs7Tu+ssP1DCBy7K0wuMxDkOVM0FTRPFEUSyU2xjN7&#10;0oy9bYPfRVKUrSzAz0i6xn0kADT+lsBAAHlRgACNTLmfFUgAYNWSHS9X1gotGRhR04yfFdY1zXVd&#10;o1TKLU3TtPsJUKpO8uB/WQAAC2WAAPWdXloWi8CrvFJSvRM1sUVvSdpK2gKAACBQOCQWDQeEQmFQ&#10;uGQ2HQ+IRGJROKRWLReMRmFtCOP+MP+QP0AyMBxqTSeJvuVABxS2US+YTGDgSaAAPzeZTmdTueT2&#10;fT+MNAYUMY0CjQlVUkvSMAqGTyB/vV5VMMmSrPOj1mtVuuV2vV+wWGURxoR6XvyBgSxUeVPuWS4f&#10;3EABO6V523cAMG9AAMX0ADrAWJ9YMALjDTacWvFYvGY2dUKiY6ZUlVUuR06TVCpVSrGSsZLQaHRa&#10;PSaXQ2SzSi0QK1aaT223uIAXEf3O6127u283u+hi/4Gw4N9YXDzcP67kcnlT3IDCi8uJ5TLU2nyD&#10;NvKq1fodvud3vd+wajqv990wC+CI7CW7LabYJ3a8Xpg3y/YAdYLCYZcYjj+j/P+5bmufACDukpjM&#10;I0zSpuwzrPwJB8IQjCUAo68bVgAAamADCaBvUuC5Lo97cPi3j6uAsDhOI/bjQ5FsXKPAUXQMy7xu&#10;u7LPRfHMdR3HixwqmCoH/DUXQ89kQNurjct2+bet++7gvy4rEx7F7YJotSmSohsYxbGbqMy60Fxv&#10;B0tTLM0zx08ScnygYDyIlb1tnI8RSTEkmRNJ8USjFcpzQ/570AABz0GAAPUMAErz8g8uQ5L0EIzB&#10;TOO1RVKUrSzoTUl6oHupgEzet04vbEL4N0+T6N8+z8OG/T+Uu5SoABJR7VmAFYA3W9EJqilAHuAE&#10;sgRYD0UZCdHRrMUG1dZNlWWtdM2Yh0izk2tRxHUsS1RE6vxTVkWWeyVYHTcIAAjcgABpc4AF9dVx&#10;3LRKIRScd4gBW4NgBYAEWEobnRkpUD2NSUcW8r6AgIAAIFA4JBYNB4RCYVC4ZDYdD4hEYlE4pFYt&#10;F4xGYW0I4/41Cn/IX2AZIBY/J5RBH3KwA4pcAB/MQAE5pKYm7ZwAGDOwAGJ8AB1QZtFn1RQAuKQA&#10;A/S6HTZPIY9RX0AAPVadV37WQA5a4ABVXwAIrEAJIAQAvLQAAjawABLdDQvcQA9LoAGldwAG70AA&#10;Rfavf4S0BhgxjgMNEVViS9ZVDT5C9XlkQyZMo88Pl8xmc1m85nc9n9BFI40I9V39p30AtUBtDhpW&#10;+5bL5iP5nNc/OHbOp5PgxQKFrQBUqPSaWH+BgKgAHBy7VbAhz+PDNeAHH1QAQ+wAAb27JJILaF5z&#10;QjbbfCBB5wADvUAG77bteL0G75fujGcFhPrgMSqsXJMaj6oMgyTKDIyz8wPBEEwVBcGQaj7RtKpy&#10;oH6soBwcjDppccSYJkmgJtA3DdGCnqfqCHTjuEpBcKUpkLomfMYAAdEZgA84QAAd8cgA54IQWesf&#10;gAyJ5AAH0igABUkIa8DxPIAgANUAQABDKYAAZKyCm5LL3mkvK9r6BEXIc+4YMLMKMP2/oAv+jUAy&#10;EybKzNOM5TnOk6zsg8IMOfiBydO7pJZDUONpD0QJyncRt430TuBFLiRbPyByEAB7UoAAgUuABz00&#10;ABw07HboPyd1RSaAAc1NUiISWtbxgNVoABNWCqKshEsm5LcuvlL9IIHMcy12hk0MYxx/wEeU3wLX&#10;9k2VZdmWah88sOqB+LLPtlwy2UOtsz0Q0PEjexNFCjRVFjjT8dVzyPJIb3XUjlnBTlPR40DknNeo&#10;AHxfAACffcntUipd4AAANYGAAU4MAAB4Shta1u+L5zBX9e2cg9gv9Ydi2PA2J43jmO49BloMMqCR&#10;pLZtrw22baw+29DN3ErftbRsVuLOLTn9eBwxq9AX547qzIJd2cU/HrN5sABv6RnUb07nInadhGFI&#10;pgBdgAHGrSrK6y4XLS7y5Ql5YiwcyY+AGKzVi83QJjWybZtu3bem2Qsu2CBJNZmT3IAAF7245rb9&#10;dIFaU463SdvxrbzB2jU0c4ABdxwAA5yKG6DpmhsxfB8UzTYWc5vJb8+AAm9EADkygiOpgBdYb6wB&#10;l+yihmGa7XGH2TiWP7NNaMzbAc4bh33f+B4KEbkw5/KgsrvV/vHhI1rWHQdxdLUxvYFoj6Jvexyy&#10;/x+eoAHX74AB78QAAl8oAH59AAFt9YAacJwAaN0yIdR1TtO5rXYa4+EvPpXfbMedw2h3iyHmQFgN&#10;AdZzxFovHfwrtvB6gHAAATBM0A84LKTUqwlCwFIOHHfQntELWgLQjOOOyEwACsj9IKEGFgAAHwvd&#10;c5M5jlWwIAJCABUQ7gAD3h4AAIsPwAKtNYQSD76n2PudJDcgkDSFP0XZBCFBWoNEJdi/tXL/U7FQ&#10;GiDGLgMGyQBhssRtLvYEIJICgAAgUDgkFg0HhEJhULhkNh0PiERiUTikVi0XjEZhbQjj/jUSf8hf&#10;ABkgIj8njL7lQAcUtAA/mAACczlEUds3ADBnQADE9AA6oE1i76ogAWlHAAHpQAJdNoUWY1RADoqk&#10;FINXAAPrQAAVdhrgsAAcNjAAQs0Zf1pADqtgABdvAA4uQAAl1hL8vAAW17ABOv0FfuBAADwkNXeH&#10;AA3xQAB2NwGCwgDgrcygAaWXAAbzQABGdp+fh7QGGjGOg00XVWpL0kAKhk8hf71eWzDJk2zz0+53&#10;W73m932/4HB4XDg0caEe3+wfWsA3Ep8qfcsl0wH8ymnEm7tnM7noYn9B50Doj6o1IpQHplO8MCqL&#10;GqdVglXIIACP1AGBfuDwsIsDgsSyLMCCKtgAByQMAARQSAAUQYrivIYvB+L0vi/Ccgq0n9BwBMMx&#10;DFBuxjHIJAiCNYADKG4yzMM0DbOM89aMtgaIYxmGEXt41JVNWkjXI+2DZNo2wyNxG0iSLI0jyRJM&#10;lPW4zkSXJ6Dug6RxJemKZgm5zsu2YKeJ8oAdRs8bylopKlqaJcbPa950KsrD6giAECQIrsNoI/r/&#10;nCsqzohCM8KyrYgUDDSIvwABa0OAAn0UhMMUGhDDl2xLFsaByE0KyMTMqy5pMyzbOpNKCGxjGYYx&#10;rUKPxxHTWtekMfnk2rb1PWVZ1pWtbVuk8muI2B8tY9FcIHKSWyo6jrSw7CcJ1Ljuu/MEXzEo8yPO&#10;9M0RfNSqTY+M3PsglGxLEs7rHPMAoTAh63OAB4XUAAjXaABf3gAAh3m/TJT4vK9lsvq/oRS79oPS&#10;FJQ/SiG0Kb+DxTTkVxbUFgIFUcaYciVUtZHiNR82dXyDIeJY7j2P5BkLc108J7oGBOO2E6crOu4c&#10;tWVLrvS/MKi2jMr0TPNKpWxNr5zfSzIMLcMAT2g8tQIHekoKYWmAAIunoLEsIXxCl+IPOSQ0cgeA&#10;w9EFKoZAhvbEABqbKAAP7QAGpYliFS5EheKR3VjY4zWEhbfvG871ve85I5z8oFe2HZVYmWWPl1ku&#10;5LzwPXaDzTM9T12u+CBvk+luavrNwLDcU9QFAhy9CAAK9IAAadPQZ8dUAGmGFdl3X9wSFT7fN9ws&#10;hlGzoguuUnEKF0bspqPuwXdZDttTb4ge41XHtW7rjfk+j6Xp+pIm/OC2HAK41gA1xwkqurK8s8TZ&#10;fF2dxua8fnHIvDyds8rbc4IZQpx/rPwGfxAsDhb/kEQUQh1Q+HWNNXaEYADuUHkLdo1V27vy1LfJ&#10;IAB3jA3fEGTEMqDAAAGwbeibAaSpAXvUeWxZGDzkgKxerCmFUK4WK5I6i82A/DWAEe8StYb4FjPj&#10;O0zBZjM1nvpWk5BarkmduUIEESJDXlRNZHPE0AA0YoAAgCs0AAF4rENim6118BiCOxLu1RfSFSIw&#10;IQ3BOJRBB3xpAANmNgAAExveq8eERqmKtzVc3ZjkLY9R7j5H0AD11dkhH2awAsNTow3WK+JZEO3F&#10;MycYeFx0QX1xDfbEV95AnLM/IYxmAbrlChHlAwwiKUl4C/i2hctTxSDwLjC1YhyhXdC8lkwKJTPE&#10;DDkAAAWXULEMDSBlL+EL04Rx2efCiPyUCAiAACBQOCQWDQeEQmFQuGQ2HQ+IRGJROKRWLReMRmFt&#10;COP+NRp/yF9gGSAWPyeIvuVABxS0AD+YAAJzOURR2zcAMGdAAMT0ADqgTWLvqiABaUcAAelAAl02&#10;hRZjVEAOiqQUg1cABGtQWQx5018AVFjACSAEACS0AAWWuySSIvi4ABhXMAEa7VyQgCugABX2CvzA&#10;ABbYMAE7DRV/YkAL3GAAbY8AOfJAC4Pi22an5nNADEv5pDLQC/N6OKqrTF6yqGT116vLXBkybF56&#10;TabXbbfcbndbveb3cRxoR7fQeuv6ygLhxOVPuWS6YD+ZTTfTd2zmdz0MT+g8mBUR9UakUoD0yndy&#10;w1KqOirVitBHOYpq/EANv6AAO/cABb9AB4f0ABXAAAAJAa3riuZhLqu6EH7BgAAHB6/sCwZbMKw6&#10;KQYfoAF9DYAARDwAAbELLvNEiumkGMUNFEjaNMVTUJI1SPtY1x5Ng2UVxxHMdR3Hkex83TgOFFbi&#10;uPH6DOW5pxJemKZgm4bqOsYKeJ8oAdRI7zwFopKlqaJcSLEqaqoIq4gxBERjzQAB1zWAAWzcs60n&#10;DOQAHjOs2zevrkIgyq5LouwjISvaCLKADAH4wTCMMJyKr2ZVHS28dCSM3cTRQGMVUmjUWxeAMYpA&#10;kJ7RoDDYjI2dM1PVFU1VVdWI/IMcq6fKyvHVEkJbJTnujJzppwnUpOw7UrPNLCjy08TyS880wPSg&#10;oe2cABkWiAEkSqAAL2vEZwW1Ok7Bdby9LzPKGz5A8E0AhkMQdCFDURClFIjLBqXldQB1bSiQxPFN&#10;7InTbUtWkJ8RoC1SVNfeDYPhGE4U3NXxwrp+rLetapXW8luhJrhnfjQAF/jspuzathqLYtIWREk0&#10;GOyLJoRB96iFl8zAahNtHBbh4gAF+cvefy+L8hlyT9BSFs7nrkXZCcK0WhC9v6eAAG/qF6YW26um&#10;nSwXamhd+xgoR9zqeIJ4JrOx7JsuzbJhuztzWyXRDmUPAQ4d0ndumpAlu8SXEr50oKCu/RJGgAHz&#10;waCgVwwAB9xIAcMBSG5pm2cZ0gi90kg+gQRP6I3SvekXfya8m50IAHn0mpbU0bOmm0AZax06Ba3T&#10;qn6+B2xIGVPbgkK/dHd13e993/gKftMdK6fSygNSe2SV4PmIbzIF+giOK6byNMIFdOWoTy9zIjom&#10;ic6w92Gl8eixH5qhdT1fW1WUv2giAv4Gerp4q6W5r/uPS1hYMaBk1f5XSQiuIGCZPIKiBgBK6PdD&#10;ATAswNGA+eCEEYJNmeGrBUBZXGpGeUAAJ8HVCmBN8PSESUQAAmhNCWE6gjerpFxC0AADIYAATIzs&#10;4YzYbJhPUQRXLdwJPmIW49r71SKvbcyRAvaSIWi4AAEeJgABnRPcW4eCZmmqtXUm7cVICSuigZaF&#10;Q4qRCSD+K6AFPIBCBnfInGMhkaiFGYIEWUYzgx8hPC7HUeUU48R5j0juCrDiQnGJInpH8G1csYV4&#10;dVXzH1gpXZGeFLh5TuLLTEQOGYD5LPlIZEBOzOXrEFewhAgkRGhESXYLeUwAAKSpijBmPZT4qoof&#10;WjoVcswmRbLKrtsxnR7FlDkfEaomxAzBZ5K0i5AQgAAgUDgkFg0HhEJhULhkNh0PiERiUTikVi0X&#10;jEZhbQjj/jUfg7/kT/AMlfkDAsglUDfctADimAAH8zAATm0ribtnQAYM9AAYoAAHVDnEWfVHAC0p&#10;QAA9NABLqFFirGqgAdFXgpBrQAB1dAADsENcFjADxswAF9phL+tgAAVvgr4uQAYd1ABFvEVszxAD&#10;dv1fsNSwWDwkGkbTGOJF2Fh6qxwMgaskoBIsDAWMzETkckkrUtj+JJX0TlzOl02n1Gp1Wr1mticc&#10;aEe10Nkb6yYG2cJlr7l8xmY/ms31k6ds8n1ADFCom5o76pNLpoHp9R3NUY1WrEErRBAAR70Rsbgs&#10;tntIvhr99GAAYAuT4ADC+AAI3z2ki7DoADp/QAye5/zVmmGEBMW1ZTQMKICQSUzJgQ/8HIO9B+lG&#10;t4BDCK0Ln7B8NQ3DkOw9D7Ttg2UQIE3iBJTDjdt6cSZJomwJta4jjGCn6gqGHT/Oa55aKYpyoCW/&#10;zrPurKtu8CIAQi9SEvC8a+PK+qPP69r3vi+YjITJJuS09i5xJLyPpGajEhiFrMlbM4Mn5NRbQoFr&#10;Ny+/7JgCz55oGM7RCuVU4T3Pk+z9P7BxFOETABFENxUmEWN+4MYOGnaexo5DlRw5ikKVHjounIDq&#10;qqq78O1IrvySsD1oRJi9rQtSGJGAFWR0+BhPk+iCR0bFbAAz7+JLQFeIbAMBsyTNhAKCFijIyZFs&#10;mBdetZDKBFSetojsMFqNJZlr2xbNtQ9QU4JGfzJsvB1EN9FzhNXGVIRq5MbxzSzoR86jZyFT0iO5&#10;I1WvtVkKILU7yVUh8kxVWFZSue+DgAa2FABBICW3h6BTDMcytWT+LAQBWMlfCgkYglUInVg57huM&#10;OSvFj2UZTlWVpVbs+JOgWHXGl1Exa4EXxjR7jxs5bZx1S8eulH8g067KBu27rvoJUbAoHf0nYAiU&#10;p3UGeqgAcesLcuGWWziTE4o/5UbEGsKFUyYQa4gzPnoyZBwuKxFbTuW57puqB5dLyRnyybpZm3ma&#10;0XnFHOLdVJXbSrnaBTOh046961Be+lIHXN+IJJh5cwAAXc2isklzz4AAz0WtXFu1e69MkOj/1YBB&#10;X1w4oHuKBACijJxHfPbtTcLIuaNIt9+dnTeF4fiWxvESM3OUH3JRVzUbdGdUjnlKZ9d9MXjTd56L&#10;T+j1DI6EVY/vL8zzcCYC9Jp/Sgr++L06RTFr8QACxxVFwgbKoH20HpH2iLFc28Kj7YBQDgIh948B&#10;SKvMZsoxnLhGdrsZ6a5n68GhLyNcvRoxAmkL4IQ0w9bT1UnmfAfYfMJWEsLVJAhbBnxqgyhcCxB7&#10;9DcECGoZMErdiRi2ArDsJ522YQqIsQGAACBQOCQWDQeEQmFQuGQ2HQ+IRGJROKRWLReMRmFtCOP+&#10;NR+LPiBgiQRh9ycAOKVAAfy0ABOYSWKO2aABgzcABidAAdT2ZRd9UEALSiAAD0cAEulT+LManAB0&#10;VGCkGqAAI1eEv6tAABV0AOCwAB42MAC+zQl4WkANy2AAC2+mXG5XO6RZqjC8Cy6w9RX0LAjAMQA4&#10;MS3vDR+tP5TBbGF+qEF+YfJZPKZXLZfMZnNROONCPZuKv/RP3BgEB6AASd9ymVy0fy+Y5maO2bTi&#10;dBieT7UUF9UOi0cD0ml6inMaoVKCY+rViGP3nABx9GxWSzC+C2BwAB3dsAAPvajweG5YlqjLzXrM&#10;Kb1BfvANm10BBvxfMAaJ/uFq/kVIH+Pb6P/AEAwFAcCMOzrPwKgz7H80oBNQ1TWHEliXJgCbNNm2&#10;pgpynaeh08DeN8WijKQpQlvA4rjnQqaqquCKGn5GAAHJGbpniAAWxwABtx2AB7x8ADSwTIUhPsaw&#10;YyOFbKlBJYNgTJxvPgA0hvA+x5HxK4Si9LR1SnLsvS/MEwrjA8xIE+x9NLKTMQglUJNc2ELNkmqb&#10;w027cw83ahKJETgOFEziKeqMVOTFjmIW+0IxSty4PbMtHPDIsjhjJLDFTSw2NKSKCNLBD7QQgp/0&#10;4pjEmy0oOyqgYN1EgR+oHT9NsHT77AE0oAohWbSgJGB+CULNfFvR9g2FYdiPpMkyvsfLSuDNaUTb&#10;CbXwrC85ttDjdNBEE9xG4MSxPQLkIGIVxAACFyoic10AAb91gABl3WLeDK0jJC6FXewXPsY6Bwcg&#10;VbM2ATnH6OtfCySJS4OCJtYUeIWYaMDEky+ACIpTzSn8gj7VrjGMNFfwAVagQEitkeQXjk2T5RlK&#10;IWPMT7H5XLMzY1sKNizEMTpDbcQ7D89N/EjhtBFFBRWILlxchkQGvpWVaYvd50mw9LFSCqBmM+AS&#10;Xk0RpIGGuRis3qHlVsQHvsZz4BEyrEmJJwEiOJ23v9pu5bnuliZZMOXIGAeNMpmU3ZpOObWpOtrT&#10;xbGez5n8/6Db9BoG5UWoSscbXWb8gMHuvMpKay8BhSjL7EVQyIGRjSgekD7Hg+wziv1pVKZqRDvg&#10;OSBzUjTEnQ+wtCx3hf813/geDIW70c+zSMG0++2dmdo5qy+b2rnVrs3bOfW5oDN6FcCBcgrFEHT8&#10;AAfAdPhfKiz7GvSQVNRg5SgiA34EsgYsYo0RePt1vWncw/2hQ9osz2tYIefYfBpRDBVgQIRVz5oG&#10;QNgcZd4iyDRLKMGswybfloJwWmbRnCdmdp5N6tpPq3VAHGaGoRorkUdjbAAPWFzl2PQPhkQpzheH&#10;Pn0akCo+wwD2tUIMPcgYWYEBVFiagTMRwCgPiUJI9oaCEGJGmrsIQW4qDshmR8gIgAAgUDgkFg0H&#10;hEJhULhkNh0PiERiUTikVi0XjEZhbQjj/jUfkECfEDBEhh77lAAcUrAA/lwACcxk0Tds1ADBnAAD&#10;E7AA6n0ziz6oQAWlFAAHpAAJdLoEVY1PADoqUFH1VqNTftZptbrldr1fij/sTXGNlFVgkKrtSMf1&#10;tHgBuA+K1zfVojCsvAlrL9Wb8vxnLeBYN2wmFw2HxGJxWLxkZjjQj2NyUglD7lUsGGZAASzmLoV1&#10;YmhAAQ0gAGWnydijy/1gAAevlsvyTV2gAdO3AAC3QADm9AAF4GT4XD4kWa+ZGFn4vL5nN53P6HR6&#10;XTkGPyPU6GqAGV7Hd6OvAeu2He8nlj+qbFlGIp83t93v+Hx+XzoHW+kD1T5uABA/3/z/wBAL5Gw5&#10;D2QFA8EQTBUFwYhr7P81R/P2AUGwrC0LwwiDVGy9QUQzD8QRDEURq5B77tUf79gDEkWRbFzvQ3Ds&#10;XxnGkaxtBETQA1R9P2A0bx/IEgpNGKyw9IUjyRJMlMLHL/tUfD9pLJcpypI8iBjI0qy1LcuS6gUm&#10;wCfiBgJL0yzNDJduQI0zzYsCAoAAIFA4JBYNB4RCYVC4ZDYdD4hEYlE4pFYtF4xGYW0I4/41H5BB&#10;3/I3+AZM/YGBJDK5ZLZdL5hMZlM5pNZtLpI2RjOxRN59P6BQaFQ6JRaNR6RSYpHGhHqVMZI/ZMAQ&#10;HT6tV6xWa1W65DJzOxjPa7Y7JZbNZ7RabVLKZTquyrhBRLcwAEbtDXPeQA4r4+qmBhtgYTcGVBQ/&#10;hwAF8VDXZjQA3shCbAAAJlQA4cxBQfm7rd5q4NAAHVo4KKNMAAdqYi/dYAGbr4KHtkAAxtYa99wA&#10;Gnu4LgRtGXLwQBwXLvcFFOJw+FBBZzQACuhFcJBRD1QAFexDXd2wA3O8AKmABr44zoHBotJBBp6w&#10;AAvcAH18QBTJcIvsAAp+aJJGxYBStcAQDAUBwJAsDJatqshhBaCkfBwACDCKGlDCgAQcR6CvohEF&#10;hggo9Q+AArREhJ6xKAAkxQAB5RWgo3RcAAxRiAB9xo8TyIIMccgANseJsJ0fr2viCihIgAEBI6Ix&#10;KeoAB3JqCgnKAAF1KYAAHKyEvMAEiChDKOIyTMwAAS8xy6aCKh5NAAHpNaCvGGoAE3OKKw4groAU&#10;ABjTyhpeT4AA6T+8CTAAZ9CIyQdDgAVtFIKZlGsoyx0UiAAkUolxCUuAAmU0o5rw4FUD1BUNRVHU&#10;lSqfBKsTogkLwhCSGQoUMLQegkNIPVSBw+PUQxGgh/V8AD1hoAFfH8gotWOAA7WUgsaH3G03xxHU&#10;eDamRzWsAAlWyhtaodJUmSchA+3EAAp3LLDQy3MsvzDMZL3UiFm2ehL3AE1zYPCiFboMM1+AANV/&#10;oTPheT9QDw0IZ9DURRRW0ZRzKpVSJ0UnSqCPDeiKkFjIACXjijmtDgV1NkWR5JkuTZOg9UKvfVZQ&#10;xCIgwnCtWVpL0NwYglc12K0ZxrdLkoILOggAO+iITeM3ILHIxx3HqY1ZWCGknqQAB7qqG29Jodoa&#10;Y+uAABOvoLLN05pMyMTATMxTJsiIj3toAFruEqyu1iUIIPm7gAKm9IjliCYfKUqAlwSC4Fgg6UCA&#10;NB0KjFDkHRNFoJRpmUfiFJUoJCC7uPm873ASSGssGQ5R0fSdL03TqvlSrZZVmX5jWOZoHbiC5ZnO&#10;9CoAAy91exmoKKXfgBcQ+8Ro0a6RaOl2mlx+eZb+tHz6AAN8x7IsadmvbBrhj6vE2soaFvwAAUfx&#10;7DdEi7Xs12bV2Waof71vWyJXeAAdP6gA+wRAAV3975m6Fg6gAAAS0A3CJ9T+4dgziyLuNcewxyLD&#10;lIOWYoQNzTnHcICWINUGUGwWOog9B+EEIYREXdUU91iD3XKvZkrMgQ/ymOJVs/4gTORiQ1AAMKHB&#10;BQcw7gFARfBC2jo3IG0ppi1CWjfiQAAKMSyCp5GMAAWEUQACKioQUXMVzEmLIQ1hcBAwTRfAANqM&#10;RBV2gAh2DkADYnzvsbKRds7aV3PoIXDgYQAEXBuIKKiPQAHCicj8QWKIsAAAgkIQ1liwQAOSIKws&#10;AAI5HR8gMwVQTB2EuOkZA9ybf2IsTcw3ZvDt0BkkGoWAFsI5TSnlRKl00JSlQnZcq4hbUHYgAH/J&#10;QqcMCBMsA1LsAC1hzEJM2A8AAvpiNyKqQyIK0IhrSaaSx34UnqDecpIlRx2x3AACHNmWhIwABGm9&#10;FOKsW3uxdIEJ6cwAA1zpAAbge4AJgyQYGclscbF1tojLHIhQZJ9TUcmAufwABi0BAA3QAAM6DEFR&#10;EztnJDGWC9ocidFJ8R9HtPeM6i08HDPEko4xhTkCByKk1BKTpH2/yKKOSQaZYAXSqpYqEgKAACBQ&#10;OCQWDQeEQmFQuGQ2HQ+IRGJROKRWLReMRmFtCOP+NR+DjCRQVHyUAEGUQ1QysASVHwVnzF9AGaAa&#10;CSIYQ0MzsAOefQUyUEAGyiQ190cADWlQUx00AG2oSAAP2qAAZ1eC0Q2ACgmSClewABs2MAAezABh&#10;Wmy2eCPW3AAd3GCp+6AB83cAGi9QU030AEfAAAoYOCxxoRlM4kAJfGYWOQl45EAD/KV+wnnMQUh5&#10;sAO3PY7DwycQVe6UANzUAAz6uClvXAAY7EAHTaACaAEATFnxlB70AK3gQVmcMAATjAB0ckAEjmVL&#10;jAQAcNmVKMP/rNPYjEXdTud3vd/weHxePyeXzef0en1enDR71w3RwRGfMAET7Q26J8AJH+aB9oGA&#10;qbpGhAXwKABOwQAAhQWAB5Qc2yaAAXEJgAC8LISo7/qUGqmKcqA2qkScRQPBKCC7E4AAhFTQAAYc&#10;XIKRsYgAzYhoKtx6rguSCPy2DZLAK6xLIgjgFaAApyPFiMMSTLFsagjDISU8pAARMqr4vznoKb0t&#10;gAWsvIKTUwgAG0yIS+KBtKXoAAlNgAKaMYAGdOQAAFOoADvPAAEPPcINw3TeN9IjhOJLLknQ5bmo&#10;IPVFgAKVHIrLL3oK6x/uw2Lt0lTNNU3TlO09T9QVDUVRgA9tSTOgVFj0AArVahr+EiAEeII3R+Nu&#10;6CB1QAAPV4ABZV+gpqWEAAuWKgoJ2QAE0wwpENw7OEPozSkFQYd9rKkDdsgAWluT6AEbxyHa5rq7&#10;IAWsd9qCEAFpgHdqpqrJ7Hwy6LiTkZwACVfIABDfiCkpf4AE5gUkpDAbwSghFdWXZAJ3Na8F3Vab&#10;b3W61vT/aZjYzUrHibjtd16gg/ZFX1gIJe06TtQ1ECQgo+ZcAAqZjUiI0oaLspzmec51neeZ7n2f&#10;6BUVTVHXVeA9khZITadWisABt6fggAH4gYCV1VVWVchAq63p2oIIPGwAALGxoLednIJN6nqijBpb&#10;aAAvbggoRbmAAG7shrPHaAByb4gpkb+AAEcFb63rjcUd3I2SCSXJpLobKB2ci+r7oIOXLbfuKCK0&#10;ABic7qIAHN0N8X0ggT9NwPBoZyJ2AAcvXIKXfYgACvaILhTTYYgpId2ABQd8hOJz/AWcIGQ3jdGJ&#10;SCjV5YAYyY3UAQAG/mQguVOZliCZcPmYZloKEmgnAY+98fyfL83z/R9NJaHUWmAAbX4IKFX5gBH7&#10;iuOVf8420KBg//wABYwBYoP9WxNGqsGVSox9xCG8ozM4QROoAgAC+goilFbZilkEBTBsAALoPEVM&#10;wHk2ZtReQlZRBIY8KS1gHIaPSFwAAeQxM0ZxGIjXCI4cMuM/S5SCFUH65MIjDl0EISgtMlAQQADw&#10;iUAABMTQABxihDc/Z/SCAWisAAXUWTWmvGrF0gqLhht1buQx+A2msNNIIYAI6VErPDNI7hZJCFnL&#10;zII8EmLtoEPQTunl1YABMR/XfD8EsgwAP5FW9U5T1yCg0kYAAEcjyKgkkkABrYVVOPgJE+J9Um5O&#10;Sdk9J+UDQH2KhhcPQAAPpUAAH9KsisdjdkEUoPs24BWrQKayQsRcuQACll4QWDx2yVihakPxqbZz&#10;uPOAADqZRBSdgZAALeaDNGKwxB5FJWkdx7TZXDDpHsmiDjinAAAJ043vmPIIK+dAABAzrIrGCMQD&#10;ZVSsWdD4AAN57AAcYRQJM+yek/ALP96TgF2gDAA7dNTuSEDjoUABjoTSCyub84AvQaCKjAotBYCE&#10;iFDyKO7KgHwABJUhUypQZ52QZShpRSmlVK6WUtIrKNUhdx8gAlyItOKc0HDyniP4AADqfFWKwHao&#10;UK1JnWP+QIAibzcEDWKFxdJDR9VRAAGuqkgSCh7qwx9o5qwznebAHgAAiKxEFqoGuoAMyKi5rUAA&#10;VNbSCxQDiACSQJKp1VIJCEAEgwSkNTwHcAA67AEFE9YMhLnRiAAEtYkAA6rGAAoHXKSYf7JAAisB&#10;YgsyGBCcKAUKZQOiKpSFOAB2IuyChztMAAFdqQABitYSQkwD7YENrEIh978WJoIE6QkYtuwACVt9&#10;YuxqWW5giT0ny2ADyEwNDrcs7yBQXgADfdGkZ1hnHZrRS67F2btXbu40GmF3ZYKUNvUu8F5bzXnZ&#10;2pQZp2QaXovde++F8b5GgPde9Sg9zbgJvnfu/l/SNXqvZf7AT6iAgIAAIFA4JBYNB4RCYVC4ZDYd&#10;D4hEYlE4pFYtF4xGYW0I4/41H5BH3/I3wAZMCJDKZVK5ZLZdL5hMZlM5pEZG/2YMZ0NZrPZ9P6BQ&#10;aFQ6JRaNR6RFI40I9SadT6hUalU6pVadN2XOhiNqtXa9X7BYbFY7JK6XTbLMJu/pMAQFabhcblc7&#10;pDGUMLwN7re75fb9f8BVbPgYzN3zbQPhLjbQAA8cAH5kcVk8pF5uya0OMrm85nc9n7lg9BEH7AwH&#10;o6mCdUABHrQBjHHsQA8NpqNthMvmdvu95vd9v4jouBBX5AwJw6CEuUAA5zdfJoLNwA7+oANi4+R2&#10;atN2RWhz2vB4fF47TwvHxYFx/JKRD7QADvhFXz8wA2Pt6/xQWNeBgO/y/8AQDASWvM7Sbn0toDQG&#10;h7HNOEUHgABUJJCfcKgAb0MAAfENwXDqKJuYytP9D0SRLE0BwK7MDwTE6CNUBIAQeEQAAJGqYH9H&#10;AAHNHYAHbH0WyAgpiv4HkgyMmCAggAAgUDgkFg0HhEJhULhkNh0PiERiUTikVi0XjEZhbQjj/jUf&#10;kEhgz/kj/AMnj0CAUilktl0CCsxAAYmgAAU3l8LkoAeE9ADioE5oVDolFo1HgTFGFLHlIp1PqFRq&#10;VTqlVq1XrFZikcaEprVfhT+gcrsFlhAetAACNrs0Ce9vADcuQAf11tt3vF5nUkYgxvw9vWBwWDwm&#10;Fw2HxEtrlexNPkr4k4BBGNpAFywAEmZAAGzmFfufADe0QAe2lymn1EZkrDvwxH2p2Gx2Wz2m11GL&#10;205kr6yIG3MaBnBAAf4gAAnHl07yNDuticvPADu6W/6mNkrC1o/6vb7nd73f8G48Hjp4W8wADPpo&#10;b79gAbXvAD8+QAE/1AAH/AA5cteP9ABwQA8kBKqkpgtaIEBwTBUFwZBqcvFByIsifaSgK8abpWEE&#10;NAABsOqGekQAAb8RrouyEPSDIAJiCr9JOlzSntEUSPkfkIxsj5gKWGAgxvHsfR/IDvwhIKFnwgbJ&#10;u444CMwzT8AO5KSAAdEpgAdUrIqBcsgAEUuJsnCWvYfbQtGfEyyJM6Dl/HQhTRNs3TfOCsyHOCSn&#10;8yKyNyB09AAEM+qGz5+xkb4AHrQqQwwAAUUUADLQsoTnnKAB2UnOMbuaX4ZUzNlK05TtPU+i85ze&#10;ktAoEyIAzw1EURUmT9pYfNYLiucaKPPoQgBPQHSgjx316ABx2BUEBOaX1MhkIdhWSqyAgIAAIFA4&#10;JBYNB4RCYVC4ZDYdD4hEYlE4pFYtF4xGYW0I4/41H5BIYk/5I/ADJwJIpVC5OAQAIpgAAZM5WAJJ&#10;HnhOQA4p5NYoFqAAAvQwAAqNNXvSQA3KYAH9T59UalU6pVQAvBhWSLVq5Xa9X7BYbFY7JZbNZ7DH&#10;GhHrRbYpN31LQNboaB7sABJeQABL5U3PfwA6sFdIKCsNeL1LZq/cYAG7jwBSXvhMplarN14Mc1W8&#10;tnc9n9BodFo9Jo7VbNLhLhctAENcAA7saLR5XjH7S6a+N1qYGKN8ALsB5rNwA5OMAHdyd5y9FN13&#10;mhiRuZ0+p1et1+x2ZXp+1Zpu/paAroHvIAAj56nkgA3vYAH57+tig/8wADvsAMVK3f+53Pe6/7Lp&#10;IXLoCRAEDQPBEEwVBaou5BirO+8KxgHCjEBI4C7vylR4w4ABww+mySQUCsSAADUTuHER9RWABtxc&#10;ADbQfGSGJvAbNQLGccx1HceR60EHR8kSbnylrhK84IABLJQAQoAaaqefziuO/Z3yCBMrpemK+JS2&#10;rGmzL4AH3MUgwem5cOgJMyTVNc2TbNyIyBN6KpukyUKtEgKgADM9vwk6azEfYAG/QbIqVN8twtDE&#10;jJU4hzUcAB2UjOT/lurIYCVSdM01TdOQBONOsIENRAABtSz6lyVnrVT1vbKFQIKEFYgAB9aRSjx5&#10;VwABwV3V7SJuWzoCXXth2JYtjK/T9joRIciowxQU2gAAC2mqZ22tKRyWUhKgAsAAMW/U6axWfQAG&#10;vc1tLpX9g3Rdi3ICgAAgUDgkFg0HhEJhULhkNh0PiERiUTikVi0XjEZhbQjj/jUfkEhjT/kj5AMn&#10;A8UBsrAAglwAAUxkUDf01ADknAAd87mc9n0/hYMoUtl4Do0+ftJADfpgAetPoFRqVTj8kf60GNZJ&#10;tUrldr1fsFhsVjslls1ntEHjjQj1pt0zf0DAUQDV1AAUvAAk4Bnz6vwAbuBAF+fVvw1TAmJAAjxg&#10;ABGPn01uLqygAdOXw+Zt1WWdZGJOzWh0Wj0ml02n1GphNrtuq01Wf97fkDAsIEm3AAL3VSp71wGC&#10;q2u4UUEPFAAO5E+4Lz5lLpvD6ETySzGXV0HR7HZ7Xb7nd70X1nfzNWfV7A3nAwAEvrAGJAnKkgAd&#10;fzADn+3i/EGC37AAY/y9JOvq/m3AgAH5A78uGqxZM8J8EwfCEIwlCcKIq8MKrKfYJQ2AoNw8mCZJ&#10;7A7ZnDEoAHpFEMQeBUWAA4oQvaxSeqSfoAHBG8TxTFTQliGEfChHcgyFIciSKtMLyMqIPyWfwHyc&#10;AS9p8fcpgAbUrQNBEkvyowBgAE8vgAAsxPgjx0TMADKHVLSwskWDqhkKM1zlOc6TrOskTsicohRP&#10;gAPRMgAOYebnG/PMMJcEDjuTKKexQejfm7QzIpqV83ilSVMUzTVNtVPFOINFgFRc4z3UA+xzvk+l&#10;PwqvAKAADNYRAuaesJSDBr/VaIMkV03inXNf2BYNhJDT1Pv2Cz+v/RiZxGABvWeAB72lYcVATazF&#10;sbLifWbEpwxzR9qIQVkfBgKtw3Os6AiAACBQOCQWDQeEQmFQuGQ2HQ+IRGJROKRWLReMRmFtCOP+&#10;NR+QSGFCSSAAFScAAGVSKBvmXABszEAP+aSybTecTmdSCVAEACigAADUObzSPOukABz0ud02nQ+j&#10;KwY1Mq0+rVesVmtVuuV2vV+wWGtxxoR6xWeCAW1AAR20AAe4UWau+6ABx3e0Xm9XuJh6/AAIYGUy&#10;uQUYAPPEABwYuZzW+Y/Gv9V1MYlbIZfMZnNZvOZ3PXyyWbPzoH6UAB3UAAB6ubv7XABybEAXR36P&#10;bbedhPdAANb0AALgTeXPkANzjAB+cncVjXP5VDLoFfl9PqdXrdfsdmIaHtRXehoAboJ7/gzbkvx/&#10;tr1AF9+3u+/4Qa4AcACX7arWTbDYtwAB5P++KNKMVzKCnAMDwRBMFQXBiDu5BqerYtwFwouSPHvD&#10;AAPUbR/p6n0GxA64TRGAAExNCwAHTFUUxXEKFqMVDKCzF0aRrG0bxwq0HwQBEewkEYAAJIUUKQda&#10;lKYo0OpUfqBgJHMnsw1AOgACMqsHD6WMQeYAG9LsnqMU7KC1KEyTLM0zxzHb3yqCIAA3N78AG1rX&#10;y6bwAHrPCGHwgYETRPyxMCCAAA/Qidn1Q7iuO9p9xDMExT/SFI0lSbPTU69CA+wDBP0mtFpgmTmo&#10;gfkm0pUqsSFJwT1VIMhptUM6zvPMFOaUroBkLlTVzXVd14nFLNHVAABDYaTJQnR42QABw2WyKKPQ&#10;mgBJ6AVe2okLVzktsgRMBKdxUdIAHRcMD1pW1cWrc6woCIAAIFA4JBYNB4RCYVC4ZDYdD4hEYlE4&#10;pFYtF4xGYW0I4/41H4mCZEABFJQABJRIIK/pYAHPLwA7JlKoG/YGA5pOZ1O55PZ9P4oHKEAAnRZ2&#10;/6QAHpSwA36cAKRHqBU4HLH8pRlWS5VK5Xa9X7BYbFY7JZbNZ7DHGhUrRDQtbwAGLkAADdZ3VgA3&#10;L0AHvfaPSHzdQCB7bhcNh8RDAhiwAHsddLtOn3kwA18tUKTiYjVlJWRkXc1odFo9JpdNp9RqLVbM&#10;Pgsbj8WEJ++doAG1twBeJ9UcDdcJqeBweFDQRxQAI+RJ5TOrw4ecAHl0eHUVEMesX+H2e12+53e9&#10;351q8NKAIABJ5wAB/Vf487/cAHH8fB8/p9YvruQIwAC/57JimZzQC1J+wIUQZwO7D7QVBcGQbB0H&#10;o+8SzAbCgAA/C4AAHDT/HJDoAHdEEIRFEcFA7EwAAjFLIACnZ6xcvK9tIqJQusGIwRJHEcx1HceM&#10;TCSwreCy4rm1ydH5I4AGzJQASOfjDt4wTfx7KcqAlKwAKEDkVp2yZ9gAbcwABLrDqsUDPDDKk0zV&#10;Nc2TajaOqoAU5AAEM6gABk8P8e09qap8CJszSon6wScTdQ0IPUwj8gAAtGp3P4AQ6cgAHhSrDE+G&#10;FMjFQ9OU7T1Pu9H6d0aArjuTRKfnbVVIw81Con+wUWVBWb5zkATzPQkQEv9VR2gActgLIqxPs9Td&#10;aWPZFk2Ur1RJBCgGzpO0ipy5rnuieTvn0gYDWXbrhyyAErAlLadL6e7bNwr6ok7GoyW9d7DoCIAA&#10;IFA4JBYNB4RCYVC4ZDYdD4hEYlE4pFYtF4xGYW0I4/41Ag3IQAE5IAADJ4/Bn3KwA3ZcAHzMZTM4&#10;++4GBZpOZ1O55PZ9P6BEghQwAHaMAAFSZ2/KZLZe+KhP3/U06MasZKDWa1W65Xa9X7BYbFY7JZYP&#10;HGhHouJLYAAXb5+9LkAG9dQBU7VZppeH7JwCA71gcFg8JYQPhwBbBIAAJjZ2/cgAHJkwA8MtO7wn&#10;KsMTLhc9n9BodFo9JpdNCbReYaBtYABPr6RSp1eAA69sAHPudPGLxeX9fsBu+Fw+JXteJwACOVmK&#10;nlcu4uhM39002MusZuL2e12+53e934xqYZJAmAA159iAp3038AHD7wA8vl4Is/IGBPp+f1+ZCG5G&#10;kq/J2e0BrouzIH6ir2E06wZDO/cHwhCMJQnCiKvEg4PQyAAIw4n6oHxApvAAlabQqha8H0vwDRNF&#10;kWsCB8YABDIPPSnZ9RvEKYJkiEFQZB0XSBIMhSHIivtSpL1OOADWRWnz5HkABwSku7myKgq8Hyvw&#10;DytLkupmAswAAEsxgBMCcNm5pyzUAB2zahr2EzBg0S9Ok6ztO8gm1PR/hFPoAAHQDmI8dFCAAdVD&#10;zwhLer8ANE0dR6DTGEoAAVStBAAd1MskyiELwS7NjVSFRVHUlSrGvBALwP8Ap1Ej3PgetY1Mg8Sz&#10;LWdby8DNdAACtepMlCdQGeynG6AD2Sof9PqtUNcWbZ1n2hZADLwXqBh3RidRufQAT0bQAQPaKB2G&#10;gQFXDc0WAbdIABDdlf0anSmPsusRWESzNjXc98q4gICAACBQOCQWDQeEQmFQuGQ2HQ+IRGJROKRW&#10;LReMRR/xsIxt/twAyEJRmDx4APGUABwyuSS2XS+YTGZTOaTWbTecTmdQ4VT0AAWgTOTOmiK4M0cp&#10;zulUumU2nU+oVGpVOqVWGv6sFaBqOQgEDTJ+2EAOeyAB22erWmbR5/10A2q4XG5XO6QmugARXkAA&#10;u+AC7zVQwMy1193XDYfEYnFYvGY2JVh/J2Bl+ugOZPzMABu5sAPjPY7QQaPPqu1/Q6fUanGBfWAA&#10;Ma+hSaBNGukKuu/Vbndbveb3fTqPAOPNeuiWbPbkABt8vf6GPP3K83pdPqSS+Au8XoBdubPGPCvt&#10;gJy9XyeXzef0UuPDCBsCBg+ZSZ3fMAOT7enGPyBgT8f3/OaoACgAEsCJ+oL4tkAA0q6TSun+/8IQ&#10;jCUJtQyA4oGQ6ugOmTIAAcUPpOlMKMU/SBP5EcURSugQxYAAHRe2J/n6gZTq6L0HRVHMdR3HiJI8&#10;AKPFcgYnrcmR9yO5TmSOwserrJifybKMpJy14MAAC0sL8kMYmwroYq6fEpzFMcyOkjyOo22iQg7B&#10;CNoGZRpTiG8yrkjx9q7AU6T1PaJReBwAA/QIAPDGJ6IGH7wmdPlF0ZRqpMgcSuzYmLnoGRCuj6aN&#10;NH9Rypo9EoAAHItO1JRYCVOAAR1UAAEVbGJ9IGOzwkjUtaoGgICAACBQOCQWDQeEQmFQuGQ2HQ+I&#10;RGJROKRWLReEP6NBKBuMAx8FRh/yN8wMigKUMOCNCWP+MS+YTGZTOXyORx+PzSdTueT2fT+gUGhU&#10;ODzgACWkO8E0sIzubS6BLScE+cVCiVesVmtVuuV2vV+wUONP4jQNbzgBQynwN1QMRygBPWESxoVa&#10;w3e8RabPecAm83/AYHBYOwTZGi/EAWBmy0U6Ru+Bh+4PPCZXLZfMZnNZud2NDwM7zgAwibLmcE2c&#10;PuGXS7ZzXUS933X7PabXbTqbIwY7s62MlwNUTgGY6RwMl3Bb7flcvmc3ncqxs6cDGbP6BnS4I+Ka&#10;zn93vUKbAB2eMAAPzd/0TDwhP2d/c7sYnWCTYRTZkTgK8TrQI8XBFvTAEAwFAcCIOmwApsdyBiMu&#10;Blow7kCwip7RQIcULAAfcMwjDaGPMAYABBELvrGRYZRMOzSJGASbGKnAcJkmx8JwDCcHjDkbxxHM&#10;dMCmwDJwfSZQhHb3JGfScAM70MtUcsmAAfsnyHKICSmAAPytEaNEVEwZDuiCxkKgY8Mah7qoGJC4&#10;F3KM1TXNk2stIU3OUmx+pxD7mHxPAAHNPYAPDOMNrgAFAysD8AESGFEDwiixiOgZXJwkKFpsRS4S&#10;7P9L0xTNNJ1OFNtmfqBzs2p41I8TyU9AADVUAAiVaABjVgAB6VnKsrvTQ9EowsYLoGaEZvmkbpI+&#10;GqcP3VFj2RZNPU7ZTOH4gYCMu8LxnYAB5WvZrughbYAB9bwASnaJfXHWVaUJIh/kO+A9M6jRgpwF&#10;6BhAnB4WzeyGoCCAACBQOCQWDQeEQmFQuGQ2HQ+IRGJROKRWLReMRmFtCOP+NR+QSGRSOKv+TPoA&#10;ykDSSQSaPOaYAB8TOWTWbTecSIQzsAC+fAABUGCr6iAB6UcAB+lTmmQh+09DjOpHqby4QSkAuCm1&#10;uuV2vV+wWGxWOyWWzQKONCPWe2W2SPuBgW3Py6ABx3cAP69W6+X2ajTAAAO4MAViE0RfUakUoP36&#10;NS5DDHJHvHZXLZfMZnNZvOZy02vO6G+v6BgKxPnUAByavRa3NEnYAAEbOI4gAPXcUml66F09+oap&#10;DPKbzicXjcfkcnlRfP8vnTXSQLTV159UAOrsc/tTcFd0APbwAApeOK7ajvTdY3n3p/IUZe8+dv5f&#10;P6fX7feK838fuES58KwBCqpMAB2QKAB5QQ/kFIcEsGsEwjbPGKTyqK870u09hCPeGQ+wXD0PxBEM&#10;RLC/URvs9h8KCAUApGlzVNYfUYxNEIdRqAALxxA8El7HjxPIijzMW3bnQzDcOxnJEkyVJclRLJkn&#10;oQuh+LsvD2Sg+gByyAAeS4AAJy+gp4zEAEeF7H0JyBCshPU5yXEEyQYj/K85zpOs7M7J07uUuCBL&#10;kibwHsAB0UGAEXT05QD0SAAf0YAAGUehMxHjMkewlCjEwsxjtJcQM4EBQ9QVDUVRprPNSNC/0AIh&#10;SUCQNU7jgfWIACBWgASyAaG1ZMsz0uxT0U059OU9V9iLOgKAACBQOCQWDQeEQmFQuGQ2HQ+IRGJR&#10;OKRWLReMRmFtCOP+NR+QSGRSOQv+TP4AykBQiTR51S8APSZSSaTWbTebBudAAaT2KvegABdUMAFK&#10;jRVfUmYzMP02cU+FP6pIAZVVA1CsVmtVuuV2vV+wWGxWOyQeONCPWW1WucS1/QOU3GpW9z3UAPi8&#10;Wy9Xuag6/AAEYEADzCRV44cAL3FUWjxSkr6lvQAU0P3yQn8YZlBZbOZ3PZ/QaHRaPR2e06TUaF+P&#10;3WARx68Aax+6naZ0b7cAPzdADXuPB4WKYd44nF0YpUilTLJZTaw8/ZkYIPm9PqdXrdfsdmMabtd2&#10;bS0APrxPxyeUCd70TYB+sAET3AAF/EAOH6bzYYQeYbEYpegAnv+AD1gGhLwKAe4AFxBIAAJBjJqc&#10;7y5j8qoZOk9MLQvDEMw1DaKO5DkPoYeURAAdcSxBE6HAfFQAB7FoAANGCCvocL7N8/D9OG/j/QBA&#10;SCvA8pyAAZchoLBjzuY7zZD6GcmEJFEnyhKMpSmr8PSpDSXnUAB5y5K8pBDMAABdMcAvYhEZxq37&#10;8uC/bFv+J8ywG8BnTo+b6hLPAAHNPYAHzP0HMrJLWD5JgZkLL1EUTRVF0UAKzrfRjqx+8rwvFSMP&#10;hxTIAAzTgALihsgAAcFRzVHDiP6KNUty3ahl1Ps/h3WIAAtWgAF/W7I0A9DZUJJlD0vYFg2FYbSD&#10;/YwBVSKLZ2I1Tdt6AC52ZCwi2oAAE2uisSnWABu27Us2RyxYlXHW1cNkAAmXTVZ+IKYN3AAet411&#10;CCpD3CZDWlfN9X3fibFVf4BhNgV2X6tZ7YOAC6nPgrsPiBYAAFiNdYEEyKzRZ8bopER5AAXmPU8l&#10;IAL8B0WRdGADISx9cyQ7q5j1CZD4ZmS1oCCAACBQOCQWDQeEQmFQuGQ2HQ+IRGJROKRWLReMRmDr&#10;+OAQIx99xqRSOSSWTQV4ykAOyWSeXS+YTGYBWaAAeTcAMWdAALT0ACagRVw0MAOqjAAZ0kAAGmQ1&#10;/08ANOpABu1UATQKgAc1sAASvQ1fWEAPSyAAP2eZWmGnkYW1EWq4XG5XO6XW7Xe8Xm9Xu+QOOL+P&#10;SC+4PCQanv+i0eyPTC43HS+gCYACzKQViZeeT7I0KiOXPVquUwAwl+6UAMzUADPOWClDXAB/bGIs&#10;jaAB3bezWjHxnDngY79E7vhcPicXjcfkcni3/AhGQ8roRjYv4AObrAB89no9vh78YgAQeGl02CZd&#10;iZkLT+gxShuEAOP4AAd/Px6OCPv8ABg/sAPL/AAD0AgAcUCAAKUDoqsJfLGsqzg+7iGMOO7vEVCE&#10;LQvDEMw1DcOIo1BmAKrwCH1DsMtKfr3vjE8SxYtIfReAAKRkhrzPQ9TJPYoj4HGAAcR8rqvnrIQA&#10;GBIrsO1F4fAAAsmAAXsnwNBCKQVBjGQdFrDjs7xFxbLsvS/MEwzEjBbTKA4NTQfExuK7J8gAck4T&#10;XOSJREAAjTuAAET02baglP0bs490dgAHVCgAedESdKEmAKAAkUfJcmpSeNFF7KIpQSsTFtzB8WSz&#10;Lc51DUVR1JUrCTKW0zzTUy7sOAFJgAdtZVZWiCCXW8gAIipk15GMZs3HNBPiEtiJynYMWRHsf1cg&#10;h7WcABd2jS9MwXTcry8Oq2hgRla27b1v3BcIAL+BCPgie9xLSdN1yrdM5BPeAAGzeYASTXwKIrGq&#10;evTYCJwIcTTtSggV4IAFiBKAABYUhNYSfS0D0xKdNQa3USumOoZYzbl3Y5juPY+5VyXNdGQItV04&#10;HIAB9ZXksvW0AAQ5iABX5pesYRlfCKRqC+eAAEmfoi6doWlZx7Pk+l9vqhuGyhiFqXba+LNiOmMh&#10;kRuW6xrOta2mBja8BIFbDo2uIW/CQ5Q2DZbJCwB7aAAgbgAAH7mgpXbtm0lZxfLMaTfqFUQedxo4&#10;AB+cKAFkAxQlDIpTZdcdaeJWrilOxLE45qSGZHbXzbCICIAAIFA4JBYNB4RCYVC4ZDYdD4hEYlE4&#10;pFYtF4xGYOxo4CQVH3tGpFI5JFntJwA55VJZZLZdL5hCgfMwAO5sAAROYSrp4AB9PwAFKFFWJRQA&#10;FqQABNS4S6acAGPUQACaoABBVwA660AB5XYq8bAAF7YwAUrNFV9aQA9LYAA/b5jcYY/bochnd0fc&#10;r1e75fb9f8BgcFg8JhcNEWZiQUBMY9cPj4u7skAHflchl8xew5mwANM8AAFoYbPFdPqBQgpRKNSA&#10;tSqZBGpsQA2toABFtwAKt1Wa2399XK9FLA8bFZCfx4riWZKZWIedmZG/+kcRj1Uh0Ox2e12+53e9&#10;3/BD1/4wYEfM8/D2XH6wA+vd6fh2wd8wAQfsAOk/4isv5ph8oKhooopiKOpLbhEABkwUACnHSAAP&#10;QgAC7hmAAAwsABwwyAD1nG4AeK+sKxl6ADjieAABxQhJ/RWABlxcAByxiADGAIty4Pihr8uo60cR&#10;7H0fyBIMhSGmLxl+8rzyIwcOQrC6lhMAEVn8wkMnCta2hxLIAHnLjHm9L4AHvMTct3CwAsI/IAGt&#10;NaCpyBAACVOKKtI/0ANTASjI+BTeHWAB6z+AAYUE2zcIRKsNvYrsPuFELjORFABoKfNJqgqTJHdJ&#10;sz0hGwPyUgkpDgGVREjT1S1NU9UVTVTANiagGH5WD0VWuUmTMAAl1wx5kV2ABzV8AAk2CqaqsOjh&#10;jAAdFkgAIVmAACFnsIfFpAAW1qzanU4iVOaep+/7UIqqJjuYc7QNEHtzgACV1UyhNDyZRUQOJEQA&#10;ChetygFMMxrSXyCiBf0EwWth6U5U9QVEGVSVnhWF4ZhuHVNAYGgZiZ5YeltawvXAl11XlfHNYFhK&#10;oBLH2NZFlWYIVnWgwdpHxalrIJN04Tkik6ZRlQIRy6WTHRStxVtbIAANoaInVowAG3pMPXi4sRij&#10;p4AHhqQASMAE9AAImsxmxgAX3K+BrfTtTSkN+Dkli20bTtW17Yv1dmQB03OJtqMYxM+NY4ZFe1/Y&#10;Ik2Hkdio5nll2bZ+c5Zadqlta836Dmqe38IF03WhEpNm2s1msgtBBhQkEIpd1EuCibh6bQNBmh1I&#10;AA11gABr18TxSgmvYFglTLofo3QmSe6d733f+B4IAbfuKc7n4SIbtW9csPt+94/vu/5JwVk57m/D&#10;WjxOYIHmXHInOgf/CAAJ/IgvcYAZPBh19YAG79wAAr+LXSh0ENJVcgbfyitYH4ABaP/IKC6AQAAR&#10;wFXYQh2hbWwqndwG1CYlHkQRglBOCiPzlAPRoPCCpDHlN4eax1vjIViGGZK9VwjKXsEMUmPkAAco&#10;XAAEfDFoTRCKMtZe4tmK2GaPfW4acob/AAC7iEvke4AAjRHAAxMBgAEBoFNak8iqh4TP5BtAchbt&#10;V5vnCLFuJLE4rEKGDGEADpYFqmPyGw6oMRKwbjYj0gKAACBQOCQWDQeEQmFQuGQ2HQ+IRGJROKRW&#10;LReMRmDs+OBAAx93xqRSOSRJxycAR8AgAly2SxdkTEAOaaAAkzcAAmdS+LMafAB0UEAEKiAAIUeG&#10;uKlAAP00AMqoAAa1OKvirABbVmCgiuAAlV+Kq6xAAfWUAAW0ABe2sAVwEAAg3GczuCMS7AALXkAC&#10;a+RVw38ASdxgAd4WUx+EuvFABh42ElLIRVfZMAPTLUynTzNRN/502DHQJXN6PSaXTafUanVavWa3&#10;Xa/YRmOM+PSDY7eSYLDyuWkvcQKYsiZzWbkm5gnfgCfMagUKiEKjUiGGzqABK9cAHXtABFd2q1es&#10;rat12vkqw2MS+kAN72AAG+8AD35We0wi7MS8Xq+Ca/YDdB1AAAAFAYAM6f4AG7BIAGlBgAAZB74v&#10;mW8JgAyApMkyjLHozAPuSnh/RANYZRGS0PRNE8URTFUVxZFsXRMxphgi94GndF8Xt0lSWJc37guG&#10;cybJwnTkN+5bmnQoaiqOCCGx0AcngAfspQKzrvnwrCtIJGkkugihYy+gqmw60AYwFAiGSMCk1L2v&#10;qKL+cLApQHE5gBJ4BwXBsEm6AAIz7CIegAetBLUtkLQwXzKsvMUbooflHDWGlIxLRlKUrS1L0xTN&#10;NU2hLlgkBVQHbTjkxyxDeuTHyaSA4rjuTIygyQ57oyYhBcVtILjIIA9drarp4V+iKrSu8Lxre8qG&#10;0cfgAGBZgAHlZ4ABRaVo2nHSIGXbFZzY/k3MActvgAHNxAAYVygAdt0AAEl1gAF13ILDQAF1ecKs&#10;iijJ0ReNF1GhEQH8NURhkS9+YJguDYPhGE4MZOGAnXYDnZhTWVK3keNxVLiSEujcVe50lOkg9YAA&#10;DOSIKV+TgALeVAATGWgALuYIbYUsPEgi3K8sCEHvnbGMdeKCLKHwATUCiKvu/ILW2/s4GvpsqQPn&#10;Z7gBgMON2gp7awAFbFxesL3vDNFMzhMpH6NIZ7OTGJbVte2bbt23oxhhk4dXeI7g0eKR230eplVV&#10;cVbIqf5FWUloTA0zAEgoVcWABm8cABs8iAAX8pmTwSygeb2OgmsHsABedBxAACB0l5XpoOhzWimj&#10;5IDIABB2CKnj2dl2agnSCAAAJd2hp898ABa+DrtD0TDd94TAw0TITO7+b53n+h6NKXKYQKgd651e&#10;k3KUR1U++OFv1WSHV3BY86HCoYFn1AAav2gAOf4AARn5ytmli7/X54AAX/+V6t4RYAH0AKAAsQri&#10;yFmaI0Yu5eWkn7Ia4db45SnlRTs3pOqUCKMnFe8Nr6+WwodYUgYM6ZBNPahNCeFEKYVEZGdC0CqA&#10;wBPZhWRVvL3mLt9YycZ8bgTmODY+rQhYxYhJ/Z6MMwhhiKMzWIQQtEA3YAgAANuKQAAMRVAADeLE&#10;F07kEgLAdoUCXVwLP0m0g6/gADQjQAAcEawAKgAUg5CAPI5OydoWsXsHCJr4eK1WEJnYRmghLDOQ&#10;Ug5CSFebC0Z0L0BwykMQ6GrFjbrYGWnEwb4mNm3Y6rGH5DRsSdAAC2UCeBpAABTKUirZAAJfFiQ2&#10;UoKVqAoasQiLrqIwETaPAxpRBB9y7iKAB/JUiqQwAAN+YgAI5A8joPFQkd1DQdj28dhCBgzJkE3I&#10;2azByAiAACBQOCQWDQeEQmFQuGQ2HQ+IRGJROKRWLReMRmDsWOBYFx90xqRSOSRJxycAPqVAABy2&#10;Sxd/TEAP+aSyXS+Mv2dQUBT0AAGgRGdP2bAOM0AAgB+UuEjynAAK1Gf0GGK6rAAfVkABSuRViV8A&#10;BaxAATWUAPW0ABeWsAUMAEK4AAH3MAOK7ACTuMAU4eQU+38AJDBAB54WCvHEABe4sAFDHVOkwyVP&#10;oALfLACegIAB/OTjPRSlvwzDTSJvP6fUanVavWa3Xa/YbHZbPaRlj7cLgndOja72SXmUysCcPfQL&#10;QwUEcmlUzi8eCZnMT7aTR/22dwTkggAEruRWrK6sVquBSvWCxBYAAz1ABke0AAf4AAh/MAdmCuH8&#10;XiUXyCjL/AAZ8AgAmJ/MgADEHixTGMcKDos0gjqAAd0JgAYMLIK4YCM2zripxAgyv8GROQ7EkSxN&#10;E8URTFUVxZFqBGTGAMPgA5zxdFzgALHIACLHkBpk2hmSCABzSIAAmSPB0OvaZAAHVJwACTKIARyA&#10;rauOW0sOQ5TuCU7yrqyHytq6iivmJA7EnzNMxPIHM2ynHSEPwcL9L0/h2TuAAOT0AE0nzAx10AAE&#10;MwUXoACfQ6ioKb1FgAaFHAACFIgAe1KR9ArOA/GyLjIGFOk7TVQVDUVR1JUtTVOhUYGTGT4RrVDi&#10;uApAACXWklPdIhzShKTdATDpjV+AB0WEt640iCDanxZIASwW0tO1LkvPAJ1pozX5jABO52AADtuA&#10;AGdvyShhyXGABwXMvanyCZgABrdqEibeAAFHedCMax9ZGXfIAXGcgABdf8N0yYWBrOtNMVehgx06&#10;GBPYRh2H4hiOJYniBrYsDLJ1zijX1ioNaCXW0mVxXQkgBXlfWBYTeLgIVIUk2lknxZcsuxLbuoo7&#10;4ACDnYAAjnyGuOxdCrQeoABvo4AAxpSKnppoAGnqF0L7VQABxqyGm7rNG0fBgANuY4AHTsQANIGg&#10;AA9tCCl9tYAaaemA426gxBjuhP43u+8bzvW974jBm7+DSWgGcu+tRjqk4/kMhyLKOS5O4trWDYeW&#10;ZdY+YWVZlnO3m6J5yH/PgACfRITBAAF/06C8EAAT9YsizIpOU6akAAz9qABNdwhrgGV3j6uUybwz&#10;CCXhoTtZfbbp2D4puW6Bju3C+h6Ppen6lNb+ZvApbwnqpHw9Z1q4sl8XXPG5M3WUWvlViZbY1kcx&#10;miBvtaGcS+8Suwj9WqVkI/+AAZz/01uuBMRV2KgB1gAeak1J4GoGLhIGFqCAABJwTAA8ZN6VQgQZ&#10;AAA2DhDYLNubgxQoYYlvgzee9yFEKYVQrhYRdawGwFQxX7C0ir3nEvhVu4xXb53IMpcmsVl5s2Ys&#10;zWazVZ7nCJM5TA6F0Y34nNbGgAAB0UwABEisQVMpYSxllgG7A/I5YwAATaDkAA7YzAAAvGlQRxC3&#10;HzCG7R2xBGuoRIgo6KMYHCPKYmgQMCIRQw0kBIGQUg3opLA4dkvUhCHw2fAb58TI3yuPN85F9TlH&#10;2uXZk5mIzm0uv0PBBkIAAGsjddkCKUwAAWypUSQSLJ54BQEPycAHcszgmUimA6WoAAwS7AAvAJsa&#10;I1NiJCFKYhFYPvJQ4RdCMBopRUPsbCPkfpFTTYiQEIAAIFA4JBYNB4RCYVC4ZDYdD4hEYlE4pFYt&#10;F4xGYOyo4HQNH3FGpFI5JEnHJwAAZUACXLZLF2RMQA5poACTNwACZ1L4sxp8AHRQQAQqIAAhR55E&#10;XxSwAtqdBQRUQASqpFVdVwAA60AH7XQAM7AAA9Y5TK4QxLQAAtawAJrdFXDcQBJ3GABzdwA/70AA&#10;xfQAccAABTgwAMsMAAliQAvMYAClj4qvskAHplQAH8xGUHmwArc8AAboQAwNJWa3SYO/tUX8MMlF&#10;qNhsdls9ptdtt9xud1u95vYzHGVHpBvuJJLpZQDLJdxQBMWRM5rNyTOZ3zJ8xqBQqIQqNSN7S3xT&#10;afBAd5QAQPRFVl6+RQ6KD/hEWP8wAE/tbbfFLi4bnKLuHIAHvAQAFjArqASAAhwUADygcAB5wgxb&#10;GseKTIsmyp6MuzKMBjDq8r2ghYREAAQRK3IvBhFJRuZFkWxdF8YRjGUZxpGqGmpHAPH5Hb+RtHzj&#10;pU5KWiXFjnOgcybJwnUEOsn6gnQ9zuKOCDfPA8RbKgqSqCUhK9H+AB4TCABgzIADVH8AAmzU9qKG&#10;XNz6vutwTLguSaSQFs8AAXU9gAqIEAAINAwOgp60KABc0QxzIIoyRfMoyzMA+ip10oAAi0uhIBU0&#10;ABnU620vC7DoYlJH1S1NU9UVTVVV1YkZm1eD6tAGcFWxdICVyHIqZTtJLpyXFjruzKDtu7KjvqYp&#10;0sIJPypqqhBwWhTlPL6DFhAAH1sAACltoqtBiLUtk5IqcVyAAZ9zq4rz7AmAAd3cAACXihMrWTRU&#10;K0ZC9IQ2iZRX6ABHYAhpoYHT69VDDtSVrhWF4ZhuHYfiCJ1eZtYq1WmIt1W8hOW4sjV46VBya7En&#10;yjYsq2Q8aB2ZLczNVaRnABciQsGFIABRm4AFfnVr2zbYKW6tIL6EAASaKiMzgAYelAAd2mgAEuoA&#10;AFepgBTQBIafWsgAWmuXtC1HQxDVJIoMGygBgZoYFgjay8LlRFLjG47lue6bruzZvmY4QSWb+7tn&#10;jTlSI5mPOjJTquLYOSWJKeTvDetlqkInJbPghyctdt36EC6CquV2eB9bVuIpb1wAs/E5oYfPVAAX&#10;vWgBK2ihIAAVdoip99uABb91r18bBfWxomI3hAAdXioTxjSGA20zi21pTb96Ho+l6fqYc5wQz8b3&#10;qpfwFc8HXfC19w7icS7Si8ZY/HZSgWrAAA/33SfvPwY8yEc7+efaBb619NcSEIQHmaM0qXgAAVgM&#10;/EAAPIFEVHjA11jrkKNfUehlSJFXhBGeI8YhD+TGC8eWap5phnnvbhJCWE0J4UGxbQCEgb2oUkXO&#10;OjsfgAAbw1RYNyHAAFKDrMKYd94B0WI4Gog9CLtAVAAPgA83y8QCNJaWQhX4P4pAAAVFUhr91sOg&#10;fy6MtL/HTkFZI3l0LP4ag3AAOyNAABvRrgTAsikDR4wPF67wiajYJtiIqF+PQABox9IaKaQDs3am&#10;xSCFoF8hxTwvkVIuRkjYXjSkgCJM43ZHEmJQ1kfUlW7oNUAoIiiBRYv4dERN0kXmoAlAANqVQABq&#10;ytAABuWAAAbSzPafs/pdYFA8gZA51sc4Iu9jvBVsjZm0ENTIMGJB8TaBZRSDAVEmpoMYICCAACBQ&#10;OCQWDQeEQmFQuGQ2HQ+IRGJROKRWLReMRmDsuOCMCx9uRqRSOSRJxycAPqVAAJS2Sxd5TEAPyaAA&#10;LzcAPudS+LPGfAB+0EABGiAAA0eeRV3UuCginAAlVGKq6qAAfVcABStRViV2WS582EAN+yAAW2cA&#10;CW1Qlw20ASdxgAeXOKz54gBe3kAFK+RVfX8APTBAAP4WKmDEABoYuErbHAANZGkwigv0sjPMKjJ5&#10;vOZ3PZ/QaHRaPSaXTafURlm6sSAPXNvU7GSXCjUgl7fZQJkbsAObfVCpU4EbkAMbjAB0ckAELmAA&#10;Ic/UvjpADHLam0+okqp1Wrj6s1uKMfxcjlQQdecABb1bUA2y3bS5jy6z+8r2932KX9fYHB4UPoqU&#10;UAgAR0CISYcDgABsFNCyrLsy4kIQjCUJwpCsLQvDEMoE1Zmta18NQ02ijva24luI3ZkN634kxYAA&#10;Exe4jjGM8h0OW5rngg6Lpuq67huy7ZXAAIEhqGoqIHbJAAQOYYAH/JwACPKIAAXKiInTK4AG3LS5&#10;Loii7LwvS+CkvzAMEejCMMjA5zXMD7IIRc4AAIs5wYoIsMwGZUxBPc+T7P0/0BQNBIm8RjhLF4Em&#10;1QcIRE2zcNzFEVHMAEWCTF0YNzGUaRsITnOg1DpHw6jHoI4TgO0iiqSC7rvgohMnH+ABz1mAFIoI&#10;G1cAADldoqtpwrelD4vmu76vvMb8zK/s0oupZ3AAUNoAAaNpgAT1rAAAVstDWArBjbxV0XcNxXHc&#10;ly3Nc6GGTdQTAPdps3Q0tGxJR7ZUi31J0rS4Exi47kxq5lOxxHVRR5UrsKlVLuKwrVXIIf2HgAbG&#10;JYjiYMYslKVsiDQABHjoANcAaI19YC42FLz6TC/CJv0ACYnkAAQ5jeEmydbtv5nnGc51neeZ6jDF&#10;mgEyB3fnzN3kAESxO3l70pFtEX5Gd/U5T0c1BHdSIHU0f4TVeFq3WAAI4ZYAHJsqzLQEm0gAYu2P&#10;S9e0hJbFtIhkb4S6icv2LMUyP2A2/QTBd4JofgrBpw1waLxPFcXxnGz2ZXIBPvwDGxxzZpREekXo&#10;2N7RXp1MNlTWpYBqmB1G62DR9hCJ1UqysAd2G17aeHaAAH/bgB2AHILdRkgACvgLStewWyASG7rY&#10;O7olvK9Cf52aVihmHn9inK7BnXpiqGXtlZy3ve/8Hw/EjJmfKFACfQa/xoto+kowSH4AAIn5gAFn&#10;7Ijzt8c/fdM365TpGBNWYI1ggTWnVkSdaCmBSWUtvTdcd4loEiEldGI24CwAATQZKAUJkDxz3vJP&#10;kydYjKVjkLHnCcsZZXrs9MqFRPArX1wxhlDOGjikOApZANaGpEH2ubIiWEfIAFTCCiIAAPsR38NL&#10;c8pZp7/Wov/Rup806oXTo9VOkAgq7QDvyfpFohsFILQYg1A5zLmSEPIZK8oiLzD7BQjc3J4xBEkD&#10;tbI2Zy0LYXw7j0uYgICAACBQOCQWDQeEQmFQuGQ2HQ+IRGJROKRWLReMRmDs2OCkBx9rRqRSOSRJ&#10;xycAAGVAAly2KsGYAAgTMAJWbAA1TmIsieABzT8AEmhAAE0WSxdjUkAOimAAhU8ABCpUeJPirABb&#10;VmCgiuAAlV+ItSxABtWUAA+0TKaR8BxFi28ABW5AATXWCv28AC2Qlw30ASdxgAeYOKvHDABe4kAE&#10;/GXqPgBwZEAYZ41TLZeDXh+lMZ51XZjQaHRaPSaXTafUanVavWa2FTxkCquAhq67bSLASmVy0lxE&#10;278AJThQWVAEAALkAB+cuG7CfUChEmiUbb0ljUum08hVGp6yrPisVqCbOvWCEPv0ABlesAOn3QUg&#10;/EABH6RVifcABb9XS7QTNMctqEL6cK/pQwYeMKw7El6AAmwcABvwiAB7wo28LII5Z+CkGkOFfC8P&#10;xBEMRRHEkSxNE8PmdFQVOQATaxRE7cuKliXIgHsbgA+5iIaf8euanqfnMoKhqKBMLOs7B0KcqCpA&#10;g1rvvCWytq6r4lILCh7gAYEtgBKAiy+ABdTEAEbh6AAKTQ3TjIhHT8v2uoTISf05uO5KCQHArAwO&#10;ip5T6xDFBXQMJwrGDVwzDcO0LRVF0ZRtHUfSFIoUZ9KBW4pqUlC0ZN3GqFnVT4AAvUTpyNLCEx6f&#10;8fmQ58hOjUkjqUpklO07knO8q6syk8auiNXoAH1YAAFzYc6gEAEviLV5X2WAAfWc+b6r3Nj8P0Cz&#10;+TihD/2kgc8HbbwABdcKKnnckIQlbdMtFVAohjdpYXTeF43led6XreT1mUFgDX2ad7NRTbjN4iIR&#10;YJcxvoSEGE4NVVWSG6Ui1g69ZSW7cmyfXDxIGA+NgAFmPAAjhmgAB2SAAH+TgAAuVIKV2W2bZ4J5&#10;jNSIzbatr1PHyCRnPEggAHGf5mhFUTyAB3aNoN/MvOZ/CgGWnFjpOo6lqeqarqyImXrIW5UAppau&#10;zGARo3qIShiEZxmXe04oht8AAcm34dV7q1i7MmO7QzmFlvSGhDvoABfwFioTlrP2cH0zzTbTHoZm&#10;s3v6hfFLbPDch3yukIE/8I4OevOa+zDNCezoZllz3S9N0/UdTD+Qhctho9U3CUWAfW5Int5ycE/4&#10;N93wSGQyAD0H2ADyRm28oaHfYDQA1uNgOAB4eghIbemAHdg3y/B5dw3EAoAGl96hfG2tOCG+/FoA&#10;cmlAc/X5ffmz97lOZ2CS+CKAa/vqH5/1/f+f7/xBnWOuf+RM3Ls4BtVPIq54pD3CMvcOmh7rQ2hv&#10;nIQ+Jm5EHvm5Ny+sHIAD/jXhBAckpmgnOiFnCKFEKYVQrUaNKFwLmluvhYQo3LXAAA6hwhZFQzgA&#10;LeHag1B6UDbttMo2tdBqXvoLSmAgAAR4nPLIhA17cEC7l5iOQSCz5CIH/duw1wALwADbjFDMkoTQ&#10;YRnFpGSNSjCAgIAAIFA4JBYNB4RCYVC4ZDYdD4hEYlE4pFYtF4xGYOzo4LwFH2hGpFI5JEnHJwAA&#10;ZUACXLZLF2RMQA5poACTNwACZ1L4sxp8AHRQQAQqIAAhR55EXxSwAtqdBQRUQASKoAI+Aoirq0AB&#10;9XQAFLBBX9Y5TK5UAYKxLUAAtbQAJrhFZO4wA17sAAveaTe75fYcTRhgVpfsJhcNh8RicVi8Zjcd&#10;j8hL2TkxgB8sz8jmYzc7LaJaS81MWRM5rNyTOZ3mZ8xqBQqIQqNSMdS3xTafBKiCJtOH/vatH4bW&#10;ldXK9YApCbG/gAwuYAHdz6/YRD0wAHetEXX2eXzRH3c7mvBiN6/yYMfMtfD6fV6/Z7fd7/h8cWyv&#10;oMQN92d8vhnLPLJczLRNIczdtOnQEs01bWnQoaiqOCDHto2xbKgqQlQsADkt+rCGOE4gfOi46EGL&#10;EYAB5EyCi1FIAD/Fi3rihkIwcAB8xoAA7xuAAsx0/UeIg5IlhlIMJx7IkiyNI8kSTJUeGXJoZALK&#10;BmyWzL+JWz7QpkmkBtM1EDtUn6gwW17Ywe2amKdIaBtyAELCVDCyP6/qEQ6rsPuMhJIzyAA4T4go&#10;vz+AA9UFFwTITGh8gAUNFAANNGze5UTB4ABGUoAE1ynHh900JYa07NNMVBUNRVHUlSyKaNUBk8cp&#10;VMxEqs8/7IwDLUCS7BEwNdBrZMbCM0Qo3U2oK8bvzmrc6xAhMIwMhJq2aAAVWggp72mABs2tEsTn&#10;rbSEiNboAEVcFWvZTR905T1xXRdN1XXdl2oVVBo1U3tWXcnlXv80EASy0qcWXL7WTDBjYRlMza18&#10;3EKwugh+YYAACYehM6OKsKEHFiwAA/jKEmpjln2i553AAcmRgAdWTABbojIiaGWXqzQksCGBcZdm&#10;ma5tm+cMeaWdhm5JmZyjV7yvfTR1pLl/MjBOAzHgleTO281YTNyKYlO2KIOcOsgAEGuISaevzIAB&#10;27GgsRmKAA17TleW6Aw5+7eJIZ7lme27ru277xvL6GUGr7gMZW8onoVYshWd+QK1Ok1xMVdTLp2D&#10;aggU12ChG3n6AAB8yguq2QhE8kjPc+xFEgF9KhJ09QAAj9XtaQ8CvfLbjufX9p2vbdvJRn90Gyzm&#10;T3CGcHfNZX3Ld+8SyGlVzgddsZXvI0tqTkLIq/N2NicQoPMZf+2hJme9h2IIYLfxgBZpqoblnXd+&#10;jWGH4JAafgXP1/nIyAiAACBQOCQWDQeEQmFQuGQ2HQ+IRGJROKRWLReMRmDtCODeBsiNSGRSOJOO&#10;TAAAykAEuWSSLsiYABzTMAEmbAAEzmXRZjT0AOigAAhUMABCjTuIvilABbU2CgioAAlVOEv+rQWU&#10;gEAK6uAAfV8ABSxQlh2WvWCCAu1ACysMAAK4Q1mXMAGS7Qk03kAGe+Ui/X/AQerP8jjHDLrA4nFY&#10;vGY3HY/IZHJZPKZWXM3MDkB5tjZaEtbQAAVaPPQmTOOUSqWEvSzCQTNzTWbzkE6We52gOihUSjBD&#10;KUp8UynQSoAipVSGP7lW+41xXWcfWGxwTBgBv9cACPtQUI90AL3wcwBQ3gAAdecAcp/QVCe0AEz4&#10;aX5Ym4AIjC78Lv5/v+f3/P/AEAwFAbIGXAwdgLBJiP2IcGgAdsIAAI8JgARMLIaoYhAAd0OAAPkP&#10;gAKkRJG07Uq01bWpi2DZCSnCdM826fqDDKiqOybyqaWynqiqYlIa9TxK2rqvuisQKAA6puSUAB6y&#10;aADDBihIDSmABlSsiLzh0AB7S4goRS/ITnwJMaGvq+78zJNM1TXNk2zdN84ABAxlwRBTPH1PAACB&#10;Pcty6CU/gAX1BIaGFCoLLIAEbRUXNqjESqylaWs81yZJom0Wto2yfNy3cNN636lxzHbjR6iLqlfV&#10;DoRq3zQGtJCroJQoYIaE1agAVVcIbFBy14hNKOLOMCPUIoZWKXlg2RZNlWXZlm2UjhoB4ga3MsO1&#10;rAAXVsoKDluAAWlvoSUtxAARdyoS+oAGddSM0e1VJMtSkV0vRlNNxGbeRsyUcOGgdgVKiB+4CABY&#10;4IAAZ4OAB44VV5/oKzBmgAMeJIauwyAANmMISe+NgAH+PABPB9ISSWSVVZz94CfoiYOGZe5Pl+YZ&#10;jmWZ5ojGHh8zYBmCydeHLSLWIYN+hAAF+ius7BC6S9LloYXmnOlI6KXbE93sreNLNnF7LRjTkaU/&#10;G9Q34gV/OQh8gW+WgAA7tcgoQQW3zCgoi7mAFuA4AGhDehp9748z0b4faElxwYAAxw2asplOV4Pl&#10;3Ecdx/IcjyUx3UZwfvqYDJlrzYAD3zzIc8PYACr0iK6nn8UtfrFMa0yuuXvT18sjfcdOJHmyoVIB&#10;t92ADy8n36Kn54Qhhp4pfeB5Hk+V5fmImZ/niArJfsmY/qgAvI0oSBXtxYAAD++AAUfEAAHfKAA4&#10;fQhuWAATv29Mk9IRRScVdXekYU32FV1A4NRdtUjuCCvCH4AAbUBWQJ5Ug82BUAXhvFBo8eBcEYJQ&#10;Tgos4uYzAhAEg040yLmxaudc+QheYh4SEJPAy4OcKSGgrhYABcQpX3mofi1UyjVzYrzUy/dexumv&#10;OyMg7RUZx0fEEcAAAa8R2GQViUYMISUHpxKignEgIIAAIFA4JBYNB4RCYVC4ZDYdD4hEYlE4pFYt&#10;F4xGYOzY4QwHH15Gos8JIADlJwAzpVBSpLQAfJhCULMwAq5tCQpOQAbp4ACdP4q46EAADRQAS6RI&#10;o0yKYAHNTwASakAATVaVGWNWQA6K4ACFXwAELFV4o+LMAFtaYKCLZUanZnwAGzc6JRrJd7xeb1e7&#10;4AH/fyCMcEwL7hcNh8RicVi8Zjcdj8hkbvHGbHpBkgAp80AETnYKG9AAFpo7qAYKXNQAGpq4So9c&#10;ABbsYzQnHpaPScxTGRTqhUiTVKtmKyxq3Xa+QrDY8fcLRaoJbAQAB10wA4Ottsx2e124s++8QRr4&#10;cJ3PJ5fN5/R6fV6/ZepUziKAvkuswfvsAFl+YSvv4AAk/6Ci9AQAGlAqEhJBAAFZBbZqGv5/gAIs&#10;JOya0Kuq67fOwyRtQ4ABuQ+AAexEAAGxKyADRQABYRWgoGRcAALRjDT2xpGq+n9HAgBlHZgxtH0f&#10;yBIMhSHIjzmZI4jgJJRcMwK8nLkuiEDxKYACxKyCktLIAE1LiGjNL4ADVMSKu8fa/L/Is0oSfKBg&#10;OpUHgBFADRnNU6zsAEcH9HUeTvPs/T/QFA0ExhoUKI6ByYxynnMAAlUcgoI0iAB30ogoD0uABeU0&#10;AEBC8ABv1BGEZJyCgAQqawAA/VQAFjVtB1fWFY1kjR+1qH4Z1wYVZ13Xle19X70PeJL5AEWzHnjZ&#10;AACPZYAOYhFLzcNdpWas8sksgobWyABD24AAh2+AEdhkABPXLYFz3RdMhqKAIfBfd5h3VeV53pet&#10;7AAZd8iWAt+FozB84AAB64GACPgGAAFYTgqPgBYgAH5iDVNYqoEgADuL4RhRq42AAT48AElAJe8+&#10;wefN2TdkeUu5iB+B8GmX3jlWZZnmmavXI5mCZkJZ5tnr1TyfViTnn2iMLlge5eGhiaLpmm6dp6KU&#10;KaAmIHnmoauxcHn/djTaxryKQeHjBBiYuv7MxiAggAAgUDgkFg0HhEJhULhkNh0PiERiUTikVi0X&#10;jEZg7QjhNgayjUhkUjkklk0nlEkf8rf8DfYBmAGlMzmk1m03nEKfc7Hg1nzFnNBoVDolFo1HpFJp&#10;VLpkQZlPKAEqSvptVq1XrEWfMDA9Zr1fsEknb7ns/sNntFptVrtltt0iZ9xKEwANUt93vF5hD8gY&#10;EvV/wE5fWDHY2wzGwOJxWLxmNx1YuLPKN0V2Py2Xm8sft0AMDAWY0GgfujHQz0zH0Op1Wr1mtt7N&#10;2BTAezVmu223hz9gYD3G9td0HIv4TI33F43H5HJg7O5hUAXPVfK6WhfcDAvT7FHfnbHI073E7Ph8&#10;Xj8lh5jO53Q8vrtssfF0BHs+UlsY4nw1ZPz/X7/n9ijIiquhVP9AkCwMu6WBuGMFmVA8HQfCDpNg&#10;ZosNmAZTwjDKcJYfy6M/DUDQTBYYwbEETJIgIIAAIFA4JBYNB4RCYVC4ZDYdD4hEYlE4pFYtF4xG&#10;YOzY4WAHH1PGpFI5JJZNJ5RKZVB3/LXwAZgCJXM5pNZtN5nLX+NxjPWVOKBQaFQ6JRaNR6RSaVS4&#10;gzqcWQFUVNTKpVatBn7WQA9q4AAbX6vCp0/ZgAQHYbRabVFn9bRsMrgy7Xc7pdbtd7xeb1I2ZfS2&#10;BMApL3Nb6zAAZMRBWHi69YIYVMgAG5k8aDQBi2HBWFmwAbs9GSboQAgdIAKiAoa+dUAC3rcllIhn&#10;jcADBtdNUYSut0ADtvZIeuAACrw4I/7KAYgOuVW67BFlzwAHulEV71QAc+xGQX2wApu90enZYqMP&#10;JCeqvQAE/Vg6ZWX6NRn8cN7Pp9ft9/x+f1C2f/S4spRv2kjCsOxKCMwyqGsgKjXm5BMEIIzZhM6z&#10;6RhFC4AFdDSEnHDoAQWADVHyjMLhEABTxQAADxWgrdF03jfJOMUZwo2adHysoDoQbceOE4iEBRII&#10;AFRIjqOs7A5pQWclgADsnIickogAJkqITJwOgBJZZwEoURBqG8wPnLkxzJMszTPNCLP6Z7/phAM0&#10;onAjEDIxTGK+yzHsiycHTuy7GQizjZIKStCAADNDgAtp/AAdVGgAPdIAAd9JoKTtLAA+IZgAflOA&#10;AI9PgAdtRIKMNSgALFUAACFVgActXAAQdYgBNaCyoJgAEJXMWt23o7IKRNgAAE1hgAnVEraAB02U&#10;AA12ahJoWhY5/H004DIQOlsAAXltobaBoIjbZeABbA6IKSVzgBEqCvcABv3cAA4XigoOXoABaXui&#10;Iy30ABl36hLxGTgIAANgk4JO9waUyZuDYZhuHYfiC0W8LqBlFiKGTlAyBwRPs8wZPcHz+gcJRqgr&#10;nlk8APISamWAALmXoLQUZjEACOYWMecIKK2dgA4A9IbY0wBuAB9aKgpj6QAAE6WAEXRhXyCFJqQA&#10;BZqqGkVrDuu+glvWKlqyJgs6BxEAGhIKH+0AAYO1oK2owXheSGPO67soIVO7gAE+9IaJW+gAc3AI&#10;LrqGUUAAa8OAF2U+I4AFzxyC5wMYADbymLowsoZhfzRnctzvPc/0HQobNYwLKT/RIJjM6QPOzHIX&#10;EGQT7CGR0DCqB5PlKEml3YAC93yC8oNoAciAAr+MABs+TwVooob3nAAKXooKTHqAAHHr6bXkYoHq&#10;TBaqFiG+Jm3l2+nR/oGfyygGX/2AAOP36PpO3eR5QHfsAGSIZcNx2zu28N6BOQkd0AwABCgMqRUw&#10;b4FENFfA00ZpSCC+gkABmYABwQXAABSDT2UXmndQQwsoKHNAvGzB+E0J4UQpPw6R00J3VJ1Myx11&#10;6ejKOyZEQJkigiCCqh4k1J7ZBuxBAAHyIgABzxHUqpdTIADyAwWe8wi8TSCogiIHyDjTyCt9CVBm&#10;Daxmij6gtBhgIySClwBkAAT0aSED8IGARxayVlgIjkAAZEdQACtjwrBWRBBNx9cM4ghD+1yEFg0B&#10;QAABZENefOPuRioVRkEBXJEAAoZKAAMAAQhKxgoSbAAOGTwAAHyhbU2yHgqgACGlQQUUUqwAAuld&#10;CogzmIRuclhLWW0t5cFGTWGEsonoXF9QK6tjbrU8QzY/DUsDs4cO1NmSM6TKhYzRAAeKKRBIPFOl&#10;pFE8pBAfTdAAucSUV1ekklcC4AAnJ0MDYKQeMBAgDTVIGIyeQAAiT1U2p164OJ7xsB3P0AChBKkJ&#10;kE/0kUzwASlABHImRCB10NAAEWiBBQ/0TAAFGiy0gARmIKcoHQABLUflzLJzcuaSFzICgAAgUDgk&#10;Fg0HhEJhULhkNh0PiERiUTikVi0XjEZg7QjhigadjUhkUjgTNkwAMcpgrAlgACEvhpTmQAbs1AAP&#10;nAAYM7grCnwAN1BiIDogABVHAA8pQAQ9NhIwqEJjjQjNQGEFKlZAB8rgAXVfAB2sUFGtlgrWtAAe&#10;trgqxtwAD9xhr/uj5rh8Ay1vQBgl6WoABGBgpewgAcuHns/B2Lgq8xwAOmRgqGylwuV0f4AembAD&#10;OzwAT+hAD70kFZ+nAAB1UFpqHACp2EFXuzhJY2wAde5gueZwAAW/knB4UY0j7GdlGu94fL5nN53P&#10;6HR6XT6nV63X7HQZfbMgF7yb7Phh7R8gAL/ngt+AAb9kNKHvADg+QACn1AGOXmJYVAoUEWT/gAD0&#10;BJGKsCgAbcEIKqaKwWMEHIKTMIgAG8KK8sCxDsgpSQ2AAWQ8AB8xCAAlxIAB2ROgpIxUAAfxahoZ&#10;Rgf5/RmviQj3G4AQKKrZNoOcfIK2BUgAE8iIaYkjgANklIKSsmgAHcoIKqzhjvKoACzLDxS0iDiu&#10;OsrlS3MMxTHMkyzNM80TTNSFt4MjfgE8E1uympugAmQpoKOs9AALc+oaIlARNFAS0IABV0O/T+Dc&#10;gr/llAMBpEZVJAAM1KoKIFMAASFNoiHVPAAe1QoKY9SAABNTwsXSwrGgkNlJDsPoIblZgArIqIKA&#10;1c1SlyYIIlhgAAOFhOG7wCgA7Zlsax7IjpIDYyIE6GmlaYAMILyCj7bM7JnSRlUpSzhNUvjTmfOU&#10;yBkq1y3Ndd2Xbd133heN5Ik8hojKzBNXm59QntJ8osw1LVlRgYABDgwAYATeFAATmGoKJuIAAQeJ&#10;0SoNFv9AEBA8kZ+46AAfZAtS2IIIuS4liiiAHkR6gA2wsAAdGY4fiOJkGgqv1VDENQ5DwWISQWgA&#10;AV2hoKGejAATuksGwtpmkAFcgMABk6ngMaoXhTwSaStlPy+oKPvZbJIIUOyAAE2zoLgB47WAAmbc&#10;AGOn6gsjmIAAGbuAAlb0ABzb7qoAW6AFioaTHCgBwpMIKVXF7NtF9OjdCoXVx/Kcry3L8xzPNIFc&#10;gz3FxPNuDxHD8MjGUgAXfUgACXWYq/qB0bR+NuEcPa5a2579yjOzhMABTd+AACeFm8L1YgdXVhny&#10;GKUHjNM4gmBlQAAK+oAAh+ugvmAASnuIidvv+t7CCUIEtDUQ2ZegBHw5uGHP3AAS/4gAeH6AAIP7&#10;4QukRxKQv+oi30czeW9kEBtAUAAmoEOhOC5EGDk4FQPghBGCUE4KEOJMM0NDKRLwVJC7EQMH24Me&#10;IYtAAAjoTHrPaQgnx+2LKMYypA5jax4gAEbDUADsSGODDfDsAAWofG+OAQhnCq0MqtZ4rEhY6YlA&#10;ACPE0grp1hBwhpDYggrYrAABHFkirLgADYi9EAAQABjRjAA3QyDYiLgNjUAAMUbVqmFdO1oADWGd&#10;qvZ6RVHSB0EunV+ACNQDYOESgZA6QMhZDSHkRIlLRvA0pvEtIoi7ADigARmP5v6b3gvDXEXN/UlS&#10;CyYk2dVuIAB+SlfyZmTDg5QkPYBJ4gkoDVkMlajMhMm2ASvN+PpcTUSJyeluQOTBBJXEPlWQKYJC&#10;5fP6lxGGYpEZkmZmW3+SBCZBzTmtNebE2ZtEbI4Gkgcj5tzhnEPsgaxpxTnJEZgGM6wYlUnRO+eE&#10;8Z5JyXIGtcQlJ5z5gmZgfq4mVT6oAQqdU7J3UBoMmkgIgAAgUDgkFg0HhEJhULhkNh0PiERiUTik&#10;Vi0XjEZg7PjhrAMfSkakUjkklk0nlEplUXf8tf8fAL9gYElc1m03nE5iMuGM9GLQnVBoVDolFo1H&#10;pFJpVLpkQZtPNoDqSSptVq1XrFIfcDAtZr1fsECnk+oFhs1ntFptVrtltkTOuBuAVzSNuu13vE1r&#10;cCrt5v1/htjntlwGFw2HxGJxVWaGNN0DuuLyWTtEuf0DmEfymbsFSAYwFuhaOc0ml02n1FujjPOE&#10;wR+p2Gxm8ul8w2W3nL+3QwGW90e44HB4XD4kG1ZxmCO4vL5kJe8DBPN6UT3T+3m+6fZ7Xb7lZp7N&#10;OWeRvd8molz3mHR8vruYCF4u+DS9fz+n1+0U7/hqXj+/9/z/rc9r3vjAECwNA7lrgZw6PaRcEQet&#10;TLJgAUINwfsLheGcNPlCsOpKgICAACBQOCQWDQeEQmFQuGQ2HQ+IRGJROKRWLReMRmDs2OHYBx9E&#10;xqRSOSSWTSeUSmVSp/y18gGYAeVzOaTWbTeEv2dC8Zz1pTigUGhUOiUWjUekUmlUuIM+nHaYAGQ0&#10;yqVWrVeqvyBgSsV2vVWdP2eT6v2WzWe0Wm1Wu2TNo287S1/1O23W7VePgMACi+AABX8ANzBAB74W&#10;gv25AKogG743HQioi4X5Np4/LZfMZnNZu6s7PHi/gJD5zSaWJAzUAAQ6u/YCCP7YAB0bMAOvbUF9&#10;wMC6beVfI5MX5Xe8PicXjcfN55nHnQobkc/LBjpAALdUAVGIvHtABwd2Z3J+VGudDyTTf5Ty+n1e&#10;v2e2M8o9aFC+76UwRfcAA39SR9f0AGzAAANgfyTtygTdvrBKJH3BgXBrB7hQVCUJwpCrHqcZ49qi&#10;QkLQ6kgCxAAASRGAADRMmawgAb0VgAe0XIyuR/OwgYBQ9C0GH3B0IRtHkex9H6bQwPiokHIEjISB&#10;8kgADsmAAvKhLkAB0ynKUqIxGKoxrI8EhaGEvGpLcwzFMcySFIkyR+DM1AACs2uumClSies5gAbs&#10;7IquSXpjND2S7L8+UAoCAoAAIFA4JBYNB4RCYVC4ZDYdD4hEYlE4pFYtF4xGYOzo4fgFH0DGpFI5&#10;JJZNJ5RCI+AgAJJcAATMZTM33NQA2pwAH5O4a/58+QDQQPM6JRaNR6RB31SxaNqc1KTUalU6pVat&#10;V6xWa1W65JGhXz9A5DXbJZbNEQRaQAILYAAPb5RPn+AKCAaK/bwAHBewA9L9Z8BgcFC6W+qbT8Hi&#10;cVi8Zjcdj8hVa+0D/A0BkcxmYoEM4AA9n7pQZReH6AG7pwA+dUABRrQABdhcZ8AHZtQA5txCblQK&#10;Fmt9v4HchYMeI1eBx+RyeVy+ZyWjz0Bcsrzepg8+HgAEe1RdU+QA2/AANJCRD5QADfRobtJ3n7QA&#10;3/gALl8p8+LqCOr+bJwuIMeM/UAQDAUBwJAqBGbBBBAHBY+wNByUJWAARwmAAFQs2S5nfDQAHHDq&#10;KgpEAAA1Eb1JQfETgAb0VAAwp/LqlkHxik7+OLGUbRvHEcx0kxnx6QS6wbHchIRCwFAAEUkABBYB&#10;pQf0nAAcsogAd0qJImIEwlCklybJ5xS8fx4zCgkYSHMqDxo/0zTVNc2Ta6kemfH6gyDN0bAnO4AA&#10;3PUSpO8Zsz+ACan2pIU0KAADURDAAHVRh/HRR8yTrIUnH8FYZUua1JU1TdOU6rKOGcQiVj3T0BOu&#10;7Ltxm2Z7VYABuVerlTs4CE+JMeVbr0vj51LAtKUtTFeWDYVh2Ih84EKuo9WK37YALLIRrcuCiHba&#10;gAHJa7BO0CIAA7btapKwrTNRcNluZX1LhlTNy3WqqAiAACBQOCQWDQeEQmFQuGQ2HQ+IRGJROKRW&#10;LReMRmDs+OIYAx88xqRSOSSWTSQFSkACKWAABy+TgB/zMAN6bAB6TmYzuBS8BgAU0GXTCTv6jABv&#10;0mcTqeU2nU+oRejP4VjKrNao1mtVuuV2vV+wWGxWOyVpm2dDz48WW2W2dhi4AAL3OnPq7ABu3kAX&#10;Z9W6KgLAAASYMAAjDACPgGYunGAB0Y+/ZHJSafCoW5dr5PNZvOZ3PZ/QaHOxxnofE2vRamwYABAA&#10;Qa8AAzZYiPzF67eazep6qJBvfAAKcGYzN/gDbvWkUrd7zmWN+88VDPpZnm9XrdfsdntduJs7vInW&#10;HbueOJz4ACb0AADevhzTHugAOr5eSIg/7AAPfkAayY3wAGxACZJo+kCIq55+ui6cCwXBkGwdB8II&#10;UaEJkSgbxQi+j7AeAAPw62jFJPA4AHDEgAHnE8MIc9YDPO9LzJO4jkm/E0URTB7WBSF0dGxG0ex9&#10;H8gSCrcJmgRSBjrITmA1JbgOExKYnzKIAG5KgAH5K8kobJ4Ry4AAFy+9rinXMYAHPM0su1HEdBdH&#10;k0TdN84TjHzSEWxI6Tkv0nsGEgAJSBSnHjQMRxLGM8Ig3wNgACdFw+mKcnovC9UM0Ern4FIaUxNt&#10;J03TlO08yLSEYxI50+rsVgAE9Uv2wMYJo+R1McyFSooCFavw/UnpPSoAGzXsrSxWax0rS9M2DY1j&#10;2RZKKO8ZxGtYOVlJiCVpgBRFVtbXUsKTGZ7W7aKKxWf89n+Aty2wksRHFdQAHldtvqjYdMBpTV33&#10;qriAgIAAIFA4JBYNB4RCYVC4ZDYdD4hEYlE4pFYtF4xGYOzo4jgFHzjGpFI5JJYgHpQAAjK5NBnx&#10;LwA3ZkAH5NZbN5xOYvHwE+hFPwMC6FN3/RQA66QAHPS51TadT4eAakKBfVWzUKxWa1W65Xa9X7BY&#10;bFY6zHGcj54cLJa64KbcAALcQBUgDN3jdwA4L1bL5a6K/35dAIHcIAAlh6JRpe+AA2sdfchXbpVK&#10;tkctl8xmc1m85nc9BbNaI/as/pYICtQAJ+IgAA9dN37sQA5toAHdt9NuZI+7+BLoAQfwQBhA7rdf&#10;LZq/Mbj33zd1z4M+ukKBt1av0Ox2e12+53e9C2f4UhdDf376F/QAPQF7nUpvyQA3vkAHv9fN94W/&#10;YGA4ICP8AARwCAACQIm5/QOABxwUAB4Qa/DOBOGEJG1B8KwtC8MQzDSFPCZ5IroN0NqzAIRgAoQF&#10;vauqWntFgAG5F4AL/EULH2gYCoQukAQFE7En+AB3yBBMFxmsUIwnIkkSTJUlyYrUOkkug2yajMCA&#10;IAATSwuC5JbGTbncAByTDKb7r+fK6AOiANzUAAJzbFKbvqe4AG3OkYqNMacSMGEKTxPs/T/QEkrM&#10;SaeDZQKGuCB4AJQDwAJ42DZTCckGQdQ8/AhTDhsLR6WukfQAG/UIAMXSyKHzU4ThvVU+VLVtXVfW&#10;DIGhWZJoHQ1Yg5XLDMRHNOukmKZ09WNAANYoABJZEtRulsDn8ABy2g2zcWGhFmhMGVsG3alt25bt&#10;vIzWZoEogY10PHIS3QAAE3XHr6PtOltW+70yzOkcsBMAD/ARN6RxlIB3yEcdvWtbAZXjeWELEgKA&#10;ACBQOCQWDQeEQmFQuGQ2HQ+IRGJROKRWLReMRmDtCOJSBmuNSGRSEESUACOUAACSuRwR/y8AOqZA&#10;B0TWWzecTmdTuJP6fPoBUEDTgN0UABOkAAA0ucvanABu1EAT5/TyrVeDVQTDKuNusV+wWGxWOyWW&#10;zWe0Wm1WuBs+3JalgE02y1UgJgANXkAUEBTl+38AODBAB6YW6YfEWuXy+4gGeA7IAAP5O90GcvzM&#10;ABvZsAPfPYnESsCCUWaVuaDUanVavWa3Xa/YQ9nbNL3w0bGcZMPgAH72lUycPvhABscWpz7ccnlQ&#10;vFv+Bvu40Od3wACnrSqWTiqAByd0AO/wcurX9+iUZ+fT+L1ev2e33e/4SHZs5MXwz/GFgP9AATf0&#10;AANACcsWAB5QKwLBvxBLYMWfTorGlARgABcJt+xycHdDAAHHDcFIq8jzPRDsRRHEkSxNE6MPm+qg&#10;vvEYGReyTKNEnLtnPGwAHZHMUR2w5+IGAizgxIQAAvIqrKcezNM48keIG/QBhIFspG7JsqytK8sS&#10;yw75kyvgzQVIQMAAC0yQqy7MqjKh8TXLU2quxZ+oGATGrPCYFgAEU8sqvrguHNIAHzQMdyfKMpzd&#10;Q9EUTRVFo2jhNIGMr2LiAAQ0qAAG0wqzPHuABt08AEB0ZUSRzguIBrXGYT1U7EgJ4cVXu+8MSOEf&#10;YSBrW8qVHXVd15Xr1I4aFHoFSLlALYyTpSA9lQEmEMHc7jvV9aSNH2gYCtTSoQgAyAHWY5zwHfDU&#10;OQVWlbVxad0XTdV1q+txnk2uIyNiCF6AADt7z3GjkQ2cYAHhf92YChzFnyuIDtbIoLyJI1JpxJAA&#10;G5iNQJg9i+BGF2MG9gWNsSgIgAAgUDgkFg0HhEJhULhkNh0PiERiUTikVi0XjEZg7PjicAMfMcak&#10;ULDUlAAVlEjhL9lgAa8vAEsfsqmk1m03nE5nU7nkGBc/AAioQAAVFm7+pAAbVLAD5p09nFFAQjF1&#10;Vb1QrFZrVbrldr1fsFhsVjrLOsydqRiskDqQAEdvAAKuU3f91AD1vAAbt7td9v1/vt1f79j4BAeA&#10;hVtEuLAAIx1HpLlyQAd2VxEKfWZEY2zlXy+f0Gh0Wj0ml02hjjPTuFtViBOvAAh2QAAu1ul2de5A&#10;Dn3mn32/3+CfGFBHAwoAEHJAAN5gA482yruADj6mjzL6zed4Hb7nd73f8HhnTQ8iegZhr4Q9QADv&#10;tolGm1IfwAbn1AD3/Hi/X7rOCfzCgE8QMQGAALwM25/gA64AGzBoAMEy4RBhCZvv5C0LwxDMNQ2n&#10;jyGgT6BjAqDjg9EoAPUCEEQUzL6PsfkXw5GMZIgwR/sKAMLJ+BbYtmAcfJvF5+RabimqevsJQpGc&#10;lSXJkmyc0sPRAgURJzHzDqEES4rmnR5S6ABwTBB67SfMkmsEfTCgNCwDTYoKhgPOEVHNOYAHZOyw&#10;MEEIYz2cEyz9P8MD/QQCBVQo5ntRBIjDRZ8UBRyLtSUDCi+mzHOKElMABK0VN4c4ANyddH1FJZ8o&#10;GA8NOO5IQAAB1WxVLp5S/MKtzzPYYz7Udc10vxVV6BiBkuwQpxvUyBmBWAnjJZR5yZQQ/gIFNoiu&#10;qQ/MENKBmOK9tHvQDUlCwovJGC1xgBAYMOcj6bpkABvXaAFEHtXd5QwwTCI+w8l3GC1ywI56awXB&#10;psgA+Sd1rPl54RhKcFLhgIgJh4/sKNDC1Oh75HuwRAKkRorY6mcMlXkJwoGDyEMEeWOisB9ALMZx&#10;RKkLqMA/mcTvWnR8ZxIaYpbhWevC/zCwSgV8SU5gGgBmYP01H6bSDWU+rwesET1g+fas3yAggAAg&#10;UDgkFg0HhEJhUFSMNA4ZiCogZIgYBhD/jABjUag8WgcYf8bALskBsK8nVkLlUrlktl0DVcxcMDD0&#10;If03aEnK4xl89n0/oEJZ9DUUbLsuAlJAAmpgAAtPoMLkAAeFVADirFRrVbrldr1fsFhsVjn78gYE&#10;slpsNJtAltwAA1xsc3fwAdN3ADqvVfft9EAzwEztWDwmFw2HxGJxUfjMxVb6gdmisaf90AEbf8/k&#10;ABAWdA10Qs6P+LwuOwQAmsKaBV1k80mvhTO2SkzoCLcqBm5AAh3gA2tjqbl4QAdvF2HH5HJ5XLrk&#10;gfUbA3M5gi6gA3IMy8csTz7gAb3frd9ft/wPS83n9Hp9U+P/tAQr+DpjYU15Q1hVWPrqOmmkXjBq&#10;itAIWP0xBoQMUiBtug4LwYAAMQewZ9wk7zwHxC0CQxDMNQ2/x/n2s6RQ4w0GAuAESOyjywwsfAAG&#10;5FwAPEl7xPIGbTxFG8cRzHSDPaP73vi+bFPEHgsSKYsdoU/iBNSgyQG3AIrBNJCvwMaEEIELaNgA&#10;EcuAABcvsGe0xQob0YL7Kc0TTNSwpAkMtTWsMvgWAAQTqAC2LHGJwz2ADuHmla2A+FlBnFOFDUPR&#10;CyR7H4VvkjT6MKkB/JAFqdGtRElNQhZvvuEVEp9KpSLYLamSkp4CsG4p2gAclW0/V9YVg5zoVirr&#10;fhRXCnKgsTLLudK8r2hB+WGD4aWNQta2TZVas2xx7MwsSQAEgYB2okBYRWMov23Vc1UzJiCpAb0o&#10;BHZaFnNdBdQeDAizesMY1aciqKtc163tG57oGBN7q63gQgABuAxQsZ5YKABwYQACp2Gfli2PfmIY&#10;jDdFvhRsgtekB7IGRp646Qww5BFkcW/DtxwDct6pAtCBE4kAuo3aaw4YABu5qAEV4lnOdZ3Q4KZ8&#10;AANaDgaxHzosyABMR7YcGlkZ5p2ntgVWpQ+gTJMOkQAroASN2qgR8o2PT7kfDmSIPcVyWUkACpAZ&#10;yNwGtJ6bjo6p6huu7bu/QD70AC3BKAAB8BPMzxWJrrlpvHEcSsZRcYEm9AOWLahVNrlJAeqNjWav&#10;NFMQPO6s5eyoMuhvp1T1XpAGCQGOjYEV4m4AHZ2IAHP2nFdt26t1mjTo9wlctBP4C4LldywJAQaN&#10;j/aHe+W9SAiAACBQOCQWDQeEQmFQuDKmHF2BogBRMNP+LPt/RlUxZ/reJgJDx8PQySQuOOmMv4yl&#10;iWLOSy+YQdVzNwwORweOOArTsQzGfT+gQqUnKIgGjAWgwuUgBw00APKoUmpVOqVWrVesVmtVuuV2&#10;SRx90YA0ivWWzVoPWkABG2VyOP+BrexFWxPaz3e8Xm9Xu+X28Q5UgmOI5+4VIlvENiCH/GAQVY8y&#10;WJG2IFWWONF+ZkvFrONK+TNVzWBTeDTmdlae36sRwBRxY2ImWV8bMAN3bADMvzVbveb3fb/gVqOP&#10;2xAPg8evBLlAAN80AR+3RZuQMcR928jsdntdvubzALKPk3LRyBtPTjCB3CvaDRADSQhxFX5B/uwq&#10;OA+ONuBhSxAGtntAAAG3Ab6wLA0DwRAq3oG4ijAJBMIIOBEJgAE0LAAsTon+fyBiKj5fQjEMRRHE&#10;i8FLE4RAJFRTrEGr+q2sCOEgfMaECL0bnqq72JshCUnKK8gA5BKUiCgZaMpGCLAAdEmAAdUnxLKM&#10;pSnKiXn2gaySrA8MhLLoAATMENN0gRBo+QUtTRNM1RIVE2iUj5OLEDK7nklJAyAK5HvSoDAHIj4N&#10;oQjhztODTto4/yBEOjg7RerTcgAcFIgAetKTXS1L0w7MroFLNMwKDtQLWtsMySf5crEJqxU3T1WV&#10;bVytl/WICHXWg3oGRdGqzBaBHOgYrtOYiYFVYZ3o4BqxAE/qOH8sRPPkKoyuQlJmoGGNcqwfdsn2&#10;bFuAKpdX3BcNxKS4aB2TUlxuQCd1gADl3LNQSBhmj9e3Te173wADGD+AQV38WCBiSsUHq8jhro4J&#10;08G4U+GCSj5UrEA1DoJXL+4IAB/I4CTTniviUnOsQMVLZijFaaOT4uKN85Xll7Lfa+Wt6A+ZgAEe&#10;bAAAucw0e6BiWj5f5joOhTVNpUBesRazkoF0KEjMxgAXixCKl4A0Oj+qos/p/RUAgKCjr54Y8jIS&#10;IGaixAOqawIGNyPkwZ+3lasQpaHum6yojh87PuzfAHvp/hTwBxb6Ab6OE8iBEWj4773xnGwRYZVD&#10;MjhHo+BFAyU7WsH+daPjHZ5abEfwwoGTuYJMix6IGGyPmugm3mfuKjbnx3adq7COHusQE9svi35y&#10;AoQMeFRH7lUr1AAaUW1V3nmJIgKAACBQOCQWDQeEQmFQuGQ2HQ+IRGBqqKLAAxcmQMBxKOR2Hv6Q&#10;Nd+SMfFuTOyPRyQP5RQMuReLwh/zNvQMVAKcPmENCeK6BlGU0GhUOiUWjUekUmlUumU2nU+oVGmz&#10;N/yt/B0Z1lzSszwNKTACUqqP+BhmcAJ01K1Wu2W23W+4XGIJ66B0GXdPzAgwMBXKOVR/VRNvbCHg&#10;w4d4U6Vt2YCKxwNTWcuRCeNBXwMoX7NZvOZ3PZ+4vyB2HQaW24CV1itQSqDyqLaYA2xTN/QMwWdR&#10;6bdbveb3fXBUcEcTBWWcN7+FPGVoQr81GbN/gqqOqYGyYKCO5XLwLM8jvd/weHxQd8QMEeP0Q/US&#10;DVDNzTKZg+qMeYCmjVR9QMW2dten/P/AEAraVMCJei5PJgArvrGlZ3JWH4tQiar7pmBSYHsoRnw0&#10;iyLifAUPxBEMRIc0SBNJEcAH6fcVg6GsXHOiCVlWmAqKEqgvrOlsUR3Hkex8ihVE0mAuvM8aVl8l&#10;YwCzJZxs2Z0nlis4nR9KkqyszrAIGmCYyu3iqH6kZ+RbF6OpWOSBkOmADIYqhXLOKcuzjOU5t5IA&#10;PMEvSYLI7yqH2gZZHPQIwjfQidLZDRnlimEpzpRtHUejyqH4sFISwmcwJHMYaxgoKVhkgZeJgCLW&#10;JmbSYBYmE/UrVdWVao5P1gDC7gZTkQOUkA2uaK7cqjRFFIvRlXWFYc51UAEFWIt0vzDTVaqGlYFo&#10;GaayoGEyzybZNs21bYAVgT9ZLvZ0Rqob1Firc8JqTRBZJgJtuXfeD/WNZF4qifkVn2D0XU2pyqBg&#10;mBoXrgWBzlb1wVpOJ+pWWJ9YaNgu4hcSOUQWaYIzgmMYyv0sy0i6+40o97xXfUyZBkzOoCCAACBQ&#10;OCQWDQeEQmFQuGQ2HQ+IRGJROBJuLBcHxlzgGOP+PP+IxwAgCPyOBNaBimKSuFyKCyV/TFLFiaG2&#10;ByCHs+dLOREyWT+gUGhUOiUWjUekUmlUugx9/SIBUypVOqQKPvwC1kOiyuOiq1+wWGxWOyWWzWe0&#10;QVU2sKyJ0wN+QOnxx/RMCTF/FF93tqAe/MyPhOBv2RP6PziSSLEVKPgJ+484tjJJlA5W6wdoZlaQ&#10;Ml2nPZ/QaHRaOyR98yID6TVVN9vnXB4b7GvavabXbbfcbnSJ/eBgGb9z0y8Nx+cUyVkCiGPo0Bc0&#10;JauPt68F6aFhiwTMtDNwLO7rvd/weHxQl9wMC+P0QjW6/YjfZ+n4fH5fP6UneJ/fcCwv28Md9P+P&#10;q/AOISBjykQCNU/iYl01x8jAFsIE+kQlPrCsLQvDEMwsj59v+fTYNlDURRHEkStCixNowjSzI+eI&#10;rxeCJVRkAaBmgkQWNsfoGx2dwMR8CsTSDIUhtGfCBgRIjPQ4AcmA6F0nrfJMpSnKkqoI+78gY4K0&#10;o+TYrS+MyCFXMYdLwUjmgEELVpcC82gA34GAAl0rTpOs7KsjzTo41M7q/JcmyeF0oz7QlC0M28sT&#10;hLa0KuvAdOqZaELWVIypERqRAa1bkABHwMAABFQUPUVRvipyoVIpSPn1JgBg9QNB1RWNZVmo9Ev0&#10;0LHn6eLqgghlJgSkRNJELjbgVYwAAzZIATRWlm2csanIGkSOWellVHxbAPBzbdYWrb1v29W0tNWv&#10;BcxeK4kIgUd1gdARfoGGFTtUCl6AACF7zlalwX3fiWPKgTz36h1VJEDoYYOdWBYUsqAggAAgUDgk&#10;Fg0HhEJhULhkNh0PiERiUTgSiiwWA8ZcwBjj+ikfh8cAL6e8lC5elD1iinlhPAcvTUiC0gmkPl4D&#10;AAWnQABc9AEimtBoVDolFo1Hj4EpQACtNAD/qFIqVTqkHkT+qD/AVVhj5rwAd9hrljh1ZfMiDwwt&#10;Tqsltt1vuFxuVzul1u0QT95DAMvjnu8Gf2BdEDFZXwzuoiqxQDwL+NoCyCIkQHv8JA2XAAazQAAu&#10;dyuf0GhiYI0gACmnn8c0Wr1lGfGvADr2Wto1mtFqGFs2m73m932/4GsvKfvd9utZ5DSVnLGar5z9&#10;tpV6QD6RVX0DHkiretBvdnM7yHb4Pj8kPB/nAAO9Xl9nj1742Oz9sQ20ctNr+f5/X7/n9ujhuKBi&#10;/LoxpTMMK4ttE5xVhcxpQpEF6RAC0SgKaCr0vWoD/Q2uzTgoAAExDDkRru974nXEiDLMe0WA8HcX&#10;t1FMZRnGkavHAC+QEtqso8gQ8itIBFOCAJTSKKClAITyRAg2jOgKAALyjEERRtKqPgxLDOM9K0uK&#10;lEzZRRKx8HrMgPxeHcYy7NU1zZNqQRw4yxn6fk6C2LM7lS/asgDBZIJENaBpw1rLgMAAO0OADwzd&#10;GkkShKVFUXSKPy++UaKyfCsg8GVNzDSVPU/UEak3UYLghUxyqJPaslikQwyAKx4xqZlZl0c9bCLE&#10;zfAlXYAAjX1EshULxxCBIAAnY7UwnYVloXSlOxnS9M02GVn2Za1r2w4S9RzAbXNeB4u3CeUuGhcp&#10;cqyI0WHsAB03aAB+3g3dFQ9DAHWTbK7VNJjugbfF/INZ0bWiqFNU5f+D4RhKpzhHSjycBwoYiedy&#10;XMgYjIIrIAHljYAHVjzf0bQ4OgBRuFKknSZ0Je+TWzgMrHuxoP2nauWZq2iAgIAAIFA4JBYNB4RC&#10;YVC4ZDYdD4hEYlE4En4sGAZGXPFIY/48DStIXpHJJJZNAmfKVwAZYR4Y/pgAHRMwA9ZtJ5xDgVOw&#10;AGJ8AAHQZzQ6JRZKAqRPZ/QQHRqdT6hUalU4G+KsAHXWapW4e935Xw8NLE7K5ZbNZ7RabVa7Zbbd&#10;BYsn4xGqdHn/IJFb7Kzr4uaQAiNFHzgwA6cMAMG+b1CZYAQAEsgAAjkwBjcXl4kCM0AAnnQBf8xo&#10;dFo4nVnxWK1pKJdnu/ddYbHqtls9ptdtt9JcbmDI3RrteCtI9xJmbxV1TCLJrsAHtzQA5+gAOXqq&#10;ZSgwAJ2CuHbQb3QAD/BlZZ2/J5a3ptQ6/NEdZrn7sBpZPX8/p9ft97VuozvLrH5C4L8IavhnL8pD&#10;AqirL1HhBbbAJBwAA9CKgKFAKTApC4AATDUKw5DqFvRBMPIK9rXrE+MRRRFMVRW2z9Lo3z/LzFgA&#10;GhGpcoHA6qK+fjCsO5p7Ns8AHgBC4KM+pMVNACslgAA0nRnKD7xA1MUxI98TPlKMtS3LkupLFz+R&#10;gu7/uFFkamhG6BRytJ7zbHp0gAfc5NkyzOgmyTKQC6oLT4AEHAJL1AuHKb1Rme0dg/LFBUXRlGy1&#10;MDeqK38yShM80gBNa2OWelOJkmjatBCIPAAAtSu2zQESJDDLUdVrSUJFa7HsfVaA8G9bnbV1dV3X&#10;jyUg/sxxlFiUmeXTGuS0jlnDZc4zm2s/gAENpNkB1qgBaoHPEx1e24t9YRVWVaH1W1cW7c1z3Q/K&#10;Lv3SLVxjAEZ2JYyWWQ2Z43uAB1X07YR37I4BMXOzsJ5dOCrXb8qo9Wda1uG9c4NiDyICgAAgUDgk&#10;Fg0HhEJhULhkNh0PiERiUTgSfiwYBkZc8Uhj/jwNK0hekckklk0CZspXYDlhEk8vhr3mQAck1mE3&#10;hwYnQABs9nEQANBAE6DAAAlHn9JpVLplNp1PiL4qQAddVqFXjseer6rgfG9fdtYsVjslls1ntFpt&#10;VrgsWT8YjVKjz/kEitliaF5XUDIt3hj9wAAb2Dv0QjIMAAZxViAuNAAWyAAAWTwuVy2XzEJqT4ql&#10;WzM4ub1xoFDws0zuz+p1Wr1mt12Zt1wBkbpNzupWkevk15aF7gV917c4QAuetoIBAAi5WSylKBXP&#10;AAR6XMAW663X7EPzeddfZiOh0el0/e8nl83n9Fo2OH2k/20h3HphrP+i748u17f/QAfn96wPQAAA&#10;DwGnDpAiAAFwSADjvlBsHMK7aqu7B6CvAxrxBY1EKQ3DkOw86z1ri2qPvg3MPgA3jfAA4DXHHFwA&#10;O23QHxmx7IpMC8cAAA0dxPHsfKVCLPQ60KZHuDwdSRDUfyXJkmycksQtmuUSLtHr6Ge+ygvw67in&#10;bLwAHhMLiI8y6WAG5LlohM0agsoykSfOE4oXIMJxOeh7TwD8kB1JU5T9P9AQ7KL2tBKj4ys+r7vk&#10;f1GAAdFHgAetJJPBk1v6fiGwMAAJ05BahIYBFQgACVSABNdA1ROU6Q+uZ6TMDwXVid9U1pWtbNdQ&#10;cprpEsfGdXxeMmAQhwo4tGH8ABy2SAB82YhoO2fAUCII7aanIgoQWwADRoiB1ugBboHU85Fb3JH9&#10;Vw9VtX1iF1Z3Ld133gsVcxHXcqxPXxnWAydhyZMJ4O5UdS1ICVxIjYzqIjTgJgA54FXjh8T3PIaP&#10;VcllYVliGMusgICAACBQOCQWDQeEQmFQuGQ2HQ+IRGJROBJ+LBgGRlzxSGP+PA0rSF6RySSWTQJn&#10;yleAGWEOTy+YRKPP8AN6bAARzmYw2WAEABWgAAD0Od0WjUekUmlUumUd8U8AOupU2qR2PPSsPQPD&#10;2uO+q1+wWGxWOyWWzWe0QWLJ+MRqjzOQSK01+Us+Vy252KZzWbzkR0wB4EABfCADAgO84nFYvGY2&#10;nvio1PG0h55V5h+uD2vZPOZ3PZ/QaHQ2u2gyN0a4SErSPRSdoa9eQOXa2Y3ubN6cTqjgneAAJ78A&#10;T3acPicXJ4/IuvjRR5zMPDHoPDl9PqdXrdey6SM6a3x/VazsQu6r2ekLwxDbX3dTAHe0Ae0HcGWe&#10;f6fX7QvkVLlfeBzN5oG57ov5AcCQLAzOO0tzUO8uUDvG8sDoK9LcL8k4KQuADeATCMOQ64j8slAb&#10;/QA6AYulD0URTFUVodBLuQWf64tXCMHpY80PQm3K/og4QMx8wzBRZIUhrPED9xEjz/oFAMTSJJ0n&#10;yg+kXNOorUwbA0agDG8OxzCqGALMAAAtMYAAFM0ozRNKkSNAr/H7N4OhpOR4zVOs7TuxMpu7GLvx&#10;olLyRtFEuvWgwEUMAELgpCSPTxRs6pogSfIWf1KAAc9LzbJM3n7OM50dT9QVCos9RhGTwQKZ1Ul9&#10;MwBCDQVGNvHSEw1REMVFW9cABNkCTdOE5BpOlc2EziAggAAgUDgkFg0HhEJhULhkNh0PiERiUTgS&#10;fiwYBkZc8Uhj/jwNK0hekckklk0CZ0pXwClhBk8vmESjz/ADemwAEc5hIJngACk/mNBoVDolFo1H&#10;pFJpUCfFNADrqFLqUKmbzftXDo0rTxqddr1fsFhsVjsllsEWT8YjVEmcgkVmqcpZy/lgCIFwr8zm&#10;s3nIjnc9n4UvGDwmFw2HolNfFPqOIoMzeVXfoerQ0rmOzGZzWbzmdw9otQMjdDtshK0jz0muV0ll&#10;31MwvU2b04nUIngJn1A1+73m930JxWMde/h+QyWUrfE5XL5nN51H0EZ0Vsj+m1HPhLQ7S/geu7Ed&#10;j172d9v+4wPf9Hp9Uw4NQ4frAGQfPzDo4+zy+H5/X7/ll6K1tI6q3v27RoO4gTvP62K+Nqg7btyw&#10;T+wlCbsPaxr1vk+j7Bw/EKQ9D8QRChL/unAJ/rc07+QLA4AQS/kFvHBqDQe88RRtG7Dws98MI8eT&#10;5ny+r7xxIciSK5kSNGoTSwG/RnycYAAyiH8KRg2i/NswDdSNLcuKRHT8wzIENw7LsyzNM6xyQ6kT&#10;us/knGfKEpSo8LZSs8sITRPM9IjL74TDIMOT3QVB0Ikk1RNFDrvyuRgrqH0KHbSIAHdSgAAxS4AA&#10;bTSCxpLVC0/PU+v0eID1KDoU1QedQVWxCAiAACBQOCQWDQeEQmFQuGQ2HQ+IRGJROBJ+LBgGRlzx&#10;SGP+PA0rSF6RySSWTQJnylggGWD6Ty+YQp3zMAOybQ2WAEAA+eAAPT8ABShTGiUWjUekUmlUumU2&#10;BPioAB11OnVWGvF6VkOjyuPOrV+wWGxWOyWWzWexRZPxiNUePP+QSK0VZnXVhAK8D25zF630AObA&#10;UgQYMABzDAADYm94vGY3HY+TVB8VKqZCiW943161uu5bPZ/QaHRaPIWq2AyN0a33ErSPSSaUs+Vy&#10;3XwR+7cAOrdACs66nUIKAAXcPa8XjcfkU+o1N18mH5jNZweV7ndXrdfsdmk6aM6i3R+Q63tQvYsK&#10;c3rSPz1ABv+2zA74AAafPx/X7feS5LKc38QLMALAAOBZAbfP7A0DwRBK5u4trVPAuUEvK87XvUfj&#10;2PcsoNQ0AAUQ7BUPxA679OZA7/wDAYWQLEMVxZFsXIXBjvQcuDwxU/sJJY9DRwrC5vrMDMgQ5D0X&#10;yJIq5n/CoAnRJcSo8eMAALAUCSNKkqys8cYtSorVxrBTYmGnIeQo9b2x9DMNw6FErzXNiiM0f5yT&#10;iAIFTpJp/yfE8pzbPc+T6vcsu/GkIQQZtCmIAdEB3McLTKs0NA1IU1T9SdJreAB20wABqU2AAL08&#10;f7up1BB4Jmd4OiDVEbUpVdWVak1ARm1lVPuupnGIvABUU9MyQwslH0jV1gxef1iAAcdjgA+AHAAa&#10;Nm07T9QwSeCBg4GFrHrYVstAgICAACBQOCQWDQeEQmFQuGQ2HQ+IRGJROBJ+LBgGRlzxSGP+PA0r&#10;SF6RySSWTQJnSliAKWDuTy+IvyZABvzWYSQNTkACieTefT+gUGhUOiUWjQyZPwAN2mAAY08APKpA&#10;BiVUABasPoG1sDUevQ54QMODCyPWv2e0Wm1Wu2W23W+4QWLJ+MRqgx5/yCRXGzylnSuW3yIUmaTa&#10;3TkNTue4LGY3HY/HvvJABsZUADrMAAC5sAOrPVSrVgLPmtg0D5ChWGBWOy6jXa/YbHZbPaXO6gyN&#10;0C8XorSPaSdocFiwMdb8AYSat+34jFCjjc/odG23gAPDrAB39kADPuAAA9+C551aBiAAL+cARkGd&#10;KKaoAawYWb2fP6fX7fe2bb1bmf7uQt6/CGuCaDhoE4rfuQwy2uYnjnQDB8IPs6hxwoAAIwuAAPQ0&#10;7zwIQ8TyPM9D1KUgQCQigj3Pg+UTxZFsXRe4z9Ls3SPv+30YABAcCsu40EuUw6dQbHEhyItR/SPH&#10;LggAGsmAABcnoieMpAAYMqxCC70oyfKBtPFp4KSDYaTEe0izLM0zzQk8ZNwu8ar3IcdOJHqZuStb&#10;vgCAAOz0AAST7NM/0AiB9UGABqUMAB8USAExBpK8OTwhkPqq8rzyxJ4Fn9O4BRdL6ZTDMdA1DUVR&#10;xxNb+J8/03xxAZjIGHM5qVOqv0uAAZVszTOVJXVAqkeQAHRYElybSbmgACtjgAllN0iz9iUrJ0n0&#10;y79lxZTp+U+GkyV3bduW62dTTavMbSJVlXOM6lgHQAB6XYoQHXeAAP3lY1kW9e0YQocYAARfgABL&#10;f9kpZKkrSECmDAAAeEobSSrWe9QALwfk7xNCFrWxbV74zjWNq/cEaXFVUYGfkZjzuHEAnblIAHdl&#10;iI2UAAR5igoE5oAGDApjmcuhI5/AAbef5hmTRITKpg2LZ7qTuhOGUpESM4gjx9zuAsI4tRmMZ1rL&#10;aICAgAAgUDgkFg0HhEJhULhkNh0PiERiUTgSfiwYBkZc8Uhj/jwNK0hekckklk0CZ0pZAClg3k8v&#10;mEKe8zADnmwAAM5AAfngAlgChIJoQAClFmNHpFJpVLplNp0NflRADXqgAGNXAAOrUNYNdAAosAAC&#10;9jAD9swAAdphLqtgAYlvsVkjIMgj7gYFp95hDwqL8DY0wD2vWDwmFw2HxGJxWLxkQiyfjEapUef8&#10;gkWNwspZ0rluYz0NoQJolGz+l02n1EcemrADi1wAG+xAAF2kRrrBr9hsYXstntIDtdtt7EuO8uYA&#10;yj+gk5ANA1MUeD26QaHXVe/P7HZ7Xb7nd72PyIMjdJymWK0j70nZ/rZHMl3pxeh0YU+H1+33h7u/&#10;QAaX9AAlwAAADQGjjbgAFMEOKiK2HUty4N2ADjoI5LmOc/CCne6R7A26odOvC8QRDEURxIxLwLm8&#10;akPKkLzxKhrNGSn4bRcpz5KK+kaRzHS8n9HrWte45uSEAAhSKAAESRAqvLAFEFIIsx+rQtSCQZBz&#10;iQhCSDHwgYERLDLpQ460dzHMkyzM+0Tsk8iPxY9EzgAaE4mSgcZzek8bNJO09T2ga+gAbFAAAFVB&#10;gACVDAAXNEgAIdGSk4DfttJbdLJCaPJwnUqOFB65IygrKH25i8RCyh3pme8ww9PlVVXVlWopNLxM&#10;nNjLztOJoTmgU61ch88RxXdfxAfdhThOIAB5Y4AAVZTkUtRJc0XRoCWknyWUi3EmScgbKWYf9qKB&#10;KrhwVLMyVICFzA0EN0y3YF2Xbd0x1hFKjxXWk31sZSBhrd6FV7fd/NLbZ5YEABvYKAAgYRRyCx65&#10;VnWgIbZtrbafq5SUmwghEoYVcFNuNTqEMofLmAO/FSHhk4NCDlV13/luXZe0941kys2z09ZnmW5g&#10;aZggd+55n6m22ceh28AAW6PS4AoThlEUVRmIQGAzeyjSCGQNbGMIPpjmAAdevStcWPoPkOR5Kjx3&#10;5OeGU5XoG27dt6kZlNeaXrM+b5ynOd5/n24b6iWNGrwLc4usmuIZpmHafAUCW25dMIPq9Jt4jtLa&#10;8dewSxsSDQonMLPrk2UZUIOWb90rsICAgAAgUDgkFg0HhEJhULhkNh0PiERiUTgSfiwYBkZc8Uhj&#10;/jwNK0hekckklk0CZ8pZgBlgzk8vmExhQJmgACk3mU5nU7nk9n0yjz/AD9ogAZdHAD5pQAJ9NAAD&#10;qERf1TAC5qwAIdZAAGrkFoj9p9RhDBsgAFFnAAXtUNr4AdtvADEuVptcZBkJoL+gcsvk/ndBd4Lw&#10;QZE2FfN+xGJxWLxmNx2PyGRxEWT8YjV/j8hK0jyWNlLPlctzujiM0BM2nGk1Wr1mMeevADU2QAHe&#10;1AC+3AAKO7AF9iFTvVWXNYrVcA1eotQAcJsjBs1otQXiLq6lxufRAF2iD7gYF1sNwGCBeEw3f83n&#10;9Hp9Xr9kmymWBkbnVBkEi9sxZ35ZoC/gy+7SNM1AKP/AkCscoIAHLBQAHJBoACBCAAAJCYAFpCzd&#10;N5BD+AEhrgKqq6siGrauoQtrlIK5rnhQujpIgt52gAZMZAADMagBDbtu7ArwsGwoTMPA0gyFIciS&#10;LIL3rs+ScvozTOSMh78mc/b+yexUApvAcqy1LaDQQbcvgAfkxAAHUyxu/gAH1NUKwuKU3KG5KxIX&#10;DzhOJETjITE05IFFKzxW7CIG7QQANeebepYijuIE70CMAc9HgyJVJSBLlK0tS9MUygckMu+bMvtT&#10;SCs+Zq+P9UKYyu1NT1W862yiAAN1iAAVVpM8OIJNR9TYWgATcKSCwQ3yDzpEDixIg8EQ1NE+ugta&#10;EVyABpWkAAC2qnawIE5b2UdSFJCVSlWXDcVx3Iv1OPizB/vqzdxSiZ0NhjcqOVTLN5XsxB6XyABo&#10;34AAY3+AAOYEhtoQtXlfOQsEToRYjhxDEbjoZPTl2ZP9nIHQoAG5jdbJ+fiBgI9tuHPSNJ3vk+UZ&#10;TlVzyUoFP3ZcLPmcvl45Uht6ZtnKSHfngAGrn4ACJoQAAVoqIzFj5ZaVXs3oJYNEYYqk64fPCOo8&#10;gphazFUWAAeOvABQRurDbSfKCfS+Yi9bAWqAoMBZt9dZ1uW57pImWXTdcnVXKJnw2GG6oPnHAcBB&#10;BxcNBkHAlxQABzxuOohgs26ag+JoLhs7YgiK2rkYgABPz4AHx0QAHh0tDgCxa8r5W+1I8d+2bduH&#10;B9n2natHu9PXVJtxGh3pnoHv/bcF22UaQABreQAEA8+E7YtmHHoQlCnITXg2mV/Es47IgXL6pY6H&#10;Q8YfxIKB3y8f2212r2IWbj4n3SIgIIAAIFA4JBYNB4RCYVC4ZDYdD4hEYlE4En4sGAZGXPFIY/48&#10;DStIXpHJJJZNAmhKWhAxfJ5dL5hCgTMwAFJtMZxOZ1O55Jn1PwAzaEABLRaJRnfSQA1qYAB3TwAA&#10;alEZ++gAtKwAClW4THn+AK8AAFYwA/rMAFzaQAQ7YAANb4i+7kAGZdQBMwTUanPYo+IGCL5Jq87w&#10;LhQwLMRVsDi8Zjcdj8hkclk8pgYsn4xGp1XpBIsrkWfoWjUgCLs/p4jeJrN9RrddlbC9dldLsQds&#10;AAjuYK7t5S6aPOAAH5wwABONDarV6zWylDbM/rFZOfaLVbCHbrhCLC9+4AGn3wACPFr4U94HefJB&#10;MG/fYFxp7336fl8/p9ft9/xJsvmQZG5yziQiskb8pe0JntGqTTQI07VJsCkFwhCKwnLCgAHJC4AC&#10;BDQAAVDqEt4dzfGsADgB4sCPL0ALkKArBaK0riGOm0kTq+tJcrWtq3gMhJzx6ABwyAu6aPyrx/tJ&#10;FT6PW9r3ho+MIyfKEoylKcqIqi6Mv6zaPwDAcqofAxpNIFsvMaA8zNw3UyTUxwBzaABrzgADkxKA&#10;EzAOhp4TyABqT5EjgoI6axgEhLkxbF7mog9h+xS6kbus7EdumbNJgAe1LOK48JLCgR+tIAj0yUfr&#10;3PhNdS1NU9UVShb9yw/ycQAz1VINMExVknFFAAcFdVtXiSRmsIe2C1cHogpJ3xFP0TIJXE2gHQkW&#10;OXGCHrCsMbRw67jU/AwAWbRkvK8fbSALUCPHfRVRybXt1XXdl2slVjNP/LdY3UZ17GnQQWXcklcV&#10;0cAACZgMaM+fGCgAXuEAACWF2SAFcMrGdDPEwAjYrhz2M+b2NTfOKCBxj4AAxkTo0GhkQWROjtRR&#10;GaCULaNEImuT4l5mmGmjm4AAbnVVK8flPXIf9zSXUl96Lo2j6Qh14SzeR/s7AV2QMabSX1pKH37X&#10;Yba0AAOa6z55bAAGaF4AAF7MAAj7S+RXbYADC3HgImW8yimRGbG7oLj4cZDkdBIbk+64ahFmTdlt&#10;oRc5iOVwXfGAAB/Hw5D1eZ6gYByO1tQ3RJ2rc5zvPV5pdXJjWGoXXexnGpQQV8+hesX/rQba5rzK&#10;7AeWxZrswF7RtT07YV23MLgGBZZuim7ubG85AC/l25wqF8A38/oOsPiIFl3EWkiTZHqABte9kmjK&#10;9TqpWc1DBzyeALNsIJ+dZ933/g15U/m9CBCv+7zIH0MtadLl2EqGoQN1b8SCuuAA7B2QHGvthbG2&#10;Vs7aQjtrba294TcnqmScC8d5LewNQdLKWdvxCHoIjZSQs4b7VspycOochpYR2wvAAhQcr73NrjfM&#10;uV9D6jbPtgJD1VJAQIAAIFA4JBYNB4RCYVC4ZDYdD4hEYkAFTFS6AYwnYwAX/A3w/pAoY25n/JUI&#10;ApRCZK/wDBI3BZXHJKFJWHY2PJQAhzIH8+wJPz0U6E54nRaNDGfSWrGxVR6dT6hR37UwA4KsABtW&#10;QAHK5Uac8rAAF5YwAC7MACPaa9a4ErrcAALcQATLoAJfbIm1r0AGxfYKOMAAA1gwBU36AAHiYS7s&#10;YAL01gAPMlDZXdowAH1mQAtM4ACln4TPKrV7A8stLbxqdVC5W+Y2B9XE5W73htQsQdw/Nju95vd9&#10;v+BweFw+Jw1PxxBOWBOQ/DJXHYPG+hAsrRY2Auf0srL5jG0WVfAd+LTqSz6XGKb4/VUqpVnBWK1X&#10;A56wBpbFZLMC7RavpB7cVy4LkugmNO+jHr4vyCMAHDBMI7bLoQxh3McvbJB4yiSgAyp+Q4zbOs+K&#10;SCsNCjIRGu7+xQgzsxO+jZtqeDbtzFMZxpGsbRvHEcqeVEeD+nI/OvHS1p4cp8SMF4vySdsdPKay&#10;NhTIUaxG9z4BsrauvW+yxl4sqzrSI8bv/AICrmusWOLA6+mwv7AsGDURKoxIBoLCUSMiyaINFDjd&#10;M4WgACjQDMM0alCAAn4CSjHMVwg8bZhhR4Ko2w9E0pStLUvTFLFXTYVpWW6Ng7TLUtang9ixU5Gx&#10;tJsn1E8cpqurMrPk+ktPxLz+RrMS4zJAcCvXNMEoHBcGzegk90Mn86MbA8LKMfNngAWtpAAIVqgA&#10;b1sMQxVWxmlZ8I2BD1tmbdyAqK1z0nbl1XXdl23cg6KlSSaNjOjcyXe1aeGygYmCvfxuPW8pro2F&#10;F8N7V731jK75yysMty6/UvzCt9dzLAkzuJYE1wVNrCII6qBpfOpr5IAAd5OozRFtlYAA3lwAJzg0&#10;Un2gd70akp33IbdzXRmWfZ/oGgtWUeiBUA2jmGnIJaE4J9IGPzwCqRLiGdqpsJyE+mLZhEq4XWmH&#10;VtiNcRpXUBTNRjx41NkGTc0KQZglM62ZPCHtFNVBadjGtN/RbUZuf+c3Lc4rXTvfDcPxGflVxYto&#10;2R6BgrxKvOegZ4JWVF/CuNTiGbzpszkE3JPYw8qYVWeGtNh78v3MEbbLXmz79tK97vjm2Y8g8Rzk&#10;AG5QruiFH34IAGr4lfdFcSSn0jYDOJcfBZ74/o+l6dK3iOunpyBnqIWfTDEwzJ9D0L3xnq9eqmcb&#10;Kc9D7aHa500sPVWsudXiXXYps2L7RNHaWCgVhttOchkd8A07LNIQfYbUCUxvsPUSt5RGHmHDUco8&#10;ChGx/QMgxBmDRwhPwdAgAqEAmCchXeoTwZ6cgohUhUOFVRSRtEbBLBshL7j4vwPG/JiDrGJoAYqr&#10;1vRwm1O2WIQ1EY8YjQFd+AAc8S4lRMd3DI9RuiBKIPGO8F8V4KkYgvFCLjWiAoAAIFA4JBYNB4RC&#10;YVC4ZDYdD4hEYOoYoEwRF2KAo0J4lHY9C3/IX/D35JX4Ti1KVxH5ZH2fL20AZkJZbNZtN4k/Z0AH&#10;BPQANqAAA5Q5xLHlRwAvKUAAXTQAR6hRakrqoAALVwATK0AJkAalHmtYQA2LJBRxZwAGrVDZ0/QA&#10;8bgALC1gAO7sAHDebfca/fb9f8BIrdAq6AQFgIS71fiwogcc/sRkclk8plctl8xmc1RVTnQTA1tG&#10;gEQM3l39p0cV9Uc9LEZez23XRJrdpHbbPJ9QBtQqJraO8qTS6aC6fUdrBqorqtWK0TK5Mtpc7HZY&#10;JZxxabXEHh2wAzu8AAp4QBIuP5fNEH5AwJmMVjMcgch5/l8/p9ft9/xA1V+wHA2iroVvyr6RJGgR&#10;XmrBAqve+LztebiuhHATzNunpwJ+oKhg42jfuCXimKcqAjvo5LlgKrKtq66KxLIbCCh9F7wPEiB7&#10;RoABmxuAAGx056vQlHzKNOfx9NEAzMHgxZXgnBcfyZJsnSfKDaE5KYGgdKxyq6Bsor8kRsCtL4Uv&#10;m7xnG60QRS2zEKNzDDetLDilQ84bixE+cSKvEzmx5FS6RYsy0LUDSGnvQYAQQasSzRRKipEfKugO&#10;9gX0iCauwLRVLUvTFMwkU1OBWAdPmQ0QGU0vsgm8kwaC3VR3ta15uq7M9SL/NULN03kNN8pE4Q+4&#10;kQxGqs7xO50Uta6U+urP7soG8h3WaABxWgADRVlaiJQIwrKHhSIXglSlq2/cFw3EiLOlSITRFogb&#10;P3GqUgnAtodpSLRzMzV1YXYm1aQu3cMw3XThRA4z5Ts5kUOhYsVuogbrOxQKCWgcQAHbidpI1fGL&#10;oO9KBPWyZ4Bhj4JWXjGR5Jksf3KQauj3bDMQIhGWPPlyFH7L4rSKgVKsk15vK6EOTJyncK33W9/O&#10;BXc5V9OtgYLYeDtLY2FIFhlAAAa+rAAfOsz1n+L0ZR1s4+GGQ5xrmy7Ns7JlRtQqtEUyugIkUGR5&#10;AgBZgm2ZAAei2iuLO+lvcoKtUK51lXwpOJELyuxMg9rplSsCH/SjyIg8iun1mtRspnee7Qhl9Vtf&#10;tc6NgFe4E8+CTxg0e6fhMWoIGnYABGh7axrXO5HxunMjj2Pgj2/f+B4KWU4UwVgJ45WK6FDK7wUS&#10;RDTwR7ogU/qBBT4BuUgQYbtLiQn5IJS0Ge40DD8p8MqaH0m+gYQeEg19BN+OGtokwAGJ+4AAP/QA&#10;B1/rxkhPMMCATFTDg9gM1s0o5oFAAG1A0gq/X9KPfdBMorvAYO+gpBlahASAACBQOCQWDQeEQmFQ&#10;uGQ2HQ+IQxUxMtQNOAKMAmIwt/x14x1/kkryNjxuFKqUAOQHgAy1By2WyaEv6aOICzckFKdNeZT2&#10;DtCgN+BiCfUWjUefSAAPymUinU+oVGpVGMAIAAOsVOtVuuV2vQaQPuYAWuPAYWcI1+1Wu2W23W+4&#10;XG5Wo/3UBCq8MCYDuYVaOR1/TBdFXCEm3qfEB2sANkwMMTAAwyQPWQHWRldL3OEM/OOCYB/NaHRa&#10;PSaXTafUamEyB9TADWWzjC06rabXbbfcbmvKjeD6YKCYCDITR/Ouql/CFVb6PkgMqc9J1UywMCQN&#10;+yBWu/tGYz9147TOM/PS3Qbrzef0en1evaSB+zAB7C0ez6fX7ff8UWUKoDP3/Doqobn1AYuwKLp5&#10;NwxBTh0qpNP8fowC1CRmPOoBoHAgbyvzDcOQ7D0PtIkB/usmDqqisz5xBFUVxZFsXRepzwnCmAPR&#10;hG0bxxHMOH46inpAd4YyCCUdSJIsjSPJC5RlGkkybJ0nygorWNcqUUNlKMsSzLUtxvJaWxrLkwzF&#10;McYH2kACMgpx3tjIcyTdN84TiucLHCgcwTlPE8z008RTSpE1rPNs90HQlC0MgTwnEmAO0PRtHUep&#10;KOtalrXykjsgSFSFNLYgIIAAIFA4JBYNB4RCYVC4ZDYdD4hEYlE4pFYtF4xGYOz444gDHw7GpFI5&#10;JJZNJ5RKZVK5ZLZdL5hEH/M3xHwCCIxM3+7xjPQlMaBQaFQ6JRaNR6RSaVS4pHGfHpBTKlU6pVat&#10;V6xWYrOn/NgDGH9YXeMrJP61Z7RabVa7ZbbdJqc45sHLfdbtd7xeb1OZ1XopOndPRiE73hcNh8Ri&#10;cVWbjc8Xj8hkclk4s+YGB7/M8DPcJlM9n9BodFbMbH7po9RqdVq6POn5NgJmX+7cEFNZt9xud1u4&#10;LpQDp95weFw91On9NgFstpPdtxOdz+h0ayzuo5AF1w30u12+5hX3AwLMpnyxjze75/R6fVEWh7XJ&#10;A+z6/l8/pQe/AvDEnYMP4Ffq/8AQC3j2mg96BPi3hpwUABmQaAB+wgAATwmAAdQsAABwyiJ4w4AC&#10;dIiBMQgAA8SJRCB+gAecVIKAsWgABcYIrDh4w8maGgNHAAAVHaMxnGp/pIAkhAABkioLH0PpsAAH&#10;yYiJ4SegsdgUAEcAMjMnnggsigYAEhNigkkRskcvSJIy2vuAD8ocnR2ME/0BTglqAoAAIFA4JBYN&#10;B4RCYVC4ZDYdD4hEYlE4pFYtF4xGYO0I45IGG41IZFE37JQAlpQAE7K4qMpcAEzMQABZpCR5NwA9&#10;J1I0XPQARaBFVNQwAiqNBQfSQAv6YAAFT4jQCKAHXVYyeawACtWwAAa9CalVKtIh3ZQAlbRBbDVX&#10;XBVzbwAF7lDRhdYKjrwACFe4rJX6ABngYKo8IABbh4KRsUAHVjZGOcgAEvk5HlYU/8xf4FXq8Aoe&#10;67qMAtltJpdNp9RqdVq9Zrddr9hsdlIo40I9ApBs91mH+ADbvwAxOFCQ9xQAB+QAG3y4SH+cAFj0&#10;ZtOJ09IKA+xBd4AH93YaqfAABP44b2yP58ZjoQoPYANDUaDbOv2e6/gB24YW/0ADr/bA+KxoG7AB&#10;oqHUDAAScErVAC2oIFEHgAU8JK6r6EPegi8EcvS+IovzAMEgjCFGwzEIIxQjPSdT5wIigcRcs60t&#10;0jDeH8zjPIc0C6tHGUeR7H0fyBIMhSHIkixkZ8kHKzgNSM1BeSeAA6SkgoSSqlSWKSB6CuqAAyy8&#10;ABrzCgpJTIAAfTOgqbh4nKduQA4AGTOKEw8XU6gArA8oKKs9gAPc/IaxsVROhoX0KABQ0Q+CpvlK&#10;oSAAVlIIKfdJgAc9LAA/QtgAedOIKWlPgADlRQXRarBVU4AKGUzSrXAKDTISUzTRCy7QwvK9iEvq&#10;TMCGbBsKw4WsSxdAgAFdjAAUtkya1jeHwzgEM+0Md2Xalq2ta9sWzbVtt02pyoHJluIxC6Bqezxm&#10;XQpyoIYeV2gAJt4AAId5gALl7AAEV8zS6k2uTOJkoilwZO4701AASmEIbKQ6ABJ5eQoAIAC9idD0&#10;SgkkGfiCG1attG0fSKGS5gyCCvks7qygmOABU4VVSojSZUhmMY0glyIFDMN1zDtdxAgcRRJYMTWG&#10;x1jBXZFlXEyx7oGBNox1pOoajqWp6pqurNJb1wauhZ+a6AAabAgou7GAA57M1uDS5N04TkhhkbeA&#10;A0bkgoz7qAA07wulaoHewuABuozgAHvBoKM3DAANXE43BgAY9SBWIjmwAAVygAGNy9SLEtoR84AC&#10;ekWitRA4AADdLzL5OcD4AHD1iC1wAGcZrveb1vDiSZ5XsQ1/EqB0HYmPKMRSKg34jjuTrbLswdQY&#10;+YC/kef6Ho+l6fqNdjBzM4DPqoEbXuq0riCEP8QACT8qEm99GCPshm1g7919zXLjOXxfSCO2e38A&#10;AdH9oKBH/AALeLkACWSEwBAAHeBBBRZwLVCqNeATQADkgkuozwzoLEJDdBkADbxkAAH1B8AAC4RI&#10;fdyQNeYQwABPhUQVyRBDaunVcRkV0M36AihgW1gzaxew7IKK2HwAHOAjPc7N2DtWdO3L+rxXyI1g&#10;LCRQsQkTj3GpWaqPsgYBSEG8eW817cXYvRfjBGF5D13sxdGlGdiTFCCCJjYAA84RzpvxJ2QwFkdQ&#10;ACkjw/BNh1iML5hsKuQAAEBkNfKElSqly5POFxItjQsJHAAEBJEgonpKAAYFCyIhEAwSbAAHCTxB&#10;YlIehcRyG5I4ZiuhrKVgznwAMGQ86k6B0nJM4dezuJLPSBM/ia0KJ56iQxSY81I3g+TOJvIOfUdT&#10;AnnRimZM2Z0z5oGyNqOYgb2ntjxmwAAH82yCm/DaAAMc4SExvAAPWcyW45kDjqCyO8eSCNpJ2TSL&#10;Am56AAjONIAAkJ9PqgGUqKQFaAENHTQONx6CCTbB/CmFZBJzD1AAH2iEoDBErE6f9UrHUrRSIhC0&#10;gcL2UuMZYy5VbMHGMGYQJSdopAACMpYQUQdL6H0RVshqWsSISRLaBE5FKxVjrJFLNEgSNEbRZMwO&#10;l5gMQMVAqVUuplTanEFmnNWMLkgNVVAALWrDNCH0IABNgeIAJ10pj02pfzbSBjmrQAAJVayCvzcu&#10;MYAACa5EJpYIysRIn5i+r0AACNfZSuOZAQ9yTRWj0/o/RdlaqFVKspKTik5BUzg+AAu0eUFJ+UzZ&#10;yABOounVutAhZ8ACewqkFHvaUABkAckFjxSqsMvKd2Ep9UqoRnaiD/qM8ypNT7dPVICAgAAgUDgk&#10;Fg0HhEJhULhkNh0PiERiUTikVi0XjEZg7PjjnAMfDEakUjh5skwAYkpgqNlgAIcvhr+mQAHk1AD2&#10;nAAFk7ACkn0Fmo8AD0ogAA9HADJpUJTtNACTqEFFFTACoq0FftZAA5rgAfVfgoFsUNf9lAD8tEFO&#10;trABbt0FItxADrugAEl3ACsvUNU19ACKwEFSuDAA7w1wuV0dYAFWNAF9U0kglxItzutBACUzUFd+&#10;dABB0ENR2jABC0wAGupAD71gAB+vADB2UFZ21ABi3EFvSsu14ghG4AAdXDAAr4wAUvJyXL5kTfcD&#10;AsEsr/dAx6wZ5vZ7Xb7nd73f8Hh8Xj8nl83jjjPj0g8/n6YAG/xr1gggz+wAOP5AAG/gAVL/gAVs&#10;BISFsCgAUcEKAmyiHooykKUZKEveJcKAAc0LoKwBFAA4AjAAa0QAALURwywMOoiGEUoK/gDAAZEX&#10;gAAUZAAyjLMWCkcAAM8doKecfAAXMggAbMiIKCcjgAXUlAAAcmsQyrFAADEpgAMcrIyKcsxjGcay&#10;izDNEohJDTGABVTMhLRkc0rTkDNoAFfOCCjtOYAOsGMdR4eU9AAj4AgAYVAAABtBoLE7hnUAAM0U&#10;27coxLIpy2AT2uW56BOigbpuq69J05TtPU/UFQ1FUdSVK7z0vWAKQ1M7pxVcAAv1iADOnejIQ1uA&#10;BI10AAPV7BShQZBwDqSpaGHBY4ACjZQAPeo9htkYNYVlIhsoKaFroqRdtOQ5SCSUXQAAtcUaMSuq&#10;MAhdCqqvKdVoPLtzOW2pnUjckoMum0wISe993qoaioJNM1iFGwAQoJb5n0iI1YWAAzYchNDOI5l5&#10;XpViHOmfk+gI6Sy00GLsYtkORZHkmS5Nk+UO/a5oHOgd25Skh85kABf5qADBkqABx52gsmgGAAla&#10;CAAu6IAATaOhrcDEm6cxYABRagiJM6nmmbIIl4hgAXutoKEWvABMZDIq1jn6ILqCg7tIAW0RYADT&#10;t9Zs8hgCboAAQbuAAn70AAZb7JknIZt407jWrmMhenBcJOrrAAO/HIaX3IgATXKIKOfLtQ1SCHTz&#10;gAD5z4AGX0SCxwCgAEJ1AABx1aG4WNQAHd2Lm8PGVJZhTD3oEf8+gE6ZzzsDXb+F4fieL43j+QjD&#10;0nRPoL+T5/oej6Xp5M6Z+z6AffeB6nue773v/B8KNo55iP+d8X0fT9X1+6mR/Hz2oD+063g/Z+37&#10;/x/P9JH5fm/2/+AEAYBHbOmPtPql0LIpBgBuAcDYHQPgg8Z/r5oIwVgtBeB50xzJ2gZBiD0H4QQh&#10;OaekdKfQLQihRCmFTtzpj5T6OyBQHIVwzU8QEIAAIFA4JBYNB4RCYVC4ZDYdD4hEYlE4pFYtF4xG&#10;YOz446QDHwtGpFI5JJZNJ5RKZVK5ZLZdL5hMYE/5o+I+AXaMJ0HJlPZ9P6BQaFQ6JRaNR6RG47N5&#10;DSadT6hUalU6pVZi/po/3MMa4HatX7BYbFY7JZbNF44z49ILPbbdb7hcblPaxNHLXBiHrne75fb9&#10;f8BSbS6puFcDh8RicVi5hWXFeA/jMlk8plctVrS7JuE8vnc9n9BZ5u9RfpQZodRqdVq9W0Nc6oHh&#10;tZs5LWX/DJvtpRuYJWQBvINt4HuuDBNzvuHx+QAH9A33A37zpu+391X9N+vH7q/+jM+AAH/1t/H9&#10;s/AF531WfTNH1N3zWXzN3x1vbH3v5wE+H7+3uA/8ezrHugZ6v2fp7AJBB4n5BZ9v8AZ8usfLnQQA&#10;h8n1C59wo972PoBMPHyeEQn2eUSH0JUTn04baRXFkWxdF4ANcaDYIE2SFOI5jsRw4TwR0mjexUix&#10;/x87iBuagTuuY6ElyQgZ+JufisyTJ6Pn45ysyimh9vwfTrSsgTnoFL4AH3KT8Sy7ibn66x/PxJMj&#10;gAfspQcfkCn6/DqOrKgAzDMj1QcfUCzKmkJIEfT8Q2f74vtBZ+T68zzz3Rx9n2fkPATPZ9nxTZ+T&#10;oetP0lM5p1Gfgz1NPsYVTVVV1ZVtXLgZdYhaA1aTjAsz0ofc70jAp/ALX5/UbX1fn7YULy7WgDH6&#10;BdmH8fNnn8e1pH9EJ4H9S5+iBbTsgDOFX2/cFw3FcdyXLc1z3RdN1XXdjFoCgAAgUDgkFg0HhEJh&#10;ULhkNh0PiERiUTikVi0XjEZjUbjkdj0fkEhkUjkklk0nlEplUrlktl0vmExmUzmk1m03nE5nU7nk&#10;9n0/oFBoVDolFo1HpFJpVLplNp1PqFRqVTqlVq1XrFZrVbrldr1fsFhsVjslls1ntFptVrtltt1v&#10;uFxuVzul1u13vF5vV7vl9v1/wGBwWDwmFw2HxGJxWLxmNx2PyGRyWTymVisBgAAgUDgkFg0HhEJh&#10;ULhkNh0PiERiUTikVi0XjEZjUbjkdj0fkEhkUjkklk0nlEplUrlktl0vmExmUzmk1m03nE5nU7nk&#10;9n0/oFBoVDolFo1HpFJpVLplNp1PqFRqVTqlVq1XrFZrVbrldr1fsFhsVjslls1ntFptVrtltt1v&#10;uFxuVzul1u13vF5vV7vl9v1/wGBwWDwmFw2HxGJxWLxmNx2PyGRyWTymVisBEAD+AAQAAQAAAAAA&#10;AAAAAQQAAQAAADcBAAABAQQAAQAAABgDAAACAQMABAAAAGL1AAADAQMAAQAAAAUAAAAGAQMAAQAA&#10;AAIAAAARAQQAWAAAAGr1AAAVAQMAAQAAAAQAAAAWAQQAAQAAAAkAAAAXAQQAWAAAAMr2AAAaAQUA&#10;AQAAACr4AAAbAQUAAQAAADL4AAAcAQMAAQAAAAEAAAAoAQMAAQAAAAIAAAA9AQMAAQAAAAIAAABS&#10;AQMAAQAAAAIAAAAAAAAACAAIAAgACAAIAAAAswAAAF4BAABYAgAAKgQAAHgGAADzCAAAoQsAABsO&#10;AADOEAAAjBMAABsVAAAyFwAAAxoAAK4aAAAcHAAANB4AALEgAAASIwAArCUAADgoAABpKgAAkywA&#10;AEouAACuMAAA5TIAAEs1AAB5OQAALj4AAN9CAADaRgAA9UoAAKBMAADhUQAASVgAAMVZAADlWwAA&#10;MF4AAHVgAAC6YgAACWUAAGVnAABsaQAAxGsAAN1tAACAcAAApnMAAN93AACqfAAAcYEAADSGAACB&#10;igAAuI4AAEySAABflgAAQ5kAAJeaAADNnwAA2qQAACOmAADnpwAAMaoAAIisAAD2rgAAfLEAAEy0&#10;AACutwAAEbsAAKW9AAAWwAAAvcIAADXFAAC5xwAA0MkAAMrLAAD+zQAA0tAAAAXUAACT1wAAjNsA&#10;AK/fAAB24wAAW+UAAAvnAAAQ7QAA+/AAAEbzAADx8wAAqwAAAKsAAAD6AAAA0gEAAE4CAAB7AgAA&#10;rgIAAHoCAACzAgAAvgIAAI8BAAAXAgAA0QIAAKsAAABuAQAAGAIAAH0CAABhAgAAmgIAAIwCAAAx&#10;AgAAKgIAALcBAABkAgAANwIAAGYCAAAuBAAAtQQAALEEAAD7AwAAGwQAAKsBAABBBQAAaAYAAHwB&#10;AAAgAgAASwIAAEUCAABFAgAATwIAAFwCAAAHAgAAWAIAABkCAACjAgAAJgMAADkEAADLBAAAxwQA&#10;AMMEAABNBAAANwQAAJQDAAATBAAA5AIAAFQBAAA2BQAADQUAAEkBAADEAQAASgIAAFcCAABuAgAA&#10;hgIAANACAABiAwAAYwMAAJQCAABxAgAApwIAAHgCAACEAgAAFwIAAPoBAAA0AgAA1AIAADMDAACO&#10;AwAA+QMAACMEAADHAwAA5QEAALABAAAFBgAA6wMAAEsCAACrAAAAqwAAAGBbAwDoAwAAYFsDAOgD&#10;AABQSwMECgAAAAAAAAAhAA6MSVKIpwIAiKcCABUAAABkcnMvbWVkaWEvaW1hZ2UyLnRpZmZJSSoA&#10;MqACAIAAIFA4JBYNB4RCYVC4ZDYdD4hEYlE4pFYtF4xGY1G45HY9H5BIZFI5JJZNJ5RKZVK5ZLZd&#10;L5hMZlM5pNZtN5xOZ1O55PZ9P6BQaFQ6JRaNR6RSaVS6ZTadT6hUalU6pVatV6xWa1W65Xa9X7BY&#10;bFY7JZbNZ7RabVa7Zbbdb7hcblc7pdbtd7xeb1e75fb9f8BgcFg8JhcNh8RicVi8Zjcdj8hkclk8&#10;plctl5ZAQIAAIFA4JBYNB4RCYVC4ZDYdD4hEYlE4pFYtF4xGY1G45HY9H5BIZFI5JJZNJ5RKZVK5&#10;ZLZdL5hMZlM5pNZtN5xOZ1O55PZ9P6BQaFQ6JRaNR6RSaVS6ZTadT6hUalU6pVatV6xWa1W65Xa9&#10;X7BYbFY7JZbNZ7RabVa7Zbbdb7hcblc7pdbtd7xeb1e75fb9f8BgcFg8JhcNh8RicVi8Zjcdj8hk&#10;clk8plctl5ZAQIAAIFA4JBYNB4RCYVC4ZDYdD4hEYlE4pFYtF4xGY1G45HY9H5BIZFI5JJZNJ5RK&#10;ZVK5ZLZdL5hMZlM5pNZtN5xOZ1O55PZ9P6BQaFQ6JRaNR6RSaVS6ZTadT6hUalU6pVatV6xWa1W6&#10;5Xa9X7BYbFY7JZbNZ7RabVa7Zbbdb7hcblc7pdbtd7xeb1e75fb9f8BgcFg8JhcNh8RicVi8Zjcd&#10;j8hkclk8plctl5ZAQIAAIFA4JBYNB4RCYVC4ZDYdD4hEYlE4pFYtF4xGY1G45HY9H5BIZFI5JJZN&#10;J5RKZVK5ZLZdL5hMZlM5pNZtN5xOZ1O55PZ9P6BQaFQ6JRaNR6RSaVS6ZTadT6hUalU6pVatV6xW&#10;a1W65Xa9X7BYbFY7JZbNZ7RabVa7Zbbdb7hcblc7pdbtd7xeb1e75fb9f8BgcFg8JhcNh8RicVi8&#10;Zjcdj8hkYu/soP4G8gDmW9mQC8cln9BodFo4LASAACBQOCQWDQeEQmFQuGQ2HQ+IRGJROKRWLReM&#10;RmNRuOR2PR+QSGRSOSSWTSeUSmVSuWS2XS+YTGZTOaTWbTecTmdTueT2fQ9/UFogGiC5/0d8wN2w&#10;NhwNd0QAq2oPCf1WrVesVmtVuuV2vV+wWGxWOyWWzWe0Wm1Wu2W23W+4XG5XO6XW7TCgv5+1ABRC&#10;jv991AJVB6XfDYfEYnFYvGY3HY/IZHJZPKZXLZfMW+/gFr50JAjQEq/vZ96UCALUafUAa8gfUAID&#10;P3Za7VwMC1ACX8CVAC7a8giBgioPq8vrXvq/vuB4GicwAvy8859QOkwJ8398APtPfo1DS6Vr7J+u&#10;YWeXp5n0em73kHQN4VAA36ju/XhL1ff8fn9fv+f3/P/AEAwFAcCQLAyFltBIDhNBgSvEEqoBq14a&#10;IGEK8t2ogIIGB6OPghC/n+x7vIGdTqL+d68mm15jPEbB8RebQYRlEsDxrA68hMqBsoov5jNeHcbS&#10;DIUhyJIqMoCAgAAgUDgkFg0HhEJhULhkNh0PiERiUTikVi0XjEZjUbjkdj0fkEhkUjkklk0nlEpl&#10;Urlktl0vmExmUJcs1Cj3nAgfs7EsDEYBoA0oABGICowPf1JBkDAMHodAgj/qT/gdUg1WgVDqdYhV&#10;aqYArVRqUzskWocUptdg7vgbcqbIgbWowCcD6uzcet5co0vj7st/wGBwWDk9JfyPoZwilTOtzRmE&#10;yGRyWTymVy2XzGZzWbzmdz2f0Gh0Wj0ml02n1Gp1Wri7Y1wuuZDoZEoYXqYioYKqYDgYDp+s4HBi&#10;j9qb+ob4qbogbngbQffPWlDZAp6jz4XX7GcwzqoYVi4Sods7Pj8nl83n9Hp9Xr9nt93v+Hx+Xz+n&#10;1lLX/AauYkoY6oYrqGEipgSpymN+qqpOMoCtrBBavq8saGQgqiwwQrj7QwiCzoetKrqlDrfKAc7D&#10;FsoZaMMbZ5xUcK+Boe0Mxg1cGImqZ+rmAkYxzHUdx5HsfR/IEgyFIciSLI0jtYZklAoBsmiWoYkK&#10;GFiBhCoYDoHHEkS1HkZgAfChncwxoOaqZVhPM5oy3NSNqmB6BngxapHSuYMTXO07zxPM9JSgIIAA&#10;IFA4JBYNB4RCYVC4ZDYdD4hEYlE4pFYtF4xGY1G45HY9H5BIZFI5JJZNJ5RKZVK5ZLZdL5hDG5Mw&#10;sAZsEH7ORpNgCYoGK4GF54AZjRaNR6RSaVS429H9T3OBKko6e/lvVXeJa0354/qZX7BYZNVS7PFF&#10;FH/aVKArYXLFb7hcblc7pdbtd7xeb1e75fb9f8BgcFg8JhcNh8RX2liwiCccTbS/yFbAERMiF4GA&#10;oPRIHQ4JkX/B9Dm5to4FkYTPNMANRiddr9hJp5CcjmoE88izoGwJ4ra0JWrseFfKqoZ4XouUZ4sO&#10;Hzedz+h0el0+p1et1+x2e12+53e9gNquvECRB5SoA/QfMiH54Be/7/h8bs5Z4s54iHd+XMNP4+/k&#10;/6CqqbSeBKiDQIGEzKG5AEGQbB0HwhCMJQnCkKwtC8MQzCxfw4AgPw+HR+REH6eCmngRIGBsNRXF&#10;kWoUyJ+oGdSBlsyJfxEfhfBVHZzxcwbIgKyJ4J4BUDLSeyeAenh+R9JsnSfKEopGgICAACBQOCQW&#10;DQeEQmFQuGQ2HQ+IRGJROKRWLReMRmNRuOR2PR+QSGRSOSSWTSeUSmVSuWS2XSttTERgGaMZ/zcD&#10;zQAgmdAKbv8ATqf0ChQegQOh0Kfy+mU2nU+oVGpVOQgGETqrUab1mBTqCz+sAGwVilwN9QN6zo3C&#10;S2KaqW+4SV/XMSQNtViIT9tAK+Ce43/AYHBYPCYXDYfEYnFYvGY3HY/IZHJZPKZXLZfMVBqZsGAj&#10;PD+Bm+fjqdAvM6fUanVavMUOfuedI2+AJaCPbNrWbmD3N/E2dLKKT9S7Mubrjcfkcnlcvmc3nc/o&#10;dHpdPqdXrdeNr/tAQOd03wMuToUwMD9jzef0enDv2fvGdL59/FBCn6NP1YHeK6dFHgzcptmVz7wF&#10;AcCQLA0DwRBMFQXBkGwdB7KmvCQQAJCoqIGOidAvCEOQ7D0GJ+fKdGa+J9j4AcUGaE0VnlD6NN4d&#10;idAmi6eJofEXRxHMdR3HiToCgAAgUDgkFg0HhEJhULhkNh0PiERiUTikVi0XjEZjUbjkdj0fkEhk&#10;Ujkklk0nlEplUrlktkrcmA0f0zNYCmxNf85CIBngCl0/oFBoVDolFo1HpFJpUQnL/fEDbMDVT8qi&#10;TFNXedLrUhmcznk8pk5fc2AQGrdntFptVrtltt1vuFxuVzul1u13vF5vV7vl9v1/kp/wQCNGFCj0&#10;xCYgZLr9mwGPyGRyWTymUprrfuZPVUfioFmfemVlVdDNfc0Uprgsgh0Wt12v2Gx2Wz2m12233G53&#10;W73m9uzb4AkgZlr5ipoTr4B33L5nN53Pn9NfkDatdS7t7CiHXbe/QgtdPtfQWonKCsh/73p9Xr9n&#10;t93v+Hx+Xz+n1+0XwR/ARb/iDgY1K+B7kvvAkCwNA66Kaf6BwWgRtH3CAxBVCZjuappgIGH6LhSr&#10;5sQRD8QRDEURpKgIgAAgUDgkFg0HhEJhULhkNh0PiERiUTikVi0XjEZjUbjkdj0fkEhkUjkklk0n&#10;lEplUrlkiaUvCIJmRTgZ5AM3EUtnU7nk9n0/oEIftDADao1BfdJAAuplBp1PqFRqL2ga6pL7SQpr&#10;TAgb/qUqf1hdk3AITiD/tD8sgVsjwr9vuFxuVzul1u13vF5vV7vl9v1/wGBwWDwmFw2HntGbRUsh&#10;9gYpsgFxGTymVp1DfoAa+bAGYoIC0AAFujy2l012tFogdUgS+1JqE2xcmVsL+BsDsc3A1ntDv0AC&#10;CWn4XD4nF43H5HJ5XL5nN53P6HR6Wma3VFgG7CG1JKhYBgdkm+pr0Gf0EsniAHn1Pp8ME9cI8/u9&#10;/T+nOe33ADd/QG1ICn7xvSAcBH8FcCn0+sEOIsjzIY1LvIOsh8swPiZASUgPQwdy/tqHqyGEijUl&#10;434iwTEsTRPFEUxVFcWRbF0XxhGMZL5BxtxsOyyDSgYOrI/0Zx/ICKnVIYAHPIy6N+0TSSDJjiNT&#10;A6BGCsg9BJKpmLu2o4rIR0QLQQTfj/JsxTHMkyzMwCAggAAgUDgkFg0HhEJhULhkNh0PiERiUTik&#10;VACpjAqAMbWb+jxbLEhZEWkklk0KVUpAxWlj6k8vmExmUzmk1m03nE5nU7nk9n0/gbPoQbBVFToD&#10;pBDgYEoFNp1PqFRqVTnD/qwAclZADurlUiICsAAFtjr1ls1ntFpnlWf7uftvO78uSoFl1elnjz+Y&#10;0bAI5ilsHFgATJtWFw2HxGJxWLxmNx2PyGRyWTs6oyw4viNvg2tgBwQDtiwthjK+ld2UiMYVJ+gZ&#10;vvjLtif0pXVOo2233G53W7qa/3wEDfBMt8OkDEF8AW85XL5nMbXPAD36W2F/V5vX7HZl9sfFsW2C&#10;Q4k8TMqFseEDB8kAl8fva93v+Hx+Xz+n1+33s6l/QiAv9Zy+PSia2H8thDtmPqBn+3JRQYCwEwed&#10;KELZBSBAQlgrJc/ENQ3DkOsgaEQAWooFFmwQgw9FEUxUgxoxa2zBLEskVxnGi1NOgQ6BHHRQL5Ci&#10;bQmv6rHuwQFRrI0jyRJMlSXJkmqc1Qvr4R6BgbBKHgCgjOxgzq2Hy2citxBhRQdCEJKsfD0QvDMn&#10;TZNrDryNaBmuwRfTcgy2AKbs9DEgY7LYEK+SxO1B0ItUWmjF6wrGFtC0bR0zH+e62FkvhTBLS5ZJ&#10;KvIUr4a0gn+aLBBhR9SVLU1T1Q5qAoAAIFA4JBYNB4RCYVC4ZDYdD4hEYlE4kqos5YGGYYAY4/4o&#10;/5BHI48CrJQlFJRKYiopYFgTL3TC3rIH+EitN31Kp1O55PZ9P6BQaFQ6JRaNE39STzA0JA35IhvI&#10;mhR6pVYU2qwfZFS4ECI3IoJNI9VoXIrHZLRabVa7ZbbdEmjcQFb4NZwDA7tCAFe3+Lb9Z7pgcFg8&#10;JhcNAppd57Zpo2X5jyiKck2YhSX8opEXY/IC5ewEpcPodFo9JpdNp9RqdVq9Zrddr9hA4sqnFIg7&#10;aXdJSqE9jBpYopdMJlNJtON7x+RyeVacsmZEZoRNHrAxDnnXy580O0CwV3TNnkDAwb2PJ5fN54a+&#10;vUAGz7Z/luxnuQA/oABV9/R+f1x5o336/4vBRARiIQyxwJED7Nn+BTPHu/cHwhCMJQnCkKwtC8MN&#10;i2bao4260NykreOU37ggSmKFJmkDiisnMMxdF8YIiyxaIGJSRMUhSaQcgQLs8ecKj/IIBC3IjnI4&#10;LSRAVGMlyZJqFHnKAAG/KYAJpJzzgRLIABPLkry9L6FrEgZuP+fo3wEFBbssfaRAIiCaHwkQFpEf&#10;0wTtO88TzPU9z5PrTlXQB8vgz06qCywBTamgYCvRhpuPEiXxM4cVJvFk/UvTDCMsaqRBUnSaQ4AI&#10;SpFFryGfU4IO6BQ/PoAY1oGA1M1lWbSHVWwAHPXNaNjLKvS4E9d2DCtWnaD9jAlG83pAcrPA5YVn&#10;2haNpWnK6AiAACBQOCQWDQeEQmFQuGQ2HQ+IRGJROJKqLOIAxkOxSOQN/x9/QNiAOSFspydyR2VS&#10;pRS0LAmYOmFvWPv8JFacPqVzueT2fT+gUGhUOiUWjUB/UkcQNixkAgKVzVoAKqDGj1cANCtAsG11&#10;KUl/FinAisWWzWe0Wm1Wu2W0ATUAOC5AB5XW3Xe8WiSAMAEC/ABe4EAAjCAAT4e84nFYvGY2eAvI&#10;AAMZOOTVN1QBGbHZvOZ3PZ/QaHRaPSaXTafUanQRZVTSPgWnP7Y2Wa1CBXzbwMETgrTrNy1RS+Yz&#10;Oazec6rkcnlcu02AowNWU7bR2ar2nEWnP/OMzuAoId9UTUmU4A8zzef0emi2AANj3AB9/H1fOVgT&#10;7AAkfkAAb+ABXP+wbCsOE76QLA0DoGCcFAA74IMqj4vswUUEQpCsLQvDEMw1DcOQ605TxAKTME0z&#10;AJrymp7H7FRACzFpFsY4DhASmSFNcmzeN9D0dR3HiILAN6nEgnyak6zAyLyb0kg/FR+kqgYkIG8i&#10;au0hDsoIuCCSsjyPx7LsvPSfEwgCbkyAI9kvuZKgAACDM2gAG84AAzCCv+VwAAPPB/QGfs0T7Dyn&#10;ISmryoXQAO0MAb+ANQaHSmctHE9QwOyPP1KUrS1L0xTNNU29Q/08AQUVCUT7AILDayuj5qIGeSnB&#10;zKKinsmoiivWhjrbGKYRm4iPuM3tOV/YDSpqQCBj+qMsAASbMDespf2cAgPWiWSwCO6Vg2vbDkrq&#10;eQAG/b1stOFNxABUIUTWjKEzrAKyQHcF3Q2EF4gAvaIrhJJvLej58KcMISX8VF34DgWB4JgsvICA&#10;gAAgUDgkFg0HhEJhULhkNh0PiERiUTikOU0XDQDjShAMdOpWkDQgilkgiAknU8dAI1lQBisLf8xa&#10;7+mhWLE3akviSingWBM/dMLesxf4SkBWfU6pVLplNp1PqFRqVTqlVq06mj+VMqK1Koj+gZnAVjTl&#10;OZFnBwUtR9gZugYGq9xuVzul1u13vF5qdEADovwAdWBvWDwmElQAHWJAAVxkRWGPAAIyQAE+VwuX&#10;zGZzWbqljAQAEOhir60gAcenhNEdNELom1y7zmx2Wz2m12233G53W73m932/4GYVHDlkdXGeCVSr&#10;L9lS/avPJqB6T4qU8UU+oFColGkFJ4Pf8Hh8W4rLPlQwr0xfsDHmeZEUbfxSsDMUqBHj/H5/X7zn&#10;xbYAHtAL+QGqDPAAJsEAAjQBoiV0HMiybKhPAkKQrCyBp+BIAA1DiKnpD4AHTESGqIf6BmugYnhL&#10;FZuQvF0XxhGMZRnGkaxtG8cIM4ZUDyzw+JUBSqn0rJCQCexFjDJLqJ06zsASoKFKGmLuKRHMrSvL&#10;CoKIAaiGklQVKcogYM8aKCF/M4CQ4DQts8S0gSzOE4zkqB+TqABszwAE6n5OcBgNP4ACFQQAF1Qs&#10;DwTBcGweyT7wlPtH0giAM0mAAFUsipyUyAB804isSpUYqVC2EdSHFSNT1RVNVVXVlW1c/hM1iBQI&#10;VoRCVDYlrlJodyBjwK9fk2ikmwzKCEykoqju9V9l2Y4KsgWgZxpUCL0n+eaBhKb1tCQohEpUC9m3&#10;DcT9nxcoAP8ACs3G3II3aAAe3gACTgIADHlhQ4mwUjVFFdCFGstdeAwuD+CXkk6Km7hK9vUohZG/&#10;h4uiPiR64FiuLYvjGMtugICAACBQOCQWDQeEQmFQuGQ2HQ+IRGJROKRWLRYAquNMiBjSBgKLwl/y&#10;N0v6TEQsSlqQg/y0BCiYF4CTNPwiRzeRv6bkJrz1iIGgP6Q0OiUWjUekUmlUumU2nU+IyZ/PEA1U&#10;HSF+1l/OGuAKb1CwWGxWOyWWzWe0Uqvu+2ABx2+03G5XIU3UAXUUwlYXsAE2/AAB4GIq7CAAEYcA&#10;CfFXPGY3HY/IUYR5OKvzLACuOGzVJOAXPG0Q6F8ZHSaXTafUanVavWa3Xa/YbHZbOkxpVjepKQBb&#10;sSWqcSNi1Iu7sBF7iGabhacQiq1WB82qzcgFbqMTadfsdntaqpCaBtLmgeQvryAByecAV/t+v2e3&#10;3Wi3uMAO76e/7SHmgAdfsABf/IavZYL6v7AgGwbCsOBDEsW+8Gwc9yZgIAAPwoip8QuAByw0uKbn&#10;q5pQmdEI3OoKx+wfE8URTFUVxZFsXRfGEYoEUsaCOzwCli5qhKS5aBQUgQAoGficOJHb0pskYApu&#10;NAryaUMZShKMpKgqQRuabijPIfQAHFLp/ynMEwzEiSvm3MwAQufEgzG9h/gNN4AiPOQARuiMAwGJ&#10;rAMEiDCFcAAD0Af7FBPNlC0MhgI0SAAJ0ZNaJHbSB/rYd7THkm4WBNTJyUPTlO09T9QVDUVRvclo&#10;/gEFVUj84g7IGBLXJubp81mLIu1sZdSVzXTrnZXpNAlYAyvykJ7WKABz2RXdlWW0p92cABs2iACs&#10;xNZjXCdbAAWGiZZ27PE9QNPkEMRQdrXM+7/AuAAGXYirz03WZ8tWqRZWoLi8Hnc99X3fl+38pqAg&#10;gAAgUDgkFg0HhEJhULhkNh0PiERiUTikVi0XjCijQLA8dUIBkBSkEgjElh7/lD+lD/Y4WlxEIMxf&#10;Emmk1m03nE5nU7nk9n0/hjcoQWf1FYoCpAkB1LAAVp0llYAedTADrq1ArFZrVbrldr1frT0sQAbt&#10;lsFntFoDVrqtXItvAAIuUVWF1ABNvAAAd7iKuv1xuYnwVpwmFw2HxEYD+LAAEx0RqLgyQAor+xMP&#10;fT9zRzwQnSmX0Gh0Wj0ml02n1Gp1Wr1mt12viSj2QcA21VlIAQ1gYC0uVfUDQgN4SKJXFfOw5HJ5&#10;XLmjU5212p/kZ3kYDhAT7AACHbmzs7wAePh5nj8nl80L7zsADl9nn90mHnxAAU+gAW/3ABD/WABF&#10;0uwmQAADcIiupYP4ADOvfBUFuSkYABBCEBKQiLNH6ADJHA8aVm2yokM6b0GRDEURxJEsTRPFEUxV&#10;EpTxaHS9gGWKRgo1LKnayo4izHRRxXHsfRQoRuB2lZVpGDKKJcCwAOEBqoJQtp1qkqkfypKsRqic&#10;MsvA8UrPPAYgTA7TuIIWkygAIk0QOikCgAJ03Qk3iEH1OYAF9OwAHtPMDwTLs+z8hoC0CAAPUIip&#10;60OAB0UU86Vn4gZNBLSI1z/SlK0tS9MUzTVNz6VNPDkkZCpG/rUJWcEKiPHQsm1TlW1ckpr1iBrH&#10;AIV6RiGnIOV0ACOgPJx/vW9p82HV9i2MmzKgAbFlgAfdnWO1DoAAI1qABaSETKWkzzSuVSInNgl3&#10;CAFAgKgqpnmABe3VcdBWG49uwQwdoXm88mABJKKndfQAHffsRsqeMYCMEeCGVemD4RhOFYWi6AiA&#10;ACBQOCQWDQeEQmFQuGQ2HQ+IRGJROKRWLReMRmBn+OAYVx9EAGRG6BgONSeHP1/StcPyXHQtzFsS&#10;iaTWbTecTmdTueT2GtqgG+RAFDUMFT4ABylAAD02Myt/ABzVMAPmrUisVmtVuuV2vVx8WEANyyAB&#10;+2ev2m1V0K20ADm4AACXOGrS7AAiXkAAi+RVYX8AErBAADYUAOPEABl4sABPHAAeZEALHKXu+ifM&#10;WvNZvOZ3PRSlBymU6KOHTACXPzP0h/62owJa1Z8loWbV6avcbndbveb3fb/gcHhcPicXjceJKrlM&#10;ehjji61/1B/IJr9VBoHsa/kdvud3NMzwAoH+Nt0MNZoP+m5XSMVAAaZwgD3d76fX7bt6/mx2X7/2&#10;aBNAAAI+FaKltAwACHBLLAQvzACdB79m4ABqQoAALwut64qGABXw7BYAMwE7/RHEj7hBE4AAHFSK&#10;m7FsSowfToDIEsaFHF8bxxHMdR3Hkex9H8gSCgTlFU5iROc7zoHSqAyixJxZyFKMpKy6AAm3K5CK&#10;GO8Nyqg6hpEgjoH+gZ/qHMSCzM6CEgFNgAROEACTYASMrOlT4H5NUpz1PbPzUdE/gCdVBAIgYAz4&#10;+kxoEAIFUYAAbUeAAJUkiq7FovC9L5BiKFdTjGsedtQAAGNRgAENTITThXNGA5/BRVzVUPWNZIYE&#10;dagMijUn9O8Sy7L0wIebaoCPAATHJWdj2RZNlWXZlm2dHUiSMAMkPtM6BGsdlsh6NVuHfZ9vx48B&#10;mAoB1ymg80vt6udCA7doATkjLUve09wXreyBqAbQAHvfl7uDDYm4CADqmuAANYPTwJ0ou4k4aAE8&#10;omWWJIKI+KgBRijw2hFUw/EN/Y+/qmgOpKlooe2TgAc+VXtWAADmEmYElkGZ5pmubZugqAiAACBQ&#10;OCQWDQeEQmFQuGQ2HQ+IRGJROKRWLReMRmFquONuBiF/yF/AGSP+GSF/ySSAKUOyVBGNRaUSqSyG&#10;WSFMvadHowz14TGgUGhUOiUWjUekQluUs7QNCQMC0mpAAEVUABqsACVRl8V0AOWwVOxWOyWWzWe0&#10;RV+WsAUtuAB83G03O6XQH3cAD69AAC30AM/AAAPYMABPDRVaYkAEjGAACY+EygAOzKABh5cAAPNA&#10;AmZ2tSSIrDRVSrCfTXXUanVavWRYK68AA7ZRVz7UATp7a3dRCUMl+78mCjhOzd8Xjcfkcnlcvmc3&#10;nc/odHpdPnKnrN2VCCBv2VP3eSEBwMvP7yOnNANcSiowLvQKUzWZyWkSh8ShtFf8Dfqfv+f2FLcC&#10;yUGMlQRv8hQEwQAAMwWz4Aoye8IAAc0JwNCsLQuoaunwABtQ6ADJQxEKMhFEgABdE4AAFFSCsAZ7&#10;BMIwwJsQxQiRq0gEISbcdAAacegABsgAAeshgAJsjMyzaIFdJcbgA0wTxFKMpQMDcqyaihwyyAC1&#10;n5Ka5nylA5hLMZKy9M0zzRNM1TXNk2zdN7/FVORjpUHCjmufU8iex4CDElQ4JVHDWJQebfn6KIs0&#10;SXs4UZNaZmxSAzT4SiVAJNi7geAAKU2oJ408ybK0bUVRqOd1TAAcdU1JNEThcAASVghpo1mAAOVs&#10;wrDooxJaAAIdfABBAEgBQwAGZYyvrCENlAAGFmgAWNoSLI7zojJZXSbJ9V21baIWUEMUxWiDyH8A&#10;Bv3NbikXGZ0NCJVp33ReF43led6Xre17zjORspUEz5pDLqBF7Lg+T4OqVCs41xmncYqUSLJtXxiK&#10;zm7igHpQX6UBgmlRxiAAIY+jLJHhkYAVMd2JZRNVUnHktT5S56tiBmQAAjmqImtnAAAvndcRlXTF&#10;V8IckPCYOigAeekAAG2lgBKoNwaADRFhaQm6HasmKrHFs5frkMWoD+wagiE8n1VFVa6mSQnogY1T&#10;GEpR7RuO5bnul8ICgAAgUDgkFg0HhEJhULhkNh0PiERiUTikVi0XjEZhaqjjHAMfHEaiT/kjjK0n&#10;D6plQUgcej4ij8fkUzAEkf69mxNK87e80n0/oFBoVDokLALapBnAVLS9Fp1PgwXqQABdVAExjLrr&#10;QAeVdqFfsFhsVjskYf1nADctQAe9tstvuFxgYlugAFt3irPvQAD19AATwEVWmDAA6wwAYeJgpExl&#10;Uq0IWGRABNygAAeXiKuzQABGdAAn0Fy0Wj0ml00MBWpAAZ1kVeOvADs2Wn2lgs7+aoF3Q0EO9fG1&#10;4HB4XD4nF43H5HJ5XL5nN50zjiqlwBkNl26ZnZXNEElSpKNLASZgYV023e8xQcnKyH5/t91AbHxC&#10;mXAazmPV99vDf7zmejCbAAc0BAAfECvzA8EPcfUFgApBtAAfsIwTCaZgfCzPtCdsNAAF8OryvYPx&#10;CAAJRIipaxOAB8xUAELAeAAfRgADdAKhrIlgybKvozLNs6BEMBPCkgyE98SAkAAIyQip0yWAB6Sd&#10;Ib3HomwxroEpVShLEsy1LcuS7L0vzBMLiui6b8LGmx/tuIYsTYX6CJsALoj+mI+piATTJseKBiG9&#10;RmzFP64G3QQ9oGQCYgJQChxCD4AAJRyMwAcNJQhCVE0tS0Ct/ByapJS8sAhUAAB/UYAHdU0AwHDo&#10;Xw+Z8fgABNYIicdZgAZlbAAC1csKw7wIjG0cCayzMIgzRXP7HzQSBT1l2YhwO2eAADWkipwWrSh+&#10;2a080JiehR28CBA3Cf1s3JctzXPdF03VdbhzI+7SnlTIOi7eh5IQT98Ag1IFE48AoIGAc8JIZzwC&#10;wKmDm3dl0VsZgCxaUyYiphSMqxZ4Oxk3SMwjbByY6AB+ZBieROA2R2AAcuUZG58qrsvCCK0ddUHN&#10;DkPIovVWhNnLHAWhONgAamgAAbuhoKJmjWjaaKV+ylgx1YkeM9ZOVanITehCAFeopoZu6o0SbHem&#10;IfhJsZp67s2z7RtM/oCAgAAgUDgkFg0HhEJhULhkNh0PiERiUTikVi0XjEZhaqjjHAMfHEakUDf0&#10;lZ5XlAyiCslgifsvXgCmQhkcjf83fk3f61lisKaroD9mtDolFo1Hoi2pQHElNbMfAIeqABpFVq1X&#10;gUyAQAD9dAFajL8sQAcNlrFntFptVrtkDcFvADxuVtul1u0HHV5AAXvgAqEFdmBADlwgAF+HirPx&#10;QAE2NAALyEFsT8AC/ywAeeZABCzgAYmfABE0QABGliqw1AAJurAAD10RV2x0mmE+1u+33G53W7iQ&#10;j30VffBADi4m843HhU6fc6N2NEyY5HR6XT6nV63X7HZ7Xb7nd73fhEcVTMqAz3E6f06XMoK5KjCo&#10;+BY1wDScDCnIe0vfpsrSiKz/qE8EBN4a8CiAAkEFyqADQHBqCvmAAPQkr6ZLCsbiHEACdQdDkOrY&#10;akQAA/UPRIkYCxOAAgRUAAGxahp8RgABsxmwzEIoxRngApoSRZFx5R+ABfSEx7ItEIgAJKfwAFxJ&#10;gACHJ7ZgQipZSoAAlSuvyPoazJ5yDIcEAIAAVzHEsyzM74FTSAAMzYiq5HiADAnZM86IcnReJ0Jj&#10;nHzOs+z9P9AUDQVB0JQtDKG8SPJA3EkjS9joKI8QDSSOatECqACt5JJxK0L4q0+YFD0ObdSEigY1&#10;qgAdROw0spA3V6anzWQAHJWtV1vDkZmyAEYHxXE6ucAAVWGiJ4WMABx2TGoXsSxbfBGAEfnkABl2&#10;rNc2hrbLWteghaW80LR1a07UtWJtt1UgkNm/dYAGhdyC3E2oT1/el6oWDV8AABN9orDAAOCfd7To&#10;b59YKGthhUduBYXhmG4dh+IYjiS1USqCQrUnR6p0Gz2GstZP5ABDIAWXSoB0gd0N0qBny4JQw5ed&#10;GJuvdZvgQyZjKgGOZOlka9r6v6MV6wbC53oqsV0AAD6VJ0oLqwhygAZOpAACuqgAHusLtgp9ABbx&#10;aABMAACdsa7TeABe7QgoRbWAAYbciJ17iABzbpZdmxzYx4AAd++AAFm/sYxyGa9cEj3EijUFgAAl&#10;8YAET0zDZp8kABucqAAMcwAB0c3KIAXlo3QRKroP7BBCIw2b3U9DDqdCgEvXlj1fZdn2nazKgICA&#10;ACBQOCQWDQeEQmFQuGQ2HQ+IRGJROKRWLReMRmFqqOMcAx8cRqHP+SOl+ycalmVOORS0ARxVDOPg&#10;FUQMSS6cPqSP9POOfHI50F7ziiUWjUeGNilCgB01izMJUipVOqVWBhCsAAJVsATOMvKwAB12OrWW&#10;zWe0WmLNm2AAD28AEO5WqBuW7ABk3kABW+AAe3+6QJ9YMALTDAACYkAE7GYEAPHIABe5OCiLLAAY&#10;ZmI2N1gB2Z8ACfRRF/aUAMfUWKyDnWAAMa+ux+G4ZaAAibcAAjdRVYb0AErgAABcMAMTjAB3ckAD&#10;fmAAM88Ab1Ybnd6IT47sdntdvuRTLCLYgGIyd+gBwefu+n1VOdv6dqMTfEwev6fX7ff8fn9fv+f3&#10;/P/AEAwEgiYGOgYbqknZqCvBgXQCVEICapoBlSgYEvofR+Q0MiVCyUcBxAh6lGwMcJk0mYBRDFSz&#10;gtFoAAbGCXHbGYAHhG0VxxHKpLYbK3LguQhscuxyrwvS+AqvzAMCwZ9MKw7EgIxbGsCyB4skyiCO&#10;+zDNIgzgAHVMAABXMaGnzMwAFrNKCiTNgAALN6KlxOTbNw3QEIqV88gAJk+AAWc/oKI9BAABdCoK&#10;V1EOpO7rR1RtHRxN4CgADtKPCiJ70wABzU3R9OrocoE1CEwN1Ie1PVPVFU1VVdWVbV1X1gs5U1ma&#10;7hgEFCiHjDR+ERDpERymABp2RKBjbWwDPS0p/G+gYwwYK5g1i7NghjapRJmLVpW0hYL26AAGXAl0&#10;wHUAB53Nbd0P7HkfAOuK5sDIcimSva+r+HrHSZJzayhKQnMdKsrl6yrLsyGDNrIdGEgAFuGITLxi&#10;4ggqsAhheGgni6KtpOgiUUioDY+ABGZEAASZKAAgZQAAFZWhNEFdjtGXTmWZoeB2bXpJCKRmdsax&#10;vmmfoKnZ7PIKYUaMXGgaTpWl6ZpunafqCypgZSBhogiZn+iCdgCnYd2fA1VlHsQHY+Axi1sFj6Pc&#10;khmrAeQhjJuJ56iihqbsBk7GwgYN7pbVSb5OyM2UAGEnQAFMKHvvFJFda33bIEhLuvN5yPJN7yWw&#10;mNX4xl/SoyLJ4FLOCS4h8vHP04ABd1SCmr1oAXXiYACD2YAGj21J0ri4J4yw82CS4TiIhc25z+WY&#10;AA15AAB/5fgRShmXZg0fF+nR0WgtF8YopeJ8e56ltJ38BKPiEw3e983z/R9MQICAgAAgUDgkFg0H&#10;hEJhULhkNh0PiERiUTikVi0XjEZhaqjjHAMfHEagT9kgzLEnZ0ilUriCmlw3AcxVICmgflkaf05f&#10;sfAKSBE/PhOoT2m9Fo0qbVJHE8Y0Df0HAMDnkfg7+f9Xgj/nlXrFbrkNrcHf9ZrFHs1ntECD1rA1&#10;tA1Ri85qzkuj6uz6tN5vV7vl9iTbwAEtwDIeFv0FcuJADJxgACuPAA9yWHgl3AC0zAAAmbAFCJ2U&#10;gbx0QAXulrIi1ABGGriLr1z/c+xAIr2gAZW3AGxc4AEe9AAt4AAmgCADP4wAtYeAAT5kVzC0ABH6&#10;QAAvVhNfa3ZADZ7mazhM8AAr8QWPlAE/BD9E3rfmg93v+Hx+UiD/1A3VAtwh1cf7f/x9Lk+cBQGv&#10;qeIg/SCG2eEFhsGkHKJAkIwlCcKQrC0LwxDMNQ3DkOw9D6No6niQpErgYitFBoRAs5UxaK6Bk+4Y&#10;EwIrh5q4PIrxySsVr67hsjMmIBx2gQCR5I0jqkqj6ptIKMwCcUoAAkh+yRKsrIvHwAAPLYAMKIb3&#10;sScrFsax4Ksiyb3Ms57vSKzz3tEeLSNMgjUBEADVhg1rXAAdk+gAcFAAAe9BgAHdDAAC9EoS4xnu&#10;Qtbluaik1iJSjzp+gp+UyABgU4AB5U/RFFHTUc2IrTL2oI4aIvWE0tS5K9YVjCIQ1o4SaIjAL/G/&#10;WVeQ8nhx0Ge4YBZYh3V7Y9kWTZVl2ZZtnWfaCjo4VSPJAlUphgk4sGjaKKFXb5ToGKaBgLAi5HLK&#10;Yji1dZq26gY/3gAQuXmTqeDBd18L7JslgBAyMSmABw4E8Sy3zgz4SzLYDy6wz3TDMZkscyDJB698&#10;1Myzc2qFN7RtKXqCt6EYABdkiInnk4AF5lVXYXSgiZYhpp5kAANZrSAJuczMvAABOegAemgAAX2h&#10;oKCOjAA1x1wiE+mUsBGD6hZtVVoEKK2CABzazqOtqKrh8SmG4UbEaWubLs2z7RtO1bXtiWWnaoAx&#10;IjVsW1bm2oJaYPJ4VaBhtGj+KuXtTiyLfCnZZKuACbnFmAgYeqnu/IoXjIAA7y1bOIjFT4DgfJc8&#10;h+Ey5neHMUxmIzLM+KzSuzL4wzk3PdOE5Y+glWABYgWIb2Rf94AAN9/O7WSaiDAG2AAKeRm+cugJ&#10;PmgAcfoAAZ3pgACHrUFQh8+1CumBPp3P/BAgHfHiUzIpPvD9l8P1oEfiuDSEv4k59n6fr+37vggI&#10;gAAgUDgkFg0HhEJhULhkNh0PiERiUTikVi0XjEZhaqjjHAMfHEagT9kgwLEnaMilUrlkOVEvFkfA&#10;LBAU1CUtlb+nSZa09NiBoD8nFDhbQowLpALcMyCdEp1PqFRqVQBNVAAYrAAmoCjL4rwActhqdjsl&#10;ls1SbNpAAHtgAIdvs8EsLlADJuwACt5AA9vlxgb6wAAWmDAAEwwAJ2Jv0CeONAC9yEFEWTAAwy0F&#10;f+ZADnzgAZGfrU1AAh0gAF+nirP1QAD2tAAT2EVwa0AAq2wAozQAAS3gAd+/AGZf+LiIn4wABHJ4&#10;nL5nN51k1oeAAF6kVb3X4Oa5/b7ndlkkfqm4wnLkD4fe9Hp9Xr9nt93v+Hx+Xz+n1nEcVUekEq8E&#10;mlD7PYVMBDYrZDoGBjuOEeDwDiLMHFA+K0myF6tmGmQGwBDMNKkBkOgAC8QJWesRgAdETQ3FEUoX&#10;CS1rat4huIua6ruvIKr2vrFsAfTBMIwwCMQxTFsaeLHsigjJhEyrLvAABnScABxyiAAZSo3bem/L&#10;DTNQijVGeAASTAAAFTGipbzMAEdAACk1gAdk3Ps8bkOVFU6Tq5zSBC0KuIg4QAOub07UDQTMT6gR&#10;eTAEgkJkf1B0bR1H0hSNJUnSlK0sgb8P0AKQpE/qTiwlNLrIX9SAIdNTlKAdVCtBLhOEc8dBoLtZ&#10;nO7ht1uLqBlAmU91FXz7AdYK8L0lR52MAB1WTX9lqnFi2AOty4MXGS7GTYcbL4HriTS2bCsOxInO&#10;JIcil6gtEAAFt0x42h93aAAg3gAAIXnNs3nNe8tBe1LVhNfoAKShs+l5gYAWMec1TYd2FOy86H0K&#10;gaZIjh6LTi5IEWZjFJBHjaKn5jwAHDkOM5HVp/nTW5tg+JWVnzkmXZfmGY5lmeaZqhVMplTiNU8/&#10;+bPujjpIEVSBhsmQAu4nR/FuemmC+MennWsxtamQyZDvXmfayv0agBYIHIzPrfne3zga1rVnRdaS&#10;/WpGi9WzbbA27H0gXDITHMhcqCKwDF6nZPQACBwIAQ7BCCHXw4AXuc1833L1+hNf6kITEZ6gBgZe&#10;ILpMrJudvOw3is57N0Tm4sAAN9OiuDWRZXR9bsDMnomQdUQafXdt2/cdypyAgIAAIFA4JBYNB4RC&#10;YVC4ZDYdD4hEYlE4pFYtF4xGYWqo4xwDHxxGoE/ZIMCxJ2jIpVK5ZLYWqZgeo+AUHLpaAXPOQgb5&#10;48ptA21QV8AqIQZ/R6RSaVS6ZNgzTwACqlGX/VQA7KwAHlW6bXa9X7BEmzYwABLMAB7abDA3xbQA&#10;v7gAApcwANbta4EA70AFpfQBegGACPgwBVX/YKIAgAtcZCQZjwAQslZbPCHhlwA4c0ABfnQA49AA&#10;AfowADtNCWfqQAJdYAMeDIK79kAGDtdFpB1uQAu94AAbvwA7eFeJWJ+MAARyeJy+ZzedSgl0QAEe&#10;pFZy5wA9u1z+53e9zMM/JmZBJ5VD3/R6fV6/Z7fd7/h8fl8/p9YjHFVHpBKpI/ZMlD7QChJTQIGK&#10;zAIZqZgC9J/QaSwrwgNaVGxCgKMSZTEhDAUNw4+oOQ+AADxEqirOuAB7xRDsVPqsZsgAtp8RXGSX&#10;AvGoABzHAAJmhr+gAasfs4zy5goAB5yMAB8yS1DVPKEjXMgcUogAZsqAAE0rgAFktIKvpaN84DhH&#10;bDjjBO5DlRnNE0q8DU2AABM3oiwzPtCfc6zVO88Imwx/MMRMrhMPU80FQdCULQ1D0RRNFPY/D9AC&#10;kKRP6/4sJTRbvE/TAENeeKBgM9LDHIK1RA6jBrVMDIDVSb7DAKgcFoPBSCMMw6FVohSZ1swqrIhX&#10;FLV8jMdg/YQCMBEiqyicR+n5Zdf2ai0KGwAcknyALfga4h9WzJElALbszAQ4keu0eyC2s4lln5E8&#10;UoGf4RXcAIYXiiJ13oABzXuAAN30AEmgBNgNAAaeBL+vaCNSZ4ABHhQAG5hp/nBiEbxwAIMYrHSP&#10;y4v1zTC9tbVeg0/n7N4E1zZ2TRkEGUsAAePobBs+G/mJ+5PmjiMNlqKJmVkmixmufZ/oGg6FoeiV&#10;9RqZ0gjVJJPSmirA/B1pnIj1n2wwPVEKx0Iga+uA1boCm0gYF6dsk0ZSEGCMCjE5YgcAAZfstnRb&#10;EMRiHuziHLvIAGTvgAArv60LUvFsn0vi/QOAAncU4h48aABe8ggt3BEAF4hhed63ucwAD/zoAFl0&#10;FdMPf4AHJ0yC4EaeGYaAGvgBuwhqiqaGS7L9r45DcyW/uPeOXYthA/i+cIZwk5nH3vkOXl5Xz+KX&#10;k+f6Ho+kiaAggAAgUDgkFg0HhEJhULhkNh0PiERiUTikVi0XjEZhaqjjHAMfHEagT9kgwLEnaMil&#10;Urlkth6pmDBAUzH0ulz+nBkK87TsMbU/GMDYszAQJm1HpFJpVLplNlQEqAADlTAADq0ZflZADjrg&#10;AnD+p1hsVjskCbNnAAHtQAIdtssDctxADJugACt3AA9vVvgT6vwAWmBAFQAgAJ2HvgAeOLAC9x0F&#10;EWRAAwykRdeXAGXdYAJWdADh0EJaujAAX0wAYWpAAS1gAHevwdRiC12gABm3ADt3WJlQn3wABHB3&#10;nD4nF40rtQHqVUijz5wAdXR4/T6nV60PXYk7RG6/d73f8Hh8Xj8nl83n9HpskcVUekEqkj9k0o9X&#10;1jccUD//RZoj9vj9H+ASPo/AABIGfQrQSBaEGxBoXMIZaBgM+0KQrCyJKIAAQw2lZ9w8ABxRDC8R&#10;ums5srSta2iGxK4nKua6ruCq8r2vi/H0wDBMIwzEL4xZ4sax6CMiETJsqiDNOg6QmSWABwScgsnH&#10;AAAQSoABWyugogy0AAIS6iraFqAAGzG3Ldvs3wTuA4USTZNqmNYCQAAjOaKnROwAHrPM3T3PixK+&#10;ZYTUCG0+0JQtDUPRFE0VRdGLe9j3ACkKRPi+YsJTRrwlRTQXwGWSiA8gawIEf6voLAZ/opAAAwyg&#10;4AoGewq1iBqCG3Woj07CVMV1XakgTXwAAzYIAQGjJ82MAByWTXlloRE0UOVFUWLkuhkrsvC9B6xM&#10;bRwWjYsKw4nMTH0gF6yDJMoGDLMxOx0AAad3gALl5AAJN6gAPl8AAbl9yLdNSqmDgAAngaKsDboH&#10;YQAB2YXCjtBIAAF4jZmJwuD2LAAAuMoqb2OABAGKZBQ6vmaEuShtAdRZDlWV5ZluXZfmDzUfAdJI&#10;1SiT0tmLiPYAaviUqwBlkgkAH9Ab/VHUtToOAsDoZAGnh/nBl1qbYrQGUqBsLnWt5DMdZgtsCVnt&#10;sYAHPs2uULZzkrYty+RbF9qxjGdsxqv+DW9Hdwx6xjHXLIVzyMh8kbMc4ABdw4ADlxQACFxoAW2G&#10;3IuXgJn8qAGLVBgYJ4KwQH88zLMPQDHRtK0+0dO4ch2Gj6I4/jhvdR2LyQAbHKmeFkEito/Zd53v&#10;fbQgIIAAIFA4JBYNB4RCYVC4ZDYdD4hEYlE4pFYtF4xGYWqo4xwDHxxGoE/ZIMCxJ2jIpVK5ZLZd&#10;A44qj5HwCcn/NwfBJu/35A27AzqV6EtVLRRsBKQpQFSw9JH6oJOWDPBG5VSzO1JNAFL65Xa9X7BY&#10;bFY4mErMAAhaQBNIy87cAHVcbJc7pdZa2bwAAPewAQ79doG5cEAGThQAFcQAB7i8BAn1jwAtMkAK&#10;QBAATsxjQA8c4AF7n4KItEABhpYi69QAHPqwAGNcAGJscpSAAQtsAAZuYKz94AA9vwAE+FFcktAA&#10;D+QANQ681FA/z7Raub0+p1etXhH2Yrj30AHH3+v4fF4/JLp23nz6RSLPZ3fL7/h8fl8/p9ft9/x+&#10;f1+4xMY8kCVKckyUP5Aquj/BADBVBYvpoQydiooQrmCiBUwsDcJHKghsQ4PDKkPA0QxFEbrAtEwA&#10;AbFKMp2AB4RcAB3RjEkZrEvBsr0vi/CGzTBQ0wpksOxLFh6zTuMiybKsuzLGs4eLPNAgjRBE0jTI&#10;g5YAGdLIAHrLgAAXL4ACBMUcAOhLeGe3zgOECbiMnFIGgAds5PepathNO8yRpPU9sa3IGAAC9Aor&#10;GJ3AAd9Dz5RNFPinZzS4eoTNKGB60XStLUvTFM01TdOU6kT/JokKRQEqKU09TJV1SZIq1YG6VG3W&#10;A9poQlT1rWz9A1XIAATXiVnRX8ty7W9NRtPMdR4wcfyCCrFMYxsjOK2bLMwJzNSbJ5eoKFdtgAEl&#10;vIie1wgAXdyWWAAeXQtaPoaal2gADN4OC4aKWjN84zm8IC30AAT36AAB4BYeBU1QILtw3SKHFhQA&#10;H3huB4fiCDp2di9gO37fnviONY3jmO49j+QPDUEAVGktS5DA0LFSZMJVci9YG2S6aDRlGa5sjQN5&#10;yAAEZ4lbVnOAFwntm792Liq+r+xsesIwzEWZIcishaMk2pazOs/bKCW8EgABdryEn9sIAGhsgAHB&#10;s4ASkAAW7Yiti4LeU2Xoya0gguC5OpOoAPYFl1ADonAPgDvBgAA3DIjFmznAAGwn9wPHxonZ4p2E&#10;s7hM5nIczzXN1sgIgAAgUDgkFg0HhEJhULhkNh0PiERiUTikVi0XjEZhaqjjHAMfHEagT9kgwLEn&#10;aMilUrlktl0PjiqZRWmg2ijanDLj4BGcMnYBgj/oT/l9Fo1HpFJpVLpktEFPAAEqVAi9DADirD/f&#10;dbptdr1fh7ZsQABFlAJDtFggbltgAZNvAAVuQAHt1tUCfV5AC0vlRqQAJ2Bu4AeOFAC9xFBEWLAI&#10;wx0FvL6AC5ygAfmXAAmzWWzAvz0VZ+hAAe0gACenit8WgAkj9AD+2AAH2zAAJ20NXW5AFoIYAAe/&#10;iK44QAA/Ff4n5GD5XL5nN52LEQAAXTqkOy78f7g7XO7nd73f8Gv6YCDYj8zp8Pp9Xr9nt93v+Hx+&#10;Xz+n1hMxj0glWtk0o+z/q6VMBGWK8ChqiCcG0ULxi9AEHQfCEIoEnYAKeEDpOmjLYH8q6sNYkkJR&#10;CiyxGy4jit2tK7rYcq3LguQKrouy7siva+qkAjAMEu7Cniw7EoI6AAMcGAAHdIwAGHJIAALJgACF&#10;J4AHtKQAHHKoAM8F7QNEFEuAAA0voiecxAAYMyrIsoACBNUTAOiJYTeAAmzk3zgIgV07zOBAAOQE&#10;8RT9P7myYAoAA7QoAQoiEpHsABz0bQFH0hCKhni1oSS4FB2UjTVN05TtPU/UFQ1EAD8J2kKRP4k4&#10;sJTUdOJimaaoYbtZkXDY5p/Vtc11TrfgGAAP2BQ6Poy1oAHDY4AKtXcHRJNkUN7FS2reZK4rmuoe&#10;sHGjVL9HDAicwceR8XqCvMEYAAvdAAGNdYAAldzZNo8YAHXegAHNe8rs+ijQmezLNgXgCGyMdwAG&#10;BgyCijhKMljhk4znXqIzuV08z25Nl4vT+AAWAAMY6ip35BIsj4xkmSo0dx8ZSD4WZYemTZfmGY5l&#10;meaZql1Sv1VCS1VVmbPqVegGSKuhhuhEEju8ZEZ9pemOW4s2g3qNhOqiytn3Dpxaa8Nm6fZ7B3uc&#10;wAGRsdqxha9sr1bcbxzb67nlt4AF5uSC0EAGrABIIXb1DABILeh13tfEsS1frNBMAGNIKq1mmtxo&#10;AaiDYAHTyYACNy2KIpN5YAAOXOgAb3QYjPCyz1PmtdO8N0AuAAGdaipydgAB89n1Ha1aoe/nWD4d&#10;d4e/bd/4HgxCgICAACBQOCQWDQeEQmFQuGQ2HQ+IRGJROKRWLReMRmFqqOMcAx8cRqBP2SDAsSdo&#10;yKVSuWS2XQ9UzFkleaDeCNucHOPgFGS+fT+gUGhUOiUWjUUEUkABqmACdxl81EAOSqUerVertmtA&#10;B9V0ABSwViDuqyAAC2cABG1WKBAO3ABz3GCha6WwAAe8ABx3uEja/AAN4GnR+EvTDABu4kAC/GRV&#10;n48ACXJAAGZUAP7MABjZsAWR1AAe6Gv2Fa6UAETUACkgiKrDXAA27G9XyIK7baqlCfdXbeb3fb/e&#10;B/hAACcWK4lu8Dlcvmc3nRLMP50QMQCbrPnn9ntdvud3vd/weHxePyd6OKqPSCVSR+yaUeX4VeYq&#10;mZzWcNsqwNUzsA/H/P/AEAp+B8CNGCiVnrBIAHRBkBQchitGyAB8QpB8LJUFUMgAEkOIie8PgAb0&#10;RMWxqKMeZ4ABHFTcNYX8XQnCogxkAAHRqgpaRw07UtW1rXitH4AQiAAQyIhrbFdFgAN0E8LybJze&#10;RUEaKuiABvytJ8sSzLSDn/Lpvw4EgSp2fstzLM0zzRNM1TXNjuvO9IApCkT2PcLCUzbLb5mSGM+E&#10;inZRp2AU8UHQlCoktQIgACVFpWedHM6stDO3IT2IKtwBqufdNABStESU3cun+q9KmZUqzLQGtU04&#10;klM02Z1XoKEVZAAGFaoiddcAAc1dxIF7HMhTxqWE4jjCHY1TgKhMcFpHQiSSijXFgAAz2oAB5WvE&#10;MRyWAAO26AFhGoABX3HJNt0lc8ngFdUhyKiiouwqhyXRed6KFUJvxOEsfitMl639f+AYDgWB4HN6&#10;dzkjU6JPO2CPgWWHnVDIVUSgQCYbi+MP8ugLMoyynoweGQgAduSYyo5r5QrivN8p9QgACuYNA0S2&#10;K6fQAWXYmLCdna7HjnwAF7oNY1nWoYVvXK4nOAAW6YiuUGuABsalRVGB9qwAXVQSGZw1FnR5aDXt&#10;iNoAFRsoAB5tCEnZtYAGDt1yt3k25N+CG6gACe8IqdO9gAwx6bnwGCOiaZS8KGBA8Qf3A8XxnGu0&#10;gICAACBQOCQWDQeEQmFQuGQ2HQ+IRGJROKRWLReMRmFqqOMcAx8cRqBP2SDAsSdoyKVSuWS2XQtt&#10;zEctqaMUTzcAy+dTueT2fT+gUGhUONBujAAEUmMv+mAB108APOpUSqVWJUx/gBz1unVCrQmPzmsA&#10;AK2UAD20V8APq2ABaW8AAS5AAnXW1PG8ABe3uCiK/AAYYGI0911quC7EQ1/YsANjHY3HzcTgAUZU&#10;AWGIrfNAAh52kUqKLDRACOKoAKbUABr6sACrXQWtucAMbaZ8EADJWrdbveb2qhzgAAD8OKt7jACx&#10;77lcvmc3nS+sMkS9OQ8/rdfsdntdvud3vd/weHe6WPSCVSR+yaUeL2T3HNgUXICNFs/UDbn2/n9f&#10;v+dgPP+AACwEpamtiAB7wQ/rvPqbIAHxB7rMwsaygqs60q+th9LcuD5LouyvrweK9L4gi/BEwDBI&#10;gwgAHNFoABfGCEsWfwAGHGwAHbHMAwGtAegACEgIqt5aAAIkjNsirRFgAAmyaAABygABxSmAAPys&#10;gp1SzGsbqS278QVMEwt6EEySfKKIRmABvzXMU2zdN6fxmY4TToHU4TvPE8z1Pc+T7Pz+vIsLqo09&#10;D1CwlM/zAa1FgyA1HG2gYFwY3Cb0TS1L0w3bMA7TkdgLAisnJUS1rbTKdH5VAAG5VYAHzVztQkps&#10;KQtH0MLbIa4rmuonLuvK9l6vq/sCGDBqhFpzRfGKCHtZgAF9Z4ATSIVpgAmNIP+D0fyDKABojXEj&#10;CJJDQtHJomzNbsVgtdUsS1Gxh3OAAWXlU16TwzAQ3wy6Poifd+ylKl64DgTtvQWbJV5geE4VheGY&#10;bh2Ho2jtBPOkqT0PiDnwYEVuGsgYDoJScv4xkeST8zErA/eCMTScGWuQpuSoRB58AAmhtZerL81n&#10;HqK0cAwAEzoIADDoiIwzDciQ7XdexFX9gxPYdisKdGqNa16pHmABf62AAFa8AAgbDXICAAauzAAo&#10;wNgACO2AAAW328uFwXEiZY7sAAmbyguj68BSCwQe8t3ffAQ30nOY8Q3oE8WAAM8dwyIxCAB2cpxP&#10;LcuihrBJzYV8xz3P9A3yAoAAIFA4JBYNB4RCYVC4ZDYdD4hEYlE4pFYtF4xGYWqo4xwDHxxGoE/Z&#10;IMCxJ2jIpVK5ZLZExpgCQpM3AApsFoQ2p0ABNPZdP6BQaFQ6JRaNR6RSYOA6YAA9TwBNgFGX9VQA&#10;4awAKq/qVXaE67AAHNY69Io+AQA/7UAArbQAPbhEXxcwACbsACpeQAk74AAxf4a+sEAFphQABMQA&#10;Cdi7LAnjjwAvclBRFlQAMMxEbA67FZAbnwA0NFfsAOdMALPBWfq6dUAlr4LqYZhVoACJtwACN1FV&#10;jvcVjNlA+DAmJxdIGMbyeVy+ZzYEEOgAAn04q6usAHn2ed2+53e93+dW0ZPRMdfB5/R6fV6/Z7fd&#10;7/h8flRI4qo9IJVJH7JpR8/8jJtwCayzhShidG0nifP/BcGQbBz/gPCIAA5CiVn5C6rqzB6lM2zp&#10;zPm1K1H+ti3LgHqIhdFIAGnFiCsQAgAH3GTAsG2jDsSxYnOSx54siyaCMqETLsyiB2yMABiySAEL&#10;n4AAXyeAEgtQj6EtWZ7Wg86TqP0ACmAGhsbNuIjct2ihYTOAAnzVKa0II4YAFTOIABnOkNztO7vg&#10;1PS6ruiERAAcVAyXDE8ULQ1DuVER/LOMYSUcUFEUjSVJ0pStLUvTD1Pq+4ApCkT9P4LCU0y9kRAD&#10;AJtlqqQkoRLh4VeAEOykA1aVJW1b1w9LdAQAE9A1NiMz+b1h1yicOrHD75RCta2gqt64oYrYAQiA&#10;9ByahE/oYwR9MIw0Xt/HTGx5HxeoK8gABZdKGxkfYAFzd9rAAIF5gA6AIIi0RoAADt+S0CaKzC3F&#10;dorM5YTTNaCVeeAANeCSCrsBMVxbYuKUyEGLy6pqIWkb+O4rj+QUPdgaBTkpm5DlGU5VleWZblVN&#10;rPTyNVAk9RZc5MDkYs45LPNqBWQAB06EhoI6K48yV5m+laXioH6df1gIpdlAUFplYrDoFlSpP9m2&#10;fE6GHrsIAAZsiG2yhdt262tvxzHbIMlcsgMszAYISem7gAYO9AAfO+gAFHAAAE/B6ih8WGnCcKun&#10;f6CS5LyE4DMeBzNNG2nJy4ALmfHBcJewAYUABudFq3SPA1MpalGdAnF0vW9coURHpvp8g/dIWHd1&#10;/c913akICIAAIFA4JBYNB4RCYVC4ZDYdD4hEYlE4pFYtF4xGYWqo4xwDHxxGoE/ZIMCxJ2jIpVK5&#10;ZLYe3ZgYn/M07BH3NwA1J1LgALZ8AAHQQBHwDPKNR6RSaVS6ZTadT5aFakAAdVYq/KwAHDW6hXZc&#10;67AAHNY69IqIAJm/wBUgqAB7b4ayrkABvdYbaYa+r0AFpfQABMAACdg7LAnjhwAvcVBRFjQAMMha&#10;JmAHZlQAw8wAAXmwARs8AGloZ7PwFpYiz9QAA9qwAE9dBbxBLPBL6tAARNwAARu4qrt8ABPwd1vF&#10;BxQAheRQ4/BW1zcLz+h0el0QN1QAHexFXp2wA6e90/B4fF4/J5Yo7hJ6Qn5vZ7fd7/h8fl8/p9ft&#10;941HFVHpBKpIfqTJQ/EBoSbMDB6oIBl8m59gIcUHgAeUJKaF8KgA0oBQJDUNw5Dr5hHECKv+ABwR&#10;LDymrAdaxLI+6zrwti3Lghh8xoAAGRuACsH4goQx6ABvSAvK9tqv7AsGJznsOeLEsWgj0hIAAWSk&#10;ABsSrKkrA5LIABnLgAHvL4AJgbsoynBLTtS1YPNa16EH9N0LtM2i/CPOigKEihlzyAAKT4hsJHkq&#10;irRPQdCPJGCqgcipy0WAB8UdQtIUjST7LSZLUGeHYrU0ftJ07T1P1BUNRVHUjCv0/gApCkT/wCLC&#10;U1K8BbVkA4TVqeMGAOnRqOfCoXzhDNYWDYVhvAxoROUoqKTFYiJxTFZzPxFzJxgt4eoq2aBtih69&#10;H0vi/MAAjBMIwslSYXrGMcd91ABdR3gAF14ABEAR2QAB7XuABt30AFegBNx/V+htLtU1jXPWhERz&#10;NOTbCThs7AGhtHHwrSuXBZmL4wiM0gAAuOorZeM5DkVRrTkpU1qEws5HleWZbl2X5hUFTqJVSNVY&#10;k9XZil0xAff5wqIB9uAAauiK6s94BdgOdaXplYR6EOlInkGmHVqoAHPrFouXF6p2ra7loJbSHaFI&#10;mLSO5557SABd7YhobbeAEsg4hOJABAxs35C2EzuheB43gy7sms8iCLwoAAPxCEnRxYAXLi2m8hT9&#10;5xEkkSRNyPMcy8N/jhlBI810HQ9EliAggAAgUDgkFg0HhEJhULhkNh0PiERiUTikVi0XjEZhaqjj&#10;HAMfHEagT9kgwLEnaMilUrlksjiqAYymTTgYpgj6nAAas7lsOj4BAAuoQAAVFntHpFJpVLplNp1P&#10;qFRgYgqgAAdXirdrVSrk9dNfADosVdpNFAQABNpiq/tgAelvABNuURn9uuEEBd5skGet9gt1ImBA&#10;ANwkNnD6ADXxQAF+NAD/yF/j8JZ+VAAezAACebhr8zwAAmhAC00gAIentFqf2rAFaboAut1vez2m&#10;1223ldXAYAqggir54AAcnD3HF43H5HJ5UayD/fvNJQm6S65fV63X7HZ7Xb7nd73f7svj0glUkfsm&#10;lHg7zb9jIn43hGHnU8qV1oQuolG9X7/n9/zvg3AIAARAiKm9A7Hsi/6lnXBoAHNCDuN1BJ/gA1Z/&#10;ILCbbPNDKsL25sLNYggSxIAAWRO2DJoZBp1wfCLGhegsOQ0g7Kmey7Ms2CaGxAghax+AAiyFFKgG&#10;nIwAAhJKnwObwABFJ8FyjKTaMIBoAAtLCKnbLYAHhL0pzBMMxTGgjmnwA80A2zAPHdMk3TfOE4zl&#10;Oc6TqpTxJ+kKRPM9AsJTOyoGzQRLN0NKGPknZqq4+yhrNQCJreei7Uk2SowuAAM0zR9NvUC9PAAB&#10;lQoqcFSABDlOIfFkXHM5YC1cAAgViAAFVosKxmTXAAAxXYABvXzZn3YIAFtYgAVcAoACXZUKK5SI&#10;AF7aCCyeETGMdSqFVVCFWRggtL0chEbRwDzNM4iEOFvdFYVkcV2ABNADqeFV5AA+T2G3IlUXzMAK&#10;X4AAH3+ipy4EAB8YLfWD4RhKFuaeavnSDYeYieeFYpiuLYvjGMynPDyT2kqTz9jSKm1kgxp+TSBw&#10;qgafubCtgn2f9E2QqOWBbmx8W/iyxHQAZ1Z8Azan/R0ThYfGRaOpt+AoAkkghmaJYEcp8HvqmVYz&#10;LZ2gFqN4OKvIFgAI+woTqIAVwZIAArtIAB7tjZvk0haNA0Qnbo2Z47vZ9o5TaYA6JuQCIbbMXsch&#10;EZw8gdwzXckdohS5c8ef9pnxGimRAFPLgRC4A5IbR76Rz7ig/0QD2Os6H5bUhwHxU/Qdb1yRKAg6&#10;f9igTm9pfEysh2cKdMokSBK3fa9f4fieKiyAgIAAIFA4JBYNB4RCYVC4ZDYdD4hEYlE4pFYtF4xG&#10;YWqo4xwDHxxGoE/ZIMCxJ2jIpVK5ZEmvLxOBJk1I+AQJEH1OQA1Z5LYdNQALqEAAFRZ9R6RCnBSw&#10;A8adSYtRQEABbVahV6xWa1W64D68AApYYq6LIAHrZ65aZ867YAHNb7VCQ7cwANLsAKBCHLewAyb8&#10;AArgQAPcJcYJOX0AFpiwBMpuTshhoHTniAF7l4KIs0ABhnYjbHXbrgL9JCX9p6JRoIz9YAA9rwAE&#10;9lDX/tQA6twAHnu7xH7ipOAAEBwwAa+MADjycly+ZzedagN0QBcw7FdO/gA3+1z+53e93/B4fEAN&#10;q/06JfQZPH6/Z7fd7/h8fl8/p9fpHFVHpBKpI/ZMlD7O+/ADBnAp1vKByKMQnaerUoChBc1KpwCk&#10;TrgAl5rgAfkNvWqSqKtCkQxEyQFxKAAMRQirQAAeUWxGrR7xiAEVoYygAAHHAAA1HaKvKAAGSAAA&#10;USGiK9nKvq/sCCrBsK5cFsWWjGpkADICc5kbMuXrMs2zoYAA/sbxyhEVrecwANIF6Ex9H0PNYZ7X&#10;Ng2QJoaak6gABE8N6AK4x9IYUS+kgAB1QYAFFQ0X0RRLlqAEFGwkip80iAByUpRVLUvTFMpY8p/o&#10;GL70BKUdNVHUlS1NU9UVTVSuPw/QApCkT+v+LCU1Wnxt1wXaaiIjEFp4aq4weocPVse1jAAblkvI&#10;2z3Q8qoW1taNEgTakdR4ih32yAB3W5aSsmzcAAAPcYACHczmSNJBksAwTCB65knsYx0qMi5csMwg&#10;jNBEzjPQtYiDzI0bSoZMEcAGAE3TgDzYtmw6dO0b8pJu558YqAAWYwgod42ABQ49b2QUtgzprpka&#10;MHplAAHTleQ5bl2Xqy8tI0iE2MBYcWYZznWd55nufVRVqa1gjVZJPWmfoZcBskdgw4pVX0GrTYUI&#10;3/U2AzM+1nRBpGuLVcYDgADmxIqeGygAdu0a6i2lXFclzCHdC+L9dclSZd8nJ1KGJXpK17KfLMt3&#10;3LoAQsoC8oHq8z4GhcfKBhLX4XOQARie4AHDy4AALzTwR8GPPABlB6AAJnSAASHT7V1Ll0aEEw4O&#10;lVKHIAGZ9V2r3dCABxd1va1R9FAMAArwH1IcoSeMDnbeT5Xlo0gIgAAgUDgkFg0HhEJhULhkNh0P&#10;iERiUTikVi0XjEZhaqjjHAMfHEagT9kgwLEnaMilUrlkGbEvHYEmTCgYClT6nAAas7lsSF8/AACo&#10;U9okYf1HADUpQAf9NotPglCmwtqlQq1XrFZrVbmQEAAfsEVedjADqs1btFphDZtgAA9vABDuVqgj&#10;luwAZN5AAVvgAHt/ukDnD6AC0wwAroAJ2LwMCeOPAC9yUFEWVAAwzEFkj9AADz0FdehADm0gAn4v&#10;iObADS1gAD2vAFHfwAd21xEyxsN1Qq3gA1RI4AASnD3PF43H5ESqQADvN29ejFNf+j0r463J7HZ7&#10;Xbiu1dwAcfh7XNDoACXn7ks2TAE3tIPp+Hx+Xz+n1+33/H5/XbjiqjyQJUzaTJQ/a0nFA4EnzBRz&#10;o+AIHp6wadJ4rIFQqADKhEAACw3AqKNkpKlulArlqoFsOxPFDGs8AavrDBqInvGLqHNFL0rYbK3L&#10;guQhtyuxyrwvS+AqvzAMbCLDFo57FMYxrHniyLJoJDDLsygjVRW0DRNJGjTojETWGkAEXwqBUxI+&#10;+hGzSABLzYAAHzeAB6zlCRqs6z8azxPKWteD0NQ4lR00CAB6UJPVDUO40RPCcYAHfRz4PI8z0UQg&#10;jpUsNT2hMTFKU5TtPU/UFQ1FUasP6/4ApCkUBJOLCU1IigAm7WRwuk8qnxEa9cgBBR8pXF4R2AAA&#10;G2HV6DQ+pRqKYpz9xIqti2fQ8pxeiEI0XaCsRvHIDriubGx9IBkr2vq/h63MjsOxLFic3MnSgXrK&#10;MszAYITEUXtCdayrOFd9oSdF/AADGAt8kgAVya4AHBhIABThj6Hlh4ABliQAA3ioAGDjAABJjYAF&#10;RjwABpkNr5G+qwA/JToqde4ALGeeSZfUkP2zCL50i84JVG6R/M2C4UZ8dmYaDoWh6JoujVJU0G1S&#10;jVVwJo4AG1qJMKkM7Gxie4AW/lqIgnrrXNhPKzHUADrHwisRHhtM9AjtkUuWDm4afQwQ7ooKhogf&#10;m8gAcO+bkjNsrfbcdx6u683DIUiXLIycyRJV1XYyDJXfKV4yqg+8n5JWVy20ygIIQ/QAAPXRgAVP&#10;TABfYVzXNpK9aABj9hcUhuzXgABd283TgZXdoKG/fTtFhjeFv3iKLuAOW0jMRHb5gAXb4voPoffp&#10;gAbfrAB6Z9vxm1J2geVCHoDV5Hr6Py/N86LICIAAIFA4JBYNB4RCYVC4ZDYdD4hEYlE4pFYtF4xG&#10;YWqo4xwDHxxGoE/ZIMCxJ2jIpVK4w25cQIGvo/H5ZGn/NwA5J0AHZPYKMKAAJnNaJEm9RwA86VRa&#10;ZTadT4kC6kABJVahV6xWaaIa4AAFX4i/rEAG/Za1Z7RCGzawAB7cACHcbTBHLdQAybwAArewAPb9&#10;c4G+sEAFphQABMQACdi8BAnjjwAvclBRFlQBQBhCbE/q9YHXnwA5tEABfpYKodQADBq7veQnrwAi&#10;tkAE1tQAkNwACZu8bCR1vwA6uEAJc26FNIIvOUADRzc6AgA0+lbbfvet1+xcw72wABu9K8e8Z5Pu&#10;z5fN5/RFXv6wA2vd6Yn2w6AAl9fhUJvN5myaqJBy+8AQDAUBwJAsDQPBEEwUuaOFUjyQJUkh+pMl&#10;EFqI9xtAqmZxJmBELQ+zSxuKAB8RLEETrmBkVAAEcWxRF6oA/GTDsSiDNrIs0YPQtZsuoA64Lkgg&#10;gyGAAiyMAA9SSAEJRoAicp2DcooiupytaZK9L4vwet6wR9MIwzEScxYnN68LIsmgjKhEy6goZG52&#10;zg0LRtKF4AM+dYAAtPSExGEs/IKAdAgBHj0PWe4AD/RLYtmhB90cAA60jSFJSiDcdUvTCDUqAAEU&#10;6jL8gBM04HbTNS1M3p01SAB0VZFD5Po+1ToqP7+kFWVb1xXNdV3Xle18hMGweAKQpFCUKCwlNfoG&#10;/IAm5ZxyJmDVlPgfNq0GtlQWnXoT24ABw2/JsWRdbVeVe7wDLCsZwXWAFs3ImtCLdH64iGgsVAZd&#10;qcHrfYAHFfwARkD4AGHggAB5g8prsvErr2Cq+r+xsuy+WlwzHMrIMkXrKMszCGzfOLRHM0jTEXko&#10;ADtlE+JcAE/BKAFAgGgolZmABH5td+cZykQNZ5TlPKGjB6aEAFUnTnWj1/otV1bE9XvqCWjvyf+Y&#10;CDNRg6RrGs61reua7AFgpnYiNWMk9kXI4pVoGKaCJnqSI7agl3a8pKlAEspvgDucUH+gYAhvv4AU&#10;2W/B5fQJ/TVvm9RPSoAgTxzoInu8JH7xSIx4AVOgQAN6ABmYlABwZb8LmJkdKAAtdQ4mVoIKfWgA&#10;VnYIbKkrSxh0tS4wbC4pMLFMYxszYzuM1ADjs3LHUYAXWcB/gL5p/Fn6AAj96fIIEqQFgAYXtH6J&#10;HugF5G+s2f4UfIf/oFnxPK/VWQM/aAXr7ykWhHoftWHR9f8QTooA6L6r7vpfiQY+Q/QIwFQs0Ag6&#10;zCKEzHwzAEZXAQv3fzBOCjlSAoAAIFA4JBYNB4RCYVC4ZDYdD4hEYlE4pFYtF4xGYWqo4xwDHxxG&#10;oE/ZIMCxJ2jIpVK4Y25cR4Gt4/H5ZNZtN40550AHVPZxP6BQaFDZmACBRwAEKUAKKt6cAAHUQAI6&#10;pQ6tV6xNQxWwAC69FXBYQBJH7WbNZwA2bUAAPbQAFbgABfc4SSbsAF3eQA/L4AAFf7ZbnjgwABcN&#10;CXLiQAycZb7iPchaIG+soAFplwABM0ACdnclAsG8QAvdJBRJpwALtVEXxrQBLm2AAVswAQ9sAHDu&#10;YSMt4AGdv4aEeEAGXxc/x+RyeVy4kFucAAZ0aZNIw9esAHR2eZ2+53e9PJ86fFGX/5QB5X/34lRa&#10;L6ogKPhhcPKvQzxL9xl7v1+/5/f8/8AQDAUBwIiyOFUjyQJUsiTJRAqJmhCIFuiBh3oGAsHwe9AA&#10;G7DoAOsesMxErDDQwI0TsCA6EqcW6oKkqgRxHGShOcCwAAbHCKnFHYAH3H0ZuYtRsxSAA9yMxbGr&#10;+ASCn9Jq/MBJp/IST8qAAMErsQxTGGSxwKgAyAeuOyh9MszDNAIzjPM+0LRtKggRTgAAYTmhMNnv&#10;O4AHNPTpgCgrimWAAs0FJ8lyiABtURL7IvEdIAK2DDsO0ghn0pG8cyBTFMwDGtLAalbWnwADEnLT&#10;VS1M8jzG/VQAHnVtT1ejAVVk+UMJtKI8BNXJE1hXle19X9gWDYVSwPBIApCkUGJOLCU182BeJmId&#10;huUvh+NelwATHadhxxTyjiBWiGxZFwBqmqtt2C4QIgACV2oqcd4Wyyt0JvIUiDxfAAGZfaGzOva+&#10;oQZWBAAGuCyzUkty7RUws/bTLlozLNs6JzjzY0heoLOARTlOiEHbj4AHfkU+ITQwv5OABj5UAArZ&#10;aAA35gAAd5mgrZgUAB7ZzcgADpnoADLoF6aFoaDAnoykqWlU7nvPM96Jp8A0MbmpgBpeoWHWQVXC&#10;mz0H2gYVPuEpuavsmy7Ns+0bS49ipnZCNWVB1XyEIiogGXe1J/H2vGtvm8VfieIzQiFx7rc0Y79E&#10;avAXRyuIo7J0Q+6/EIhey2xUGnMXZd1DIJfA8AAV/QrStaCTmGAAUoZ6G1HJEuLhL0wTEyuH8DNO&#10;KTWwmL4zOPTPO814HHHsfooTXigARXkAAQHlgALXnAAFPorGkmScsAAt+wAA8+3yfuwepQIABowJ&#10;pXvQAR2cXvfUoXzb4a31xFdoJAAFn6gAYX8ABrOtp+9BzNhA2/CAUA2yEBCAACBQOCQWDQeEQmFQ&#10;uGQ2HQ+IRGJROKRWLReMRmFqqOMcAx8cRqBP2SDAsSdoyKVStvy0IPyYOmPgEDSubTecRZ3TsAOO&#10;fTmgUGhUOLDqjABkUkAEemAAE0+IrepAAB1UACOsUStVuuUED18AByxRV12UAPK0V21WuCNm3ACv&#10;gcAEO6AAUXcAW5swVB32kUpa4GCjbCABk4eGuXFYbEBXHAAe5G2QR9ZUALTMAACZsAE7PZOBvHRA&#10;Be6WCiLUAAW6sAOTXACYPyViTaABAbcAFzdAAvb0ABjgABXcO4WB88cANzlaDmc3nc/oQgH9MABT&#10;rSvjvnW6/o93vd/wADRPEAOHzAB/+nw+v2RATe8ACr5AB2fUAMT8fH5gX+Vx/P+ST3hMN72wLA0D&#10;wRBMFQXBkGwdB6FI4VSPJAlSSH6kyUQghZtw6ZCZhvDcGnBEjxNHEUUK4AUVqWpr+AKADAlqAAjR&#10;qpyoIgqRbqoqysBHFMgKIqoBgAEEjIq8b6PtILor04q5LoIceSI/5/IKMssAAaEtgAZcvAABswt+&#10;4JtTKxLFsOZIAMcCrIMk5jKn0y7Ms2AjOs+5i0HkABeT607UgZQIAJmlZr0MAA20SAFAgYABX0eA&#10;AS0kABZ0qvK3jpTK/mQ6rryZT9QPBRgAAtUtBo+jLYvK89Q1bVyMHNWIALKddX1sjAc1yAAM14gp&#10;1V++78vkFQARerj0n+fzYhuFNmmZW9oWjaVp2patrQfCUKACkKRQvDIsJTIK9C/IZQWutcqgAb11&#10;gAet3XPa8wgaAAg3qzTOVVGUaRsp4EqiqchqurN4XhHyKnthAAHPheCKBdZvNgmCwrGKWKgAKuMA&#10;AQ+Nz5PxOY/SlLKMHQAVicwAFPlKGn3lmS1kA2YV3XrmWQABxZvU4AgAD2eObQkSHAAELv1YkVgF&#10;hukaTBIF6ZMYMJXVTzHDpWqQTmupRM8mq1tOoACFr9F0EhFfnVYJiaJYr+rXZB1NccgN3qILZa3u&#10;m67tu+8byoVspnbiNW8k9wRQZnCAUCHDnggcYb0i1VGxx+hJJxkg54DwABlzAAaMgt8sFGojRvf0&#10;c4BHuB8nJmDIplh95tnHTpUHfYgASfaAAK/by1LhLd2ABi98AAqeCABV+IABY+P1/k+V5bngV5wA&#10;Av6PNRYjGh6xmvmezVOJSdVXtQZeQACB8e08WhadncABgfXtFjZo9Ja0kEome/+v7WggIIAAIFA4&#10;JBYNB4RCYVC4ZDYdD4hEYlE4pFYtF4xGYWqo4xwDHxxGoE/ZIMCxJ2jIpVEX/LQC25g0AFMxdK5t&#10;N5xDnrOwA3J9OaBQaFQ4sJ6MABVSQBHwDCX5TwAtakACNVQACaxEVvWwAA68ABHYaJY7JZbHYRHF&#10;X3awA4rdZrhcYgNboAF5dwAM71PZ+hb8AHRgQAY8IADthwAusVcsZjcdj8hkclk8pGgNlwAHM1S4&#10;/GX9nwA4dEAM+/srp9Rqbg+dYAGzrwBLX/qtptYbTAAIt0ABfvYi6uAAGJw6RSgLx8nsiSJeYuNt&#10;z+h0el0+p1et1+xqo4qo9IJVJH7JpR2Jg2zZA0lTKb2dTwHUAHP8fZ88cOfsAAt+ZZLajU6qIyrq&#10;yiCtlurqvrQ+kEri3QRM49aHqefjQtHBTpBJC6+G4AELhIAAhw+ABgREqirDpEwAC/FMQxHCsWxd&#10;F8YRikQERoAANRvBzPNAtxxAA8EZSBIKFnbIgAHJI8hSSigdyY1zYAfKDeN8iD3OE4ikhUADjgK5&#10;KWng2QPhNMR5SVMszTPNE0zVNa4u27oApCkTwPELCUumbU8AOph6qYAc2Js2QAHHQYAHfQ0/zRLb&#10;SNAHFGgAC9IIjCL+lrEkAKwBKtK4r0/QRRE1A/UIAAJUj9tmb1UU/VVV1ZVtXOxUgCAADtaAAmYB&#10;R001BnGAFJ1fX7H0C+JzgAddjWBGNbgAJFmABGgEAAYVpABKAHykF7fuC4ZiOLLNFNUZcOBtZFyX&#10;Lc1z3RdIATcpk4o1OaTzq6jynCpgPXUhcfvKADWHzfD5s0Di8r2XeCgAGOEUfSKIUmqVKiTiFR1K&#10;iDFF1WyZrAsV/wTUIP4lWSKG7kWN5JkuTZPCtFYDi9cIw0sjSQtZ95RmiHZfkRugAe2d5q6QG5+A&#10;AfaEAAD6KgtpGFakot7bEqW1K7jOQ2jZDM5gSk3nus606KAggAAgUDgkFg0HhEJhULhkNh0PiERi&#10;UTikVi0XjEZhaqjjHAMfHEagT9kgwLEnaMilUJbUtRcfAJygb/g80gcwf85mk4nQAnk9g02ldDic&#10;kfoAa1JBE6ANEp1PqFRi1CAAqqwBE9Zn0fAC6rwAF9hAAXskRflnAC1tQAJltAADuENaVzADcuwA&#10;Bl5fgivj7qV/wGBwUGD+FA4FxACil2bj3wePyGRyWTymVy2XzGZzWbiYEzwADuhBFwAdNi86f7l1&#10;T5fGtqmc2Gx2VQntJawHo2K2e73kKf4Y4ABHPDremg7C5AAB/LsFiiDq6AAYnTqtWe+eAkI43Fgn&#10;bpndrkEpkwAE63U+m8zowXFHtdm9+Hx+Xz+n1+33/H5ykcVUekCVKMkyUN2a8Cga7B1JgBD9MweU&#10;HAAb8IwZCbIvIG8LgADUNISrxdOaF6xrKiCzn4tK1iRFAAAPFaCxIABixgAB2xmgq8gYAARxzCkd&#10;sjDQNAABMgoqbsiR5I0jyRJMlSXJiVgFJ4AA9KS3rijCenRLAAHtLcmy7LyCHpMIAG9MjypzL80I&#10;cqwVAArITu4hjkGE5TmLDEDnui6ZiOrNjEAK+R/UCXwTUIIc00PRFE0VRdGUalT+P8AKQpFAKTiw&#10;lLZm3TRopgF1HIzLB0AAdNSU/RgiVQAAHVWhsOw/EILrMtC1FqAAi1uAAFV0AB816ABeWBXlfCDY&#10;gAGRY8qAHHEdVNRQKWfOgHoqcFqAAo1msCTltIKH9ugAEtwIaUlxgA1p8AA7AADBdaC1ccV3obFY&#10;D1gAFuh/FUWIofd9gATN/AAXeA3K1oABTgwADfhIABDhiI20TiKgjiQABrisoymlWHoLVYHAAK2P&#10;ojXp8gAUeSojdMfAAIWV3Qz6MHZmAAFhmaCh7m02q1bFTSexUpA9ZKMp6c+hgAe+jZ1pDYHXpYAH&#10;Np2kzTIIEgBFAkIrOQAAhrVXzwdTpOpNYAT8+TUUCfwcTcZWobXtm27dt+4IVSCYUmjVKwGzjGCU&#10;gda7iguzQhCUwnpv0eRsAAgcTsTEIiX3HAAFnI3pEdZxPFJ68wABgc3rOth5z/Fz+XHR6BHIR8LJ&#10;Dl2lZ4KIqcfXgAfXZdQjASdsgpGdyAAod4hsLhvGUaV0BQALmaSCjR5Nf2CjAqecABEeihpIeoAB&#10;KeuivDl/7YAYkCKE9sEiVvJGBigAC30IiXP1gANf3JYloAZ4hsHHkAAZfwlYpf2ABE/8nAh4foBA&#10;AFNAUgoG4EAAGDAt2iSjyGFA+0BKyZ2ljrAAPODEDYNFTTO68cYAB3whL+vsvyWx7AAHdCmEEIoS&#10;F/NI50CAAAJwzAAAuGwAADQ5SQ8MABfARF1LuEqITVzkuqa4Q86DXk9J8dCfYnQ8h4xRAoDSKhfo&#10;NxXiwfogIIAAIFA4JBYNB4RCYVC4ZDYdD4hEYlE4pFYtF4xGYWqo4xwDHxxGoE/ZIMCxJ2jIoy1J&#10;YBgPL3FHwCF5VNZtNX/OQA2Z4AHzP5vQaFQ6JQRBRwAMqVFV1TQAL6gAAvU4i/KsAFrWQAJK4AG1&#10;XwAGrEABrZQAArRBVvawAA7cABHcaLc7pdbtBwXeQAGL5FXRfwA9cFd8JhYfXBJBUZiwAUMdDRvk&#10;QA7coAAVlwA0s1BTRnQAvNAAJeBwARdMAH9qQA7tYAGRr4SltkACNtYKldwAEfu4LaAEAM6aKlVF&#10;pxQAy+RBQdywAxucAAR0YLiIKFesAMiN4LJH6AG53wA2/FBQJ5QA2PRESj6wA0/dCT18QAYvpDXl&#10;96TS4IQ/4AAs/7UNUfUBgAX8DAAeEEoKVsGKeqKIOohieGytq3sNC8MQyhwPw4ADygImp0xEAB6R&#10;LDUTxRFMVIWnJ/vC8Z7xinCdHLGoAHZHCfKBFaHw+AAISAACjhBCoBx4hYNyS/IZAAcEnRebYACV&#10;KaKmFKz/QAEstIiyh2gAYkwAAFUxgAAszSOh0WxcgRGS0Eo7TROM5TnOk6ztO88TzPU9rojhVI8k&#10;CVO4kyURU75uEOgY8T5DR8Ucnae0ZSU4hjSoARqcrLMwpUmIoppdSWAAJ1GipY1NAJ/AAFNV1VVi&#10;GLWW8irguVJ1rFbRgADldIrLsEQVW09wigbFkYxrHoY7LJsqy4FMyzaCOCz7Qv+CzmuehlhIFVYU&#10;gAWdvABGJ7gAFtyIKEVzgAXF1LOtKEF7d4ADPeSCvoMQAPiPTpq6ggeX6ABQYAhpE4GABN4MgsJ1&#10;khB44YAAZ4egqxA0ABzYqAAM4wAErGEACZIS+55VCghT5IsizIZMYVABAZ9AANOXgAOeZIaY+agA&#10;LucILj0WgAHufAAT+g2BobDA7owAANpKM541h3V8eGiajqSbZY87054jCrH4ABu67p+podMwCzFM&#10;jogRFc3AAFm146j6vLBQ8pSoimNgACO77VtmPIJnjNGlrmvIJlMyzPoZ90cfAMbWFmnbBx3H8hyP&#10;JcnynKofPxlJkGtBJKk4sJTDKWGoDDRnImUjcsix39WABxdd1PYIgHPZ4vjMwGJTVm04pinLLze7&#10;gihruAAYfitW1tkr4DG2gChtP3Y364hH2PqIZpIDABowOorhh4xvHPqwxbIAWJYwoMgyVe2ZZ2/2&#10;gzzQF5LFqucYyG8HqoQ/yABd/4ABXv/AAHWARBXijDdqBkiLvgAOrHeQVuJBHxr9B4v9gJDBZQXA&#10;AHKDTCCeludQQcScIQACRhIQUU0JwABahUQVdQuCtr7IOyBkRA2SCnZM5shDw3FgAH3D0AAmIgAA&#10;CJEN9B2lerJgUJSJT0GrDYiY+Fyz2mkNKJUr1BLUIoRZT3DJJw4AANYImzx1w4gAF/HRFohYDI1A&#10;ABNG1wjYy7LJSSBshJXxtHePAlMJSVUrgPj8AAF0gXmAAa0ABmoxwADrkUAA6wFZEyLcG2JsA2TE&#10;AojRJeTEmZNSbk4nJPw0yZAsc4P1Qjn0NHiG2NEmQLpOkCZ4OSWDx3Gytcib42htn1kEGLLsAACZ&#10;fQzIk893YFJiEJaqcUWiHjzSFCTM2XsvyIKwVk9KWjlkfIcA+RVEo9AAIiHTNUoL43ymOfOsh9Ky&#10;zMN+M4+80MjVrP1IRLAcgAAgz1IKDafAAITimAAFKfz7IHHgIoJ2ggABD0HoCNxfRiSCA7ocAAT1&#10;ESCs8GbRUAAW6MEJgeQt8YVqPAAENSGQEgh7UlAAEelAADcCVY+fh3ZBGHgzbs3g1KqZtgAGVTkg&#10;sxAKSGZs3sg8RzJEEW8LMAFPAAOzByQVgYiQABTqhOBSaugOGiJe0snUV5ZVSq4UNng6qwRlMARh&#10;nlORlVdIY2l4EgyVTNCTM8BJDZUJQblHtukfY/rkBaAB4c0pCg+sAqhL6YZIuFceGAxAoa0WLsY5&#10;QgKAACBQOCQWDQeEQmFQuGQ2HQ+IRGJROKRWLReMRmFqmONkBR8TRqBP2SDAsSdoyKItuWFWBqkA&#10;zEAyqaTWIv+cABvzsAPOfTagUGhUOVAyjAAg0kAAWmQli08AAmpAAZVWKrqsAAX1sABevQV42EAM&#10;CyAAHWcADq1ABcW0AEa4VGpxBb3UAAO8AAR3uiX2/X/AQePgIACDDACZRF64sAOjHYHIZGHiTKQV&#10;GZcAFDNQ0b50AO3QAAFaMANLTQU0akALzWTRla8ABLZAAY7Wez+CNzdRVh70AGHgQXdNyC5QSTTZ&#10;BLV62zg6EtDoAAqdOCyxt4iYgA5dsALLvcLdwh5eOqVaVIH0AAtevsTOEIj4ABOfPRaRn/e73m4E&#10;YAN7/MKw5dwE9rJQLAy/AzBL6gUmifHmAB1QjA8JwpCsLIYnB/gAcEOAA8Z5IysJ4gAbESwvE6VO&#10;SADjQIiACReAAkRkAEXgIiJwxwABrx2AAlR8iphSCAAJyIAARSOABcyUpamiLJ0aRhD4AF9KgABV&#10;K8mALFCRQyeLRgUDQNzEe0tzLM0zzRNM1TXNk2zdN6LFRORVpkch7zuRgwT0cpVT6cSZA6lSSH6k&#10;yUIQUVEAWL1FnqlThxAgQGzgvp+UrHUeH9TNJ03MoKU8tK1xqhqnmKuQEvKGSrqyrYXgAC1XgAc1&#10;ZAAZNagADtcAAGddgBTJ/AAWtgreuKpVOui7LwAa9L5Tlmy2xIQ2jFqHzue9Y1nZ1JxYghF26AAo&#10;3AhobXGAB3XNBbStOgjUjQ5ZeIqA94gAWl6ABaIQoKHl9Max7cvCiZXYCAA7YI8DiIJbaB3iA4AA&#10;jh1+HQhJbYnZYRvzZSGOmKgAOgaFXVgY2QoLSp+AAFGToKP+VAALuWoLKSq1Sgg05pe1pV828Hqw&#10;XQAGXnyCiXoIAEjoiC5wFOkABQYACZpoAEhqCClHqYAPQQKCvuZ4AAbrls68iwNbDUyaHpsoAHTt&#10;Gv7VtaaZxEpsAAfe5IyxdGmpu+2TYA29to2yGYXpSSAAJvCWmhxtcQADhx7H6KSCYQARFuO5uaAA&#10;f8vLKCwidQAGJz0rSwpktbygsMlMEvUC30nV9Z1vXdf2HY2cU/aCYwZTpkA8Mn+wfSpwAiZZKgcM&#10;pkAPdvcxCEQyQyBg6wYt+JDLCIEM4r+sTqKOGV6Bih2SIWqADrABDPvfKh3KqSIKKmr9gAZJVFVZ&#10;4Gv5gAd/7Y46OThQAAT/6hIs4AAACPANsaxxbsXYq+aBREl7gAd6RBuQ+wADigpAtCbCSBB+g0AB&#10;RYXiGgrhAAAfMIwAALhMAAaMKTUGqNYu8CsLwAOPIK6IiogobAAUQKIgr7BqgAcARBwgTVLjXYMc&#10;UypBF9A8AAKCJhBQkxPfCSwgon4qAAB7FchLMDzEiYcBFnrPyCRaZkQN2gpwAPzBqQ07YcjunfX8&#10;wcgcFBxAACFHUmiMgkAAEpHuCyzVXgWa210lTdWIR9kMm98Di2cEYQcAAa0j01LJczJIgjOH3wRT&#10;UUYBjoAVIEBzJ8AAD5RLucG4UxJEHEDaQ2h0IcrSbk5GbLEAA5ZaK3VyDSXDhnNISc8MSTjmXZMk&#10;BE/ob8h5jTHmRMmZUyyVLdEWAsD80RYkDCE8VtSGRtIZCE9YK45SEH+G8C9QYziZPTmMOudC1xzT&#10;Me8YlFg454OMCURWXq6GYvxAAPqfU+Z9xJY/IAhD71gi1WGfxYpES6wHkkXti07I+wNgeQ9paHBw&#10;UOKHBgrRXBW0bIbRh/oJ1gLCXXCw1sfwAMhGMTSdA6wASfByQUKVMQACKpoQ00A7QAGdBvEY45bR&#10;cU8XyvuJgoCCtlHoABcYNp+D6gRI8a0CCCRlAAH2qhQTvCyl/GIgtUo0ENE9V8AAhqxRFIJUlcq5&#10;ygOLosicrwFwASaJpCMfIAByV1rXXcwA8K9AARwOEmkmGsvjJyhNriklcKBoOqIijOB8WNbO2lza&#10;J4ugADFZUAELwKs5LGWWIMuiGSpcUbtH08yGM4GDad+r93UAlAA0gFJEa5JJSWleTsNHZIZG9auh&#10;teLeW9e8QECAACBQOCQWDQeEQmFQuGQ2HQ+IRGJROKRWLReLgFURspAOPKSBgiMSOSRF/SdIPCVH&#10;Yzy19tyYNyBiOSzWbQx/zkAOSeAB3T+b0GhUOiUMGUcAEWlABu00ANqoAAlVOKsSrAAFVkADKuRG&#10;VPAAL6xAADWUAES0AAEWuGv23ABaXEAEa6AAE3eIre9ACPAMACPAUXBYPCYWIB/EAACYuTScAN/I&#10;YbJZOJUoi4/IwRD5sAELPACTv4AJXSABSaeCpDVAAma2CmjYABebMABbbABjbmh60mABsb+ClDhA&#10;A58WyWZxckAFnmAB+c+CsLpAANdWCiTsQUedsAKDvQm9LcAG3yQUMecAVZiQUUe3ndAPfGw2OGPj&#10;7AAX/kAW5+gAkv+ABJwEAB5QKrauoIR8FAAFsGoKnJ/gAccJgAMkLNAxy+gAbMOAAfMPgAFcRIKQ&#10;kSgALEUIar4ABpFqCkNGAACtGbKRrGyKgpHIAAfHibPsfAAHLIUbyJIsjSOhsIAAc0mAAdknqGZs&#10;pPefkbAdK4ABTLUkIFJhzJ2nslRqLUyPw/UCnkABgTWAAmzcAAAziiKoG0ACYgAJE8gAAU+ILH4A&#10;F1QM4TlDQN0NMwXoidVFvSq4VUeAAC0lLjJNCMgTUwTtKU3TlO09T9QVDUVR1JUqFFHVAMgPVZaz&#10;iAIY1MwrQnODtalUCtcDaiFXQhCKCV4gkxIfYCB2Eg1iIc0M7JgAh72cAVY2jTdfIEDlrADFoaT3&#10;Ps7zoqSqIo9SsK0rgZITJRwXSABn3YgogXeAAIXkxrRFrey5rqu4Eryva+n6wARv7aWB1HWoOgIs&#10;oDWgh7Qn+yBvn3gmCUWdQAO2HgCtCAKKRyCh/GRkEqoOM2SAGsRfAHXAKn8Y+W5Em555iAAe5oAh&#10;6ZvhaLEVnZ9iln1qOu7ADIIHWin8UWkZehMZisAZnaevyBkpqZ+Bjqx/B3rOhoGU+un0GuwIiLex&#10;gGZOzaigSYn0eO2AAGe362m5PbmfYfbsf5F7yARM74AiCGjwB9AXwaG2Vt4ZgJmJ5gEEHGn82Zea&#10;ViXJgACXLAJeQIAFVyRn3zx/OScXJcp0nSpsppu5tnChJ4ckgyHGtHhUAAG9rUTnyqa3dABZx7sl&#10;DQ+eCAElF74s2zfziIW9O88iRbdoHf6IAOkYVI0mIfsABsxkx3Hr80SiGKUa9fZH1SQC0pCGNoH5&#10;KD/UiZ+hL+SRdN+v7fv/H8/1/do74TIBXMiIT4AIOT/DBO1AaAAEMCy+EegMfwAA1YJPDJ1AaCxF&#10;Xvl/MCQgb0HTfHAKmEoqpVysgKQOuZYJOnADRABB0bwAALwxAA4oADVlYQxAuRF3AAF7C1XwEYux&#10;eCIHhgaX5gEF4kEkAzEtccJiILoXUsqJKSB9RVh+AB8UECCGLb8Z4ISAUBkMDdGMAAv4zAAZUfMX&#10;xkmkCiAA3kRYAHPMRSUhqI4sI8RFIag0FpBWig6AA/4hqHx8gAbADWCiEXzgABFI1DaHSCDTkkRV&#10;0IAAlyXIKzsRQAGsg7k41kiLnHOKGA2AAT8p4YQySU3YHwAEVuyAAKmWRFRLy1AAJaXBBRcy7Ood&#10;aKaRwIzBcq5Ym0OxwzHl/MlgkOxrzNQwaIoUEBmTTMlANtzb3nuUTuO2bhkgTzfAA2MLYAJdi5eO&#10;E1Qb6yHvLJgnhPSTx2PjiaAAI89Z0vTOmjwB6iFFKMXFLCRcyiBmhF6pgEwRKBUJoVQuhlDaHEVI&#10;2KgGqrhYKuArQ8g77U9kDL6X6JYGY0K4fymgAC6RwSJoxL8HNKwAUfIbMccMEYJwhhGeuEsJ0qAA&#10;GLTsAE3B2gABhUEABiAPgAeKL2fkOIdHQh6t+ESGiIKBF0QV+QJaU0MNsBZ2jtonk6pgfst9V6xV&#10;jrJWWKc+gAATrVPcjEc0JIUWNWauRJB7V1WWTKuJQqvjor4ZJw5ijGP4dQk5KBhg72Hnkm6dFGiG&#10;reW9VWmQ1QAHxA9TghAw7MLxXnBl8M/lHKQoDQlCA/ouAjgWCGk9c7VWrdKQEIAAIFA4JBYNB4RC&#10;YVC4ZDYdD4hEYlE4pFYtF4Yqo0AwDHUI/5Ado6AQFGJNJ5RBghKwAIJcAJHKZlKXVNQA55xM51O5&#10;5PZ4MKAABDQ4i3qMAGzSQASqZFWJTwACqkABZVQAtqwAH9WwAQa8AJWEJhHQAurMABfaQAF7ZEX5&#10;bwAtbkACXdQABLxDV5ewA8r8AAXgQAJMJPsNh8RiYgFMYAAfj4q4skAH3lcVl8xmc1m85nc9n9Bo&#10;dFEwdpQBjApYwDJn7rQA4Nho9ls9pPnXtwA5t1m2TvcuNOAAAHw9rO2rxwA9OVhwlzQAKegACb09&#10;VEW71wA0e1BRz3QAGPB1YQwvJjshaRfEZq6gBT2IABV8QABfpxczrX6wBP+yD9v8/8AQDAUBwJAs&#10;DQOghTQUC68AIVaBh4kbVwQioDQsfgRwyAgEQ5CiLNudbct2uolgAfMTs2kB/gAXsWgAD0YAAE0Z&#10;s+mJdxuqKph1HbPr8eQAGVIKChXIgAP2E6Im5JQAG1Jqlqaij3K0rh2yqu68iBLIAAbLiErMXS0L&#10;UtgLrcuC5FqAAjzUAEOAQgp6zgAC9l4AELAMAB9TyAAEz4AEMhHD1Ato5oJAACNDoqclFRNFFBUd&#10;R9IUjSVJ0CwIFrWtqYowt5+AAcdPymf1KVHUiB0UcgASqdrNvWABv1ew8xpal9SoQrdRGbXNQp4m&#10;IeV8ui7U0hZ4WIABf2O+b6yyIEcgUiJh2gsCWPQ9SbSk+IVWSAtaohFR/nvcASBdcZvW5c1z3RdN&#10;1XXdCNFUHiBlokYH1IfAD3uPToBSRsJXYgcQREcwAClgjPxOfK4rmoYQgAGOHNGV2I206TqM9H05&#10;L4gkiBXIz9yTJajXKIeRoqa+TSZJ1LABkYhyuAiGy/ML01kiFOYTNAi5zZoAHfnoAGDoEty6H2iY&#10;xOjhgHP0M39piGNKBwAArqSKt1gVwHvpus61reua6iU2gADWxPEi9bgAcO0V3r21sTsxt7eAB8bk&#10;z9cmaAGbMMGu9AAAW+3ZsQNABp4AFDwrD42AAu8VsiDVPIEhIJsCmCUiryGE816WoiFW2u+T6W3t&#10;kVHIEvSA7tnT9R1PVdXQJU9cBKBmZvoBWzSUVHzP5yseB4Ra5gGq4HgrPYPm6hKJhwY4hiXP4oJs&#10;er/OchyLI+Pm5lBtSfyiGRUABqe8AG3m2AALfIADuhzvm/IhFpegAFv30xMmazMubp+dxxmfzpVA&#10;XGFzqi3gAcI4if3WLqT47BwBFR0wLOScuAsD4IQRgkYle4BwAAbgw4wip+FPKgg5BOEBCzKj7KQU&#10;qD5nYOP5GYYd8gFnjMMXWvo550SCB7hs3cuBOwMw7AAG+Hx1XuJNewccap3zwtSAq+BuDk3Knld2&#10;zJap7HOrZeY6pFQVnSAlQfCGLkXTOEBAgAAgUDgkFg0HhEJhULhkNh0PiERiUTikVi0XjB/jQEFU&#10;da4CkAkjEjkkRDUnAAXlUllkthrrmAAc0zABSm0uib5nQAWs9AAhoAAGNDnEWV1HAAFpQAJtNosR&#10;eVRAC8qkFFdXAAnrURbldADasAAJVjhL9swAYdpADvtgAAlvAAbuQAGV1iq6vAAF97lMriD8wAAH&#10;uDAEaP4Ae2JAA2xlxuYByEFW+TAADywAEeZp+bzmdz0kpQFAAe0kVdmnADx1Wf1mt12v2Gx2Wz2m&#10;1223luhAAd3gAyABkb/4QAcfFAD75G45XL5mc5D7ADW6XNgWndgAbvZz2MG2+yPUoo+8QACfl73A&#10;gjK9QAVvtp4I+AAQHzAD++wAZv5ADk/gAq4VgAE0BAArpuAAbcELEsiKGFBoAApCAABTCaGvsfwA&#10;GhDIAHDDkJQoA0QPA5ThH+c7+HIDwgxUfkRRbF0XxhGMZRnGkaxsgZRxyDIDx4bzfgRG6cQgCh/g&#10;5I0goumB1gAc8mgCmwpNsnR8p4nygBCoSiOUo5XKSpamia2yonkqaqoGf7/gCrQTq4rywG1BQlIK&#10;fU6AAvBdPq+8wAAYs+gABVALouyKTuAAc0OAAE0UiLARYNVHgAJ9JAAIVKgABtMIayZbgAkABH+E&#10;lQn/JFSPBTyfqAASKHhVh/nbV9R1LWVZ1LEj0ITC6BVizbfgIgkSV3WlhVot9fBBY9buDEhwWYAC&#10;zH7YdooI39g2lRoAGrbLf23ZLZTeAFXnap8eAPQQZIjCyE1O2t0oIywB0jSaGVYeAAEPe7PXuQ4A&#10;GBfoAXowTCArgaC2/As4orBphAACOGgAFmIPOgtrrSYa1ragiOhUfzdNbW0kD2EuRX3aWS5Nk+UZ&#10;TlWVouVGXBk35iU8BOWIpQAFH/kQSn+36I2ohkSNlaklACmZzAHKEpJ2npa1RLChhi5cuS80U9tr&#10;Mcyl5X80zXNpuH/b6xiUANwrQtWGgiAAd7Wty4GJt8/0Cutz0IvIZ7u8jzIYdO+T5PyCUkJ+JIhQ&#10;tPH6zIR1zWWP5qzdQhJXyJnvyZ/aNxTZcY2eeoRzLbZ7zqGW3UkSHa354xIczfm+gZxwsdVPdO4R&#10;3oGdULHhEh1xJKjORIDMQAMBsSSI4QJoGBzfgk34MIGD0SA+gYLt+BfjIGf2gs7n6F+u2Hsol7aX&#10;e6iNigDIwOXeAduonYBy/Yfh8ffxv4ohzbcWvbJqgII39AC+EgNi0EwyzizlFCzAVh7ESILfGxAt&#10;SilgGQPNsv0YAAGsLvXi4JoBww9QbTy5cloP4QQdAAECEgAIHgMISwYrzYmEoOAfC8AALoZMSfeP&#10;gAAvYcMSP+fg/SEwUscKWbFz5wn0kKdEaxEg92dAKflE2J0T4oRRikRcVkVQmoWFjEeKZD4LAti8&#10;4NaKSiZE0aSbVKaVWmpXSy1FLZSDdNWNo1gqjWiCQ7a6RBg42Y9AABpH1vwxQAEnA0Ysxq6yBp9k&#10;Aopmjcy7l5agABgYFSEx6GythbIAFjggAAswcDDGHQWIgO6URBZFENaCXIDbcYmRbWk4giqdB9HE&#10;ONKyWhnkSLQIEOREg1zfieUaLgFEwR6pnfDLUiKthVzJAE1AFCngqrPCyb8CjyJjIykyZUy5LETg&#10;AjPNWbxsn7SXMGD2SDBH/nDDxOkzweZ2AAAhO8iJ0hrAAgWNgAANZ8G7N6bWHAvTUmrgs4EiIhqC&#10;T/HiU9Q4OQABLoY1QhsKkDQsQZC6GEMgXUGAAL6jQAAF0dAAESkAAB50jozRtjVDpvkJRIItnQdq&#10;U0vpgjcgIIAAIFA4JBYNB4RCYVC4ZDYdD4hEYlE4pFYtF4Qqo0eYGgn/H39BAFI39H3/IYGAZUAY&#10;I/pcAJXLIEBIJMZNMoFJmZA3pK27Ji/IpGAJM/4RMZc/gHI6HCpxBKNBxfU39TKJH4xBZXUYdJph&#10;Kq5Ca87LIAXNZwIUrVWYw+bcAFrcQAIboABjd7ZeVdewABb8ACbgbzFnlhQAvMRUBXiwCJ8dEW/k&#10;QAz8pUBZlwCJs1DWLnQACdAABlo4qutMAKmLwAF9YAKSAGhsQA4NoAA3twBZ3NV7Dg4o/w9wX4Ee&#10;Jvd9x+RyeVFBHzQNFH50X9tHA/YxK+XA5v15Vvu3E+x36zT5r2IfJpQAHtA2xJmDK2T0X4yxT9XB&#10;2fx+f1+mJ/Qa1gLhagYdJWJqTBQgYHIG57wLAhCvMGraJuMhUIQaAJ/gHDQAA7DoCQ0paMK8dMSH&#10;4esTvS/cVRXFkWxchD5AAasZgKHsbACCscxe148x65QDSAABBSGr7yIYa0kAAbElgAGsnQ5DsXoI&#10;XsqAAeMrgBEAACfLiIkZL4AHXMTlELMoAKsiByTUABqTaAAlTgiphTmAAJTtOs7mRPS5rqu4YoKd&#10;VAgA/piAAFVDn4vwCoK8SIvCj8jIrSMi0m7J+yAAwGuCDx7ylT1P1BUNRVHUlS1NU9UVSVNVnCpg&#10;PKKo7zOOkx9pMOgr1wSSUu1VZUgqphhoGE8HwtIqasHDoOgAClmVSicxHW3KzgAtQpVAtx8rguS6&#10;BCuy8VGvZXL6v7AibUDCnkw7EoIGd2gBTaGxixBeAAe97AAH18gACd+WMhhk4BcdFtGGTStO1M8A&#10;kAE5mFK0sNuDYAHLidnIFeDiAjiuNYqEWO38h8YnDkWN5JkqGJMcqVl6+RKPkbpV5geBA5nFOTZt&#10;m6JHFnQEnxnoJpMJcQDakwRJWBOcU+D+lAAAmmt9QJ1AAeep6RqurVNGMZmqAEbB6AEcgrHaXo0V&#10;QARIdIAARtTZtq16IA1uAADfuaKyQa0lSZJwayhZVPyoXuHHjLMNy4J6IkXxAALIdjlEPx0zqah5&#10;tcmABuctN84ooV/NgANnPAASfQgAHHSAADPT4+gWoUG/tDUPgWr1ApJCM0Ew+9j3Hc913fed732c&#10;FR4IsRATCBge5KipWZaTCMK3ncEideiolZOJX47ln+B3tH/joRITWUK0hU9oAAc/zADatrreuJaz&#10;5bs/VJcPYXLc7DXmxTGMdYaEHf/oAC/gAQVtQCHMBKIqoQAACoFGiNIRQ0wugAP6TYm4fsFV9r9b&#10;OqMrik1Nj+AhB935DEJM3WKQkEEJwBNNAIpUg8FR+j/MiN9msIYaERF6UwY5SRSAlh4NyGsP4gFi&#10;I+AQbcRQhFMCqQMIDREVPgiEP+FhFirLwhVFEhpRXFuBOUTGIKjISxdQuhSLxvUYt2AC11HCOkXF&#10;egeABE49VqFrZOVhdAABxx3NcS8F0e26pJSWNhJqT1kqgb/FpLThSIh+kUABbByhESPdSQ1yY2gA&#10;DdksAAJMmSIx1fvC4AAR5QAAe0gohjUx5gAF3Kl1wKh+wqjAcklY/SkgOdqtmV8t5cS5l1LuXhg2&#10;yIMAAIglYcSMFJH6SsMrzgrCfOSJmZwD4PgQFcUwIRGEtAkmwP+BQClYKnhG+GMSYUxABfMOcAT6&#10;VPyNfY+5byf1wF8UUYAwSn5OLrJyYsFZjTHkEYmOUAAyqALLWaByggABr0HgLAd1s24GMFgcacel&#10;EQAAHoo5AAS9V7qig2QxZI/mMS9hq0oD4AVFRWIRJYbsMycvipApRrBJhxQuEMfIUZlwWD6pbTmX&#10;MkwVFMEOSYH6CSITfN4qA7CyQAqYpMQ8dtTR/v9HfSqXMTqdF5UaYOMqSIzo3bAi+Nhp43xxWsqN&#10;uzeJAN6b5IRKqV3BSHS6Qwe1cQAMzECcqigB65szkiQySblXLyZCTXsgcWYEGvdrKsiNUAADBsYA&#10;A+oKR/zxVHFyEhHxuw8BKCSqtm7OO9ICgAAgUDgkFg0HhEJhULhkNh0PiERiUTikVi0XjC2jQHec&#10;dZQBkAtkEggj/k0nf7UK8rF8Df8YijFmS1c81JUnhoWnQADc9mE/oETddDADmowAKVJoMVfNNAC1&#10;qAAENTAAxq1LjCurQAAtdABNsFYibysgAXlngortQAE1tADSuAAbtzqVUqwxADcvQAbV9ABKwEVY&#10;mDAAKwwAGWJhs4cGNADPyAABOTAD7ywAfmZsWbhQezwACOhzmj0ml00GDmpAAH1kVubd0+x2WllE&#10;jeb+3DKk58E+9ZOz4HB4XD4nFhmvB8nQknJcjDkDAvGhmeD1cr0YnEdeYAobr6Xf8Hh8UWzL8ADV&#10;9AAHvrAAV93DnC6+QAev1pFK8LW/QAbH9AAawAAAOwG6RewMAB4wSAABwYAAnwehpswkABPQqzgM&#10;QwAA4Q2ACRoivptLyvYkRIAABROACcG/FYAGhFwAAdGIALIeUOpIAkcIi3B/AAfsfRsAMgIbHYAB&#10;fIzxvAk5+q6AoOhBJ5zyRKUpypKsrSvLEsy1LbNlRLwmxOARRJGA6BjSKs0FC4zXg9HZux2AkVm+&#10;ADtAABc7rqELrOjLjRu6oqjqSKTpKafKnqiqc9Lu8StFdPavrC40aLMtCCBLS4AHhTTuKIG1PJ4n&#10;0PNeAEJGyv7AoowZiMKw7EhkhMiGRWQAHRWqCwwDFaVtPqEuo0DRV5YLggvYgAAZY7XLpYVlpckx&#10;0JGSrLH2WIU2qadmWxbNtO+/RrAmkYjxwAg1IGGaRgQ4TUue1kyuwk0EQUdt5W3el6u+8rzvS9Ye&#10;va97hPi+b6nq+9Bvy/b+mw/8AwGDsCwPBJ4gBcQACZiqGkJjD6PszYVY6AAvZBISIRBERuAAI+UR&#10;NFBm5YABxZfX4I0zTacPDBgBgAFmdXszhYBJn4o55oWh6JoujaPpDNkzpYFDPpx7PCbepI+kAaoQ&#10;e+sMkymkopP6jHMAAo7E6VpAAWmzgBJ4QKqq7wlft+JRysAmukem7AAXe8oTm4ACNv2tAShJvcG/&#10;j/MAJTBMIwwFMQxSCUKACNFsgu/CMAFVRhGSayjbdfNDmWudCAAIdIAAJ9Ois5ABInRM4lCBn0k5&#10;UxcaAxCt25+9b3Xd90anfCQA3gkykYOpHIKgYYAHggMpZ7ecAHN956Xd3w9BqvU9j3Aq+F3vkXWN&#10;YHQTxW7wuEwBq3kuNAxe3hiO+QeJ6EnH+YAEp+zTB3/NIbpD2Rr8XpkzKAjqUF4+AAAFIEAAHZAt&#10;K7fGdAsemQwk4+lCgNgePqCMGYNQbg5B2Dxw3fDUAkAiEg7YPkXa8UdiZ4V8EEhWeCFpA4XnESI6&#10;wgYGYcAABnDtuIBCGvRGjEFU7iFUuKVaYod0SQADDiYo8IUTwAQkXQ94AADYrPQJqvRzywITrYWO&#10;AwACxALkVfmOMAA+o0RdIaPsk4yTyiLBRHEWZIyXxqjtHdKybEdhxJGGIgYDiIAakE4ApadR1SHj&#10;xIlLj1V9PZX8cFgD32BMEfGwc/z50BIEfUw9BT70IEEHxKEAAhZSRnjSZuBAFAAG9BO/tkRD2SPk&#10;SZKaDAD5bMzHgluBzO5EknEwpcEoaZFTDmIacgKAACBQOCQWDQeEQmFQuGQ2HQ+IRGJROKRWLReM&#10;RmNRVtR1XAKQFGNyOSSWHOuUABzSuTS2XS+YSMVzMACebRFuTkAR1tAAlT+KsShAAFUUAA6kABpU&#10;sABOnAAe1EASABQVdVcAA2tABz12Y1+CB6xAAI2WwWe0WmLge2AAOW+KytzAB73W1XeNvR+3tHPu&#10;/IsWYF6XjCYXDYfEYnFSN/40BtfIDUCZNVVQOwQM5kAAnOAAA5+MvbRVyvYvTafUamLPzWABq6+o&#10;VIK7PCY1/gCrroAPXeAApb/TNbhABscUADXkAAO8vEL3nAB49EAAPqAAn9eCortAB292vnXwABke&#10;MAEnzRV0+nxeQC+0AZMCXS7aqF9QBgDAiz6ajbP4Sv++79wFAcCQLA0DwRBMFQWu7IGuDT4G+z4A&#10;gI2yKwm26BwshkMQYgyUHWAK5AG34pMQfMUAAWsVgAEMXAAGMYtMV0aAA9oCgAJsdMQeUegAXkgI&#10;If6ZhWAKbBOnCdJ4nygIoYsngAdUpABC0XBCAAXyyqaQIS3Ksq2rpzwVDLPLCsR+rKCMyQ9NiXvs&#10;AAQTi+KJu6dp/HhPB/IY2wArRCaEz4hE/0CgcJz7DTGl4gZCv+EpgTbSFI0lSbVOEawJziEBts4B&#10;IIpGup7n8uU1w2h8O0pVFUpK1h+Nc14BqiHoAtmCrasa3CsN4erfOAxdLOI4zkBq5TmMO5xeug6T&#10;4AAJlmgATloAAbtpq+EdrAALFsgAYduSYJTPNAhELG9cgAGjc8bPcvZ+gAf13NTNaISyF92I3QiX&#10;z/PbG0Oht+XBcKBXcfxFhNgo7VVhGE4VheGYbh0FJybhJoGNmHrvECVJZEsTxTFZaxbF8YhjGcax&#10;vHMdsPHp5R/IKCSImqbohiIAZmI+bIjdeWUU0R7AAGmf2Iy98oXLytAa0kxUksQPLIs2LYsqmQSu&#10;ih56rKMp4c2x+wmVsbjiD+wLnp+x7JssF4EUiBi1QyMHxtwAHLuOzbnuiG1ZVxqtiHoAVpWzby9X&#10;VeRNXzhuKbDjuS5bL2M57onjf4APSdIAG/yqvz+P3MgBu5gc7k4m8ggmBAAZnSgAcnUAACXVgBng&#10;AbcfFJze/O6oseGBAxgoTHz2ve993/geD4SLNsAVpm6e6BgN4aNYwuXBY53mPalGEZMXGhXXTHEd&#10;dBlMfSBRWXJpI8km4naO28htQZ0AC/H2AAUfiAHdIrztHgX/GkUnpem095ibU/gigERV9bz1Um2f&#10;eQIXCKB8haPyYN/8EYJQTIKwISqEw1EjH1BsAA44PQUhAqlu5r28g2hMAACkKTEC/hYfJ5JP1vmL&#10;dQOQpRTAXQ3LcXAw63BhgAZUAAbcQQADviIWkKcRwAQmBtD5Hz9nPuQZzCwX8TGVhCisABjEQRtu&#10;vbepJ2ZgYQkHYEGN3QnowxnjQRggIIAAIFA4JBYNB4RCYVC4ZDYdD4hEYlE4pFYtF4xGY1DW1HU0&#10;ApAZY3I5JJYs65QAHNKwAUpdJok+ZkAFrNQAIZwABjO5hFVdPwABaEACbRZ7EHlSQAvKZBRXTwAJ&#10;6lEW5VQBHW0ACVW4S6a8AGLYQAD7IAANZwAC7UABlbYqurgAAbcwA57tR7xCA9ewAEb9ecBgcFJg&#10;DhZvOcKAYi98ZKpZg5g/8k/YGp33lzsKs058hnc9n9BodFo9Jnn9p0ViTrI8k/3O3dgB8SEtLtdt&#10;t9xn35uwA1d9ueBwYjrQA1+MAHnycgL+YAC1z4LSXkAGB1aJRnr2QAv+4ANO/gAQPFY7LWABVW4A&#10;Hx6+FEwH7wALPl7fpAta9BL+Qb9f5/f8/8AQDAUBwJAqDGZBACghBZ6IGA0DP8lB1sccyWpe0aZH&#10;ymibJwEKdJ42yflcoKhqKJrSOkpamoIp4VqiqaIPQq6Oq0rjiHBHAAGfHYAQWCAACDIKwLEBUirY&#10;tyKLgXUewWABySfCCQAEAAUyqAACSxCEtMDDoASkiMMydKD/NafrWly9ApK2JUNS3N03zhOMAO+N&#10;7Ekg1jJHgxIMsSfD0DAgZJIG/c5ULQzbN2fjet/HwAARR7QOIrx0oKDNLAA4jRnfTYATCBlPgBT4&#10;GNA74AFvU4AUSyAJ1YAA61eADEuipTuF+AAh1wAElAAA9egAI1gRIAqCvNGT1nxN73gG+L50OyDv&#10;jSE1pExZ1q2ta9sWzbVtpGbNvEFKQ9IJWTWsUh1zIExN0IS1p/oPdyFsTdqG3khFMoveqBwkAKVn&#10;MAiXCk0kwpqWrDw8nYYtvEVhOvE7RxSpheIIf8WgCqQTqoqzzCPjgAQQZgAHLkUqStKoUoKYmUgB&#10;IoFSOGS3risgHn/kRy3W/1HgQfoSZ4ftlW5oCCBBoYC2Vm6F0Sf5w6WfbIslo6DVlientaXjvi6F&#10;GsnZoOua7r0tO+OLEkdPB/ncxIPsTBqFqwMTEk2gd4XSw1y3jcepIdeaDbkhN5XuhV872ySScDdn&#10;BohwuvoVVTfGqAoe8gAIK8nSPB127J6wtgLbGtzoAGx0AABr0YAA70zIcwABGdWAB7dcyChWGP/Z&#10;4YhHXHsABcd0gvTA6AAZ+BLyQITYqrWPA25ADLACH9FtFW3uqH7xwR/nrngSAmxLwcV7nu+97/wf&#10;ChJt/IdjEgn8SjwlCnNYEmeCYND+ExCoHY4bFClYipyoYvjL0jfgArEwyKTxBAL6X96aQxigAATA&#10;1lzMElgOgk+w/yrH0AbgxAJqD6U4tDBAABn5EFSwAG+bc745jpAlBpCt3EHIXQvhgRU74XiBigXU&#10;Rg1sLXSpSHcRQ1oAnyDbEulIM0MYjHtcYb9yAPQAOTAq5VdzlztMANu50azn3QujBq6V05eTiB5j&#10;Aphw5glZCEjNCA+BCB+xrV0XF44OI4AAUsBmDRDTYDdAAt4bJ6j2JuZ+fIFkRyFrtO+FRi6I5BSJ&#10;kUQ8gICAACBQOCQWDQeEQmFQuGQ2HQ+IRGJROKRWLReMRmNQVrx0aAWQMuNyOSSWSuuUABzSsAFK&#10;XSaJPmZABazUACGcAAYzuYRVXT8ASACgAm0WexB5UkALymQUcU8ABipRFxVUAM6sAAD1sAD+vAAG&#10;WGGsWyAAE2cADK1RVdW0AA24ABz3OjxsOXcABO9XW+X2/X+IB3BAADYWIv7EABv4vAQV/495wM5C&#10;XKJzG5fMZnNZvOZ3PZ+E4h/FOBqoA6cBRjHv97QMTALYOWYN3aB5+7dW7ABDTQb3fb/gQt+cMANX&#10;jAAe8kABXmZrVgC2roAPXqS2X71rdkANjuAAa98AYIOz10+UAI/0ADn4DTgEAHv4W+4wjqPUAL/8&#10;AB9fsAAT/KIoz2oibUCAAbkDgAfEFOCioBwcAAWQjBkJoidwSQuCcKQ1DcOQ7D0PxBEMRRGiBtxM&#10;2SBAyjD2vcg7Vn+mD2xggb1wodkbpUlYBJcKTPJkfKaJsnAQp0njep+VygpBAAms8pJ5KWpsaQiF&#10;gAhNK6GnDLQAGbLoAAdMAAB9MYAQcAaImzNMEwWtQZLYtwITiAByTpBgUTufzCgNEk+Q8Dc/gCs4&#10;Exah0XtobsZsaU0wAcNIL0eek+0lSdKUrSzDsQJ6Bla9szou1Z7oGFLdHCzM0myJTdFSgYFopFiE&#10;RfGLT0SxzH0vW6RuGfgAOyawAuSHoAuYCrnVs6LpurHjfV67buu+GrwsGkcngAQ9rAA0TGzNIoYg&#10;AKNvv6/6CHdcgAGDc75AaAAc3YABe3fJgAQEiECG1A0EQUfFcH+F1+1pXDOtufofTuFBi4BhGE4V&#10;heGYbhy+VOGEzGfh8KJQdccnM60es7H8glqm6cp3bsjqAoV4s7aimF4goV5cAAT5igtsqwZwAKqc&#10;StK5AQlZ6ipiaAAAFaGtK1opY7/AIAB4aYAAJaeAC7g4hpp6qAGCyUoaIWYrYDgBC4SYrsSR2HL8&#10;wog55wbVbDEpG1ZqV0I4U7njWx7tu+8bs0QboGYb260izVn0gYct1mzgRMbZMIGMW/7zx8Q104rj&#10;2A5bmsy59jvrjdlu07hsO88DxIy8p0gAR3UM0uF1Dh1roLcJ3Y3DpUDm4ABpdxy1iB13lkPsYHgX&#10;jeaH3re/bXzSVt7mFMywfyCjtWbDKBL5nn+t6/sez7XsXqX7dCB7bMYvjPOY6maa5BIduN9JGs5Q&#10;zmVSkgeXBXmGZH3/FzXRaivB+AA8YALNdAz0JTP2ggLgQABfoLiKi7gcAAe0EQAP0AAlcEy8jTkJ&#10;OeLKDgAAjQfLMWgiAt4SPNTOCOFD4XstPAkAACMLyInPZwAByRFx6GiC1BYWcKoeQ9h8X41YPDVi&#10;+ccp8x7gyBA2N0NFDyhwPGiFoe0FsP4qE9ckcYapyDlNlcwsYtzm1lHYc8s50S0iJwAHiAARMawA&#10;MCMaBSOAAA4xzbYP4AAtI8LxGZHsuRdIKPTAAboAC1HgDAeFBleiBXaprX0iJroAJALbirEYf4/R&#10;6SXA+yNFEk5OSdISQECAACBQOCQWDQeEQmFQuGQ2HQ+IRGJROKRWLReMRmLuWOBR7R90AGRAONSW&#10;TSeUQh1ysAOaXAApTGUxJ8zUALWcAAQzsADGfTOKq6hAAC0UAE2kUCIPKmABeU+Ci6pAAO1UALis&#10;AB/1sAECvAAIWEANyyABtWcAEq1RViW0AAq4AAZXOGvi7Vesv69AAiX0AAvARVbYO+X4E4eIrfFA&#10;AB40ACPIUrJZPKZWTg/MAAKZuKuTPACavmG1vSVthibUD/LavWa3Xa/YbHZbPWXp/CeBtGRAEDxj&#10;SPuBksBcNd7SSt7kGV+8tK7sC8bodHpa1+dUANXsAAe9sABXvbDSABdeMAPXzTCZdFresANj3AAa&#10;/GqVaIct+gA9fnYCD+AA0P+ADdgAfcCAAWcDsYxz7AAHkGgAC0IISekJgAX0LKOpMBIgs5tLGsq7&#10;Hw6aFgjEgAA9E8RRSyrSEQEsXDzFUYxlGcaRrG0bxxHMdIsshuEagY5R3ISHpWdaWpemIpNo0Kbp&#10;ynYQp6n7oqEVyiKMpAmtoph5KcqCCLCCAAHjMYAARMwACHNIAANNiCm7N4AGzOS0rWii2mIt64rm&#10;GSEnfPwAGFQIAMOBLQJsG9EQfCKIOqfkmlqAAjUlQbEIgxRbwSkjIBHIdOx2BtQUUCyKnPUoAI+e&#10;yGHu2wutQExW09WNZVnWlapO2wSIGaTd0Ki7SH8gYoOGARZ1sgxv2QCFGl23YaWNZ9oIJRrruy7Y&#10;eu677XvC8ZdPK88kuk9ZrPa974hq+YOoiSF1gBUpztYGl4gAKd6ITLcKwuA99AAIV+0pXqFxA8Ty&#10;SxAKRIjDkPG4AGBRnE4PABEgI2jTrbHjFwSgi3Z/4pjuPY/kGQ5FkaER7EKBN7kkZyLI5zAAJOYA&#10;BBbX0IABY5uAAN50AAV562lhrwXAAaAvoiNpfTewPYqEYkAAf6fobhoTZBvgAa+rzoJS2LcuAFLk&#10;ujwx6ABp7IAAUbOAAT7UABd7bKIYgAC+5IjaacUhSQjX+xLFsbTTI5VwCL66AAM8Kip1cQAB58Wr&#10;TwoEcuMYggWOcDyvLcvwDbVGgRxN3lKLV+gYq2HKvKw4Rrdji3YA8x1rLWm7Bqu07jvAq8CuW5bx&#10;6vRJT1PY9xsPg+Sq3ShhmeOABV+U1lrAAJnnoK8J0emABj+sgon+zxvKIefXvS6XkMSzDSH4Sbfz&#10;0M0UU7OFAAaR10aPsGG1BOaP4fv/H8/1/dZ/ObYTzdiwf4bRlhLmXQDY6xgAAKoGMGdYQwzw5AAD&#10;Ugo1lraeHBgvg0AAZsHQAQRAACmETZm0ICdzBoF7cW5qMOs3ZSKk2aqWb4Y5TcCHXJsAMAADkO4H&#10;ERZYmMeI/jdiBBJEUQUNokRJiUZU2w6zdgUJMaQNiwxKv5eAC5votjdgbiXF0gbsFqu0Wya5bZ5D&#10;zO7XA75cbwHhLneIQk8IeI5Gsh2BwAAbY8PRK5Gxq41wAAfkAAAcMg3nPQhwRFe4wJFPih6hstEF&#10;BqEFAxJNt6mSEjGkwAAB0mwAAsk9D4lgyZRQLgaUU58XltFbHExgD8qJXSoICIAAIFA4JBYNB4RC&#10;YVC4ZDYdD4hEYlE4pFYtF4xGYm2Y4zgHHxjGpFI5JJYg65QAHNKwAApcAAVMZNDn5NQA+JwAAzOw&#10;AHJ9M4iAaEAGVRQADKQABTS6BEHpTwA16lBRXVQAJ6xEW5WwA2q8ACVYYqxLIAATZwA6bVN5yO7c&#10;AAvcYSuroABfd7hcohNX4AFrfwARsFZrREFvhwBHwGABHjabj8hkclJAJlQAHswAKEAYi8M883Po&#10;ROKtI58np9RqdVq9Zrddr9hBH9sxbA2ZmwNFH/uzVLgEl9jwYWzOIBQdx1jviTwuZzedNJs1ekAB&#10;71QAFexrN2/wBdF0AHr4QAUvJzGt5wA2PUABr7QAHfhCUx8wA3/tkZ2GQAIf4ACe/6CmPAQANC0w&#10;cwOAAKQUABZwaAAmQgAADQmiJ5QsACyGIAAkQ4zShoY7YAGREYAHREwABRFKlKYzaGwEY6YJku4X&#10;oidUbQwsrSBUAACx658fuEvgKxSFB2SBI8kSTJUlyZJsnSfJavG0DjNm8zYCyhLKJxsdUCNDJL+B&#10;CAAYzI5hXTPHkfCbNbYQseQAF5OKqKsrATq0ritm4AAjz4iriGYABx0EADKgIAAh0QAAF0WhrvLs&#10;vC4guiK+L8wDBCMwgEoiw5bsSj7GMdLVRSfFsww8ziIO2UTfC/UdXVfWFY1k2DZn8EyBmgzdNIW7&#10;ZFt8O1Zta9RsCuxRP11YNkyTSjpGq6jrOwCrtN27q6vCerxvK4Tzms9L1vaGr3vigicHwAA/3QyI&#10;I3WAATXdTzFiJeSiKNNwAB/fAAAhfYAH1fwAFpgMHwjCbcohexg4TgYmVOhN/H0ABe4kAB74qo6k&#10;0QIaKxeAAG49R8aIhLkcQ1HU0yxZWUoISYSZaN2VZhmOZZnmma5kbecESgY6oYzbuIHEKIZ9myLX&#10;KrqvAE7dUSBU0yJC4Uzldk4ATWJs2wvOJeIIf6qhWAM6zvPUpLAsSIHLs4AGTtWLgZe98gPuCI6y&#10;AAW7qvNJL2my/lqwLBrPXaH04lqXH/loSH9omY6UkcWhFxzNw+iJgs2IHE8ty/Mcyktag+gZqs2B&#10;ett2TjfDLzTHm71IHu2aTtg7nqhO3n6J6H09XWY6QBOqHoA2jabuUda9sik8z0WG9j3Ph16CF95o&#10;AFz6CgRbeQiABeyCN9wYBAAIvu0ygtKFl8WFwlCmDwuYH06pNkWoJe30mAAEQsaEYAHF++yCUiph&#10;f4AAHv/H+jNpZDWRoZAAjofqPWUO2VSbuAZGEWuLIG5AgY91ygQBZBliEDIOQdg9B+ECUGcDbHkZ&#10;sBsITUohHfCtQKg0oNNTK1BNECn1tWNevZuZBGulXKyRBPLRxtP5ISiF1I3QADSiQQVUwMImMNIg&#10;o5Gbd1Jt6Us34wrgTEGKVA/WFEIHHAiicQ87Y2TfAoi7GeNEaUnK1AmQMcRAxgm+f1GokyUhYGbC&#10;dBSOjl3cLOAtH9fS/DXwjfktRsDQTXD5kUAAcMjZAgQABH8CxBRVyVLYuYmZYX9QrHeABWpBQJyh&#10;AAD6UkYSDIhFfKl8jBUKvofU1UgrIxiyzUUoxS4AJCQ/k0/t/r/wHsgRqjeAzJoaR7OarUJq7gTC&#10;0mNM2OhAQIAAIFA4JBYNB4RCYVC4ZDYdD4hEYlE4pFYtF4xGYW2Y4RAHH13GpFI5JJYY45QAHdK5&#10;NLYUIZgABjM5dFFdNwABZ0ACbPZrD3lQQAvKJBRXRwAJ6VEW5TQA2qgACVU4K/qsAGRWQA6K4ABN&#10;XwA77EAAXZQAL7QAI+A4iurdZ7SF7lEX5dQAtbwACNewACb9EVvgQAAcIABLh5/icVi8ZIxFj8Hh&#10;Yg/8o7AFlwrjc1m85nc9n9BodFo4blH+GMIAXRpNZoqg2jVqUjqQJrdtt83dX4AGrvdxv4xVn8AG&#10;XxZcB+RcBfkQDBQJzwATOlEeEAFl1+j0wN24jQXkAGB4Z5Pmt5QBHGyAA/65lNMuAqfUaa3KlVIo&#10;wvwAAf++VEXU/4AGJAQABVAqcp24EEtI0x1MOEoLwVCMJQnCkKwtC8MQyn75mogYVw1ECBtMAD5g&#10;Ae0TxCgqYBC9oYtam5XQOArxia0TvKGoqCKPD6lBOpinPQ+olAAfsigAwJbgAfclgAH0nAACcowD&#10;AaygW/q1rat60OWuUIIg3S7ryvYjAABEzIiX80vU9kUzbCrTH+x4RH8962Ie0x3PeCc3T5Ps/T/Q&#10;FA0EzrymsEztgMaaBgNQdGpdMDemq/T+HpSoAPezTqurEYn07JUmNCb9RAAa9SgAKFUAAfVVgAdN&#10;XAAS1Ypc6QmAAGtbgAYddAAederUj4AU6J6I1WfQAFpZDs1rRDuqE/BhAACtpAActqgAG1sAADlt&#10;oS18SKcqchvu/L9ge/qIP+dUpmJAkDJ1GdHXiggaBJepm3lfF831fd+X6zZqYADzkAObzUztfzQn&#10;xhTzo5QMVxbF6cXfGkbKEoheKMpEex++lvB3j4AGDkQARGIGTUncyCQFdgFZaAAZZgADq0whi3F0&#10;/surouy8FqAAj5/MszoYduiLCsbU4RpKJNM4R/EJBwutTFk7soebUge1J/6Vreua7r2vzdURvghI&#10;p+3YgUP7BfmFHxhj0txTDqilubW0KABsbxW1cA7vgAFXv4AGZwSXENwtfrYXvEgAePGcPYNPIhYt&#10;j2SJ3K0uy9iVYW3NoKH/PShKSGG30YAdGbchIrZ+UXOh903XdoVRltUMtMZMHBx2fc913fed6kT0&#10;EgtY1NM5qB6R4iCeOynioF5R/+Y5noIpOHksJ6iD6143rIJEes+4yiE+8hZ8/Ju+8UY0HnIzh6Zx&#10;c1kYdknsatDG+L+5HYA42iESml/rnHQCRAEACzCEMrAAy0BTL2YtlcczVLRcS5pfZ2mIvhfgEkFR&#10;GN6DQ+TTD9d8n15z0iFPQSWPsISBQVDHOENU1LsWqPLMIAQ1Jw4Pw1htDeHDszTACPmPw1I/HkPa&#10;ObEEgsIoikINTEYiL1yEvZia9UAMTHmvbRE+CJEVCFIjivFEyb4HJN4Gw+gwbcHMNyboaxu0YG9A&#10;1AA3wDoAA9xxAAmAloiY7EFcSL1xbjUsLCcysZZAtGKMTIYSsdx4DxMTgCEhy58CIDrkgAAZ0k3U&#10;LjWguV1hDnXQGhQPY55tYckihCQ96ESTUgfBHKkdMoZWNcICgAAgUDgkFg0HhEJhULhkNh0PiERi&#10;UTikVi0XjEZg7bjjwAMfB8akUjkklhD5lAAbErk0Sj4BAD/mUZEM1AAxnEtiqungAAs/ABNoU6iD&#10;yowAXlJgo4pgADFPhsyf4Ab1VADTrAAClbAA8rwAAVhhrEsgABVnAAytUxmcEl8JXVxAAvugAC93&#10;iL8vQAWt9ABGwAABODAD6wwAcWJAFvomNx2PyEtqTlvT8HgpzDggj+zjIl43i4Fl78yOl02n1Gp1&#10;Wr1mt12v2Gx1jc2iTqRql4C2W73kOd+/xGK3sIsO6zj+ABS5Wya3NlUsGvRAAd6gAO/XnQN7QAPn&#10;dgq98AAePjAAD8wAJ/piOGfQAWnvABM+QAA31hNVbwAaH7AAQ/wAHpAIACVAgAAJA6Im1BQANobk&#10;BwKihhQkAAHwqua6ogdUNAAshiAAFUQJ8oDhxJEqBKkKISxUWETRbF0XxhGMZRnGkaomjhtg6gZw&#10;oQl4AqkqaDpfIEbNglB8gAbMlN01i3qkmibJwGLZJ4V0RAKoKhtaox5KQpSBn+FcxACE8yoS44AG&#10;LNQAHXNoAAXOAACHOaKmfOzyvOtQZIKfs+zwAa4LkugXrsvCIMqvi/MAIwASPNk2n8xki0nIpyUs&#10;cgTiDTR8IQqRQIGL6LgMl590pU1T1RVNVVXVlURwOiBkUt0hyehdaLbVsSUuAB3V6mCBV/FzigBN&#10;DlCk5jnJWbAAOiGrpuq647p0GlqAAKtru+8LxnjP70PUiD2Pc+D5CY+j7SfOxngAcF2AAFF3gADl&#10;5AAYF6vi+dhohBRtQY2kHiUisJGFCkLUGiMNHVDiyH/d4UH++oDVziSGJeZASYuHeJ41jeOY7j2P&#10;t5HBoJfQmQRNR1lNdJ1cIsmoQpunLYyrK8sia10uS8XiCzEFYATKE6CnxoQAF/ooAaFTkVBK4JxA&#10;AJGnrAsSIQ6sy0T1Pk/PNQCELiXUL0Iu4LojPp+3EWgAWoGgAHttmoyZk24I0qRrF9uoYDPvFSoW&#10;443JeSKLgal56bjwnCouqQBmPxQDOKArqA6fjfnefgWcrvSY8NzPNRdBowIGTiB63zcSZTR1J5Wq&#10;djWQazn2XZtnx1aKddUG/a2yXrxPJrVvCe9bDvfs4neFbpk+KABzeQAAe+WrSubYewAPB3ChZtJ9&#10;8oXfd+wdAmAQjCYJfAAGeIie/y3XdoD/T0dWKkfmlSx9f4/l+f6fqlo//wAQuf2fkffsallBLDWu&#10;oSgy9KSVCek/Sw9Rm5Ryks6IIC2CQAARQVaO0MXcGVzMRCJB147yTmusaeEhtxEWqFnAUWktZCGy&#10;LdII11Zh0gHQzIiW8ZUNwAAVh0/9+xUhtJHBa5UFh7SHnHCKS9rxEypAvOKNKHkTzWL7A41oGBxw&#10;dkvA6VIGxLwCFSAQQNiJAgCRcVqQZt7ZUTpDIGP19pA4iNHIGPkt5xxikDGu2QYbkhqg6j4PeKEf&#10;3CJKGyFFrSVpAGqGpIkAELVJrDWKcs2MIXWwxWc486x2CWhpk0AAEEnXbu5W47s9LvVwO/PhB0Ij&#10;CkPD7lYAAIUrwAHaAaQVnC9RgM1LYVN65CnsoNX+wFCcOgKgAMwCkhKTx0TJAAPWZhiyPyHVM2QM&#10;zPxNzQms5ogIgAAgUDgkFg0HhEJhULhkNh0PiERiUTikVi0XjEYbkbL8DUEZkEhkUjir5kwAbEpk&#10;kTAMtAD/mEZEMzAAxm0riyunQAAs9ABNoE4iLyogAXlHgorpQABVNADLqAACNTAA+qwAAdZADhrg&#10;AatfABKsUvmMtAMNYlpplOGVthL9uFYrUEXV1AA1vFSqkMf19ADZwAAA2DoWFw2HxGJmExgTQEuP&#10;GUYvr+EdmbkUxZQAWbWOJz2f0Ghw+LATe0wNyYxsx3xYuswIxYQgdnldmf+ijOLswBfeLAcDcWbA&#10;S5uD9P0DeQm5T53HN53P6HRiLb6g5gbBswF6Xb7bU7wA4vcAFmsm3hnCAGTABS9nia3vlEqvA1AA&#10;d+wAO/5oR6/gAB7/oKXsBAAeMCrk34nwSiJ+QYABZQegoCQkAAkQqwTCIQoh5AAYEOp+oLyMW8aX&#10;IQbUTAAjbLrEJSKmFFwAAnGIAKUFaCxEcEcPSvzxR5HrCuKboTyEEkfSLI0jyRJMlSXJkmu26htm&#10;QswbydKqLpM5iUmw6MQsYi6ZhCmqbu4nRXJ4nygCa6MNKMpCCMGAwAH1OYASEE4ABVPMRto4BxHE&#10;ADvGosKxvCrLfoYtJiLWBQALayKERFET0LqXQABnS8YRkhB704raup67UrVFUaEsWZASVQHizH6j&#10;DFgIgZ9swmA9OEQ9SVvXCCG/XYEOKHTiiA4QioGFKBgc3dc2SgR7sWdyBl4sxkMmXblBMbtlWxbL&#10;xMAbIfUMXiB1DbUq0C8C41u9D1PYKT3PhLS7ry+wOvw/ScD/e9FwDAcCniAEJVeJmAobESuHCABo&#10;YQAAKYWAAdYdf0JoYeeJgAX+LQ/NTyUKuaDxMbUUI3QcWIpFxhAACWUAAFmVgBBh+ZAy9QXHmbPs&#10;WfuXA8FOdHNmme59n+gaDoTxGZor/v+dbs6HKp8aav7A58ptGO4e2qoLqTon3rQAa1WKEKsH1Mgn&#10;PaEnHswAGntORPLslELVrFHIbjbf0oAAX7uAAL70gp6b6AB0cBtul8GwrJmNaodtHESJsWXThCPw&#10;nIovjwirMWbZtm8iBsW8yBc7z/JObZDZt1Lp/z51HMIEfzFmScvXiQIPZHp0Pa5mY3cAkC3d54gQ&#10;D9s59yvDdDNx0fz1va7j3ms+Mtvm+r7vyO6hEB6oAAT7F9F7AkDUMAEEietC1HV8iC/AAD0IhiZ5&#10;w5D007JEXNY7E8U7XkkXqmCIAWqADTG8hdOLwIBELMmHlaoiIBwJgVAuBkDShIpDMQMTMDkeJYeb&#10;BSBwO4NMKYYRBgsF0VkFbmQlRK+W4l8L8eQXcK27N4d2BYAA7YZPcX7BiGzmyYC2VQCQJhtnFJeI&#10;iYsd5wgJQ3Zox4DhxQmL/DcQMExZlDxGgoYseJixYHCFG2YcYwXZBBZfFKMBhW0jTBSAiMyUiWgO&#10;jCSB4S51SLpL8utdrzF3vPXkdFAT21+IHe+gogjVR7AAGDIMAEFghSHTauAJci4AOCIUmxDowGMS&#10;OXMqx7xBGPMwfsRNkr13stHj5GuAY6IdgZlFKd0JAYAAIFA4JBYNB4RCYVC4ZDYdD4hEYlE4pFYt&#10;F4xFG3G33BwFAwDIZDBH/JX/A39A5PAn/IpNK4PLpJJoPMIzN5xC3zOwC2Z8CJzQYOOKIAATRwAA&#10;qUAF7TQAMagAAhU6FE5EAF9WQACK4AB5XwA/bFVYdO3yAGNaZIK7YARLb6TS4Y3LoAG1dwASr1BZ&#10;pV4QxMAAAVgwAMsNEbE/aZThvjQBJn27Mk/LJlctl8xQqvJgDBJFnYM9hJowlmYO/tQ/JEA4pn9N&#10;r9hsYs0toEaOCUZJiZIgnq9lv+BweFFJfA7PAmZiUKKOYuOHz+h0elC2/1Qg/Ow7ZE/pNH4Fn9BL&#10;JpApTLJVLvHMZDNuLBpt04Y1PkCNQ/vD8IhSo/9QAUv8+BrQCABsQIAAawOAAOwU6Cml6AB4wgAA&#10;CQmvK9v0ABZQyuKPiNDoAAPEAAFfEYACZEwAALFIAL8hZ5RcABgRiAAmxpFaRoI/kLoIu5tAAccf&#10;gAH8hIqtJjH6DMkH1Fj8SZJrKs2kr7s+mgGSqCckAyesnS3Lkuy9L8wTDMUxoy2hpAiwYFHdMk2K&#10;Cs0BwK58oJOA06gAIM8AABc9oLN5az+AAQ0Ep6oumV1DxRFUaCa6EXHkABeUigq2BWADRhIAAB00&#10;hq6G4uy8L0JSExyuSBsAYjBMIwwZMQscGgAC9YgBKoGTbW1boWkxhLeEogJU4D6nekQIIQ9oAH0g&#10;b9AEA1cWai5n2gCE9gWMD9EQkwCJAkQBWM8rHvQkqCpk8yVPTZ1zya1yDPuziBl+gY5V4at0Xpeq&#10;IwIbAUU0AZnJEBN7Pg+RqLCsdcQu/j/ClAEBXxA0EQUDsGKdCB4w2AAbYwABkY2AAK48AAdZDTNN&#10;ppEZXxLE995G1iGUdGEZUXGz7r5cKrx4AFOwrUSGOwykAmtVIFZlgGiTIXlLiLoulaXpmm6dp7gx&#10;4Sb9DZqFzzfhs5JGB+uSDIeVIRP1AUEENCBi+FDldRICxnGrn5dSJeUmtgAV5iy5rrm9Q1G1G71M&#10;wNp7MiJ9cIABw8Pv2rcUzKTG9S4TJExThvrncHpEfCTHogZ5pEe6THs/Tj8XMeBA9EADksgYhpEo&#10;HR9d1+aH/bxwJMQgTduT/Yd06V8B5CYCGH3bLGn4gAP5gGEvgjZtgB4hp4cGsEwW56sl8AB4ewhN&#10;KbquEdJRvpYfDlAmABOtmL7G6D5dGJgbbRkloKxOV0/HuciR+/EgBN/lqMpHhP/MwP1S62YAQFgN&#10;AeBECSJPLHQSIC8CknOEWQOCCjQyED7gwACDBHQJwdIqfx8wAAdwjIi2IWqgVBlQbOoZRCKW2Mxb&#10;ei9uLc1Kgnhs8Zvr3iDM5b0Xshj6DOqnaCYUw6xVwjziQAAdUS4LQQicQUbwo4pAlEDFVb0T4sEI&#10;GZFsAq0wdr7FEfpiMWYyNNMgSYSTpxCgfjYO+MsbyDo8CoSIVK244EIYEwRyUd3XA5j8AADEgSGk&#10;0fCLB8b5U7PybA+pF77H3RNIczdnIR5KPziQPMAA5JNSIWZHyTz3x/BiduCZ3Mn5TL1ICIAAIFA4&#10;JBYNB4RCYVC4ZDYdD4hEYlE4pFYtF4xDGxGxQBI81IGA4zI5JJZNJ4m65UAHNLQAUphKIk+ZoAFr&#10;NwAIZ0ABjPZlFVdQQABaIACbR5/EHlSwAvKdBRXUQAJ6oAH7VwAA61CW5XQA2rAACVY4a/LMAI8B&#10;AAxLYAAVbwAMrlCXHdQBNHyAADe6Tfb9f8BgYE/8I6gFhxMI8U8cFjcdj8hEj/kwIXcsncI/yXAw&#10;hBL2Acy/71e9Do9BkdRqdVq7/mQDnr5B9fA9dA9nVsyyYGdRNvWRrOBweFI23xUHnz5w+VD2pzat&#10;WOX0elf61Iid19NDX12wAtO8ACZ4QABvIAH95+zn4LS3kAGB76NSPVDKu/QA3fwAK63AASP8ABzw&#10;CAB6QItCPOnBEEwU2jCGkEsHhfBcJQnCkKwtC8MQykywG0TTPjIjDPtuhLSw1DKVHXAEAgCmApNW&#10;vCbJwnQQp4nzgqCVyhqKo4mtW9imqe2iohWAKqBOiL9q+sKxiUhrMoKYsorcuC5Bk55+n+/BugAw&#10;4BRNL8wIMfUHhKBEwzPMDMgE4ptkWz44M/L00TnOk6pMzJsPqHoUT4dk7T/Bc2F0gYiJLESGRLDD&#10;mpA85/RG5YZ0iAAP0oAEnl1TAAHrTaXpi4JrVAACNmwAAb1MAAN1S1Ze1YAB41erKtx5LjDu07jv&#10;Fo8DxPIAyC0bWk5IHH73mA+MevmhcnzYAFlyGf592g7NAWnOx/u2fQRSGcNqW5btvW/cFwoLDh3y&#10;6ztxXRFCWJdFsXpqm5apynaehi4UcR0AtjR8pinF4qCpSMgr61ikSCSTDixLIiGBmPhspgUAEhgA&#10;b+KXxdGLsCej6hfIxvYxj6SGZkQCgbko7OqPCBgZkGWZbBdEmFRo0yMa+XZsisOFvLokZuhtFyu4&#10;TqgAHuiAACWjoLS9M02etOxdT9Q1GAAa6oAAO6vVdW1exmhVm9VkTFW7vvCJjxvKgmB6Eglhvhrz&#10;Y2SwgAG9ucVHOAAM7xnu9OCsx+CxPgUFTvfB8JwvDUBUBrAnXk/cPOl1Jac2nXcvN4XlGl6XsoSi&#10;XzWbVR/ft/hWqaqoJX8uoLg8l4Uh+GYda4AA52WCcd2rQ76EQU90cHa8HDhBy6OqBgP3vi+MlDMn&#10;9LpnRQIYcee9vj5BNUtGsgcj8Pn+BtVzj+v/7qEaVQemcnqHralqgagAZ32fX9q/Cj+IABh+gAVY&#10;XtXVhoQn/5oG1EHdgrhXTZVeIkbieptixW3KPIQjBJIB4ILSelBMiyjRqG9BMC2CkG0wEBCAACBQ&#10;OCQWDQeEQmFQuGQ2HQ+IRGJROKRWLReMQhtxtcgGPEN/yGPR4BSF/v6Rv6TQh/yOTP8AS6MzOaTW&#10;bRF1TkBOeeAUpT+bxN80MALWjAAQ0kADGmUGLK6oAAC1MAE2rU6IvKtABeV2CP8V2EAieyQWVysB&#10;WkANy2ABtW8AEq5RGVs+7P8GXl9AO+Vi/X/AUGTAGMSOay8kCXFMCvyEBWy2Rttim5Ep84HMZnNZ&#10;hVZ0Bi/QGu0gJBQMGwSXSuETLN63Xa/YbHZTTBwzDbWDYSBTCBLV/b802QTuXZ8XjceJZJ0QMKyO&#10;S6oAS2PSqQzGPS/rAHsazkQ53d8B9CDb9/ABzecB4oSgEG+2KvX4AAUfMAXwBw2Vrr9AD4PUAJ+K&#10;TumtAYAGxAwABrBIAGTBgAGXB7AivCQABlCoAF7DAAHjDb6r6J8PgAfsRQ6+6EH1E4AFpFQACZFo&#10;AANGCExEfsSAArR5AAYEdKqq7DMamDvncf6cnUfUYAM7skyVJaBtwi0fIekwCPVEsmStK8sSzLUt&#10;y5LsvIO5SRgvL8ySYdczvM87/qA2ahsuoxaqQpSmBi7qoFcqSqKsJrixurivIIsIVgA4UZRG+y1r&#10;at5tLiuaGJWcVIgAfdKOzMtL0wibyE2E1OjMhDIFggYnpGVwR1OKdM1U11InEDc3GEgYQpG3VV1t&#10;W9cVyjJ8pGRdThGPtdWE7pq2KD8jm0kckWGzB+WcAFimqAAe2oAAK2u2D8v2/s1wC5EBmtAsDwSG&#10;sFwbB5lwjCcKhlC8Mw2eMaw+J6IxOfUUxXFomRfGKWOqgh54DHMdz3SyCHBhFJ0q0dmYbhyanviI&#10;SBbihu4fi+MYzjWN44aGPAsvIGHIgYC45kyEzOdc0nNbrizcoqjqSEKlqa5E7zzkuCtnPyul4gtB&#10;UIsqERnGrILcuDKoS8gAMkAACafk+otikxwvUECNI2I6RlwhB4a8CAabDeOpWEamzSOAxKtGMmyb&#10;bt23sC5aBCMEm6mnuG8IPRYwtGT28olZx+WhYtp2ra4K2y6r9F0/j4wBAUCQMbEEQVBhkwdCDAQk&#10;K8KQtDBew1DlEXmguiUQgl7XwWkWRdI6G6WenY4GxmC6JaIAZDv/dVykxMPUNPd+D4Xh+JYbJC6k&#10;ZReLi+U5Xls2qJOE5ZnOk7Kiqecqvnat57n6w6CE6I6NRdGiUguXnH9ODeX9iFnskYNV/saBUWBy&#10;BnE0YH38f5WPUKr7UruSCSfYUpIwIwAgRAljBJh+kjFaosLxlTLwKYuZIThIwxwJcC4NaS1AerWW&#10;wa9bTjFuOPW+5FcblVzuZL+5tzq7XPuhXi6NEBBGlsMdQihFTq19L8WWQtoi3EdGMCPEVo6jAExJ&#10;fXBSJjiR/jdPUCSJsU1MEBCAACBQOCQWDQeEQmFQuGQ2HQ+IRGJROKRWLReMQRtRtfgKPECMyGRS&#10;OSSWTOuUABzSsAFKXSaJPmZABazUACGcAAYzuYRVXT8AAWhAAm0WexB5UkALymQUV08ACepQ1+1U&#10;AN+sACNtoAEqvAB62EAOeyAAA2ej2m1Wu2W2HP+4P6BlgS3VVwht3lrWcAimGXB/vzBPwPinDOa3&#10;YnFWtbY0D3USrm+D/F5XLZfMZnNZvOSN71V+lSpCdbZ3TafKgG8ttv3wP6jYADBgBq7UAD3cAAK7&#10;vLYAALrgWCxS4paZrccANjlAAa80AMnoABl9O1lfrAAZdkAL3uAB498AAPxAAn+WE76+AB9esALT&#10;3AAmfEAAb6RF6fff8EUfsAAf/NjAEAwFAYAHy9Z9A2FUFHbAkGwdB8IQjCUJwoiTVnovgFwrDbTJ&#10;QdaVJY4jNJkfKaJsnAQp0njOp+VygqGooms0pJ5KWpqCKeFaoqmv64AAbsgK0jYABvIoAHfJCzLR&#10;DkmSahx/SgVATSmLKEGzK46PEAZFoo0BftGIUnTEgcrmyL6PAES6BgOgYAoOf6Bzgg05IEvjATpO&#10;qzzxMc+T7P0xsBN02yXOK4HafdEBZBQVQZP9HJLIBuguwBwzXR6MNm2pqtu3Ldgq3sfOAXThHqlq&#10;Xs645rOS5bmhq57oumZbquu7IZO27rvni8LxvKJ6EtBXYBvU9j3Fo8jzS0iMPAAdlmvm+tL2jaTF&#10;NAJjRlrads21bduW7B5r3ABqhALGtvXMhVlpWxERMzEkTWxFEVBi00WxeAqiKMzMaRsXinKg0aGt&#10;8rBvxAxAMYPJVBXPhbFSgfx0ymEwMIQ5RsBDLRsr5e6JzuvgMBJkB1YYzbVlkgYmL5hWR5XlmWwa&#10;wB7RIFIWZocWXW6amchgBGeGfm6CUy2zcB63TeMq31RVJUzi1Q5GKuY5zoGS6TqLU6wruw7TuF67&#10;zwWTXrzx89MDva974iZZ4DbDOFwGvtOE5/uNvMAXzICHuW8bzvW9wa1ZSr4LW+WndMQ1OzF3JreC&#10;cp3ecWKBcd8RlfSlKZfscX/HiF3ccPOWDwXPoifMtBRFBwLwvJxr4DiRsAZTIBv0CM4GCFEH2YM0&#10;Bd2Pdd33iFMAfy+DlkASEj3snNX4qBDblOV6DTeh6LT+j1C4Kw1LdjOVTVZsahV2papWWrVprVca&#10;9XjzIZYFgWK+D5PptSCWA1YAAJ+u4eN/EHsAejIAb/L/0BkBgAAgUDgkFg0HhEJhULhkNh0PiERi&#10;UTikVi0XjDcjT1gYKjEfkEhkUjkkLdcnADmlQAKUtksSfMxAC1mgAEM3AAxnUviqunwAAtBABNok&#10;8iDypAAXlLgorpwAE9RhLxqgAdNXAADrVGrldr1fsEjLQksinhDbtCrANrKkvf9vf0DGolujOsN3&#10;vEJjTcHdvf68tYBBF5wmFw2HxGJxWLxkNv2PX4myRDxuVy0kP+ZARdzjcgYhy+EfmjADV0wAHupA&#10;AV1mFvwAXWxAD12ksl2Ma25ADY3gAGu/ADJ4QAZfFrxX5AAGXLAC95wAqjxrNbJ/Vhr97AA7D9AC&#10;07wAJnhAAG8gAffnADa9QABHt0Pv+Hx+UgpDyC3LGTr+f7/n9/z/wBAMBIMa8CgaoICnlAcFvkk7&#10;9JUczbCkxKYnymaapu0CdBixqfFcoChKIJrEvqpSmIIpwVqgqSCQgAB6Rg6YBwZGkaouf0cGAyQT&#10;CChDeGwIatAGXTAgErscH8asdhZGzGLQbY8oGQbAxnJsrSvLEsy0iy/G+ecvhu/D9S3MiKFVM4Bv&#10;weyBgNMqFtGfjStO1IetW1rCNe2JdNm2qWwm3DdR+3zgOEZLiOMrrkCu5TmOcXroKrIQAOqJ7HLe&#10;AB9UzC5avA8UKgAcNQgABNSTdU1Tv5JBVR3RdUVdV9YVjWTFL2MyBkzWdcobByUpXP0KJkmlOQyn&#10;KdsZD0QAKoaisREqll4pqnrIEgAG9awAMDbC111bjFL8ek4A0FNxnmgi/AIvZ1sCCDCUyfQWhVeJ&#10;qW6iNzyeYIBXyHV6X5ft/X+gS/HvJAnKiE9oYBLT1G0MN8gET1czhORqtQ1TWAq11Lz1PiOV/QBr&#10;N23rfhqAAMZMAEkK8AmVxk5rnujltKIjdzuu+HObgBEuVgJhOe58hC/HgugSgjn+jaPpGksLJ5aM&#10;CJelVdXkXY8w9P2EmycQ3DqfwRZcR2apNnoLg2URwAAFbRqG1Is7YtYMsyDr3kCBBSxC/HDoYQaQ&#10;aG+AXvwFnEwIJbXwnC8Mwy/H8vwvx2UnDv+bPImZIQZ1hiTTYpOk7YxPGNNk2mOtuxbc5BQWRgAD&#10;vUsTR1IOlnYACd2N60uXPagBofH9zWHEu2GIUd+aXdeExaAggAAgUDgkFg0HhEJhULhkNh0PiERi&#10;UTikVi0XiCqjQDGUdez/kAEg4BkkkkEggb/g8qgclk8skcmlMIk8Ym03nE5g7sngCc0/Ag/oQAms&#10;6h4CpAAYFLAATpwAFdRo0XYVVAFIAQAHlbqcSfdfADHsUEf4hsz7Btprtrtltt1vg0ljABhkndYl&#10;vAbhDZvhsAd/Sdwh0vrBPEeHWeCxU2bGNFAEyDLgYMxeVy2XzGZzWbzmdz0Wl7+0SDE+lP+f1Gpm&#10;za1gOkrwkr+k90gUlk1Fokrgku3FxmUGmFElEUfvFADV5AFHvLAIV52Ymq66QAevVABS7Goa3bAG&#10;NbAAGvhAAd8mcXvnADx9QAv4DABP+ENfHzf/baz8B354Oq/n9/z/oeuSLtohSTksvASjhAEFwZBs&#10;HQfCEIwkiBuwqC6TnRCcNQ3DkOw9D8QRClaQHqfMTAkFkUn0ghpRaC4FRgcSBgM/iTnTBAMREixq&#10;R4DwER+bSBgPHUiSLI0jyQzzRH8TQTScM8kyihq+GyLCsFM20kH5LbjuQADlh6ADnAq6CUOkXTqO&#10;s7ApO07jvPA8TyA68z0PUeL2L+974rIlB7T8ADWSC/IHSlQtDSSk5ywQDlD0bR1H0hSK3m3SgrJK&#10;VNJUzTVN05TsJpek4xycExPoRShtnIkq9Qak4kQQXNHUCJiSlekqRU9XFc11XacSWWtRiamdeQk2&#10;ZuWMZ6ShfLUuOQasvuXMTnsu6Lpuqerruyz77O6xs4Bq8bys285evS9b2z0J6CnHdYAHndwAAPeN&#10;h3neibpOfQSXyBCXXrft/X/gCL0CaisBXgOD4RhOFQ1JZvVGEdTUoTySjDYiQHtBAF0LQI1KwSLZ&#10;oQuWQIdAiEyzVjeoW/aYgCl6335lThonmDgJArKBH2lKSn5Ph/5u4WLpLIaBAMkr3IFo+an/kqW2&#10;EgumZZqENZciWVt9luUsVmiE6zlmgABAWYn+e5SbKCBA7Qf2FtVFppRfGEMyPLeeWbZ8wzHMqVTP&#10;NNrzXNprW477w2/OU6XJO08PcJ3FgAZvHAAB/IqupO18rgG5gqFHNHZy3Os0gICAACBQOCQWDQeE&#10;QmFQuGQ2HQ+IRGJROKRWLReINuNPYAx0ExiQSGRSOSSWTSeUSmVSuWS2XS+YTGTvpnTUGlacPqCR&#10;ptjqBsKOgEBzKSP+jG0S0lKUSVtynF+BqCmVOqVWU0ajQN7wN5Vhq0Ft0FhP6yMMTWdyVaHt+2Ah&#10;828ZgO5EisCagjCghqBgeBgW1X/AYGHWR/OMBYcaCTFOrBY3HQueIignfHxd+ZcANXNAAe50ABXQ&#10;UysABdaUAPXUAApavAtbXABsbEADXaAAO7erL3dAB470AYcBAAQ8MAAvjACg5Xlcvmc3nQKsJKki&#10;U38/rdfsdntdvuURqd8GAfxPCDv+gv+B+jod32e33e/4fHlVgAwjkwT6ff00b6wL+oKASgv+gg+s&#10;UEhCIQnh4KCB73qwdq3nyDQWQonTuG1DA4qCRr7PO0aBw8rKIRC9T5Kq/SJPog50qwU6sFigZ1gN&#10;GZvuGEJ8RMjD6GzHgJuACyghogY8IGFEBKxEqESSikSRykcUIrFSJqCdMZgMEYPSyrcnS4gw/y+A&#10;QuTExiBAg8qgn80bzscfc2gBHhsgKCM5gABE7NErJ3T0AE2n2AAM0AAEPqoe1CgAeVEAABtFuK46&#10;qnfSAAHvSYAAxSx+NACsly7TlOuXKT/I6hNQORUVQQGgcAxCe7pgVT1X1hWNZVmqk4DMuQBkzWld&#10;15XtfV/LkHumCkEo0Zcg08NEDV07DXGsGUrGbYFp0Eox8q8oJTmfbZJJwK0LWopjYmwHbgD2oKfI&#10;EBqguDcNaKwb0DBJNd3OzDBtCMoJb3Zet+39f+AYCiMDVRgWDYPhGEone5YOAJ+FYhiOJYm7h+4s&#10;KQT4yV6CXuMKgk7AUuqwfDpo+5ynG4GasGUg+C0FJsm4ol8SGOrBQALnBTxtHGZLVlGVKMLiBjAo&#10;IISQ9KCZgjuj56ksoPorBjrOEwe6awOUG4gYR6trmu69r6Q4sfoYYyE5o7BtCUICgAAgUDgkFg0H&#10;hEJhULhkNh0PiERiUTikVi0XhjcjTqgYVjEfkEhkUjkklk0nlEplUrlktl0vmEff8zcglmwdgjfn&#10;QIfs9eEDA8xoUFmb/S02EprocLaNNDgKqDbANTBFLq1XltFf1FdlTAKDpCUrFjsljaFnEIMtSsoo&#10;urwEstxuUfryuEd3KdzvV7gjUvwMA+BeVeAN8w2HxGJxWLxmNx0hoqBpCAx+Vy2XzGZzWbglnaAW&#10;tQMccDA2c02n1Gp1Wr1kMrUDGtIZ0Ebe1c1eDOt10ze1FDIm4Dyq7X4hBAfHWteoMGf8H5sDr3P3&#10;UrouEokz61FAXWgb+7yOfXhS4s8jc6fnmNFAje9hf7z+OkDE8D6QA6NF+1TovN6Pokzqq865/sKg&#10;0CPyrz3lU4ATCu/zWNqbZZK8JsHQrC0LwxDMNAAopiqQHkNxDEURxI1T2G8H73mBEsWRbF0Xxgj7&#10;3mJBYeto2pHK8OMWn5HpGhRID4pivxqAwBEjm2gYGRixatJ6fo3HPKRMiDKp+SZLCImfLYNtCYiv&#10;BBLLGKKsCbD9MS9SJI0jnC0k0TfOE4zkzKinkck7gnKogyvOc+z9P8LwgTivDHQFDUPRFEpMrwPr&#10;uEZxGzSIbAFShirfFqin0eNNgYGlPH2lRy1EBR7VKciBgehj7pmhL+xE6tVKnDjsIOwkDH3J5HBP&#10;XY8UVXwAQgICBk0gYSPpWIAvq/CEVdB1YIXAKCWfA79JmfyvDyEltEVX6Wm1b5RUoAQu27ctzXPR&#10;Lwn0DQVXac90XgiaAoAAIFA4JBYNB4RCYVC4ZDYdD4hEYlE4pFYtF4Q2o05wFHQxGJBIZFI5JJZN&#10;J5RKZVK5ZLZdL5hMYq/5ouhLNyPBG5OwtAw8/qANQDQybQwCLpo/wpRgPMqdBaA/liJqoUJW26w0&#10;KML6fXa9Iai96ifI6AlHVBM66/a7ZbbdDqSAmvcxgBbsrKMIbfe75AqS/n7gSKKMIvr7h7av8UBA&#10;5jXrRgNiMlk74dctCUXmYqd84AKiACVoQAQdJDVFpwA09UAAZrQAf9hEXdswAh9tBR5uQAT95EXn&#10;vwAreFBSTxQAF+RIDty4KK+cAC/0dTq9OopIMuwACz24jljrBQh4QAe/JlPNJCyJPUqPP7fd7/h8&#10;fl85fO24//p+f1+/5/f8/6+HyBcBgmDMDHqk5qQUDADQaHaBiQowPoGE6BgogYCqMArzn2dEPAm3&#10;IeHmkb7D6gZAKSACjH6v6BvxACvAChCjIKpJ9IGXabhKKcYR7HynqwbYSIGXqBg6gZ+xcox/RTF0&#10;fpPGSFxoh4PPUEh1SfGEgjkoxGyzL7DtUaYACjMqEmZNAAPCCCIrQzygIKa05ABBrIoQNU8AAXU9&#10;gACU/AAZVAoiStCAAR9DoS+yInFRgACFR6ClRSQABpSqQSsgoh00ABM06ABcVAAA2VGkgoVMABGV&#10;ShpQVYABCVegqygBORrAAAlbzAxCkmjHQYVzX9gWDYVhpAuZrhouwCmXYlmWbZ1n2g+SkkfHQ5Mk&#10;AJsWyCYB24DzAn6DyyhosoiqSECBgjDSXqSREdDyjFsmwFFbgJMaBAJaK+qSadyBHfx03zgNhtgP&#10;4BC5g44IGRajAFgS3qSb0dBHhzJqSAr7HQowJYpjiGuiL4AGLkSEzKKIAMyRc2qpN5/IKG+XgAUu&#10;ZITPA1T1Pk/Y3QJlIi5wVgAfOgoSV2iAAF2jobRhxUdSCCUk9lKhpS71UzTdOkyACNG0ABba6iNW&#10;FAAB6bGgrODuAAy7ShsQgBDx0ISQe4u07mOpYpJ8R0BO673vm+78iT7G2gYQxTJaDqTF8ASnv6FK&#10;TKL38WvfHRmoaZppx6ScjGvLpXGnJpEo3McYvyaH9KwCKNxNf60EajCSpIoKMDMjIHvSBAFhiEKS&#10;esrAdwyHzQZgFAf4h4XV0aVqSe6kjKtBS+R6EAa6WwDrQaik9bzXopIqJcLQJPtqeb3xkZb44yUo&#10;fE/VJvFcr5B6/gAAX/nOyBBF+5/fGbwBXof8xD8XoQ0E8AwCFRdEQMVcCR9gwgYQVmoAhdwRAGBG&#10;Cg/xlwXH4QwdsGwAMvBuhtCwFAKD/HZCUAMIgKD+GRCtJJCxwwvACpoIa+CBtPH41EhrnyDI6AGQ&#10;SGQ/hMRBdU5R0RwhWgAbND0gZaB/C1icQ1/QAAjxTYaQMDUVx/jmi0AEDcXR/mKF+ip9xD3QvhII&#10;laA8Zo1EuICAgAAgUDgkFg0HhEJhULhkNh0PiERiUTikVi0XgjbjTpAMdC0YkEhkUjkklk0nlEpl&#10;Urlktl0vmExiL/mimEs3LcynUkVU9AYtoAdAdDFkDEcdAIxgY5gagm4lQ8Mmj/AMabbIAVZG07rl&#10;dhVTqkdXLwshYGlneNetVrtltt0VbVxNNIRtIBNvvEuqb+qZeE1/Ut5wVsqz3pAIweJxUuWGNAB0&#10;yAAoYDADDywAHWZgqjzgAHOfht/EwAf2lhIP1AAZurgpq1wAXWxAAS2gAZW3ho/3QAcu9AAY4AAQ&#10;XDABm40FZHJAAU5kJcXPABC6UFVHVAFnGkgEnbgpD7wATPhiLQ8gAKnngoQ9QAZntiJ6+AAnqqAA&#10;V+wAR35ABd/kF9pmAA9QIMXAiQBa7YSGpAsFwZBsHQfCEIpGqYAm7Cx7oGA8JQ3DkOw9D8QRCr0E&#10;ADEUTIKqxeoGICBrCAKwIJF0YKQsB/oPG0TojEqBAEgYBKQAh9SEI4VSKXUcyRJMlIEY0mgS+wKn&#10;CpAJKmAEaSrGkWxvGMqoFHEloOpCOoHF6aMpHinx7MEPmzNpAsmP01zkl0EIKoAWgAV89AAF0+gA&#10;e1AAABtBgAZ9DNCv7SNM6pUAALFHoKMNJAAPdKgA1w1Ng2TaAk2zcIQftQgAE9SIKVdTgAFdVABI&#10;oVIKNFYMeyKEOecToumglGOus7tO4gjvCG8DxIZUJ+1HUqEP/AL1ohOqCDhaAADZaYAWcgYd2wAB&#10;Q23ObBkNBA927cVx3JctywsboTNKfxrqRNVzXheN5Xnei1lxBAk3qwZuX4MyBktLCOxhEykITCiL&#10;x3K0xS5Gp1nxh8+z6dN9YpiqVribRDKQPCkL4mmFTLj8P4KhGDothcKYWgx0wQDGLLfJpjASC2aH&#10;fDOX3odWdMwzSCNWZoANQB4AFvooADbpCCvIaAAAZpyEtFRR/AAXGq2ETM8z3gpi64ABAa/TUj05&#10;TxlISS+zgARu1AArMemnt4AAPuT9v6Y+7AAAu8gAau+bYrKC1rW4hOo6zsV6Ejuu+8OsVBUQY8fP&#10;9AoIUvKAAG/LoiYXNAAMXOoLfhuIKO/RgAVvTRQjWQZwlCplup4ldX2PZdn2iCmx24qgJ3T6dr3v&#10;fd/4DEr3dYZVIE5o+ClmMAdtpyoGBnkpEbh9+oGQU+uefo+12irCApBf+2iuBgAPqnkL8KV9AUKB&#10;i99EkC3+AAGT+bJKGAE2myhNrIEIn+gAJiADUFErrao1YD0BwAOPKUPmBifE/HAZcbFsRtTbtlYY&#10;AAGsGQAFkHgAAIMHwACbhEQUa8JQABNhQQUX0KwAQHA84A6B0nBq5cKrwjD+wALAauQlSQYTKmXI&#10;IIiIR5j0EUBtEcAA7olAABBE0AAvIoEFHrFMAAL4rEFD7FkAAX4uPuIkyw7bLovRjJGQEIAAIFA4&#10;JBYNB4RCYVC4ZDYdD4hEYlE4pFYtF21GUMAo4eYvH5BIZFI5JJZNJ5RKZVK5ZLZdL5hJ39M24Jps&#10;JZjOZ1Jm5PVfAyhO6FQ4E/6M/qM/1LNhMXqJT6hUalU6pC2vVw0BK00QDXQpVbBJ3y+LIIBZZ3RY&#10;bVMGzbRFHAE266AQFa7td4o+r0ABffQA+8BIAPgwA0cMAK0BILTABM38AFxkQAJMoAFplwAcM1i5&#10;sAIy2gAEtEAGVpYK6NQAB5q5IDNcAGhsYK4toACFt4KqN0ABpvZBlBJBSHwwAmeNBU9yQAhuZBSN&#10;zwAlulFdRadWPJIHO0AF/3QBc7x4YZSXw8fMGN6NHj4vZ7fd7/h8flEJ63GdAxj8/1+/5/f8/8AJ&#10;WuYihHApeQC/pqwUGIDQaZq5gDBCqqTCguqYUsJQzDUNpiakPAkBEQmigYOQ4qiknCEsVBBEz9G3&#10;F5uLmEcWxoi7IlwAA2R0lBMR6AAiSAzgTMambIMk4CCh/JQAHLJqEtECTSNMggsyqABlywlBnS2A&#10;AHS8ADaHE2zcII3RUN43yPyQgjhiG4rjmLOIAC/OiCgXO4AS2+4Bz4ipCz+ABP0ElBe0KAAP0RGq&#10;oz4AYZBDR5n0VSVJ0pStFRebZ2LmCdLU7T1P1BUKiHa4Cv1EqakgGbtVngpIDoGf6BsfU6HrqgwB&#10;LnWbeOAadaV9X8XReaqByGgR/LnClY2BCCkwgACk1wroCKSWkVBKJtgKetpshFRhu2zSTrgA6oAA&#10;1cwAGFdKIhndgAPM9btRKYF5yFIjHxuybKoIet+AAGF/2eoyCyhKRlXsADGIILWFgAQWHIaeWIgA&#10;GWKIKLmLgAQGNTA2rbiEgpHZCACzhYiIJ5OAAH5VfLgzY4hIZgAAXZngNlIGXWcJAEGdgAFGfYPJ&#10;QfgATuiIafmjgAFWlYOJGmgASmoXAmSZjIphO6lrGs61qVMWO8Gt7BsOxbGqrHDEphP7IlltktRg&#10;07UiCknuxwZhPuxr7hvO9JDaFVm6WqBiRvaHnywB9hEFPEnNwaTUwci5g3xj28MAHEhSguHEEAGF&#10;i0iM/kLQNBoIq+8AL02EM6x0jRxNaD5gSGn6igmCNLgxRdvhuHoJBVhsHV6ICj4IAGn4gAAT47YN&#10;lJpyzHj6Rj36AADD6eWOE4hF+xieKpWXPugAI/wIKy5aZ7n6ICZ9AAGx9aCvrySHKSX1rTd9/6os&#10;gICAACBQOCQWDQeEQmFQuGQ2HQ+IRGJROKRWLRNcxkFiKOPOEAGQAF/yN/xeTSeUSmVSuWS2XS+Y&#10;TGZTOaTWbTeGSF+P6eA0TT98zihUOLs+jBsG0lyUSmUSSPZ71EOC6qO+m1esVmtVuuV1uV9YSQnS&#10;EA12zReSNsS2sTWe3UJtXEtSFSR+QySS2+9W84X0ALvAQVq4OTivDQUgYkAJXGAAW48ATx/ABZZU&#10;ACPMQ0X5sAPzPAAI6EAMTSAAk6cAOLVAAKa0AMHYRVb7MAHTbQVY7kAAfeAAkb+VnfhAAvcUAYYV&#10;wUg8sAIfnAAcdGZgrqAB7dfBYSKPPudDpQQ/eEAFfyXvzRS1iUBef2e33e/4fH5Sqvtw3wNIfP9f&#10;v+f3/P/ACrpIU70i1AKupIAyBgSkJ4oRBJtwidQBQoB8Dq4p59Q0GzkGrC8PxBEMRIFCJtkwkIzx&#10;GrSSC89JRpIkSRmMkIopCdEVKyY0dASC0enbBccSDIUhyJIsjIMEkkrLI8mSbJ0nv1EpsJCE8oSt&#10;K8sSzLSUuuewRqoFxvS2lKSDwkhBoOfqBn2fs2gCzx+AUgk2n6AJ9zufx8T0f87n2f86H9Oi8LwA&#10;C7oGvMRyWAACTgCYU0ej0x0lScnvqZKSBmgayAFQiBH8kLJoFRFEABTtS0PC6Q1KkdFH+clXgeH9&#10;ZD6kI/JJNSBFikIrJDXFKIrEpgpCH1f2LY1j2Q/89HwBoWWcelk2jaVpxBEp8pDBT4WWAB426hsK&#10;PWBFxAApIGoidN0IjVVxAQAAHXeiJ4XkAB83qlYF3wAAGX2AE6AAdmAIK0IIgAA2DIaduEs6z7qT&#10;lcqIzgAGEx+ggH4sAF2IieuNgAemPISCWQgAAuSITbduwchGLQtjKKHVl9VpLVUegsgt5Hhel7JV&#10;fAF31fjJAAdehILkIJZHkqGYnhZ+YxceVojf2AHYgun5bLB2ySEgKWoiLJE+kIwLPoGgTnNulgBP&#10;uz4jsaeX7s1wABDR9Jukh6Kie4azAbGub5vr3RKViBiksm/IQQ6OBEOyQgHB6R7mgRCoGRdwHvwp&#10;s8uHwB80YPC87z3P9AgzJCqn4TcD0PUIggKAACBQOCQWDQeEQmFQuGQ2HQ+IRGJROKRWLQ9vxkEP&#10;yOPYAx8AxeRRVayUAG+URUESsAGuXAA0zGEiSaSMDzcADudABNT2Em2gABb0ORwSUG8AUA2gBzU0&#10;AD6oQUl1MAJGrQ0mVkANiuAAw18AHuxRFC2UAJ+0QUoWsAIy3RFOXEAIi6QmepoAEK9QlIX0AJTA&#10;QlM4MAEPDRUa4kAO/GACVggANTJQWlUKiUWBUek0F650AC/QQUiaMAJjTQ21lDI5Mo60AIvYRE67&#10;MAK/bQW9EKeT7Mb3fRB+8EzifiXjf8fkcmEv7mMuQDTldHMP/qP+BgFu9l+xSQQnqyAAv19eMZCr&#10;zNTpen1ev2e33e/4fHMH/6AIufdtwMQwPrQL+vlACCu6hDvoICcDn8CMFAIijqnmAUIAdAMJuObc&#10;LHwkADwpDcOQ7D0PxBEMRRHEjflimgSNVEsVxZFsXRfGEYswa8aCCAkbl68EYpKWqTpSggFyCgqO&#10;H4AB8yOwTCMMIaCxQgoCygAADSmgrqgAe0sISqYlqqq6CMqoZbgA7oFTKiqYjSAA0TWpinKgHyEm&#10;NOQAAtOqEqyJitq6r4wrCsaISchDumtQgASgAqGriTi5rqhAc0eABR0lKrqAAItLgAcFNSSTLCsO&#10;ijEhqxbGse1b0S+oMwzGj4ATKBSKjVWIADPWgAM6erPtChFVBLXqEtTUwANaKLXtihkrBRZIAOC7&#10;aCUOABpWjQ0oxkop9SCBYJAzbdcWrFzmH8dCQAvbzkuybrkuqfzqieE13Fpct43led6Xkbl7nOgY&#10;MXrAAQX8AAB4CirqlnCABCdfkKG1hZa4MJWE4hiOJYnimKxFcBp3cEwXYtjuPY/kGQobhZtEYkA4&#10;0Ej7quskGVoTlsrZhSqRFpmoAjjnAC5bkh9oRTRwUtS4DIJKYDH+aukZ6gdehLoaB1iNR+ZwOJ/I&#10;QfGrgAI+tAIppzAEBOwH/aJpaUgQ2bOAZc7UAYL7afxibhIrMa6AAf7tpyDVKae9n0hE8AIbPAgE&#10;L/CH4PnD6qhZi8WAIwcdRCDP+AK0E+fgecvxKFE3zYBEVz0GIXCxt76/lK41vCEkv1R9tGIj/ojU&#10;ICnh2YAsef+9mnsoAbONm07XA4Jn+ZHh90kVbgAGHk9QggG+aABneh0iDCf6gCUIawBeoJ5+rcRl&#10;moUX/wgEM3ydBKrrkr9J9iN9nXvhAaDJD0p//khoBOu8FwGBjQg5FAK4B2EgAm/4hZGRvgAXAcgR&#10;yKA5wEgdA+CCL2xgiVcNYgaGoIkRAfBsAAFIPMDOoPskAJiQNAgyb1kgOCQDFZSAFlzMn3EEZaQd&#10;16VoTw3hxDmHRRX4ICIIgUhz9yBHgfqPpFEGIdxJiVEuJhB17jcFCQMLy5UeI+KQd10RDWoAAF1F&#10;1gDAnAjZSaTUgjvAABwjQQ0R8awAPpEqqskMWVUFLVUBiOwAG4DEN83RN5DQ3R/ABH8NxBU8J6Gw&#10;V4sBYg9kNe0ABpA1QAA3kkAB3CV0so3QYVyQ5DFFKMEQQ2MMXwBgAHjKUAAM5URwABDYgZg1OpLM&#10;QYoxg7zHEsMkqcgaYCiQeAoAB4YyDfPHNAC8hpLg1gAamWotkt1hGuNgIshoV5pAAGbNUACoQADr&#10;m0plTbwAADJnAx9lZ1QqsaFbE0364IREffNDdug954EjOqMtpgNp0T3nxPkg0YQfMBAGL8gcQomg&#10;ioJKpBp1BdsGCNPoiJ9A/gCC7RGWhAkJUMn1GgOAAGarwJuhoaFH1puQIPHwqJBBmUnAABClRCUi&#10;FnLSImmBDW7A/AAJOmyrUzEIUCQOSQNwAClqARFzwijdnGIHE8mcZDj1IosxYfb1wIBOqkPaptVT&#10;okBAgAAgUDgkFg0HhEJhULhkNh0PiERiUTikVi0PbkZY0DHMXj0fWshABvkgAAMnADblUNF0tAD2&#10;mAAAszADXm0FEk5gpsngAOE/hL0oQAIFFADwpAAC9LADFp0FNtRAC3qgAB9XACCrUVJddgrmsAAH&#10;1jgo8swAYlpAACtgAZlvAAOuQAJl1ADYvAAMN7AB7v0Jd2BAA2wkFTeHAAbxQAJWNgrIyAACmThK&#10;cywARGZstntLEn1AnhsABu0gAW2nABe1QAUWtgqZ2AAIezio12wAd+5AAI3gAam/qFSqi3AAN4wA&#10;QnJrlegj15wAF/RguNJWm1AD7FNp+TCgAKHf33AKPjACL80J5z16HSgmwTIABfxABc+kFaf3AAJ/&#10;Uf/n9g5/wAfychIAiTgCf7/QTBUFosf0HEqgYGnxCYpuwAYFLYASTJQgkMw2AMGRChh2xIo6kopB&#10;x/GwEsWBbAx+RFGMZRnGkaxtG8cRzHUFm1Ho7QMREDRBHciIYCMjgACUlIrAEAQMCUDHhIspxulR&#10;tlHAwuSpLcuS7BSfjgABaTGgorzMABCzShKwHMsSyIIt5mAACE6ILCZ8AAIU9AAdU+o+UFAAAswe&#10;IKJNDJSlYD0UABq0aiIf0gABy0mAAQUsABeUyhMBxCjJuS9UFQxrJtSBYE1TmtUVVVXVlW1dV9YV&#10;jTxxoGDlYoQkJapGkqCBpXwASaAB02HYViH3Y6CipZTMM0glOIJAy1raglgxShJd2wAAQ224I2qm&#10;qr/U8r6wrGHyCziADbBrYEAABThcXgui7LwbC9L4vw9oST99zRNSZgKABrYFD93J0giiiAADLE4y&#10;rLsyRCCkxiQADRioAA1jAAGFjeChIguNmFN1zPa2LZiG2rbtyd7dt635qW7b7iXCjKCvS9YXoLgV&#10;UpaFwAH5n4ABjoQAFXorvPBlwAPGKLyvOhDDk2ABE6mgsrYJZ6BhvrQAFLrtbouaMBhhr+yIeaWz&#10;gi/QEnbISKWjaICbimSaX+AFFAPueAQ9aMLYJBh48AAB2cGiMmn6BXEAcxQNntsvHcfyHI8lHZs8&#10;qVkLCnycFUsEAAb6ikmlzDIkc1W/KmyFMLVT0vWdbMExTIhBm9mqysIJNmRXOuE6AggueJemKCCr&#10;4YAD941pQ0mxrgBZQqISZfoABI4IgAY3rNS1aCFP7d0tuhB0fBQSzoIRXygAKX0U3gyB+sjYGfei&#10;vEAV1v6SnFIq1OExWfr/n+/8/+ACOgApWHoQMBC0CToIIEqRVSYxaABDjBEAZHlfA0H69sU8CiDI&#10;sBKAQjwWYQD8DtCMAD7wGEJNCAIXMKwBL/H+zwfxFBUQzg0AAc8N2RQeIGM+Hg/Bhw/NGaSHRAhR&#10;xFH8ckQgAXTgBC/E0fwfIoQxIOCiKgBB+xXe6DUfwpouRSIEHiMAARWxjAGAaMwABoRpH43UgjUA&#10;BPlEUhogcPxhj8B7HduLcR/jRj4P0Fcf4hgAPuNMfgLZDSBEvIkfoRJGQ1IguoAZSB4ABN4Agf8g&#10;x+kEKiG0AS8BcACjyP86IL4vERhmKiGpMHGyjkClYfkYxWgAjAHiQIr5bD9igHwASjRqgBCfL8fw&#10;jJhSlIJByQIOZkD+NaKKUodZnABFhNEAcoWXD9c+Q9aJCEmpDIVNkgc2yFzcQ/OIfM5QQR/BWOGA&#10;Kr0rOrAACVKc3iEzinAQMEc9wBTyIbOUfIAByT/Iiz8fgSYqAoFxOuhFCaFULQWlZxpAmAJFn1Nt&#10;aM9SGzibaQMq4DzJGUdAgAfZAwQoZHLQxLqVpMkHQNAyb9JqXEfTAAJXMciDMYA0P8YNOaUkChuO&#10;eHKcC3j8o2ACPg0QAvNgmQOTY/DSBuIaUKAoMqpADm2EGqw/hNVZH8PqrjNwB0CACXUJg/hH1lmI&#10;QNropQBCArYhkAUe4+yVITMYgkPBnj8hNS9x8+lqJOIZROv1KiUUUnlFcfofQT2JEJXqxljbHWPS&#10;IOKyQCZ+STJOAZyKuVdhvIKIOzxBW7gAA7aO0VpClgXb8QdrBAg1WtABJsAFkhxAACPbUgtowOgA&#10;F1btvJCbYHDAABi4RaC1H+dwuUgtdjinHtqEcAA3boQlfgBm6iiBtr2DCX0v5BLZJ5T2QQCd4WWQ&#10;HIIPe8wADAjuNeyU2hBGFrMYgQRq1UgZAAHnfe7AAF9ifAAB+/wABe4BY7es97JmULrZVeM8LL5N&#10;HCKqdwABkBkIJZtKMgq4iCA7w0sUdIAIzWYfzgtpR5DzCLPsfhpZBQK4rw9Gcgk/HBOEIJiXEbTH&#10;6D0QGA2yCRZ/jkAmndNpArMOac4547JELDAAHBkshqKRfv5CFjvKWU8qNfyWOAFVAhq16W2CF5BF&#10;aBDEX+D3KqOFPCoIGFfMuayGuvgcAB+TwKHkDxpim46byBrod4AC1oardW8II6fI1SSHhk0MAAYG&#10;icvr0y/CALIAHoDLYIj0bVqSBYWZsBzTWiNFEMtXGiNN0oT5s1IQlJorIOBV1LqtKhAQgAAgUDgk&#10;Fg0HhEJhULhkNh0PiERiUTikVi0LbUZCoCjjqi8fkEEWsjABvkwAAMpADblkhg4kmEFNkzABwm0F&#10;Wk5ms3ggrnwAWNBhJtogAW9HAAYpQAYlNl0Cc1RAA+qkFZ9XAANrQAcddABCsAAf9jhJhswAPdpg&#10;pLtgAbNvp4ACdzADJu0FTl5ACIvkFbl/ABXwQAZuFhJdxAAP+LAEwEkFTORABDygAHGXADszQAZG&#10;dAAU0EFFOjAD70wABWpADS1kFohto1I0AUzmep713AAF+7v2Agjo4AAHvDsVkhBR5AARfLgpa5wA&#10;ZXRuId6gAX3XlEquPbhtjf7EEvhHvc8nl80SljbOcpAKM8/vhIa+QABP1iL+/AAcH74r/gr8H8fE&#10;AA6FECnY+EEQTBUFwZBsHQfCEIosjJtFAjgBC/CUFAjDgAAlD6Ku8/T9nmd0TAmGkUn3DUWQe9IS&#10;PYbcWxnGkaokmw4AAnJaAAG8fAAe8gtW1qCLebIAHTJKpqqghmScAAISiAAnyoABqyvKEpScZiKk&#10;lLwAS8SSrKwrQGgAaE0AAKk1oKY03AAC04gAfs6AAE87oKU89AAGs+oaxy4k9QUlh9G1DUO+DvG0&#10;8IShPRFH0hSNJUnSlKwdCgVQuatLIUkZapKk72JWlryUAgiZjYnccoQJtWgAa9YIKvhETVNiCNe2&#10;JbqSpammIuKonNQkxmerKtoIPlkAAVFlrKs60j2AB7WkAAYWqAEAAAM9tMmyqGF7b4AMiTKCtYaT&#10;UNUvJOL2vqCL+bllWZZA+ISUt6x7H9TIHcVuCGxqYoIMuAgAO+CILfKBCLhIAEvhjXKKo9dNm2pk&#10;Li3B6t03l2t8g5AY6ABSZAhLkCi5TmHnk4ABllT+gALmXAAJ2YoaXGaABQRPIKa2dAAA2e04g06H&#10;6MM7hOUGf6Ohb0nW9jaaQhM4gtYszIob+q2u/KCaCN+iTFp2va/sGw7FCBqbKAwD7RpaUgdsaDhD&#10;t4AQuiuLAA4B0P6KNGFhttLFtvwD0Ydz2AVvnC0rHEdJ1Hwb5tQafBWgtqhhMEvqpQsmyfKIIAAJ&#10;XOgBCgAPkDQAGF0qK3TddacxLnNYNf6Bg/2IAW+XoAEj24AEn3Te3eiGDpBm9hcN4cHHax2m+J5P&#10;leX5nmordwzX1sVPVAN7sgDUcZVL16BVRVSG6JOc6gJ8gAKvYj6gSAFcYguM+hqAE9FOAFgeEgfz&#10;6khLRhS0rToIWYMJaC1L1FKYoxhBBiwJAABeBhEXfmXBwx9kLqFZu8fEP1OyeCELudcY8gi+zKL9&#10;CNCMAA3oTEVZ0NZnjPlbsPKQU9RiuQAN0N2C+CxDHwtBIKyNkoiwACyiAAAOUQyCl2GSXIujvnuH&#10;COIJ+JzRzvD8ikPwD7+1gvOIcL+LQBClAYASd4BhAwQM9AMD1AADgTRpXmQsacbQRvpd68MBkc4F&#10;wNIoOSPAAB8x7P6N1RkHosSBkFIOQhCkAAcIGf4gQ7ELj5IQOGSAIh9STG2ewATYnWlzAmRVbB+x&#10;wMsO8OpRgF5Co0PSMs9gNJSyrO44hHa93GQEAAK2WjA2CkETCAAN0uyCpbSy5tNYVEzppALMVKyW&#10;G5EQEJMsAAoJnEFGjNEAAC5qEFDxNcAArJtEFPTLAACJh3Occ9LmJUgCBJoGgACOcYZWTtO4d4e6&#10;jHCTunpPWe09yQIUFwhcI70ySEmesqKbr25zAAe84ghkWhfgAYCGUgoRKIAAExRN9cLldFPfe/FP&#10;b9XLLDfyQgwozTAmDf+s4tVGR30pAACClgABeUvIqYIK5hDDPkAIABso1JmzPgqxqOJAnftydAQR&#10;38IDKrYZiE4AA2KmEJbkI+qAAC2BLKHRYuMMX2w0YyQODhDKmDYAAEysUOzknLh8C2tCQEhAOrYA&#10;AZ1byKhJrk9mbhLVRKcHWY5qLxKcgYbQAcFB3gYnsA+QMFpAwUHsAYd4Bp7HsEKBoY6kTSSWDSPZ&#10;Yd4gA7NUrpaRQdtnwAUpHePtAAKGiDenxam1Vq0IIAF6ewIR3mLkCG+QNHhAp9kcGCekTp7AxNib&#10;eCFuJHCKsnHmAAdVySEx7HyCxx6m7WHmSMHWzQAxFXRuwQOVzikfyyWxCErhXn01qHvL1zKUjFh/&#10;ABLIgisBrgAmKAU7pZCwBCvCOOX4ABl37euQW5JHgdYBIKIPAgAA+4HIKLPBQAH9wOiXOidUdLs4&#10;TJeTCx+FMMILICCAACBQOCQWDQeEQmFQuGQ2HQ+IRGJROKRWLQttRlxAKOB2Lx+QSGRSOSSWTSeU&#10;SmVQd/y0AAGYSuZTOaTWbQKWv9aiWeEybxJr0EZgOiEuYAEowMKUcOT8ATl4zwShGBv+ENSsAwD1&#10;t4wN/VWjv6c1acU6RiS0AmKPm2P9x29cVIlWa6XW7Xe8Xm9XuVP6/PGjg6KTl3PbDBB24l/PvGWS&#10;n2Owzm7hPKAQI5cCxS/WJw518P3QS+jwMBzlwVITXzVSqsNQPAjYN+BgLV7XbXc4bkALTeAAb78A&#10;KXhQV1cUADrkQ1mcsABDnAB79EAC3qQWtgcAa3RAGEr/vAAy+GCl/yAA++eGjX1AB3+2Eg74ABnf&#10;OK2gSQVofkAAz+bf/P+vZRwEAZAwKr8AQRBMFQXBkGwcg5twieyjrVB8LQvDEMw1DcOJUo4XhHEJ&#10;pMGloAmxE4Mo4AQSKIAYQs2EyjhugYVoHCoAAco7uQWSb7DchiMm0P0VEDDqHBFJDtoixh9n+WEn&#10;gKK0pH7I0qytK8sQYnIFIGeqVsk0EqHrMboOkfEzgBMKzSQEUlIowx7AAc85oanMmpaDYTT0dcsv&#10;9CJtwmmEbz7Qi6NyODdt638ZuEUqEjnSAAFjSaEuWZjmuegg902ABU08gr+AYAAwVJHD4lvVAAGf&#10;VaCgNVwAGnWIARahpF1sABM1yhIo14AFbEW+q0IKJ9iAAAtjoqRFlULZiUrYfIcBXaRk2batrWvb&#10;EOG5bbHWzb1v3BcNxJunJ/KkAaCSCOCjhYgYZJyBkVAvGycgEo90WseV9AsGV+z4hQAz/QIAgFct&#10;mBBhADAJhbaIescVYbca6EjigDsuCIHi9jR1YljuPIUzZCKOPa9MkyUznwfx6ZWfl9HlA6QsoCYB&#10;4uzKJrGb+cn0ySBx2l6cgGo+Ij6+xCY+mttm4ZCBxno+nIRQ9Elo3zgUahJ+aw6bqyYgtLUwCCCs&#10;kP+xgAU2zIrmQAGDtYANgBCInnuIABjuiE1WZ4AAbvVgvuk+k6fjqcj2qRDcBw3D8Rau7ghvQGnf&#10;xPIcjyXJr4nJsqkFCCPyaALAXzxwqPt/DnQ+wMoYbvUAunJ0W+DXXAABPYo+Aqjn5yiLlV3IHxUb&#10;wYd8B+7hwKvh0v2/jQyzZvqOEELzVrHbHh6IAWeAGuIRhHmVoim4nmADi44zS/HHPQTA946Pmz9I&#10;YRbvHz3CXH4ABIIAA5+oACl/CGmb/YAGL/xBTwhldg7Ihg+oDAAEnAkAA0YGAAeeAAC8EQAHkC+A&#10;B3wMCSCSg0QkN0HSQQaEkSiDqP33LNGOfYHUJYVEVICAgAAgUDgkFg0HhEJhULhkNh0PiERiUTik&#10;Vi0HbUZH4CjjAi8fkEhkUjkklk0nlEplUrlktl0vmEQfszMInmyghDZnQwjgCZgBoADmNDib+oxb&#10;E1JU0MbdNU1AAJZolTg4QqwACdZir/rgynrPqlhsKssjfFlnEDWtQAmwnflqaxRKtzWliu13vF5v&#10;QArj/AV9fdQAV7lNGfwAfeJvlcAAIx1bxjhyQAmb9yD/fwlzVCwmdldNbb8qGcz2l02n1Gp1Wr1m&#10;tgd9cGaEoh1212233G53UtnTZN09SELf+74nF43HvNQmF9APIhNQ5suwwkpImbsM3o2nrG0fOiGA&#10;fPhBlnFj6hkZbT2noJ70PxwIAAb+WXOs9Rntu6q/QDnrKC7/hkecBMax7wnyAB7QSAAQQYQYZweP&#10;znMME6Tugvp8p6b78Q2hLmL6LqBxAgQaIGBioAJDiLnpFYAHTFySMqJi2lrFLSm7G50sMCqCKgvr&#10;hxrIEgyE3blJe5kgOhIyuMyzchydJ8oSi1T0D8npAylLEsy1LcuJIvp7BJMIHKgyyHtAJyBlbE8o&#10;mDMISCAhhqzkFYDzqaktgLPIAA9PjLlEnovy6kpV0IWIO0OJx60UAFFHqAD/guAByUmAAaUsABl0&#10;yw6BEoKlPDe3K+kAvo/SSky+nUntI0FIDDAygYcoGKiBiKqAKScvoAG/XbFx+kS+mm2QXVYl7ekc&#10;AdkDjYll2ZZtnSDNzo2fadqWq5xuWwTSBjLa1u29b9wJewxsuqFCPt6M6ekvUz2x8gYrtkVamKaV&#10;yoCYgZ/L7TchWQoQP3+BCe2khq+mSnocXChNCFWUtIC1BJ7UZRYX4oABo4u+L5nLjaEsMWy5ire6&#10;BV8vUPK4aKBhYXWVgBFZ6IqBmYgAI+aACxJ9n+AmdTKABuIeAqBl2no04S2rDB8gZDIHYaBAWwTc&#10;0afhz6mfaPsEvrBoEAjZazoqKvQKie3lr2ybLs2zoGdW1AUHW2nvtG4ISgKAACBQOCQWDQeEQmFQ&#10;uGQ2HQ+IRGJROKRWLQdtxlTgGOFiLx+QSGRSOSSWTSeUSmVSuWS2XS+YQx/zNSiWbFyRtidHEBz1&#10;GRwAgKYy2Zv99iSkAmgP2GNqnOgBVEL0OqREQ1cAVGhRCiuutBaq2GUKmyHEGWdGBe1AJw20ACu4&#10;ABr3MAP67AAVXkANa+QmtAC1BdjjrCDqxQWigqitB+Y0SrvIAB8ZOKzYSgAWZkANXOAB7Z8ADPRA&#10;C2uGEh3UAAC6sAUV6QM6xOtAJLYfbbeSPDdBLJvhxAfgAuzgwAT0BgCgbiBXZ/ABxc8AP3pSiiv+&#10;tE4R9lacruSqMtsSUBsQPj93zef0en1ev2e33Sl9/ENin6Ob3/f8fn9fv+ebvmAoAfv7AcCQLA0D&#10;wRBKPq0MwRQcTaTqcbRDK0PMFNamZkssHCGNKDR9RAcagK3C6LA9E7VNYriZnsoAKqAe0SpUVkaB&#10;2BEbmEB8dAEdUegAE0gAAbkhrqu4WyOABpyUhocSaABkSg5COHIKMqhqoB0Je5gMoGcJ4y+ApfTE&#10;6qKiFMwAAjNIAsgXZ/nlN4AAxOQABrOoAFnPCCh/PYAAnPwAm7QJ/qQ8KKKKfitALGVFofCRJq0N&#10;iCOS4wAAlSwAATTIAAJTiYHnT4AR6dSYOkfpchPVAkUY9chm4fCBgPVdZVnWla1tW6CHzXQWLgFZ&#10;q1xYFg2FYbu1abKBhNYllWXZlm2ci74n2+b6pWnRsE1TgCDLA7eg+zIWHEhhs3GM7jExZ6CsCADh&#10;ojMiBBGrRv3QhCyFSGzVgKZNegAal+gA4FYg1gQAG/goARuBAAAbhYAHXhyE1QE4AXHY9KSOFoAG&#10;djR1N0eAUjLkB3JO5grIGVBwZQAJn5Wiq/iHl9MU0XWZskyiCT8CYAMKABc56AAj6AADGn4AGZl0&#10;AAP6SADLH9npcxJNE0gAIGqYbh4K6weStAfecDYoDatRE5KJ4Rdaz5iBNN06v8Vn/gmDKKmDmHud&#10;m6gmwp766lLvnCoAPb0qp68FOk7IIR3DgAJHFIbqggVDHwz8iAA38oiJF8uABP80gpFc6AAmdAiI&#10;3dGABedMhMaFYvC9IQTfXAAR/YoSaXabUAiKryFSCtEGYAFH36C8bx9RpGUnjAAGXkgBXR8gAGPn&#10;oKS3panqqGBf64AWiAHIjPyfK7jfaTmL8eogjwCQKKILLGB8/2/d98ZVb4gAAr+H7fv/H8qrQgAq&#10;pignTjBiP0UUd5lgJEQO+N4gYICBtuIOUCBytmcABAhBVqBBCipZIEvIgQqygCeKAPFwDmhPgYYW&#10;A0bYMIVAMGjC0gp2QRgAUCN0gq31+L+IRBUCD2T4s1VeZYAC1jEEzHwkAEwQgXRJGOR8oooCBhfG&#10;PFEAA54qEVbKEaLAAB6RbAAL+LyGIIkGAdGMACZghJFOa4IeoAExC+jAABBwImlk2AALiOw+QUR5&#10;AOvt2g0opxViwEZrRUWuP6Pud8cpA0uECjCpIjkjSFlAACtkAK7IxgOkmp0ghnx7D/ioOc5pLiiv&#10;9IGcwFjERryGIqxQXRxgiyqJPGoAD1wXkFUy2kZkuV/nAISztUQAA1TBAAHKYhEXcgARAPogpqAO&#10;xdi+RCYIamis0IQ5QN4AA2zZISDSbgAGOkJiEtkiqhCCzcBoAAVE6SCy+R8SNepoTRvMLeXEgjZR&#10;oT3dsQmPIKGhGNmBMKYgco3xAJOMugz5ZYEPC2oQU1CaHETICIAAIFA4JBYNB4RCYVC4ZDYdD4hE&#10;YlE4pFYtB23GXqAY4CovH5BIZFI5JJZNJ5RKZVK5ZLZdL5hCH9M3SJpsGJjBm5O1zAyNOY+hhJQz&#10;3EJ23HtAwTQKZEwJT3sHqkQo4AWbVX5Ta1JlVXQYBbA5BpYweyrNBRLaQBGW3BQ1bwA6bkAH7dYK&#10;DLwAAbewA578ABhgQA0MJBQdhwAE8UAG7jXyAsgQCnk2RDH/lwFl3+w5m/h0vNA/nro3/FAtpwEP&#10;NUAXJrX9ZmVpYeI9oAhdtwDR38095soMIeAAZsJgE7uM/w3yQAweY/nfzwAC+kACN1XrkAED5Wf+&#10;4AhZ31ZVSVA38+fMGy36XfW/ZIrYZaqmvbAgN9QA+/wAM17OwlBE/42vnASWG1Ao0uwS0BwUpjRn&#10;qAAXwghIsQmABCQshIdQyAB1Q4AA1Q+AA5REhplxKAAsxQhpexWAAPxchsPjUABdRoACqv0y4ANo&#10;EYAFzHyEqGEiGmxIgAKeAiKyCgqxhoABUSegsMh1DcOxu2CKr2BsjKeADzHyAAVzChItTIABBTOh&#10;IUTUAB+TbD0QREOUcNKtISoKIk8AAQ89oqB8/AA7EF0EizOji4ZIUHRNFUXRlG0dR6Vr8c4FwadS&#10;Bo9SFM01TdOU7T1P00zpfuGIUBKOXyBiDQTNH6qoUyCtqFwKbQDuwfFQJczpKuGNlcQUrpVAM7By&#10;hxYoImRZCsoGCtmAEeVnvK8y0LSAS2H8ggIWyALkg2ABq2+f4a3EAkSmXZSBLwBgANOCwAm9d7fI&#10;If82n4IMJiwyryJmCqBmwe1/glFZezZNyKNuFwASUZmFgAcWHIjJgAKkDwAGPiy+r+hj/hFB8I3o&#10;ABd5CAB8ZIgrpAW6jqnk7DtJUVmXnOgYKIGAOaKqAR9ZyEMUCycFfPYtlWo4AWfpOzRyTqDui0ca&#10;2mgm+oDHZpdcQbjoXoaYmsgADGuSjDUOUtGMQxGhgw7MABh7SADvhYABwbeAB6bkAEyC1M00IZsU&#10;aF0AAQb9t24IIbPBgAAfDLWjIACTxYAMOBwAWeeSCyIbEtyQiklIJiMnlRr0p7BQDIABWaSS9MEx&#10;IYZ/VL0viCTUFGCKzsU4zmAE6oKJXcgASXean3yBM0QM6kB3/i+N4/keSiajgszRzKqAflel6fqe&#10;r62p3oK3XlXQVZmm7G2wUckg6Uh/BmyNjsEkgiq3j6zNZr4DNOGExu+vl2XmkHP9hbZF8kDUC34E&#10;AAF3jeIKaoHgAGsjEIKWAAqOjaAAcoABg4ABpQXIKsxfh+B9gAHhB8gpmjfD8M6DYK0JxoGdBIVU&#10;bY8YXD/NALwfRVVrkPRuD2HABwJQ7AFDEfTch6D9IYoEJERQDpHACj4XI+kvQ1IVA4AATYpAJg4A&#10;AWcVyGsnZSEZlZkGWklZeKwIhAyekCfi/If8QmbABGmFSNwMn7klLYOMga3SDvtfeZeM7tlqRxaA&#10;RkfxVY9x+K21VCDVyCNQAAzkfTW2utpGGjYjgAEpJUbCnBshB3TJhBWQUR0nwAC/lFFaLBBCjowR&#10;A3sABwAQuAZ8fthYzAALZAgAANEtwAQxAAGeXgABMy/cmkVI6SShpLLGk5KBBJKugRuNSZxFQDzR&#10;ILJt1BA5hsfig00a0kmauvdim9GTtD9u3IIEecwAJPiOmhNKQhMRGpBDpO2eU856T1Io5QFzhgBj&#10;OZpGsjkIiBm+Xi+0/b7J/ryRzQYAL7p7UNI+AqiAAnHADP2POiw/l/j2jVQ6jjU34I3fhIwEknBw&#10;qCWAAMGNKRtlVlaVozQgk6h/IgWwWp4qOpzHWnUC1NyKCtp8LMC9QQmORAAPeo0BzVQKa0QRxzoW&#10;iQfHgYkxcwx2VVMAYIZtWSCzeHHV0ADVSEGaicPAdtZQRBlrQGIqojpGAAqq1Ij8GpFs5H+wJ2NA&#10;CETRAPFsATJB8D/lEL+NJdqCkHLeBoACxQcACHDY0f7qhnj/M6Q124LbLD6OwUsk1PhWhtM0JCPB&#10;BzNNEIENiNwVAVU8IeUcNxAxI2qIEg0DshxyWwJIUdL5AqKR6ZvQiyVorgR3n/YWM1B3qxAquDAA&#10;xBBTXNH23WB5AxC3TH4Fe6w/n9g5AIOu7gApbhoH6HS8VGyC2cAEHe9DlyBFHH1IZCFyyBy/EyPw&#10;Id9YnEFu+AOGIA4BD+Blf8fwrsBAEdyEofzvBJD8BtgsApxh3ABWAPuE4Vro2lSIPqYbmCh4VADf&#10;8GQ/lgLnABdm7d3SR3sIJNQFd8CBCwxcPoKGMcWAAO4H8foXccD9deAVegAbvj8vEHQf04y04zJE&#10;P8o8HbbELfhQpOYsk6hUyXlMlhAQgAAgUDgkFg0HhEJhULhkNh0PiERiUTikVi0DbcZGQBjjNi8f&#10;kEhkUjkklk0nhMcAIADMtAAHmAAlUyjkFf83gr4nQAdE9AD+oEooVDolFo1HpAAAdLCIhpzwpMTZ&#10;lTAoQqzlgYVqMCEldlcTblhdVZrdlitAfypE1rLFmt0oVtxRNWCB1ft3ALzvUFEF9ADgwEJGuDAD&#10;LwwAC2JAF3foAd+PAAlyQAbOVgo+zAAYWbhs3nECfL60QgLWldNoXT51RFdmtkAC2AADWzACu22e&#10;f8NCu7AA93wAc3BALJ4m4hor5AAE/LAHEZIBcvR3MPF3VAFdEkEMewASfiip8BLeHjXRn8z7UXpB&#10;frBbygYC40Cf0HWRU+xSt/5klhbglzxsJUAT9QGhK0DUtYTEvAj9LQNKBjigYlu4baPoybZuJUEc&#10;Fw2rZ6w8AAXxCgr+AAKETAAakUxGsIAB1FwAHVGIADVGgADlG6EuwgoWR4ABYR/Hcep0fAAAdIwA&#10;GdJKExoNQAF1J4AKcEIAFDKoAMwHyCmjLcQREgkUmoAEeBYgpsTMAACTSisdIIGk3AAVE4oLFwdR&#10;hGSRxIgjVHyADkBWgsLAAL9BgAY1DIKatEy6F4AH5R0ZxrG45AAzzIsmk88w5TSQrQY8ETrTdQ1F&#10;UdSVLU1Tq2ypsh6pYBmFVFYVjWSFANWoAAZXEiyPVqisYAC9HnX69tEfVZ2NY9kIEeoRWYCbuT5U&#10;5tWkBzuHGgYHKI/7JBKFKIHJb4JyGcyBgNZKiMYIrlhOXlzLeVl3jMBt5EymdgIKmYR3yAFMoMDF&#10;/AACWAgAb2CNk2la3LMxsIKGeGgAZuIJSmsjAcfzxqgfeMiMLOOF6gjUHXkIiGHkjp0olT5ofhAA&#10;iZloCLiVp+5QhAUZqAgVZwAJpZ2f0LH8lWTXumoc6IAgL6OAJg6Ufp26af+gIQmcsALgIJHogYaO&#10;4bKIXeVhCpUPCCM8r4AGq+wqBaVW1DU7hKaA3CVF+Ke5iKj5T7uDshnWMO+SJdqKv49yBAbv6iFG&#10;7AvcKj60HYlQJ7Em5zoGQyVE8lR7IZCxWpU/HFWPDx60XFZuUbR+ahQgoY9UADoqxGKxyZG0cIIb&#10;/agAIvcIKO/dgACPfIKY/ggAWPiIKX3jgAD3lIL2Mnl1KKnAAWXpgAFvrIKSnsgANnuAADvvgAX/&#10;xOursyzPNICTX8s2zfOJUTnF/XgA7gAWkbSST3PrkoJEh7f8AA6oLiCg4gIAAqYzHSj8Ugk1SSlC&#10;cLbIKEqCQABJQVc9BdyA/xyrbA5BiD0H4QQhhESB+wVDuCrhHCmFRWTeHsfmbEmaC1KloAA/5zDI&#10;R1wOaDCuHkHzPDxW2BEgcO1TpgAYTAA45iVOEJMuhdS7CHsEG8EctAuIevqBI2SK5IBVxdCkq0VZ&#10;2ABKBIQbMDRPCfQ0IITNMbZVFG+B6AAYsc4EsAYE76IQ3Y9EJfQABBA/RrSBAEWgJwVZDC0IQyBk&#10;IRRiSNJBEgAAS5JG1NsQkH8l47ASJoSs2wriIySCXJsAAuJSR1IYrwJEqQAMIWKQICh3FgkPbUKo&#10;AyrR7nxZPDEpRaA9yGCqIZroJSBgcO4BEKUxxXHgFSCRPY8gvTPLGQcP80wCPWBaOslQEJcDLbOD&#10;eK79hfncCBFsiQ3DsTCnIT8oEcSBDAQCQwzy0AAMeIEFk7jgiBP2DsdwRM6UNugdE/xFhBBaUFAA&#10;HChBBX6Q0djA0ggZqIAAeOL4kkvgACHow8xGrznoJTo4ECkDrDoq3VyPSkwAAn0pAAI2lj5DskEY&#10;UAB/IpqaQGKmAAQ1OQAATp4QVNhA06AAPSKJ+CdX5P0fs/g1T+k/0CdIQQWtUQABvqoQ2hqOFKwQ&#10;IJBIJUFILT+VRD8UlYwJCBrMymsFaa1VrrYRN+wcDuCPrbXMrcfVcAMAAA+vSaE1QhUdApi4AKAV&#10;/rpYUt44DsJTb+7Ub4IDGDTIHXgi5nh7RSAsEezDoSHoWE4SoMKlSDxEg+TNsZKh3HYK1YYhKPxY&#10;Aqr+M6kAQADtKGCQ0FNtwADXt0cc5I6bfAANaOwgqCAAW+HSAAeNySEl0pIAwfo47oACMYIMK91Q&#10;/kMkUOuRkjiPyQlBJSTwBbxAACNeWdR8xgXpAAEm9l4CE13AAEO+UorWERYoAAIl+YdDAO4EEhks&#10;wHkDHuFbAg+hS4HBQAjBQ1DPACZQWhp5HGTD8bOAohEygJKtqeAACFoVgALb4GEfEXRVjfJUB2IZ&#10;AyVABAGWgXMvgkQqQsEcgYt8U4qwlaCEFpCbgBM8sQfQD0xyth4WgW5KsYkiM8NklQbDADgucXcV&#10;9qik0ARCoypxNicBCy4AC6C1iEVXUmkOAB1oaJSAA0cC5DY9DdABDggqqilFLgWk5KGaBd55AAH3&#10;PgAG7inIS9MWQAGcAqpc+ZhY8tFAABto0gr7gAJuBpDpS06CBhk0wAAPGm6ip2LHUhaVSk+J+dHl&#10;o3IQdUAAW+ORJakasQPUuQOrlXhJZUQ2WgfFwQJJ0HvrbXxSSAiAACBQOCQWDQeEQmFQuGQ2HQ+I&#10;RGJROKRWLQNtxlIgGOG6Lx+QSGRSOSSWPgKUAAIysAAuXAACTEARwAyabTeCv+dAB+T0APOgAB30&#10;OcUWjUekUmQv6mMATU8g0qlN+qCCevxrzQERSdP9aCWwE2KRlttKaC2pWmRnESW1IWq4SBQ3MJy4&#10;FuQVXkENe+Q0E38APfBQkR4WC1RvgCmP6YTIW48AM/JQ2niYAOzMP525sA4talbQWKH4tdOvTEVi&#10;amQAfWAAl68AL7ZAAf7WhURh7kAAbea7YK7gQUPcMADPjABwckAcMPABY8+GiDpAAY9WCIKUAI/w&#10;xW91l10ZwSaMZ6eUngz0Omuv+aesBQMBTRgFP6EKEKz8PGaAv1wOaACAaunKKkCA67pWn4rqav8j&#10;h/K6maOH6+gpgOuMLAAbkMn/C8OIa9Z9RAEIVxGcMOqSxYFoGd6aAKox+xeex5RkBR3RrE0brges&#10;dAAF8eoLDJuIScchgAIMjISNUkgAOUmAAXsngAM8pIK1JiAADEsIaa0tgAJ0vIKUUwgAHUyABJI1&#10;AAXU1AAEM2gAXc4AA3JhgAMM7ITICCraEiCmxPzGgIAAZUGAEZHkAC/gSAAoUYABpUeABq0kgrZF&#10;85biIJMgdAAdVOoKGlQIqwoRgAQtTAAfNUgBEYVx/DKEsQAAi1nJElSYOQAQesASoKlYIgBUaKi9&#10;YYACVY0cWQmzeAMCbmHdZNoWjaVp2patrWjIBnK6Fr/v9BT/v6gR/Pa9dyJ2hD2oJcKc2vdqTOyA&#10;AG3kAYIXqAgC3w993X2gSrn6zB2H4e2BsWxl+YPhEGJrBTxJohZVT2L2EoesgZPGgcKoeq4iBRjp&#10;eopIB1oGCmJpw9Z95QDa8hUc+SqOSmYAZLAMHDUYJSGcYAZQfaG3xFoN6AAAL6GnifGbo6EzaEIA&#10;AppoAGXqCG5WABu6qf58awghnQIKgaIo0jTHWIpkbIkFlgAJG01ync8mntyCtZCrXiWADgFcADHr&#10;RPYAGZvrLswAAjcE5zoIQGvDgADnFH4gYlOyXaGFXyR0poCaBvZhyBQCnRvpoDCuq2gUN9EgZ/Ku&#10;JQsdSXiEQOfuGX7y6aQcnQCbcaYE7yfPSoWAb/wnBeXIkshypoDXgqKxYgMqYPjocxZDJoPMOPWw&#10;R705T0Xn6AN19HXPZQfc3uoN8N1IP8WXYGe0eR7RSMIz6yFjh+QDFr+oBoINH8n2Of+H5HoLwEPp&#10;ACXYf40IDD4IoZUBKD3LlkHwGmCABReQTAIdIEA/U4C7H0g8yroSZs+H+lsa0CCBq7faQIvg1x7k&#10;xUC7YAKEwEQMIWEyGg/BHw3Z4QdTQB2wr6JCCyIA/RXxDRAiBVaI4TgALI/AhSUgzgGUq/cgcTh9&#10;B0is64ncCibB4i4PoMcXx+vNKU8Agq3XLk6ACVcE4KY2DgjEtUroAiugZIGFEgYiyaAOJpDmN8fY&#10;/R/KUkAZBAwbyAkMh1hwDpFAAkUA4ADPkIRkWs9k247yCr1AgAAAcm5IrWMWqhVShgAHlHpIeUyy&#10;XoqjERKcgY2ZXBEOyLkmkPiED5T3B4iqQB8FdAI7KVhBnXkFlsW0CBNHGS/Io5IVY1gNTNBS+lQq&#10;MijybfuC6ayjlISUIYDybgABjTfYKP8xY3pSAuTsGGEjzimASIGNgmgFSjTfGMP0c89YwkHARPk3&#10;wSwDI1WfI0f6lR+FAHmP8BVB3AuCAKLChkfEipGAKr57RHFuEcGwQwVNGQEwsHmQOKToidMGIKP1&#10;VI+QNLLEsTQFBAwPldCSFWmAxnIuSH3LNdBHIfISPoAaZQ1SaAnfMQcVLXAtTIIIWQTxAwvulXTL&#10;+YMnSBiDT2IKZBi00ECD4QMDEZkTRFAAPCsBPyg1GKKzsAD9RakFUYFAhslBZ1vIKZUADU6GCwIK&#10;B2vBxTjkUGTX0AE9WWkECfYMAAyrDV/nqAA9ADAABEscQU54sW1obcUBwACoGvEErqQVLwTgALwI&#10;I2EACBwADetMAACtqQABDtYoJQhDBcWxAA1idJIZMAACBbkAFbq4EErWRGzZBK5NTs1Qwm7eVgGG&#10;rIhZ7IHAT3PHLcsm5XQFFdCyQOthAghkDARVyyYeDsiJuleO8kbyyDaJory8t6yGWLAABO+CgF9o&#10;PkpKQABmx2kVAffslRLF4OZXbV4dOAwAVevZgchK6woK7FldKFIQYWC9u8V0V6uwpEfSA+fBC6id&#10;DiV2B/DZCJlDTnyAgFgGcUAAHDiso7e8VolrMQyalejw2GGVZNBJOh8UwCqA0rhOgREDG6UMd9AT&#10;ZkUYcE3JSAJNj/iGK8iKiVirGM6UzJ0QyE5SCPlsANbxZj6rWAYro5yaAcl8Q8UeaQHKJvy6KptI&#10;B/qBIEAFrktCCCfzwAiRo6CBgPK6OtrgFiCH4FYL8gYPyD0iIIJVrgbyCIHH0fCOJA0BoFvXK4bI&#10;UZqN3xCQkYCeyo4IMWnQgQOSaUfQ6g+ggALRad1dq/WGsWEXNueCe6OstJkCA8V0t5AgiH7I+V0a&#10;Z2QXYbICgAAgUDgkFg0HhEJhULhkNh0PiERiUTikVi0DbcZcwBjgZi8fkEhkUjkkGjgBAALlQACE&#10;tAAFmAAAUzks1gj8nAAec7ADynwAnD8m0FAdFAAOpFHpIEplDmz9qAAe9Tns/qb3p1ZrVbrkNf9f&#10;f7+sQkE9lb1dtERbFrMlMAibm84CooujsijXvANmAFeVpv0gsT+WImwhQv+HiKsxSjk5cGOPADPy&#10;VDCuVAASzAAbmbAFQfsNDuhoE5c+lAFgfcDfmBFBW1ziiFgPFgQ14a4BtbYioK3gAIW/AD44QAX/&#10;FztRhmYCQAIHNADq6AAYnThoJ6wAI/ZgsnWMzAWGkWKVjtgYRk4BsGfgzmKntD0EVPxHNFAbEk7/&#10;g4DsDN9pUGiCFXAJAu8PyCMCQoqwSPjEQYoZsweF76GhBsKK8r5zBLDINwrDiCrA/SvjegY5pODU&#10;OtOr6pKoeEWRUrETxhGMZRnGkaxtG8cIWzwOLKE5yxypzAhegYlIGL6BhCk4DK0sB9O8A8gSjKUp&#10;yomqMm2jaOyrLa/t4BQAAjMIAAPMgAJPKTAp0nh3TYAE0xu7wAAnOYAAZOyZJpG6wRQ/CrgAddAO&#10;O9UuUIriwH+ElEgG+9CpHB5sjOgZBx6CyPmtS4ogNTRXUarLAkMwgTD3TqQvESKBjaFlVAC203LE&#10;kgeViABk1oAB91uiIdV1Wdas8gh9LAAp82GHAt2MZSIMCaaThYXtnHueNooqyoKgJWIeAKcVtH4Z&#10;tutSh4P3CAoZXIAkrn0al00GhtVBYAtQgIsA5O8R6sgCVt8W+AEQRSgb+gEhDxGGgYdoQ864n4CY&#10;r4WdyELA878IOM2JgK7IjmmsAKLAVMEiqNdSJBS5rAnTQDHMgcl5AkSwHlDISgflSs4egYPrAWSB&#10;hZg8Gz3X0WHgAFonjmOh6JoujaPpCBR3Hsf6HD6wDKgYzIGFWUZ1BiwH8gYZO8aOk6/sGwoNK51p&#10;OCmxVJM4EbXMExbWBEzI5KVfHruoAZ9W1caQve2giAEvTxgEzxvXydnnNXDn1xW0acsGXYBxiIGl&#10;yYIhdyx3o+bXNO6mYnci2KvitlxV8+gcAlWMTvE7koAWoABy9giu+R7P9AnT26Igb3QABD3oAcma&#10;UPK+fST34Lz+lMhjAo8gRmVufYNGH6QAcUfSK96EIALoFAAGh7wAG98KIhn8gANCDoAGP9QAdudK&#10;Ihp+HzNCoSBCk7xZrQ8TZq+C6TnOYERprgrLrIIeJoRAgGEDH8SdrRA2HlgB0d4cpYBvEnbg0osA&#10;9wpwbAcKCDwB3dANHqoyBxX3IAAHCf17LpU+ABM2NweRJ4EwsIYokEhKIaEiMCAkgYjiBhaJOA5E&#10;6aXDNAWk8+HMSYlRLiYjksAHmXDjSiYE5ZAj/kCDAQMIrZlClgD0d4Q8TYxRjL+lcdJJ1KxkQ44A&#10;B8bQANvcCmhV7dR6gAHfHdvK+o1OsTmBMAB1oeODRszwqI9pDAAHbIlV0DY1IVUO4+RpQ0rjVJO1&#10;WRp3gQAik0OFyLpwbknGK8UFcowADVlMRVywLgADjlZHaPBFAPSxAAPSWgAE2MNIIWB+i+ywCCY6&#10;IBZJgWrkkT2LyYw/CfDyl2Q0IkzQDxtAeAEW800XENTjM0IhKSVF9IECg7w538mKF0ScIUuYTEnH&#10;BBsKYIiEOnE2ScMbBoGFiH4BuewDhzT5Hckph8DE9lgD8ScKpA0hkSCYf0W0NErjaJOCWSMNoTsR&#10;kiRJYJYAimBFIfRvyHU9rDHzLZNqfqJ0jpJSWNRJwPgjpUbBDqQiBhyIGEEgb/SOMpaMWAZJ3gcQ&#10;0ICAgAAgUDgkFg0HhEJhULhkNh0PiERiUTikVi0DbcZdgBjgTi8fkEhkUTA0lAAUlAAA8rAACl0j&#10;mEIf0zAD3mwAd05AD6nkxn0/oEHBNDAARowABFJAEcANBnz8qAAeFTAD0qwAftZp1brlcf9ff4ls&#10;QCrtls0XjLbe8DA8EpgBsD/g9yidMulniNgANiEoDvF/g6lwQilYHbVMv0DEOLADfx0JwoADeTqt&#10;XdWXioKzQAHmdAC60EMftgAVgWJV1BRilxZ2tf2Ob8gBmzAJA2wAWm5u8JpIIAJK4ABevDfy74wA&#10;mb+htDBIAI/Pl0ubnREuAVfXLnRUFxt0cskCAVZfpcK3lUsEP/pAwt9kbjgNgejr8EPvJUvRbsDA&#10;VMflggqmH0sB+IGByBn8ph/Lit7xD08orEawEIoOtJdIGIjuo47iBrs/yKLtCSFL0fERhY9gWmvE&#10;EUrObsWEg6I3grGIAOYlqXxU+KtHfHQAHnHrkJpG8gyFIciSLI0jyRG6wBYvhqp+0iBg8sAjoGOr&#10;FKY78komsDlIEeyBmUgZTKYT0Py1M80TTNUIm5Np3IGCM1zkpClAdOwAAXPMayzNDkpqm6pngAER&#10;nxOdDIkpgAM0BSiqOkoDKWjkzv8fdKx5H1A0PQywH6vgCU1TS0nupgEVAoEuL4xNTIcVVWgw6JrK&#10;ZOMN0kyYNpwnQL10AFHgAdtfgAdlhJAEdigA/xvWShNOVojhginaAhI+1jWgAcFrtk2YANsIDcNy&#10;hIJXCAAe3IAAB3OABXXUiIM3aAAc3hY6vk+pgxzMvDrlWQKmD4g8u2Og5xCpgYSIZfIjOSuJzixh&#10;hqXUVwJuSda3w1gCDHk5JIXOAY/Q6gymwMmYNQcdFVovNpuEYgY55MrgaBJmBm5bM5tZqQjoj3DA&#10;AAbnlGziAmgSHPx7aJXE30qfeZ6Vpemabp0kLAHS+GO1avgYsAuoGJiBh6gYGLfpqwH0jCBkqgZg&#10;KYbF76ftm27cn2UHkgb4beoGNgBGIK0UzdEy1jyBHzwNg2HwJ87rw6DTtAoIcYAGgU/vs06RX1ga&#10;JL+/8QkawHkvgH8zG+UUKgS28+h5x5gEgPbbVpVAG6J0qYj0guiAAhdsABfdzH9/oNLiCLAcxqeE&#10;D5A+L3mqq+1pnWtbCPtmBlttu3JaIKE3rAAFfsgAbPuAAFHv3TdaGesE3seyu4wuiUMhdYMjokzA&#10;yDgGt96il+xPJ+Vn9dFc21oGAUsAeWBhUEQ/oVioyOAIWYQMsAszUBVNU6Ug6yRvBXOSKiCRDzkh&#10;AfIMGDJeC0h0KYIsiCvVdAXAAAWFSkWQJBKggMdMMVBojg/DWG0N4cFlCU6gW5BDkukAACMgaECB&#10;A7KY3Rp8CwADqbOlU6I5YcxRik24tI9imHNimQQyLPD4PPXMuhNSfnCgAHlGUyo9Isw2dpFwAAD4&#10;3OOaC5FqB81CRkjMVaNEaS5lfHOXwDUeigsocMQJSEehvOoiE0w9IfwCImGuUxgqQXsgrJ2T0tJe&#10;Svr/HmckDiDo8khWo8ta44FsvQW4t56gN5VAAA1K0AAw5YKXHmAAJctQACtlwPspgBVErwByACE7&#10;YyBBAOi1Qv7rJCgADsdEf54hoOPPOQIB7FS7lvEKckFBTB8lgFlA8VRDIDCnIQUwHpYI/kCLiIAs&#10;AvywDlCvO8b6+QxFMHwdEcT9gpDEdYHMpgOSmC6gGJpw73Bsg9Y2MKQAAIXhYe+CgVNCSRs1G0GI&#10;6InSPt3cYBAADik9pDPFHZuQ8aRFYK1RCk1J6UJyeeH8C1LVPkCCylEpkyWlMVHeQMWJAxalMFyU&#10;yT9KSRkBgAAgUDgkFg0HhEJhULhkNh0PiERiUTikVi0DbcZfYBjgEi8fkEfjgBAAWkwABUpAEjlc&#10;ckMvhj7mQAdU1AD4nEwnU7nk9n0/hEsCVDAAOowAAVJoEhf9Ngr6qE0m1QfVLq0wpr/cIlrggq9f&#10;sEXjLbfUjAthtEVrLerglEdpqy8uTOeF1GEjklpA97AA+vwAuS8AFZhtGBwAe2JmUyfrzxwhMORd&#10;E9rL/Z2XADgzUgBmdABA0AAf2jAAE0wAW2pAD81gAvYHABL2QAVu1jccApN3Wl023AIMkdVuEDVn&#10;F4Wlgl4fvLGNJARqgYfrIcgbvkY6vEDfuExZELPfYEE4qs48egcjf1ZAJT9gEVfv5wCe9mrL+kb/&#10;e/5EZc/jh8TinwkbzIKAasnsKkEAW4avm5BoWIGacFwkh7Rn8PATQwRMJw2r6xickZYqWBsRgACc&#10;TAAAcUw4gbCKoABzxgADln7FcaxtG8cRzHUdxswwARGBrXL5Fjsx4iisxogRuoGOiBl05x8yNKUp&#10;ypKsrLDBpuH/K6LALL0fxJIDeQHKcKgAxYAHlNU0zXLk3TeuEvLOB86TBILnStGabpyup4T2fE4I&#10;mta2rfQM3SyfaBzJQysKaZC2hzRiBtqVpOAjS4xnfTSwpYE9PAAdFQgBPqIg9Ux/sSex+nXVgBIG&#10;IMECoYSlsrVh1gAxx5pBOQAA7XwAU0d4AF/YiEte2LZsCfgg2YAjnGMkYfpGfkJvGXtXrwysWIJC&#10;oDCtb5+lHcQHATcthIEfzko4yoBpGAT2CmAL3lWQ7nDrbSFXajg0wqMaRhmgb7I5dMWKaftYgUVW&#10;FEK5w8Pug68qQqgoO+LMQ0kgps40DcUgGcmMJ9CpJwwEw3ZBIxsZSHjTAIYa4WOoYJABcoEpbiMO&#10;NZah252AB658wanZPoWh6JospTwBGkgAzoGZncsx6NgtUIGbKBlmgZRucbiP3EUYOKyd4vbEeuo7&#10;Ls2zx3LMt6GCm2gABe4RRFSWSrNGdnaAD8nu0TSbRv2/oJlgAbaCmnZrPEjMJM29ABu7VtbkCsm6&#10;toScBDixn4kYB8shsZlXTwTitQ15j7OgHkEenU6BtagZiAAL9gABr9miob9sABm9yfecgLColCr4&#10;BbsopoBKyZKBhomp1JBpIEAB01QVEYvp9Z1iC2OJns+KpyRkSkY8RzSh2qyw7z4G9XNJwfAVi39p&#10;sPGESRm2gftqa9DCfpWIBPGU6Biutl/BoiDjLX+VlRb5iXEDXgvI94rznBQXwQ0YqsQetEGZBcBQ&#10;EINNkc4hQ0YqWSBYg6WkakJQYPNGejVPClwIvPTq3RFaZlUlSeXAGEcN4cQ5RqryFgAHmtQhgRIw&#10;jsxrgAdA3JzaEysmTIEKYgYmSBjjOc3sngqYrLQI4C4gY+ysijCvF9k0OoxRjhG2pKrgm4IKg0BB&#10;qCVTuEzZ82Qd0c4yR1hHD+NbhikFKSqnpXKbB5JnJmlwaoJJDIPjs8Mf4ARuyNUSQKJMiQACHkMC&#10;QPSbhUSZCgywVoGJPACHTKEnxKQFAABXKcAA05VJ/Ii4RwbboiLUkgQMPysRCE9QqdQgQ21UgIFx&#10;L9KJFgAugAHKcFYAhozJH7I0bqSSGgBBhNEAYI5qSRDCSMUCRl5jJJGDWADQSDK5AUZEMI+BMznA&#10;KiYCcHCVrqAC6ySI514AcYUKoNRzhIzuMqXgAiFQXkjGYWYg525wFIf0eMPxAxAEMOUcsPS3wrCH&#10;bLGaSRBRayVCZRUnY2qOAja0lVpgAIeq8iChtFzygAD5pVRqllLW/q8jxBoAFJIEk8GBTcAA7KdE&#10;JA5T0AAOKgEgSQQNPxAhhEjFEQMWLDyrgBkyKgJ7HRRkDaaQtCo9CBhwVCOgUgb6vTBpcQwgIIAA&#10;IFA4JBYNB4RCYVC4ZDYdD4hEYlE4pFYtA23GX9A38AY8/n/IQBHgC/4HJovCJIAAjLQIDJgAwJM5&#10;HHpTN4g/J0/nhPX49aA/50/JxRaNR6RSaVS6ZTZVNgRUQAE6oBANVwFJADTpTIZM/bAAKA9X7PXh&#10;Q6JTZLIa1BLW/wHA3eJboE65d7xFl/ewQHb89IHcbzg5uYBJh1DhIsqcYPwHj15JAINcoAGXl5uB&#10;c0ABZnQA5dAAHVo4qMtMAGrqQA+NY+4GBK8rirsypSq8UK8qtA5QLl2WAK9FR5wwAFOMAGByQBZn&#10;7gYYQOhLJbroEMAF12tioqpe4JQP32zWq9zYHYH6gSv6UHCFV7Tx1wEhaeAXP5hQVvxgIGrP4wpI&#10;HSDgGrxhipAofP4Vg9oG9aBJQgSSK8f5HwKKg6vaVTHsetKFK8dcKAs7TtG5EcHRDEyHK8Xa6BKI&#10;0TxcwZoRiCwFxocyDwcf8IJPF6BquAwAAlIIBgVIgBrbE7gn9JQAHnJp+ndKB+ODHkqSrK0ryxLK&#10;GvgAAGy8AkiAUAKogQrKbJW7RkzUABxzahIHTgAAjTmhqvHsgZoIGSKBmM+ByRc7hShmmYCFS+AR&#10;qSeklH8Wj0iuLMtUjSVJ0pSqJxGbkSqdLkaAW6QIgAzQC0tBqRPMsSgAAdlV1JVtXVfWCHpgBlP1&#10;Czc0UsfddAAeNeyZJoAUWwavGfFYZVjV5tWUBz4HerytwbZCkKGJQU2sXNJ0C7zvmmkgDoIygass&#10;zCIJWDNzgBU503Wis4AcADDhIABnXo4CQn6kgB0WZrZiqGijWerxLIGNBmYNNk3IpDIACVht7JMW&#10;mIoS8aBgDUQBCRjNbAKdKBg++B82kAELwyAZkK8DNdH2L4s5aXqKFdmJTqGaT8CsQ6IFXnRIJIBz&#10;g36MSEQQUiBiRHqvFtfosIZnRVkskgEZ+2eg5EiaMm2jaDU1qqbm5FYT65SrUmqD7vgOcGwoTIIJ&#10;AAB+3JqrdcRM4LWHwAF147U+073vm+x4ldRSBIIATIAGF1IY/Es+0KEXcf4i8g6gAG+gZbIGQj4H&#10;dUkLmKgYZx2k62bluFoIFRYBvh0oBQiXnWgOTXYclv3Z9p2q8UxraLJXd0uy8AEfbhVtT16eIAHp&#10;44AZV23l+Z5qJy5Wda4X0csuD5R5ewAHsHlh6jq8bsV3l50T4MZgFAh9HuIEwXxobRYqhN+JWUnB&#10;BfoGHaSdWkJ/TCfkMgBSaPNrKoUvANAACGBD2nsAEHBA1DZEWzAABVBMAQ2YLD/HtBlHJHkIqjIE&#10;OFMIKGGhKZCUUrwzHPFDXSWElLwB2wvAAMSGSwUlkMJaBEfoP4dJGI8LM+ATn2xBiE7dEkQyHqLF&#10;+/EEwQojGEWUNoFR8BqxCATFUqZVAAQRSq9ZXY74vPGeRE2MUY0qwRU6AB6LC0uNpGLG0AA544EJ&#10;QyNwKMdQVEkdkyIxgqXMHXQUXgrw+HtgWDJIUecZJESJWk7giiYTinHcCrA4JYzRGkSnIqTEmXZt&#10;rba2+Nar3lQvHaqgepKRurxfFJopBexfgEL8B1uz65NKLDvEoRT9D+C0JIEsrw+iSI/R6VcAAM5i&#10;AAGlMeUhCB+lehKAAAh5SSAJIIE+agAGIi0hWeRG7+ySD8CnN9b5TVFtjGqCqOA5ybuFB7OsADMR&#10;XERA9PEAANJ6MPEefAOUqp9SqkZPsrwt0VhKn2Uca1BQcI+GPJoDFCwARneqSJ45gDRjqoHRWTTb&#10;gHgAd48B5xwR80fAAMOkSvFfEIK8zU/AL2/R7DQfAS5eZAyDkKGSQ9FgAEBAgAAgUDgkFg0HhEJh&#10;ULhkNh0PiERiUTikVi0DbcZfoBjgCjgBAAKkQACElAAGlAAAUri8tiT9mAAekzADymwAfU5l07nk&#10;9n0/oFBoVDolFo0GAlJAAOpgABtPAFJAlHnj+q04nTvrQAe1dhL/sDfEtjEVUs1nikZbb8j4DtFv&#10;idgf6dsYlMlwiCrvSSlYCM8EuVTgUfjk9pgOAAexQAcmNADwyAAuT/geUgT+j78uQAfedExZ0Djo&#10;tWfzVZunFTi1UuBOtABJ2AAV2zhoy2wAD+5fkDKN9Wl44HB4XD4lAP/HARd5T94vNgukWIm6RQ53&#10;Vnza7BGvq563dpdNCPhqNK5ube/nADu9QAfPt73v+Hx619AGtBIABn5+uuAf9+SWpg5h8QGrivHr&#10;A4AQCgrsG0AEDnqr6wGkK0KBe/6JFRDIpv6AZWLMuR9pseQJjJEp5wvFEUxVFa3nNFx8vCCIDAPG&#10;gAI/FLNq6ewAHZHoAH5IEWSFIciSLIyFQ4AAJyWAAFyclSWPizaCQGfAAHbLAASqcq6g5I8VG5MJ&#10;9oGwUvqqqxeukEwiRQU03BolADGSj4BLkfyBswjkyoaHc+gAdNAAA1RxKwfSGsmgZ7o+BTSBkKtH&#10;meszSNM1FBtY1zYCS2TaIQItPKcqC5A0vpzzNU1T1QhRrVWCc4nZVKerkTy6jHWDrTCbgtIGUtbK&#10;OqQAAvYIAARYjnM3IDdsgeCapvXtnWeiE4gACVqABGgDgBJMb2cnNDREmSaQUihs3JAsdoQuUJwr&#10;MxU3aQa+jsuQCoIj7LJ+uVDIECsKCseloX/gGAsuqz7oEHSBkCgYcLbFDSQdBFvyrgWJ4piuJ2uk&#10;iTJEBUoAFHCwOYgRaoGRCPmWzOLKHXF8gBeeU3QsBrLqFcWEjmwDg1nJfr6HKDnwDugAQCmhwW7G&#10;HwgilEIFKyBAQuQsUeKpVLhSbTma1LVpa+zXti2ZXP2+4j7FGyOGwj4VXrl+1bWoRq7cEtrwbtiE&#10;NIQk1D7uai3IbI3Q4SO8p5G9qAk77EPo5uHHnxTHsjZHAceotpa2B/KPGqdt1RY8gvOe9mHk9j3K&#10;Ka/Ry1AmYH/dQrQtFd2lSKKPk6j4IuE0h9cUeYKRKMkT8h3vfJ60gjoGOSBh4gYEsJKSwdLK0e1f&#10;bvf+j6XpuDjElgnYdi8w/65c+gRdIGQS+mn6iErUfSP5d3pvBJ9oR3Zdovw4TiPzKfa5AHOlYrBz&#10;umo+I4KcAQ6O0KspRq6lmtKYNiMCBgAAewPY6LMj7ryOMhfLBdvLewbIcGS9EuQZi6ibgwRZBgfy&#10;+iAhGpc+4FoWOWWM8tiRWh3gAc5ClvKN3KAPJCSNjDh1eoKhqPGIShQAMOOEqsazoB8oRdQvx1Z7&#10;xWRRBEgGCRHAUkHH+2kqiICPh6aiI+FJAYAAIFA4JBYNB4RCYVC4ZDYdD4hEYlE4pBn/FwLF3+Ko&#10;GkoGOgDIQJFZJFX9JwA+ZUAHfLQA95hJZlM5pNZtN5xOZ1O55PZ9P6BEQVQwAEaMAAPSQBIQDQZp&#10;GnhA1PTERTHFTqxNW5W3xAwPWbBE404RLZRBYZ8o7UHARbWYArgF4JGn1TANFI09aYC40zipfxna&#10;IPJ381WphxU58VM6TXx/jwBGn9AztcAEjcFmc1m85nbRW24SoGtc9pYHGiRZRKudNrZq2tgjMsc9&#10;dtZ6A9wAAtuwACd9S5DpX5w5ZLnnx8jF9ty+ZDMsAAL0QAEupSKVuAHzbxyo1KZW9PAAHl4+1B2r&#10;5wA+vVCY00it7xfnlT8wlA17TBdQcnAgFDI0VxrQCK5AwI/bywPBEEwUADCB2gY2IGJamAbA7CPS&#10;9Z4QyAB6w5BcPQ/EEQxFEabKYAAFxQoqjgNFkEMkgZ2oGUqBkcyxxxIiptx0fKBpGgamP606LwMu&#10;bToIph/rm5UjpDJKBScwSNAM1UgxwhIAlXLJMKYMkfoGfimAKhjCHyywDo0aC/ioGLXMIXimCGoI&#10;gqYYErTtO88JobM9kEyw9S8gSmSa7snyQjUoILQ0lx/JqD0Qp0TI0HYSUoZs8ta2BtEwywz0vEcT&#10;AdUIAAhUgAAJU7SwtDh6uKd4AH3WFPVkgS2gQAChgUAAGV3U1URNPDu1gfbxPImB7wufU8vOatkP&#10;Yi73PgsJVWmAyNESgY0zMnSNHUwgvVCBxgOOeY0KYQTCGYxoxijdhwVnd94Q+wg4IGRUwwO7r1WS&#10;ltXVXeN/4BgOBYGhVSAgAFwV6kdfvKjR+oGSCmD8ph7Vk0B8UPIzTKbRmOUCjWPOApuQIHKtBSqg&#10;tKBJkN4yyVYeoGXzLAJF9CpCAbCTBm6BnjNQI4JoGg6FD8dG2XSmB9mra5DQWSY65J/0EAKNZNQS&#10;CH7rAYBPrZo6GoE9myTzsDDr0POjMQMbS6DpYYzlhAAde4pemOyrDEwG7xUdS7PPNCIHrGHpVHh2&#10;cIADhn5oVl2ahD2veKz4p7kBT8mMjsEoyy7pznKNECLHPEJuvQ9EzjCBophltdfL1H+ePWw3DjCH&#10;9RG/UDQdF9H3Hc913aIb5vAGgHcABOxkTm4ygRFssO88aKbimBH3bCAsE3qHXgRYewBvAF2gYZdp&#10;Hz0oGArCAfxx6d59H0/UhWimgpnIdy7AEhD+iu/WkmitIgQkSZqfaMidm7eAD/37kSRYXcB8CQBu&#10;/MsygzbgB/HjHkP1DJUXAQFIEqckZvgEgAd+AExrwzcQOTvBdYw/h7QpH+eAejsWBttag1ZZYAl9&#10;QkSes9xz8CbsuCeYQS5lgMk9H6YQUa4w3BkiQPODBYSAgIAAIFA4JBYNB4RCYVC4ZDYdD4hEYlE4&#10;U/4sBIs/3eAY4DIpH4G/JE/XdJQG9JQAIzIJZLZdL5hMZlM5pNZtN5xOZ1O55PYJHACAApQwADKM&#10;AAFSZ9DIy/4GJqSAm5S5226swqAPapW4++68SBTYVzXLJCACq7QbaikYJGXtQBCU7k6rLdbtd7xe&#10;b1e7zVm28KAD75ehJhaDg8RL78z6AMMTj8hCwXk6FRAJl71K3zmwA6M8AH7ocjOQPpQAEtQANKB6&#10;RSqBo4nK5E/AA7dsAHtuZVFtho2rvwA+uFCYy0itxxfLU3ywuD+cyIGH6Bh5m/us2JQ9B8Y+4697&#10;3/B4fFS+s/ldQCjMYy/YG5oGoaAjG782fAxD4/x+f1+/5/f8moDQCf4LwIYYCwOGKgAanqMnaqIK&#10;P+g5tQmNCokvCKbD6woSEJDCXFPEAUwCAxmtCfodOOKxoQ9FkWxdF6yQmbQHKAdKgARGDYose4Sx&#10;6BUcr2vx1qBCEgSMijVgACMlgABUnAA168tm2rbuy/ckgTLIAOcwQBy9KCORY8oAK8fbcN0ec0zI&#10;r0jrq3J7AAbk5NA0SmoGpyBHpFLBIeVM/A2oBQKAIiazsgRyRMM4s0WW820dR9IIc8ogqAXyKIyd&#10;yBkUgZRqi9yDzkbj6oEx1I1NU9UVTVSctmNgT1eTKBhYgZIIyHqgAE9SLDkqJHxeaNgA4yYFnHVa&#10;EIyUkehKLtjIOKtngGtBVvZZtq2ta6uGnbQUyyBJrWwgSMnNZQN3AmUZAOqJ2oGBdzVOqMtucAAI&#10;Xo1tcrzMcrHZfbdzwqjX3oCEmyfEd7RhKZ64SAB44YAEppXdycGtiYAM2fKGH0jIAoyqIBFdZ4qi&#10;vO5VZIAbylEqIqqAAtCosfCMjZiZrFCQOatpiOcZyvbyn2oCMYgAFMoEW6gDioB2IpGRfqiIGdad&#10;p+oainzykcE2rDmhjyicgY7IGGigNYhb1qiAlH1Df1zGxDYU6ltu3bfVL5m6IiMl3nBmw2Gm4Idm&#10;QMwOApxqAAe90goyPSWCIAb/MDqLu4R9AAdXJYqziKXhguAgABHNgBL3Bw8lcxnx0YAStK3CJ6Z/&#10;VIhjOgIKjOyoENiBkcqIEpwfrylZmQvZqQPIdQ0aAoAAIFA4JBYNB4RCYVC4ZDYdD4hEYlE4k/os&#10;xoG14GkgFHWjFIY3JEqn/JSnAwDBADKwDJZLA3/C5jD5ZLpnIJxOZ1O55PZ9P6BQaFQ6JRaNR6RL&#10;IbLpTClsJagTopLgZAyJLkLAxRLAFLmXHQENqRY4fIm49YGCrJa5zLnipLgEkDc39bLtd7xeb1e7&#10;5fb9f8BAm1gz/YEBgcDFn8jRNjTpiMhO8G2hjLGZB5ZK5tB5uAJrLobNYJoMjpcAB9QAQjqwECtc&#10;AbBgMU/3ntX67NwAARuwADN8AAXwbAAthHabponigA++YAHhz3++ek/n11c7yOxRaVBOY+wA3/AA&#10;Xr4wFDJc/YRTMzA7rRZcrH58T8W/o2+z9/x+f1+/y2/8PSWKy/kBwJAsDQPBEErslxrKgEoVqMxQ&#10;2IGbSwF1BSIP8bZ3JYCMMJ6mzugqFUSHbD8TxRFMVRXFiCw0byWBDFq2pKKEHFjGa+mzHYfAHHxg&#10;xzIL8glIgAAbI4AR8AbPJXIS9tA7oAHxKYAHbKwAOVJ0ZuUcUugAd8wQGzaBGwgYbCtNB6S1Nc2T&#10;bJ0NC8lhQzdOk6ztO88KClx3QcCc8rHDRspYE0/oM7onhTRJZULRjkAogZfoGb6BiigZioOHyBn1&#10;RtOP6/x9pYAlOgA6p9BPEgVG1UafQ0MqWE1VdYp+1y1SICQAANXMmOPWLQH7X4AHpYQAHtYoAHvZ&#10;FZQ+ddmAActngA0j9sUcqwDEKtsQvZVt25bqGsmIsLW9cdyXLcyeJceR43WCgaXc71zodDRlIGGi&#10;WH0lz22jFilKYlCWHuEmBVveOCp2R6BjggZ0oGC6Bh+gZhYNiaemxiwUSUayWH2xR+tFJ1eJYAbg&#10;gWCQM5OtCHm7lYTTAd5yXcGh7VHDRLpYNGKZyg4MZ4AFaV3NjQVKADcHZKUqZ0/jpHyAGLTLLMCX&#10;gAAy2wKs56TJyAiAACBQOCQWDQeEQmFQuGQ2HQ+IRGJROKRWLQNsxkbAOOMmLx+QSGRSOSSWTSeU&#10;SmVSuWS2XS+YQh/zN+vmbBAWTl6TGeT2DtugFcA0NUT6jRGZv99iWmAaj0+oVGpSVdQMBQNuwMz1&#10;OuV2vV+FNqxKkBWUrWCuucSWsNRSgNtOwMoAq6B0N3d7WijWJtMyygIZ3rBYPCSEH4cAYcHgACY0&#10;AUMA4WBP3KAB9ZcAPXNZnNvzPZLQaGDZd9ABwafOPXRQJ/a19UlMX86lbaaXV7fcbndbuvt3fC6k&#10;tHecPicXjcfkcnKP0OCfnOXk17TuAQ55+NuBgPoyHrCIUd9v9uRneBjSDlWHhGBpqDv6Bl6BvmBq&#10;uJ/KBOOBqmBtCHp+BgYgZjoGRyHjIgYjoG2wAC2g5JIGDKTDSgZ2Pmg5fIGS6Hi0gYooGcSBjmiY&#10;sIGPiBgagb3IEaSBi6gZ5IuECBlEgYPoGf6BnOgY3oGZSFlAgYFpU9Dhrec7IAw8SPuWWbnBOJy3&#10;KAerIAUpJxHJK4RiDLR+SSh63ngyDFy7McyIcxoCAADE1AAA82qgfc4AAeU5gAek7AA60yz0kqkg&#10;AcM/gAd9BNupMboEYJ70SKgv0Yds90fSFI0ki5o0qDi6AUcTIMjSdO09T9QVDJTKBxJqPVEli3no&#10;yEg1QgjIEgEdZDjVyDlmgYmIPTiEgqgZwIGBSBn6gYTqwg9DJIeCBgpYSDncgb1IEViByGhpKoGN&#10;SBnwgYEp+gYSJNGqBQ+gVkIJLiBAsgZ3oWQ6BjwgZqIGFqFgnXz/ouVyBipGyFlC96Ll4gYioPdi&#10;BAglVdtvP5wgi0h0sgAtaxsmZCKYEo+ogauNh9NoDmChDWn8ZoTZK81Pm5lNtoEA+J5c3LIAACeZ&#10;gABmbAAv7HqGhs+5EAB8aAAB46GAFEnvl+kT6eGltM1CpqTdAAWGhakgE6wXC3rJsaRrmu68rpn7&#10;CCGbAZIyhgRr+07Vte2J6Sy1hINe2ost5kMgG+XsgalZBHemuVugVcoNhVnWhFCBhzHmqIOQsXIO&#10;pyBQ2gQUoOUeAINZ6BWiAFpoFaqGWugVsoFlYAW6gwy8Mh3IAAQaDvsAHN6PcqFmMgYd3bd943nX&#10;VtIH1iCRmgV/oFYKBEagYTIOW6BiUg8YoE8KDFKgZJoHXfGoEISDiWgZbR0geWoN04AEAg6ioEZ6&#10;FkU3SMmyKSOAGVuvOsGzvhQZaILeabIBYh4wG4BBUeH+AgAguwHam3OBRegEQNAABaCAAH4p4M+O&#10;6CzP2gnLgWq4zRqjpmWMwcQpI8zaBWAdBuDZAYAAIFA4JBYNB4RCYVC4ZDYdD4hEYlE4pFYtA2ZG&#10;QKD448ADHwVF5FI5JJZNJ5RKZVK5ZLZdL5hMZlM4Q/ps4xNOQ9NJ5PYW2qAmo+ATJC3/PqRCACDK&#10;YDQzT3rSalDFnAyZBwDAwNA3dAwXA6PAh1A2RD7DBQ3A3ND67AgjA27AxJB7aALfAlZAyrD0rAzV&#10;A3xAwTFwJA3TAwlB7nArjBrPDBlA2fB0PAzxA2pAxbB0tAzTBxdA2nD19AyDBwvA3VAyzA1NA3zA&#10;wRD37A35cIGKoeEIG74OXYGpKnLaA2lvQyPBKG/+Zj+HSACJekAog1+sDQJ2XfQwHEJs/lBORMYe&#10;fL255yHA155fZ7fd7/h8fl85k+/sAG9+QA9v59JE5p5itAQHP9AsDQPBEEwUqZtwa7aPt5BcJQnC&#10;kKwtC8MJgfYSQ4rcMv8aEQhCpgGG9D6WO+LbxNfE6SqqgSroM6iBGkgYWIOIr1Im5yBLSgS1oc1a&#10;BAqgZsIGFK6IGu4ALygS9ocvqBL+gTAoEwaLFygYjIOM6Bk0oyDn0rSBnlJSBn8gbKoEy6BMygTN&#10;oMdrEIGZyBhmibCoEfaDk2gYzIGyKBGag5YMsgZspbCIAN8gzgIE4UWoHBptnooav0ikjmng6QSy&#10;WhpsVAOLsgIRySkfDgSDlTCBGzVpSgHWAtVXWdaVrW1bou74AHFXlFnfRkJuafihzQsDmKygShgC&#10;fwq2aA9cWhaNpWnBkGnAoYP2pbVt25btvJmZ1wgJAQrNrb6Y0mf1lXOg7mnTTgMXYgsXgBGKCnOg&#10;YMoObaBhMi8eAAJCBnWgcZgACyBj8gYboOOaB1Kgy6yXJoASehsogBKYASqAEroiQiBj2g5bIGJa&#10;zIOoqBT7ZKBkQgY8zTQ02s0gaQoEqKDTUAA9IviSBmSgYcIOdCBtShy6iagZjIvRVgIJRwAUhD7i&#10;hUAWrGreSEuaYVOB+iFJnOod4pKfuyj4E+0ELFrzm5QaBUDrO47luesuaAB87wADrGu+ihgAEXAA&#10;AbvBpPAFyQJunE8VxcDuKZmrAFO/GcnynK8sqeyn6Iu0BO9fLotthxIGDvGVgAYQ9QEJwXlel7Io&#10;z6BExHaSrP2UpIXny8L0vi/MAwSHiUgZaIHZD8IGEfZoMIiBiwgeUoLmwAYVNbMZogWmoPVSBEei&#10;9+IExYAawgUboM2dHoGKXiIfIQAJ2gTYod7FGuDFtJmqobdcWe/9iEFv/C/IY4MboD1NEqOaP074&#10;XXOCnQw2xMpAgGufglBOChSB9QXcE4QfEGz4N+I4A8AAG4RAAHHCUAA8oUNaOYPs5ZCDmrKH4s0K&#10;r0YKwSICgAAgUDgkFg0HhEJhULhkNh0PiERiUTikVi0HbUZWACjhPi8fkEhkUjkklk0nlEplUrlk&#10;tl0vmEMfszS4nmxqmM5nULbc9Q8DO87oUfZglow2odJhCzgZMhZVgaWgYVgb/gYEgb+h9WgyqgYM&#10;gZKg78gYSgbzh7sgYTgasgdQhyVgc4gT2gYLhYQgbrq8De8DCMDfMTrkFIkDX1Zg7yqMDPEDakDF&#10;tfs8HQcDP0XdtlgbMgY1h4HgYagaGgZXgYBg7ogYZh96gTvg5dgakpUiTO5ApD3j4f+/1W34UGAP&#10;Ff7+5ARE3LxkLjLaVscARSle/4787BEFPbX/DiHPCvSckDA3e83n9Hp9Xr9ntqu/ADh+QAd/19oE&#10;/AAFH7ADk/wAHhAKWOseYrQMBz3QTBUFwZBsHKU55PukMEHwrC0LwxDMNQ2l7rGEowSh/DkEmvEo&#10;TgLFBsRGlLrH0BUXgiDcZLtFaJqYgSnIML6BlEgYEL8jCBhOraDg2gZzPIgbNoEsC6oHIyBHghZw&#10;IGD6BxuAAnIeTyBjDJSBgog4CoGeqBzGgwUoHFSLMKgjDoEXqBhmzqDm2gYSsgySDzKgQFIGYyBh&#10;2iasIEfaDlOgYtIGIKBgsgcaABLCGFagbqIEsiBTOhrYPo2baw2544ukR0apO6xtRBIaHp6bZ9OK&#10;ANNJefSZn6G6bBOaEFG5XYhoGXlS2BYNhWHYiFus+j7HHZQAOQrT0AHaAAA9aYAAXawAGpbKQOsw&#10;aHAE1MDCtWNi3JctzXO89WEVV463Rd133heN5PQdwSXstl5pgZl9gKB9/HdV8m3yhdXjKEeDk5fM&#10;sRygrgoSSaBjYg4uIGUtjSLI6DiAgbuoMcqBg4hZhoGHiBnFKqHmOgYcIGa6BhUg5moGGSD16gTE&#10;pDNqBzeAE4oNnwACEhbIoEyaDFSgYrIOECBnCh5UNOg4WIGasvoEsyBHogYGoeNLGoEfq+odTjZI&#10;M2iBNtDVdm5KiBStgdjN+OkQEahm1iSgZbKS6x8HpvwMhjwMpPWbPCjnaABkZuHF8Zxt5nvyAAG9&#10;yYAH1yz2xlIwK82AFXgAaPQWY5CdwJcMEcd1HU9VDnCmyQDpD6j9XzbY/ZOMinavP2bqvh3aTWP3&#10;0B9z1fiXzV+HAC63jgB5SBgGggDeiCYP+psvipFtZgOsHvi4cdMQNdeeFoPhyEPLKKBgTMSB0wgu&#10;dIFKAASQhWcABRiDDggZIoOPSBkKQdvRAg4vsIGjsgRmSDCbIGGYuZAy5EGFuQN2JFmnECLUQJ94&#10;AGeNAII+pJxCmiAAaMQUvBAi0ECfKQMOhAxYJJIEJQgbQiDDcTuQdhiklfEDDQQNQxAmaECFeQcd&#10;RAwLmvIG9YgjZwANpQqiUa4GkUAFHG8Nxrxx/uWH0BYFUW0lkKbWLggYRzhnWHqPuMwH4tgqi6d5&#10;VjLiBAmds8kgkVCKPBIjHQ4UdiRxUj0SJ4Dt0WRzPg9d652CyDfkQAQesi3nwoPQA2SA/gRSTVcc&#10;UgqyhxgDHbJtcZOXSoHkJKEiJASAACBQOCQWDQeEQmFQuGQ2HQ+IRGJROKRWLQdtRkxAGOJuFv+C&#10;RwAyCLyWTSeUSmVSuWRR/y8Ay2ZTOaRaRTWCy9/zGcQ6bzqeSeRUGcPyjEoUUlbz2mU2LtmoGUB1&#10;NNU6rTJ81kTCuuNur1+ELOBkyD0SFmKBp2DtaBiuDySChuBuaHvSBguBvmBhmBu+BgKBumBhSLv6&#10;BgyBveBn+BoCaGWBpyB3CCESBr2FmeBpiDtSBi2F26BNCBgSL56BDGBvyywNgQMfRe4BeBuuHhC+&#10;wcuwNSWCURltMYBcMc77jRN/cl1CbmbSFtfoA0CdN1yID8eEcl/OJy90RkHwazsQJueV8zrTQORT&#10;qQevx+/4fH5QigfP7U6b036wPtABzv+AB1wEoKzPeA0DgAEUFH+BEGgAoaCHvCQAGxCr4p0eYrQ0&#10;Bz7w7D0PxBEMRRGikKmwELpgIb0SRZFsXRfGEYxlGb1I4V4RxwKUaRgbcen9CEdpqnR0BLIq+SCi&#10;RTIGIyDsIiRzoGAqDi+gZaoGdiDhYgZ0IeG8qoO16BCohY7IGPKBgMg7xAA3qBDWhY6oGO6aDg3k&#10;roPHSBGEh5uIG3CBGugYeomRqBjHKLJoGuyBCygZfouJSBlCgYEr+gZ9oGXiBiq/iJw4gUVoMNKB&#10;lXFxrVODMDgMukkJ6nRMyKEo0IZEwqxSVUWnQZ1dg5DQrH6r5VWEAwZWKvVW2RZNlWXZiCJ0AB5W&#10;iABvWpECbwUEQAAdbaG2eaNvgBZ74QxX1P2bc90XTdUgvKbjKXXeF43led6RinR5ViB96uxHptm0&#10;kQS32ih+4IIoT4PTWBYVheGYalN+l6kQhYchx94sBwU4yeaGX6cqRA1FydGQcmSB68AgzWnF2kcg&#10;Y44pl+YZjFh7ZoABwZuACs2PDwMZ6AAM6AitqRWeOiprYCBaQiIBirpr05lqGo6lGV23fqer6xrO&#10;tQ6dWugUHWwMVraL36IKRF9radG3WITbHt237g30TBCqYBm2kQB6unR31iCSGGRwAHApwZ42QZAS&#10;cQ4qmX6cyRSPuPIcjqFn36AB68vEAFc0AFYgA4bAJLZ5xdGAB3dNC6XwzDfJbggIgAAgUDgkFg0H&#10;hEJhULhkNh0PiERiUTikVi0LbcZcwBjgZi8fkEhkUjkklk0nlEplUrlktl0vmEQf0zQgmmx9mM5n&#10;ULbU9A8cAL2hFAf8Df9Hos7nNAggBpACftRGAoqjSpVXrFZrVbrldr1fhbcsTHpA2g9JgtosErAM&#10;Dp1HWE2ExThkZbadoBitcXmb+U9yLUnb+DBD8wz1oACveLxmNx2PyEwvoAdOVADozGNA+bAAgzwA&#10;BWhmDt0gAcWnrNIeZW1gOyOv2Gx2Wz2knuzQoAv2u73m932/4HBilIawl4wr4WQuy1oBK5MqpDi4&#10;wlD/P63X7HZ7UFa3dCYF8DroFt7cXpD/qL9H1UFDEusZd9ACHC88DRPTPMjuxWgao8bywBAMBQGh&#10;J3wM0zUMmxgRQYAAHQeACmKwfMKAAa8LgApCYNU1grNdAkQRDEURpEnptEIAUUj3EkWRbF0XxgiR&#10;9L6By5HzGKVGzHQexSARgLO68JKMo7yIS8YAr6Jq5FpHEmydJ7gLsZSBhmoztqYpEiqG8akHc6YJ&#10;oZC5rh08ACmLAS+jSuRMI+uxSqAwMoTlOc6IafE7gAsRuAAfc+rWpgKUCAAOUIyLDH4ABsUVPk/J&#10;XDjWzrSNJUmpS7CAoBf0pTVN05TqPvOpAjrkXdPIquz4o4+dIqQclWnIEIg1jRFS1pWtSxMIqgFw&#10;xNJL6QC5EChkTFtHokxAfyBi2ElllQiCnz08SOAlW1qWq2LJsGb4AHlbjGgbb4AA/cQATK3cNR0b&#10;IAHvdaELQfkNPOol2qOAgr3sAlrTqgKAACBQOCQWDQeEQmFQuGQ2HQ+IRGJROKRWLQtrRkMgaOOa&#10;Lx+QSGRSOSSWTSeUSmVSuWS2XS+YRR/zNLiWbGqYzmdQ9uT0+wNBTuhSc/CSjIOBgaBlmB0iBB2B&#10;v+BsCBmuBteHlCBlyH1KBPaBtKBquBuKRIeBiWo0uBvyJqyJvWBsuBqmBuuHimmyZ2wM3QNSwdYQ&#10;NSRMlQMxQcyQMuwMfwN/QMrQdHQMPQN3wMyw+1QK0QJ+wMrw8cwNNwMVwdiwM2QNoQ9RwMEwNcQN&#10;OQ84wMdwd01WFgSBkaBpC05CBr3fQJtwiZv8Az1uPAA9MHQR39cAIvtABX90APvwAAD+MAFfzAA3&#10;ekABD2UOU81+zYS8CHtv7PrpgEC+73c1/PAfYXhVAZqIYjJrAmjgDHY/kGwdB8IQjCUJpG5oAHTD&#10;AAHPDcKIIAkPgAE0RPE8kOpKfsUAAaUVgA/J/RQfp8oeAKBvyAIBCtHKlRNHkex9H8gSDISDmvIo&#10;Gw+AjpOmAUhybJ0nyhKMpSnHjmnW+QLSpKToH0gb9y0lzmn4MkyCCYMzlugYGIu1aBB4hY7oGRCT&#10;FmgYnIuryEtygTiIlPKRrsgQsIWHyBmCkxyIGqCBS6gUvgA0KBPoiJsIGE6Bm+gYRIGUTGIHSIAU&#10;mghpoGFiDq0gRYoWHCBmOgZ9qShZkIGG6LtqgQkoWeKBuqgRLOShKcIESqDwKgQXuMgwLoGaqBgm&#10;i9XIEHSCPsbZcvy4SBkNbYAE9byQEPcIACrckwRgTwT3SMaGGxdouyRTswJJWCBByowSGahFqjY/&#10;JJ3lf+AYDgSdOuzJx4PSEUwmAWGAADuHgACOJRa6eBocZ+MJI5p5xyK1e4tkGQ5FkctF/kwCA5lJ&#10;8RqqL8uaqWXQtlyDz/l+aZJnGc51neeINGkavzGrm5+AABxq+UmZ7B7oFy4OlIpGAAXSE886IghH&#10;r2gQPoGXlnIOTyB3Wg04oFOdGIHPaC6ICCBkAgdJzy0qBGSh6/oESKFr6gQKInP6B5WgQ51igQSI&#10;GM+3oPswADyg9CoFQ6DbtSCJnpTjEIGTqDgagfKodvyBbcgRA8sgTGtBxCDVIgVTINPOkoTViBWi&#10;7/BoKJ6BlflmyoHxiBR2ABrIGEaD2yABdoPXaBY/X6BKsgwloGWiDrkgU1ocyKBasgc6oEMyBgi2&#10;jLIOcToDS5pZvyARG/WABL/cgskAAS35gAHX7AAVH8gAQn+ISbT/wAMMdekI+BzQQIiBMokha1Ru&#10;H5eG08hRzR7IAA8gMFTejlH2VAQQ5x03PgAg+zUmbFAAs2LWQKD8EIVQrYshZA4B0AQDQkP8CcNR&#10;+MpA4PxoLIkbQlJmjYggAmMDPVER9jbHWPwsiVEuJkKlqjrPy3yJsU4qRViszof0WRFwIDtFclL/&#10;xtA4PyMV9MXjynnGbGkgioAHkDeoQ0cBA2tkCHc15saciBj3IGAoh8UgAF4IMHIgbWCHFmKeQMWx&#10;AzDrKIGOorpBx5EDjaQ5YwADUkGdenlxwAHIEFd+vRjRBxPuXIUFowBB1JqgXiAB0zk1JEHdUAB1&#10;hCSyECMmQZ2IAHZygd+QRxTZAADjfEQp18oHXyrC+8hXhA3mAAecAAx5AhfEDdfHEgQISHyEAAHA&#10;g4RWuEPESQOLpAxTTlHqDadACx7TrAADGdzCTQgvnkAAVs9SGjwnwAAGk+yChYn8/t/qTYsj+GPA&#10;haZCxs0JA3AIccQGenNHwfkfZzR3nNG9AIeS9wnjlo4Aoe9H43xmpFSNnDUWDzCYKj0BtKwAAfpc&#10;AAAtMaRRDY0TNjiOYk0kp0QkgICAACBQOCQWDQeEQmFQuGQ2HQ+IRGJROKRWLQ9txlpAGOC2Lx+Q&#10;SGRSOSSWTSeUSmVSuWS2XS+YRd6CSaA2YzecRNuTt1QMKzmgRF80MACyjAB/0kAGGmPtP08DRMEw&#10;MBQN6ws7wNEQN7wMFQ8KQN1wcyQNOwsUQNrQMAwMUwNrwdowMYQ9/wd5QMHw8LwN0QcjQNdwMfQN&#10;gweowJ9yZlQMa2KBhaFvqBgWBuyfQdRQMuwN+wMCQdpwMWQPFwLLQK7wITwNtwMcQNj6aB4mCmOB&#10;pyDsKBk+BvCDgPPQ94wMHQNLQM/QOewKqwJ2wMNwN8w9zQMMwNywMORPUgCuwIBlHyABF+cALP1A&#10;A4+2Cr74AAPfOIu77AAG/kAAX+UGQqSf4dhLAZjIYbUDkKAUFD0/yPwAzCBKugRqwAXR9QuZr+AK&#10;b59w6e4FxAewQRGfKOAC1aFQObQ/QUARAwbGEYxklJ5RqABxxwAABx3BoIR8AAMSDGchokc8jAAd&#10;EkyIg0WgAE0ngABEpABE0lysghnyykkAHmK0vOPK8wzFMcyTLM0zonFRYRa300TdN84TjOU5zpOU&#10;AH+fk8hTPYUmzOs4p2bg3wAR6Bn9Q0TRRLakraoMqoRQIAiRSbQtyThOH6IFNHsEdOgjEzPpKrKB&#10;K2gTqoELDgoGvqBOWgVWAAfjuIGdKFk2gayoEv6BOygQ6IGRaDu/WSBUaAAXIGaCDnogYeIObirI&#10;GqaBHsg4+oGQjCMMg7ToqBbaIMKaBlYg63oEbCBgQriDiBbaDM2gTOoFUIAUqgrRoE0qBFsxzMoF&#10;PyBXMAAbtlcAANsgljOigQIoffAAD4gZZoHRSDuKgUwPSgYktAg5FIHUaIso1FgIGOyKR2AZtn7l&#10;gSA/l5/F5mR+j5moBFTnABw0f5r57bqIwBY0G0eg+g4SjikKSdMBhK7qH0Cd6Bggk1u5G8EAHPAB&#10;u1pFprwufTGoEbQVbJhchoybZtRMEs/7bt0AABIxzgAde6ysDO8AAC297cle4HpwAAG9wYAH9w0r&#10;SaDXFAACnGyppG+qBLJn0Wf8uy/yPM81zfOc6i8VE3EwxYpo8T7hilE7hRPPdZ1vXdf2CF6Mg+iI&#10;N2di8hilGLYg4BRNoUAEzpg0djK1Am+gYQeKhhqeaAAoeggucFSAAZetO5VyeEwroHi6I4E66BZD&#10;UqQRQHKBmSh96OeABDoHBiBXUgTwoKPaBkNdN1osIKBmAgYByBj4IOJAgYcVtECMOSU2zP2OoRNq&#10;QOAhAoDECDfBB0hAlpgAVOQVeAAF5AAXovYgjD19MaVIQMYpBwtEDeQQI2ZioHkKgyKQgYUiJnNA&#10;A04AEDCBPeYyRBegJCBjgIWvaHh7ILEPGzEsF4T4nDNGxFEAaPmpjMisAANcWQAC5i4fg/TkyEiK&#10;jEAAUsZSGxUAAMGNSY07j4jcB8FscRxkMiWNkFLKS1kGLyhFAA40TDEcMP4ZxAxugEkMO+Nw+B2D&#10;2kYPIGkj4jp0bREIgRcViuydWap1RHGKvLk8QRuCgQCyMHs+w/yKGhJBAwPsC8rVDyfIYh0xbgxv&#10;SjkZKZIg/3GgUH44oDQ/mUp0duQV2pBWgzFmG7yS7uETRgJGlxLwVofywmpNWa01yJKBC+QMUE2J&#10;vTfnBOGcRDh4KdBGBNE0r5xkqRUCpEw00TS4k/LQAARp7EFExPkAARJ+EFZYP0L4J6BChImB0gY5&#10;GQFaYMKMgZaSBMEPEuMgYWSBrEIaYEgQuSDw6IQLyhpA3wgAOmQaSgADXkGHmQMGRB6EECgE/F/R&#10;BVskCWuQIwsCCDtThgRJapDllECBe7RZJA6gr7IGEshcHYPwhNEaRiRAwnEDLmQJZBBgfruh3DEi&#10;sJRBkDB6QMCZB6PECCKxY4xB0JHyL8ZUgY4XkkPW6vZYJAmTkLisMwBQD69DqCHX0BY4rAHyPofA&#10;XwAA/2HjJGaQxoRrWNAAk0gghLJAAFBZUhoEbMAAGXZtMwxiaAkB2RBAABETUWnWQ2OodWUsftPa&#10;0gksgAR1hAyxM7eDst7MlNef4AByW9AAfYdyYwE3DAA0xHSPLXEkmcSKaDmLk3PIkQGAACBQOCQW&#10;DQeEQmFQuGQ2HQ+IRGJROKRWLQ9rxkNASOOQAx8AxeRSOSSWTSeUSmVSuWS2XS+YTGZTORPybC8U&#10;TlpTSeT2JtugMGQD6fUWEvqkAAW0sAP2nAAqVEAIiqQV/1d/MGtFMyV1jQMQwNkQcOwNyQM7wNEQ&#10;N7wMFQeiQJgQOQwJrwMVQ91wMKSkTQNtwd/wd5QMHw8JQN2wcmQNawO4gBgwcDQN9y0UQO7wa/wJ&#10;tQciQNewtRQMuwN+wMCQdpwMWQNZwMnQMBQN9QMBwN0QMMZaB5WDGGBiWBsmBrGHriBkeBvaBguD&#10;vGBg6Bu6Bhy2QM/wNAQc7QNFwvdwIL7qBhmEVd/gNu+1tPb4CIYfMAP77AAm/kAI/+ABbP+AA3QE&#10;gr/lsAATQQgp6QWAB8QcgozwiABowoAAIwuABlw0oyFPUf6nH6GCchQncOJg3qBPHEyCqAbZ0pAC&#10;0VxlGcaIceEbgAcUdAA9UaoeDMgAAC0hx8mEenVJAAHPJceKvIoAAHKIABBKgAAdK8nyylhny4k7&#10;1HmK0wupLUyTLM0zzRNM1IfFp+pA2s1zjOU5zpOs7TvNb1GwEs+BTPE7Iya6No6kC6z+iwr0SABm&#10;0YgprUeAADUkhB6vsfwNQQEzsIEaqyLMtC1OygS3oUVKBisg5OoGMiDxRJSDnyibgABQxfoGITBM&#10;IwyHlagYpIPQyCMiyaDVmy6YH8uiBsKgUxoLYLSNM1DVNY1zYNkg9WIETaF2PSKDr2gS+oFEoABe&#10;h5LoGNCBnwgYEui6aBksgY127aiBWSgTEoE6SDFAgYvoOGiBmaghtYOVABYUK5FYaABNYggpRYmA&#10;AdYsACbH4AAVY4+r7g5kAAF/kdaI+hMe0SK4AGdlkLQxDRlye9Rsz4ErM0OhrBoEFqBmpDhqaABg&#10;EaGeecaNM52aSABy6ZQ8hxjID0aOhGknYABx6xNIN63IUianPEuGfLyrzBMWv7PtG07VtaEm5txw&#10;oGD22bnum67tu+7wcfADhZvrb7xGmDm0XGFAE5nAIIeXFAAGXGoSNnIAAHPJgAePLAAUnMneY3OA&#10;ihayoEs6BLSgS1oEttRoedSBgqgd8wOgZuoGR6Bjg3yBAagdYocXKBiNYFcoN1AAdsg3coEJqBh+&#10;g95oFeqDWGg41WmiWNIETyH+aAA0oW5SBCSh7SoE06BNSgTVoM1qBNegTYoE2aFHM86D29WaCDmg&#10;ZGIO5CBEbUQADGkCO2QYXRy14LNXkvQhYNSBjKIOwUgTAyFN/AAAV1xAxNIRDOOkGcHQ/ihhAAAY&#10;sIyCgfhMAAXsKSEiUhYAASELyCtRAAHKGgAAPQ3AAoEAAmIeAAHRD8gqF3PMwRoh4BURwLNbA21Z&#10;uj3gABgPMUZFonSQBicRFcko7YtAAHJF1Q8MmntzGnGNjBNkygHjQxtjsWEzNhbGP9soVlnRsjpH&#10;WO0dyEItFKSALUeI/R/kBIGP6lhAKZEDIImI4ZFARH3I0daPTaKFNQh4kA/kekgQ8h5koAWdI8SK&#10;0wcoAAgSjXeQJaBFg5OzIO6Qqb/1SENZvDkg7ogAOgAAt59AAICkCcORGXK3iCB+IGIMgcnSTC+I&#10;GEMhb0SUPDleQwE5AxsELly+Yhr4gAPkKavcgr6gAPsAA+4AD8CEgIf+QR+rwHQkDA0SVY0B0rQJ&#10;ecQ8Y5AwcEHeSQIWhB0YkCHGb8igFKBD/hGMUfiUQByamLMVhoigBCbog/YikmHODGHvQJcZRiQM&#10;eH8PRTJ5ZEEzRaO0kC+6QyAi0YuLstE7xga82cfNMQAKPGsmkCdN4bQ4pOhyNxJkvphjlTuoRESA&#10;gIAAIFA4JBYNB4RCYVC4ZDYdD4hEYlE4pFYtE2tGRYBY40YGAZBIH/I3/A3/IZJJYJKJJF5dL5hM&#10;ZlM5pNZtN5xOZ1O55PZ9DpDCZIAYO7xLRwrP6VS5g26cy5CNKZU4fLUzVwAva0AHVXQBQQ1YQARr&#10;IAC3Z1gKbUUYWVIGYoG+YHbIkhIGMoOeoGhoOfYGzYusoGBIG6oGYIGtom+4G34GkcbDxZA0VNbl&#10;ArpEVVAwZA39AyZEznAyHA37AybB0tAxBA2RA0FDz3Ax3A35AydDy7AzJAw7g4G64GuIGfJNC1ZA&#10;wVA1pA9XDglA1JCyVDBz11A9u0X67hgH3wAHPEAC55QASPRL+6AEV7QBGWsAHl8wACvsABH+QAZP&#10;4ABm/6qIWkh/H7AoYhRBBpQDBcGIIpxthygZhoGASQgDAaVpElsMwvDcGw/ECcHbEYAnLEwBw+lS&#10;voPFSiIODMYH6CsZxVEKZRGdoAnHHcURshKjhKfgFyHH0ipgoKEKGg4AmhJoBJkkh5itKYHSNK0r&#10;yxLMtS3LidG5L8ay7MUxzJMszTPNE0ocf02H8GgTTgZ81TVB4dIGYkWIQlE5orJSqpGX04BMIs+U&#10;LQ1D0QmBq0WD4D0cbaSMIg0az3RKJT8hSSGPQQeUtM0vm4W6BiRT1SyNHAAHJVVCxgDIAAtWFTGp&#10;WYAH3W0uhhXKvpBU00JIbcmmgEsoJHKUqV7ZFk2VZdEQeeiQgXZlpWnalq2tOaSWEo4Y2vH0HlIk&#10;It26nk2lfIAp0rcd1XXdhv3cFJ+XiZyQgRdibnyEl83re0Fl/fwCPEDh8pDJ9+U8fOEAAbGFgAAW&#10;HJfNtTYdgszo4AoAQQFAAJbYMyhjj+DSKkhB2CvyYyjKYrSrkOWZbl1lVAcTfZfmma5tm8+JSeOd&#10;giGmfHjnCd1AciBg3oKKTaW9BOro+m6cqdQNqgReoGA+nogkgsSAVOrpqbWvlRiYr67MWd6AcO0Y&#10;2keyTNIdo3yEgAHZuYAR2ccsrAsVYAttidpIINgl/Yh/2NlW+6cgIIAAIFA4JBYNB4RCYVC4ZDYd&#10;D4hEYlE4pFYtF21GVCAo4XovH5BIZFI5JJZNJ5RKZVJn/LQA/JgAADM5XNZtN5uA51MppH39P1yJ&#10;qESJxRaNJGzSRTHAE0oGA6PUalBJa/10JawSpmAX9U69X7BYbFY6k2LMQ50A1xT7JbZO1KwJRdbr&#10;pRaqAm5eX1W6hdb9f4LVQA58IAHXh8BicVEgXjQAJMgAKS2QA9stdQPmQAKs5i89Nqq/QLow6y9M&#10;5pHVXmVtYDs/r9hsdls9pUW3tzJW03td5vd9v5TP663+IAHpx+ByZtkBIAMaC5G+Xh0wuNOs8eVv&#10;MmkLSb+zgKq0Xb4x8OPM8u/6fV67DGW0d6YhIGBPZYqq+6qIqEJnJ9desxsDiAkBkc/0DMClxwQU&#10;AB5QbA8HoctIAB/CgAF9C7nMc5iCssewAQUcAAHzEaCq2AAJxQAB9RXBkHIhEwHxiAAORoADRgLC&#10;DvnkEceAgVkfq6kTVNYKzXRzI8kSTJSwPcHCmGPJcoylKaDH7KwAGtLIAOFKklLiAAFTCkjhDu/Z&#10;FS6trbm2dStgrNCaqqfLhBuE86mjN88Tyus1FsgYkK2AM9JQmB+CUFFDlvQSvrybh1oGClFNhLks&#10;msAErH7SL1ARTYACNTyCllUMMuhDaEME456MMxAQ1YnlAoJLhxVkAB31qgoE1wAD91dXlMs8ZzmB&#10;mVdhn+1KWtW1tfWVZdmNeZlnxjGJ1q3HFm2ta6cHrbQAG7boAMFbDeAdccWvRL8wgUk55OYB9wpW&#10;9wVKZO6BPpdyJKqfxo30RYqX6OKFjEgZSoWICBlyhZLoGOCJl6gYeIOD6BnQh49IGP6VBggZroGf&#10;KVAOg9HIFIyG2KgR6oGbSBk+gZNIWKmBIHIIAASi+OoMSyB3+iRGoGNiDiGgZiIngKBDkg4XoGfr&#10;3AqphnIGDiPjLqQAGHqqCl5rEZxrKbhFw/Yk3slJqbGG1NgQZOwrIe+1gBRktp/tLZA3uYABruwA&#10;KYl6Y1CWVRseyKcbWe4APGdutahuK/qqTq4jJYZV5KkMh2TxNrICgAAgUDgkFg0HhEJhULhkNh0P&#10;iERiUTikVi0XgjbjTyAMdBsYkEhkUjkklk0nlEplUpdktADlmErmUzmk1g4xnAAB07ADBnwAEtBA&#10;AKokofdHJ4ppSym1Np0ljTbXUdAJBf9XAUDqkdq9Xgb+gb/sNUrtiglkgllg9mp8yALmuABH9zA8&#10;LbkDEsLSUDNsLSsDNkPAsDesDwcGbUDE8PPsDQUqFcDa1hlQBg7xgYOkzKgY3g5Wgapr8DAcXtkE&#10;Sl8ieYgWagz3gYKiZ1gaKg4GqIfgbUgYErVUAVqgVssHDfHHf4t5QGhA85z9T/RfeUtszqgAruWg&#10;QEroME3ffPV8Xjh7c8zigYd8nr9kWd3vADj+Xt+n1mfKFoAEn7AHXgh+QAABZQGAAFwM/T+JqfMF&#10;gAlp2AADcIvtCcKIirokqCEpcFXDjTowrp5itETXQrEsTRPFEUxVFaoI0a7FRZGKFrQpyuxlG72v&#10;kcYAnfHrtRxIDxn+AciKqIIgp0nh2yWnqfwyfqiNlGz/LCq8foRK6qHY/YSAtIMvoeqJ2KoCMbLX&#10;MCHSogzsonK5zzeAIfTkiEroOciBg2gZ+tIga/oEwKHC0gZSoXPaBAYgZ8IWuqBAQhZ1IG5iBFIw&#10;CFnm0bhoOICBmgi7WILT8SIICCDqygU8oEWaBhA6gAAegdLoE0CBNEgTigA0qLQ8gTUoEvqHPygR&#10;pIeCqBwehzaIE2yBmVZonglaBWK7XLsIwWdrgCOVtVMhRtW8fs1JtcM2ItLM1QAfgsBRddazRdyB&#10;qiGSBmZd8YxoiUbTec4AnXfs63rgCSH+AWCLkuYAAhhKG3QAFr1VKJ/y5XaUwW8MlnaAANY0+l74&#10;ChMzN+y1yIarYA28bQECVlR8w4VeJorEERCtUWPZrm2b5xnKJ5OOKqEbM+daDoWhoLcJ/aOACogC&#10;458X/omn0iAzmCFqihqKgmLyaYKgKFKKZH7sApBPsZX6hFJobQCwGbWb7Y7Mpq4HMAE5B8goC7uA&#10;CjumgYOIGcrDIGfSDnSgYLz7SqHHOgYMIGX6B7qgVqWSABGJE8KBUkABPoGMSJ4mGiBmak1QoPpy&#10;EVYgW2oMHqBmIgdZgBdtb2oimJ16AFfoaZ6BhggdIUPtyBFOgdBWQ2qCGt5J/akA1uJJsbF7BPYn&#10;+oABY+ugo7+0AAy+7p5ay4Jm3xW8xuGaroY6B8cKxsbv3AAe34+d9ehn/5gAxsJn9P6juFwCgMpj&#10;EEuE2H1AUAC/R1oQQkhMrb9CQpcSuy1l7tSrohRHA6DEGYNQbImH+DwAguwhUNByEkJT7N6AANiF&#10;QAGjq3hMzYCMMQABAho/x0wAGsk+a2hlqxsiVldHSlwDLHYXlPhUNgJKRABi0OBEUi7cW5pzIIzI&#10;AAqorRRB8NoTMWwaFKBS4wgRiSBOCIEO9wrh0/kLMOACMhBXDECFGQMIxAx3EDAm5ZSJA3NkCc6v&#10;gg7rCBO7Ik5cAA/DLmZdKQ8K5AxUKtA0QMdDrzQqYVwaYg7t3ckIW5CMggMyBhZIGHRwJAwFkDkM&#10;QddYKBIxHDcQQa8rwAN3jWSEcktYZw1IINSXQAAyS9AAMiYAAALTDAAMWY0NmPFdHWM+ZgGWZSci&#10;cU0bM0wYMEAEM6Bs0TxvSABK9F83JtMBA9ONrheRhTnAA/p8S4SEMMgAgVA8AyawFcFAiBSqJwo3&#10;HGlwDxBIJEjZjBefNAyHEBCAACBQOCQWDQeEQmFQuGQ2HQ+IRGJROKRWLReENuNPIAx0GxiQSGRS&#10;OSSWTSeUSmVQp5S0AOCYAB/zOVzWbTecQMMzsADWfACOgGGvaiABd0cACWlAAFU2cvyoF0UVNSTm&#10;rVeUxptnugoSsV+ruaxAAfWWCqC0AAwWsABi3ABh3F7ja6Np33cXwM+QM2wMLwNKwM2QtbQMkwN+&#10;wMCQMawNlQcMQN0xd8wMDQNPwMxRN/yYvQNRwd4wMHQddwcBwMKwMWwduwMSQcrQNUwN/QPUxbOw&#10;ZKXyFoGBn6D0KBBuBuOB8QAEiBrls88U0FZJzqCRFdeCtftAAC92SGbwABfeMABTzABj+kAMb2AA&#10;v++CrT5ACpiiwSaZv97v3+B76nYghtQEBwTQKeT7wRBKCK0cCgg/BUIIudkJgAc8LAAAUMpIqB+Q&#10;jD0PpsF8RAAEUSgAeMULguIACZFqgI6hsOAAWUaAABcbgAEkdJyfUegAdcgAADchxBIsjIaf0kkP&#10;AoTD0ghVyg3aQvyeYrSs0sjyzLUty5LsvS+lStGSoIbTBM0zzRNKIPyAB0TcAB1TjNU5w+oIAJ2D&#10;IABxPaInbPwAGDQKkqWpoFJy/J9qUErLzpRqIQEbRfKCIFHQ8sRzAAH9NOUABnU8f4ZVCggAmrUp&#10;/hXVFORKEQLm9VxpL8wDBIWfSBgKgY5oGRyDtugTlNegTYosyqBUYADMoEzaJSkgleoqL6BqqgzR&#10;oFLCKsSgRRM0hbZoE2qBWc3KK2YgbeoEvqFHOgbIoE0KBM+gx3oGCCBnmrRWIGMCCE1fgAEXf9OG&#10;tgR/u7W6MH3hAABVhdODrhx/vAMyChbigAHxi4AiNjR/krjtKoIHdFGOjKNHooIFvzbAAHKgZ6Py&#10;Xkkn8W53ZoZRyZueIq50fyg3Jj6QmxoIoAJohX5+q02G7pQAHrpuj6fRog6kAAI6qgp4axFRhxZF&#10;07IZGUaFlG0cR1YSbx7WsgHXIUiahtyInvuISYoFtgIFKBV583SZyrK+37/wHA8FwaH6CbAu6IAl&#10;tcJxnG6hNiYHAACWwPx3LOHGFNB+ABuc6AGYz1PiIT8dtAUFRSmKcrD8kXRQ7cvMBy9kBWmnqcsM&#10;gFenYJHS6yLMgnOm4AAc+JH8gkv5AADT5bsu3PYcH1FB42MwKBMGg1ugBb6Cj+gd5INiSBBYg9jH&#10;2idiABY1kABZSI70GiBmak1qABayCB4gYZoGSDkoGYpAwhkDfQQh7L21wkXb0uYAC6CCl5IENAg8&#10;ChtEHCWQMI5BBmwZAAA+DhBV+CaAAdcRTzRrncO8Rg8YvgAMRIKG6Fz9QHP2AAJuGgAB0w3IK8FO&#10;h+RHqKDkQxSAaSgiVKCpwih+UOkCHkfkehAxrEDGeUEb5AxxH5G4hMdg5gdRbHunMX8XwCAcjEOQ&#10;oJf3dkTP4YmHTFx8RnjcSlxIAAhxzbGAshLWB4Naa4ExF8RiENgRqjeOzZUeI+bU2w40b2Pn5Hw7&#10;UCgMJID1SelEkaVErBWhlIqTUm5OSdIa8EEpA4JyelJKUkjoDtQlRlKZv6hQABElgACOIypaOfSS&#10;6EHCfU/qBGCoOUMrnVkzHsPSYgGwYzHjzKxBSpRqhJANM8WhA0pD/Z6mxns0j8t6b01BCw5wAllB&#10;8Ah4DnR8henMAQ9gxgBqFH+UQewAQUzxH+2Ef7zwBOkAAEWfQ2hHz9BaCygCtSBDPIGDAkwgzgvn&#10;MsZhbayyDvwIE/IkQIaKDxG/ReTJQCDv4IE1sgw2SBn2IVAU2xAwNKzIEpQgQQiBvmIM3qEZAg7k&#10;HFWQMKhIwd05H8KGnkSSZCYqAAMRlQzFxOYEPdgpIJjgxARMRkxIw+VRH0e8L7KiKKciKQQ/NWat&#10;kDAEckoNX5sEzUVWIh1W3gjlKCnlCB+VnLOH4UEebMRwlBHcQMYLCB9i/ATX0Z9FAQxtKuc8bIZn&#10;cCYqzMoADaAAOGJkTSxVkSCwxNK1IIIAAB2ZIbHiPSLY+NeIXIBsUgkco7JxYxOI6gARiA5ZJLx+&#10;RwKKBCQhvE24jt8kvRm11uyEEBCAACBQOCQWDQeEQmFQuGQ2HQ+IRGJROKRWLReEL+NAQOR13gGQ&#10;AyMSOSSWTSeUSmVSuWRV8S8ANuZAB/TWWzecTmdQgNz0ADSgAAB0OCsqjTSbDilRF200AMGoAAS1&#10;MAAqrTuEyAAp8R10xViwWGctqyGqtJKtAOxWuSua3AAfXGCty6ABi3cAF+9Qk130AHHAAAb4MAU1&#10;2gAt4kAIDGP1549bjLJEyDsWBu6HjWBhiBuiBhqBv+HvmBgaBp+B1+JaKDDSBs2MTV/FvZKQ5bcA&#10;JLdQQAwtVwMqQc4wNIQcrQNUwN/QMXwNpwcKwN2QPewLlwYpQNXwfWQICd9rDbxB8D+UFwhvekAO&#10;H2AADe8ANH5AAC/UAJr8ABFfuCtf/Po+yKHrAYABfAyCriHyhKIhhmQcADHnmAAGQoABoQutiJGe&#10;ccOBsIMPn4ihsxGF6hgGaEMrWf8VnxFZ/niAUYndFxlOcgZxKmErfoemRtnmrSRRTISHHfIoAHFJ&#10;EhyVJcmJKrQACdKKKwGeqnqiJksABJ6GH5LoAFlMAAAXMYABJMysH1NIAHVNgAI6DkmzjOSGRcS8&#10;cjUhBVz07qRxceYrUAB050HQlC0NQ9EUTFMemQrQb0VSFI0lSYAHdSwAQ4cdKU3OQY08AAQVDLSQ&#10;ISo0atkAClBwpinKgYKpKoqwFSWfp91sCIU1zCVOV4iSyG0QqtDu6itAFFzrporTu2WgkXWbXqBL&#10;ccwAB/aoEIJHsWxWAATW7a6DlfcJ8hZch/sGG4DUsdwBCzdp+EHeB+3gQYBlDewCII+RohzAwXmQ&#10;h4uIGUaDhOgZtNG0rTtSic+IGa6BnsikXC5Fxoq0A1nFjjQACjjrqqygZ+uo5SBgogZ3oG46BOS6&#10;yBrUgWGoEeCBligYgIGD6DgE0KBi+gZQIIauhHw94DAO3iQH7ZxpaYf4p6eAqCEhqZ9CXqx/EzrI&#10;BkZrmooGFWwVHj6HFPsp8DhtACl9teXoFbKIFzuIAjZumjoGV28HyFu95ilexy2gwDpefAD3IFh9&#10;JNRlHWgm5czMEgkIYbvJk/FwwcYm5v80AB5c7zHP8/TwYwtDEsMo+uvIeeHVgAYfXAB02xIbLsQz&#10;AWUxTJx80TVNh1TcjvQeC1cVifHPboPPRV76is/UAK1BeF6Ppen6nqpRHpHK04fre57tInR8AAHT&#10;8c51RWx9gBNPEQiAB7fcAHBgB84AWdJ8TAA8ujgT/YAAb/wAAEQBQA1E76+FOIxZ2h8IIAAHQNIi&#10;qZ+i21VKsMOq5WAJSqlXSWbIYy3QTA7e859HogCtB9IGzuEJEFpFwLkQQug3CCweKQcuBAAFfkFX&#10;OYUpxiQtgAEDD9MqZyCAeiIABtYvoZjvNkIR2goHDGYIM+g7xAxjEDhAQ40hAjTECNQQI1REXlkU&#10;gCtd9w9h5FaegQpFwzitA7K0Pgg4IyBjbZGQIY5AwdMpOQyQgTbQokDFbHUhJ3Q6iqkMJBwwNnRC&#10;+HzI0BCFCRIXRQRQGclQADxkwAADEmwADEk8fc/J+xFEnGdKUAAOpUPwJgEaVgABLSvIiPeWSBUD&#10;qolYEaV0sEUouHMjkDZN0egkYcVqA0KSDIuHdJgeIHSgA0YiQdpg0gIv7ASOstMxiJo9fa++bE3S&#10;dA9nAAACM4wACznM7BLLqCIurZm64YYAGrBLdkQxVDGmapjPO7onb6k1ptTfN54SJgEghoJHB5Ce&#10;yTPNUDQChlDaHUPJwf4a4J4CjWaQAFFxollLOou31PlHKIUhV6s49I3gCJUhQWx2gABy0tkvJmWQ&#10;905wFQmhWTZnIGqCcAkI7oAX8zwasRWCCqIJkQMMlZV7jx9KyJPTujCK2xs6WUVoJJXQRi7pEoly&#10;Y3RIGyDcVqqNDX4jCrIQWW5BUHDMUqpd+4Q63EFGBXF9KagO11AACKvFSCCmSBkAAClfyGD5RcMQ&#10;rQhnHgJIHMUgjNSHBOkEOIgYzyJhPIwiYASSBxCgA1ZuNMYEVjuK0BuN5BwhEDAaQcWxAzokCM0Q&#10;axhBWckCOCQIEJAxu1uCGMQTFu4ekCDCbIBwvbhEFqsAC4pFBl3JAAkVlBBKzjguhDYshJwa3VAB&#10;ckZZBXRAAArd0ioxrwAAHpeMgoRbzTzJ0i4e7gwTt7BaponSPRZlaMpQ02QRoPVYIXC8XCLgi0dZ&#10;4aFbeAGYLNwGtBHoBKY0pqzg0go/2igBgU7g88/Ba4XnQ6dALqnWTuwzegg1MQAEaF/KqOE+B+1W&#10;ZETp+Y68XACs2BpZGDiWU7N4i6sIAABLFII4/HJBXkxhYYitP9C8aZHJIQGAACBQOCQWDQeEQmFQ&#10;uGQ2HQ+IRGJROKRWLReINuNP4Ax0AxiQSGRSOSSWTSeUSZ+ysANaXAB/TGUwd/zUAPacABqzsATV&#10;/zOgQ4J0MACGjAAB0mgwQEU0AC6oABo1MAEurRVlVmYTIcV2Iu2wABg2MACWzAAFWmlxOfOmzCUM&#10;Wu5XO6QqNNt2R4Hz6PwIBR4Az6fwLBz2B4V/x7BADFT6CYvFYe65OT32C5aCAeBruBnKfNwTaF85&#10;SLzF/J+PGCMT59R4Gx59XKfAO7gukgM2T44QMI3yB3/GzaBP7JYTI4TH4KbcfDaTnSmPT2a5bMPf&#10;rCuoC5vZNmd0ChDwPjf8/J6ZfaETEOGTtqh8D+9weT5RW7zec/P8fn9Qa0goACJAAAAJAaCn1AwA&#10;FrBIACZBgAALB6InhCQAGHCoACRDEHQggh1Q6ABiRBDQCgAfcSgABcUAAEkVrnAzYw6dQAA5Gb9x&#10;rGyCp8ZS3huhhVx8wqQJ8eYrSIB0byPJEkyVJcmSaya7nGjwOSdKkqysuh6SyABvS46UgKDCR4AA&#10;bsyAAfkzyukwJTWoqjwGAiSA/OQABjOoAHJPAAGnPaqquiismUpClTqGKIm/Q6pKot60LVJCVn6R&#10;IT0kPE00qki7lyjwjUtTkkH4nxyoGVKfFs9Bgvw0w2I8SbVpqfaBhoAVZGkk5r1sEE3iajwqIHQq&#10;BAbTtgvy1lHh4FFjmW/C7kqjw1WEhafHXFYSAyjx+oYu54L1Z66PqnB7W5cL9PQAAV3MxiOoTEtX&#10;lpdsFwbB8RohMMKQtDAkUEAaWpebV+gBOQPqeqJZ4JE8U2nFsDxhGUaXFhyE0eH1JBOYcex+kchS&#10;IK0jYfjuPY/kGQotfptEJWQBD3kWVZWpZ3ZcABx5iubHGlmoAHxnGWJBRc1gkioaaAAAO6HdCPnF&#10;o89T4qwlqwrTHBvqCEscZeqTvPKCUW/skp8ftvhAF+wHJnVOj/soBC5tB6I8ArfIEzCB7ehbgp/u&#10;eisWgjmS8y6OsEwDIXSx28xrtqDOiinCb3uKBHSnxp5OTsXF0FPJnmkbTBwgZio8AVWn+OeTkcik&#10;yG6GqBi40wgIGFLfujwnFIYxO+cD2Tl74hHZsDaC+bz3ErcRvF0oh36D8MgRM2mNsa6OcQEnz5x1&#10;o8BeHn9FweBV65joZkhJ5ONmxpLbz7+/8aIQYJl8ojk4AFh9l3/PeMIwnCuK/MABffuAB4/1PumT&#10;erZxGCCzYM9JhBckXAAHTAloTRHyKdGdA8AjGlrkLR8KtL5F2MpFgbBuDkHYPFAHDCEEa6xuQfhM&#10;zoxyeGxMuHcXM6w92kjTb1CciZ4AIAAXI8UvysgAA7h8AACsQSEvLhi/xpqgTTAAagjw6K6wAC/i&#10;gACF4AHrgqiK1lRqThnAji4DRwUNEkl3G6R4EBjiGOtOmSMwCwW7koguklV5Ah+keHaT4TBph5G3&#10;Hme8A4/gNx/Eu9EjELxzwqD2ycvZNQZkDB2R4ChAwEk+OAR94ZFo1pLjaxhljm0zj8CGscFAvkmD&#10;clIH0gYgmHiiWmF8hg2ZXAiZONhtcYCIvhXBLRlj6iCBGl4ow/xEIDoJFq+5ET8UxPzILEkH8ywA&#10;Q2ILJ0AAsppQDRUiyAyBxzzZX+nOXCRyfDtLfI8h8FY3kVgyxubs6SLkBIAAIFA4JBYNB4RCYVC4&#10;ZDYdD4hEYlE4pFYtF4g5Y0CnvHXhAwLGJFI5JJZNJ5RKZVC2zLQA+JhK4O8poAGvN5lOZ1JgJPQA&#10;MqAAAHQwARqMAAVSYa46YAGlTwAS6lFWVVQA/qwABtW5fMV5XwA/LFRaO+bMAGDaQAJbZSKVO5O/&#10;7kkLYJTjcLxeb1CmZfQKEMAvLk/x7CADhwDBMG/4ZiMXe8hkclcA9lQCBsxiYvZny/6Y48Zk9Fo9&#10;JpYa/H7qReKNY2NNEMGAm5s3tiAPr4ng3XdQtEG3v3NiAzuOJE9+2wA9uVxeZzZHQwGACV0wAues&#10;ACF2bcCoi+u8AFr4QATfJFe8+gAuPUAAF7QAR/gAAT84TYn4AFl+QAC/4ABI/6dHDAQAHhAqrqyz&#10;ADAA1gUKEojnQgyBYP+EgoogVcMNCkbBnmK0PAdCMQxFEcSRLE0Tow45sMQE8URdF8YIM84AG1Go&#10;ANSfq8uUewAGnH0YxhBIAD5IgAJ6AiIndJQAKqZSoqmikmoLBgAK+Xj9v6IktIKekugAXswLWtqk&#10;u5E7Bn8jp7goF02HfIE3pJGptFM9oBCugYBThPU9oaC8/AABlApFHAAHFQ0Dn9PlFUWiDPnGEwg0&#10;ifE4OOKrEFVMy5RwfoZQYaSGOOQTED7RjJH3U6bJwwdS1Yk7oAAxCwrHV9Yoo+0jJ8gisUSJlewc&#10;6Jv2CABoWIAAEWO974ooWNmSwBb/QAjFdgBJR3AAz6KgxbQAW0DFYMPVsRsXXYqBPcxXQvDKSw5D&#10;wrRBcN4XjeV53ohE5ELOo9Xrfd+S5LxvYAAFVrxGZn4M5gHYSAAK4ZY1kSO9j3VXacZnjiwAHVjM&#10;btS1+ExAPeQIjQxxR7H6pCWqirHPleNxyEOXgAF+ZYjPKCHbm60LUurtxjXZnBNoAZ37VqWmyOjo&#10;EXoelMmwAIAACWoW+zTcrlQtD1vpesuIwZsM4GoWbAelWOO4LDuHEVdknoATDchk5BGxBrsQkOtI&#10;umFJzlgWq7rvjRzqAFeiYAGDGfa6msqDwAZWc/AV9WqF1u/JZWdaASIqc3MAAdPNp0EHPAACPQ76&#10;yJ87uB2wBY9CHwwVcNJFdkP9H2XZ9p2qFGp3AVWOBBq9t3zmVWdfhcVljIWmZ3kZayNX52B/nMib&#10;HogBix4tHzwQAANHtakhORxpGwgfCiNVmT8oAeEdYABz9duW2hlqgAYH5TEEueThXYt7WU3fxRoo&#10;enQF8QNJD/ICECSEB2BDr2qubHSAAesD4CwRIouMrAwFzAnCEvVOQTDECyMQ1M16u1HtAcSQ8444&#10;TEQlgkQJVb8ByQvhXDEkasUyQOggUAGQAGmgAGHD1xrgnHkKcifo/iz0KEVOOABLrYjIQIA6AACk&#10;UYZESMGMouoNyKOsdcRh2C7opxfIGQGAACBQOCQWDQeEQmFQuGQ2HQ+IRGJROKRWLReMNuNP6Bv+&#10;BgGDx6BP8AyV/yeRR+TR2CSiMS+YTGZTOaTWEuKcAR4TsBTaIN+gAB1UOfQwP0cABilUWLvqnABt&#10;VEAPWqUyFFqsAAX1ubzgANOwAAl2OG059ABgWkAPS2AAPW8ADK5RF5XUAL68AASXt9Aq/VYASWQR&#10;fBw1/YILiPFPHAY3HY+YRptjmBrKBhPBAGUSnOQjBZuE5/IaPSaWDAPUAAO6sCagB4WKvPZP6hup&#10;+6bcbndaOUbCIP7gJUT8M4bvjABucluwMRccASh9PzpCcU9VwQyotpNgLuGHe4IBSiOSOQwTRSOX&#10;c6bOT2AR3e+e+r5fOZSnffSHjr9Umlzt4AAYcAgAJkCMCkqGukfgAFlBgAAXB5+sUEbbomnBxAG9&#10;53AG0oLw6fgMxA8b8MAwSMPugzBCVCReIoVcXJSl6UHmK0aAdEcbxxHMdR3Hkeuc5JuGwgYTx9Is&#10;jR24COGxJYAH3Jzdn7KIAGZKjTBnK4AAJLUepc9hyAAc0wtMRMyK6cSvrCJE1AA1yCrYegAF1OQA&#10;APOoAAlPEDJAHE+Iids/gAYNBAAEtCgAvwFSOhkknKE1HA5RVIty7Jsu4AQTUlTNIqOD8sy2jEnH&#10;2AELU1UtTJifSUBzQoSmdU6YmvWINALWhyudJJDUcEw9oZWJriDLQCF48FXsalxs2QAB82XYtm2c&#10;n01CQAAE2ogq6nkABhW1AcCxKhkEwXBsHgWvS9orUk/na00OguAANXfZ75r2EkTojFxVxgjEZRoK&#10;0bXjf+AYDgWBppZBshs1xk4JhdnHxhwAMkAEkvUsBpgAe2MMBNoYY5TwCVO2oAKAb7IBXkwAC9lK&#10;C1JioAWjNjUm9mQAGhmoAArnAAP0HQAGbn2JOAAE+BxP1AUEYNCUNRGAJQUFWDDhmooLgxBUsPdi&#10;alrKIA3rgAARr6X3BUj061srnJQdSBhpVhx7Mh7JGEwQetKlBwVYEKGGpvQGTqA50MFcm3IiswAY&#10;NoERcFxNSidxmPIK/0AQFAgmT1BDpXCy1x3KElzq9dN1w7d14cUmqUG3VlMIve98ovfca9J2HY9l&#10;2aZMkfjBQ32ndKsePegAcHgPwe/hgAaXjMhjgYTpO1/2CABi+gyBCemAFaALUavZaJPtynKsvAAF&#10;XwgBXQAUsABlfRw+hT6iHP6PpIS0Ov9/s2lAq10Vvd2LgwX0sY5ggEv6YCngCQAAIQHcqRgcMCwA&#10;LggFA8jAuRnQTCWvxCkEHCrIBEa5IRAnrlMJQPlSxiTFkMMkOQwQG4MECNkPMADMhvQrWeXIGSaG&#10;LKhUy+ZybjiCMYHsAAXsQVuOUW8QtcCDHMoPc251M7n0OOhXeBqGREUoj9DOcME4miMOrPqSdGbr&#10;4pxhIQQEgAAgUDgkFg0HhEJhULhkNh0PiERiUTikVi0XjEEbUbbQCjwljMhkUjkklk0niD/lQAdU&#10;tADomEokbcmgAds3mUDD87AAYn05oESJdDACfowAb9JoNDJYAH1PADiqQAZ9VAAKrAAedbAAzrwA&#10;nYfhLKsgAf1nAA4tURm7tADBuAAEtzq9ZoN3hsqf79Ad9EYiwDhvGDwmFkLdxAPfuLZkeAQkw2Ry&#10;WThQJywADOZAABzkVvUslz00WU0ml02UvT8zgBRIk1x80+xjM0biwgZPk96f8DNtzEqVhm0VEDK+&#10;y40JdnJADl5nH53PjIE6QAIPVAAN7AAWnbAD673Qh+OABM8gA6QEgrw9QAYft8fl1cNfnzACy+wA&#10;Bf5AGuyEUqRxJsnDIgvAgAA1A7wQShp+vOEoQQeb6MFXCbdpEvR5itDIHQVDkOw9D8QRDESTo4OL&#10;HEdEcUxUkrPm9FwANEekPmTGigvOrqvxWhD4iPHoAFxIAAKYAACyKAA8yQoIHSWAA8ScAB3Si9j3&#10;PE6oggAB8soashlLMtC1BwticLgYK5LorAFR0ii9G+/gSNWf01TkwxtzqTiBjCgcKoKf7Vz23SCz&#10;9OcVyKAoAg7RADPijB40afbknZONB0m0i9ACgj40tRc9JUASBtWANPU4f4dN8Y9KNkaFVPy/J51A&#10;kxtP4E6GI4LbVlE1dRVQkLPnBXwAHlYNd2GkrLASAAhWSAAD2Ygrtlo7rvxW8TyCY8zpoI9R4SmY&#10;b32tTaFPmfj6vvVj9tcir/wCt0BwLA4NWI0p1v4CyRwmVc9ozC8MitDd43/gGA4FgaZpoEq9Gu1Y&#10;B4JhjTsWfoAGxiQAXFD8YgAauMqCE2OAACOP0GBGRAAImSgA8RZ5SAAlZZZdmy4ABW5koI5ZqABi&#10;5xk6PSEokbogZugYo+kwTEt0yTMkE0YbPiVF43wi6XqKEtoFi9F21YMalQcHhAAC+4WjB87EAByb&#10;LrWzsofqzn8XmOBMJG0MmbO5krr41IwvR9N8A6GGvvwQULCO4ogaPC8Hs9EA6AAacYhpa8faJ9R1&#10;ajy58gdtAAY/NAAIvOoji5fdCAADdIAAU9PdKprayUCAvA0EcPCyVFQ3ws3tCiR33DXY953vfd+k&#10;86m2eLV394HjoWe/lAA2kvUlEPCmiAB8eolGvxwGbNs7Fd3gAGvv68voAYfchZZXltmb4ff1gAPv&#10;3AAz6Thj+bMM1i8hopmG1rStaIdW0c3xdU0uDYeGgE8BxMvIYCMyBgBUsgPEGQMOquYFGmA3BcAD&#10;IgEEZfIr4cEFYQEOL0OptYTYDgnS7CEmRzBygKHtC8dRqwFkpN0SoLjbhTEIGpDsBj6RuGrddCpj&#10;DGmKxCUG51qB2AGkNWe5E0qmSVkQcotZyxAnMHtW6ywJT4WwKjAARyIY1SCrmP46lADq12uue7EY&#10;hhelSlzVOSJe6+W8EqQw7uNkeSEEBIAAIFA4JBYNB4RCYVC4ZDYdD4hEYlE4pFYtF4xCG3G17AyD&#10;GZBIZFI5JJZE8JQAHFKwDJpdC2VMQA/5pLgvNwAIJ1L5e/4GARlQZzO4RNJ8sKQACVSwAB6dBUvU&#10;QA4KpLh/VwALK0AGnXQAS7BFZiygA/rMABvaYi8rYAF7bwAJLk/wVdZ5d5IAb0+3vfRILcA47xg8&#10;JhcNBWRiQcE8Y170AQ1h8lk4vNwuAAZmYzZn8AHHnwA/NFlNJpdNkqM/YGhBLrUBp9hsYVG22gce&#10;fohRmLrRKPIZtGlAxZsuJD2rxwBlgCOOZp2xzwA1ukAN4AMALdO9u0AFx3QAD/AACH49O5PMALHB&#10;H+RfYAQb74atPkAH19dPj5nNYgAv4ACY/4AAJASCpQeAAGHBAACTBcAwGowAGdCIAHDCgABpC4AG&#10;ZDQALqBR/rkEiKpWcQAHdEyWskC0VH+DUWuLF6GMfFCBRBGaRlXHCfJCox5itHwHRhIMhSHIkiyN&#10;I8kIYaklhgBEnGfJMoykix9yq6LpymhEqn3CEJLuGswAA/gBSyH0zAACU0oiWU2QVBinAOgsEGGA&#10;D5FolwRzyAAkT4rivLAJaxJk/EwBqhp8UQABfUWAFEHwAE8hGzDNSywZ4AHTAMhDTdH0rT0jGzUI&#10;5zGQjHgRT8pgNVQAA5VoAPwjB51kAB1VrVFb1wgajH+x5gNEfgrBRYR2VzYqFqMAJu2UeaBgWoqa&#10;HsfNpAirQWH0jSNkyx4zWM0jjmqAEVAsADmBw5zoOkay4rkAAXXc7Ltu6XDvvC8YhvK870oI9gig&#10;A94Gvi+b62u0z8Qe/b+v+JkGgJAiUznPc+oIYOKAAth5AAIGNX8+BZ48AAF5DdcQopEYAHblDKMs&#10;AEWsjbrKKMcTeA+k0cFXHSQR5HwrSBl+fZ/oGg6FIjaH0x4C6HpLJH7pgASWagAVUA1JgY08THcg&#10;tIgAd+uILWp1AAZuxLwHWygBpjVTGAAIbZq0TISKW4ojLc6vmpYlKap6CHPvgAEhv6XZDZwwcJPx&#10;pq+sKKPTB4bcbV69IK7R7AAXXKrKs6COrDulIqzhthN0ATc50aR74c4Fnp1JzWagYBRkozOoF2KZ&#10;sfnFdvymna110iCgj3wBsYCc4ovtB/wocJ7s53nlonGyDxmf7OCQE/qGF5mf3SJmpFmhFfiHYQUF&#10;8hBtfINLHkrGXrpHb9wxVcjmtM55sSvdUQXbd7Tck7jvPAB7xHkNMeYch6CZL7PYxxgBDE7H0Psr&#10;kJsDwAAFgkw5AzEE+BIAALaDTZ2mhHg8hwuzaAAJsFkyBkT9iKKOAANeFhlFxAAA3DF9RIzOB4dC&#10;IlmqOSRM6R/DOH0P4gRBSKbRcBAgUMGdy+lXTByCs4IK7WJhDndRLidEIwkIlvgDXKZBFxpheRfY&#10;sW2C8IAFEFUW+IXMaSXApjYAAq4PwADPjkAAGEdQAAijwacYEe0StvV03EKTziFt0gW3dvLwyBrS&#10;HyAAP0jSXICYaGeSThnEKBcUTJ5TjQbOPJaOWT0BCyP9AAC+UgABhSnOoa0fgCZWJFVgjt3JEDHj&#10;QRADSK0tyCvyBcmMUiYzsS4JIBiYUJlnEYkUACAUwJgD0bQIJ6gJxGO7mUrkbk1RwEDA+UYWpvGF&#10;kHVCNkGyYxiutJ+QR18UZpEGigfoh8UyBToRhFk5S5VzvzXSyN+4Ll4OTXkvR/y9l8QDX1O9fh7j&#10;4QKYFA00sSIqkIPxJqGEMiEMXTQmoVNFwAAVo0ABsoOmGEFV/CNNrgh/KRdmRVB5VJrjxpYw2d5J&#10;QAmWH6BmmlDUoyvZzLEh5RgXOhXUSVm1NqUE0R7D2adRyQEBgAAgUDgkFg0HhEJhULhkNh0PiERi&#10;UTikVi0XjEMbEbIYEjy8jMhkUjkklk0UfspADUlgAHEvAAamUniK8mwAeU5ABIngABU/gqkoQAad&#10;FmhepE+oDPpgAGFPAAiqU0iDAqwAd1ZgpSrkRfdfAC0sQAKFlhL+tAAPVrmgMtwAMVxADQugAJd3&#10;irKvQAtD+AA1wAAauDADcwwADmJAA2xlYrVWYAAEuTpQKqmXzEMvqqE2dK+Z0Gh0WjisbbA1AepW&#10;IB1gZ0mv2EDD2zAAF20ZnLyADr3mx32/4EOfr/4iG4j/QudEz54PN52kwzcJUDVL46wTFnZfUE6I&#10;lgbVgYF5/jkWD8AW9EumHA0wAa3vAAk+QAF314L2/AAXH7AAP/wACHALgnJAgAL0ZSCiLBQAAbBq&#10;GrEWgAH1CbgtYAIAOOhLUgGAAiQ8yqEpSfoAGLEoAG1FAACBFYABHFwAAFGMQpUWMagABccPi+aT&#10;nzHoAGzIAAREisNgA5QAANJMYRk8kmoW453rWPQKlXKsRpNKpVn+kbjnmK0vgdJ0xTHMkyzNM80T&#10;SiEUG0A8YgEdiBgZNU6Tq4SVJYaj1BwmKZuAmyQNynaep+yyKHrRAAHDRYAHBRwAHFSIAUQeoAHv&#10;S4ADPTQAHpToAKYZ6nKgqQROCyDHHcrauogr59rCsYn1jJYBIKrNUkTXCaPkEgACPXyiKMu4lryv&#10;dWww4gAHVZQABbZrJMogh22kABg2rZ7vULOzguOf6+kSE9wDzbVx3IhU2C1N5IOOCkLQvcrfyKD9&#10;5ABCyKwydF8AA/B7XffrQOPVyBFiyYSirf2DzEZmFAoGmGzigdInECUenycMLTnhExvMAD0AtPbg&#10;va95rR1Xj6hc+78v2XD+v/AIhwHAsDwTBcGgbB6xwm7bgXrDKECVn4AARoSE4oABf6PfT8ts8Qma&#10;bejWIafmpAAWWqxvHNdtGb+tgAeOvWPLd66XPoNAACOz4zJq+kc5Q5sxLMtpFLsvitMO07vvG871&#10;vdxm3vxaws6e+cG0Uhzzj6ZbLP6b0EngkRA4Gtm/T6mqeGCoqm4FT1tVQpK8sEIABpomNq26CGP1&#10;AAFh1aaWEAAQdhYBprsvCKGX24AHH3SCh53uOPShFpHbalrYJyHCJO46+n8PFwBORfkei1+FGYAu&#10;ajBDZNeVC247B7qBe4gduelOS3gx84DIwvtG0cfX1/I2N6oPdyBOP+mntZ+0LVp8TiF0QMMjBBxv&#10;wgIZcP8BwBBcgUOZCwF4Cm+Y2x1j57CNnuPg1lkzKF+MqZYA9ACAjgIEHIgYvZBEFBFQYg4hjoWc&#10;oVaghkC8MVkrLZ+dMA8NyCr7AAL2HgAFjAUiAAAdkQ0kJKIpC0giRSGIZBTE0ABHgCL2WQ8JEC2Y&#10;HmxL6BY5Q623pVe+RhuaYIrxjjJGWMy4zzA9huAcYUZ43IzRG4cl6fHEnBUATgnTjnjm+ck5RULl&#10;nMKlc0VdzhBCuOeVY6Asbo3SniXwOgAAnZJR4N0SeA4f4hREKK7N1xEB4SfAAL6UUTyPAAhO0FoZ&#10;DDrD4AALeVy149xvIs1IfgXgUS3FHLKXREzohDOOJYgYJH9y7IMBWY0KWbPyImkNRw4JiHkfGQIe&#10;hAxSsEDTM+bCTziACOiNNCwKpslUgiemObIIKsiZIfQ+xwIdQcP9B5lzMIRsyIIr4I8sSEC1n0hJ&#10;Chz1SAABVQEAE+hagACTQcAEawARUGFQ2RrVwFgAk+PBMVAZwNjnCmYvo4jlAfNE3BLhxEvRiozS&#10;UiRAQIAAIFA4JBYNB4RCYVC4ZDYdD4hEYlE4pFYtF4xFG3G32AY8BIzIZFI5JJZNDH7KQA1JYABx&#10;LwAGplJ4ivJsAHlOQASJ4AAVP5pEG/QwAz6MABhSQAIqZQYewKgAHdU4KUqtEX3WQAtK4ACXXwBG&#10;22AGvZQAzLQAH/a5ohrcAHLcQA07oACTdwAAr1BbW/wA3MBc7rBJkGpdMIg7cUAGDjQAJchPqBTs&#10;plYu+39mTcJs4mMtn9BodFJ5Y1A8B9Qa4GaY8AQbo9hFQ/swABNtGXpuQA6d5sd9v4XfX7A2LrUQ&#10;JOQt+By+ZzctgG4uYGRud1dG1ewAAt28OOOW2PAAGt4wByBIABd6eW9vYAFx7wAD/kACH9eW5PwA&#10;GV+4KRf8AAGwChLMn8ABiwOAB1wUAAQQaAAMQgADWoioxngAFcMAABENoSe8PQZBx9REABaxKAAn&#10;RQABuxWlaWglF4AHrGQAHzGrrIOFUcgAAseRvH0foKfkhCGFEil80BVySvyRL6eYrSeB0gSlKcqS&#10;rK0ryxLKDRWbpXQIKCCNaAKCL7JctTPG6UuG7Bqu6ALCuWmxeJwnSeCQyQFOWoZvqKo6khgpamuA&#10;qBgKkqiBn+qwpTGh6sn2raugNSR/xqfIAwIABl00mgI06AA71AABx1GwRpp2noB1StS2P2ZS4LkF&#10;tYgAd9aABTCXu8xLFsaYLyuQf6fzzNEtQIIAT2OYVh2VZaLr6AMuBkvpYNaDlmJMENsLyvaKL6AB&#10;1W+ADcnpa0rL6fC+keuJyj8IN2n5cl4Xihhs3oY69AEG6ETFMt5SBNgAAvgIA1w77wvGa1fPO9IX&#10;PW9r3lw+L5vqIb7vzVsyP8IrXQEhBjY8AB0ZCgoZZJEAQIjTBbZUAAhZbPCIxEfVIFoAEXglQx3O&#10;07kFHXVczOXM1GL4FOiR3Ht+6Qhh7FJpgHEDp8Cs/JJV5+jEmyeK0o6Treua7r2vyrLgPQIcExbB&#10;s6STVFpqO6mKZuBOU6HlU872DPSiQqpClKYETl0JnCCijwWfIbCZX8OAFUgGAAb8aABH8gyon8mA&#10;AdcsABxczUu6VszIAb/cXK8vgILv0/lbsQh7FHaxjHMgEuX7Q5h+L6KfXll2Xcys8BsBre4ntaJr&#10;WhOgYD7Pu0IAxCSPIzUZxgBmPdJIvp3oGWMCFXY4Tlt6Xux/ZzoFy1oi+9Kl/u2C22uB3jxPI8z0&#10;PU4D2Hs9z4PkB76Ps4D8HJ01XEEYygBASjgAC+gMjFGYO4FObfeg1k5EGUsrCNBM2ptyIOGcQQR0&#10;huzerLRyCpowBXyrML6Kt14VjYNTaqs0taTkoQjhhDGGUM1lgBOgOkgYFYaQ0bUaVtqcG4E3Jy3N&#10;OzsTfp7T6hZP6gW+qDKiVNnJBFFENQ8PcADcYCBNi0AARsXVZq1JOhMQsY3EqqcyOJzZdwkgAFnG&#10;1wkAW7ITYu6hXLqlduuMi3aHZlThJqC2kUFAqY9yDNGWUa4DUeAFBqX0SZAwUGtAE0h9EAjXkYSE&#10;u+M7hI9mtHYmoUClRJAslEOQ1sK5CSnJoWIaprYQSoOa+c7jBH1sGfcch+DDH5MOfsxJ/Rv3+P+P&#10;6f8Bcw0SImgIxMAADplQFgOCOZzJmUOeZU9wJU1VtSRIY6GAyR21TKSjEMiK3V9PMIZOIkUH4Qyu&#10;R8mVAgP3tDDhSkokbV4XzqnsRYgIgAAgUDgkFg0HhEJhULhkNh0PiERiUTikVi0XjEYbkbQ8DPEZ&#10;kEhkUjkklhD9lAAakrAA4lwADUxk0RXk1ADynAAJE7AAKn0ziDfoQAZ9FAAwpAAEVLoEPYFPADuq&#10;UFKVVgr/rAAdlbADDrwABlhAD0sgAednADWtVNgQ0twAKtxgriugAaF3AD8vQABt9ABAwAAAuDhL&#10;LwwAlD9lsviDtxwAYORAAlyk9n9szGZmdYf7+zz+MIn0SizWl02n1Gph7Z1g+AWvOEDKAB2gBzj/&#10;2u2zkDf8M2u3zAe4QBA3FAUYfHJf7k5j+1Wa2sE27rzinfXXQos7Tu5/d73f8EUoTfBGJZkDFfh9&#10;XrhDV9wAC3xxY477Y+1ptYk/QAF39757QAABcQGAAHwMAAhwS77mHIABlQegoUQkAD7GwsCxMAIA&#10;AOKAyCl7D4ABHEQABBEqIs+ABbRUAAlRaADXuO6SsnTGgAGNG4AAhHQAHjHoAAXICxrK9iLBVIzB&#10;MJIklSUeb9BIBzvFXKTepCzh5itLEoSXLcuS7L0vzBMMxIkbsyguzh0THNU1oGxKVJYlz6JiDTvp&#10;qXibpynYkMsBTvvGoijKQGClKY7ynmAqKpoIqopIK1hsgA9xqgADNKgAGtMAAR1NgAxx2sw6JD1E&#10;hKVmoABt1QAAOVWAC3BpF7XoaopngAfNbPmiNPMgyTKBLPk2WAhTOH6z44NEE5KWDZVlyUtRrAyw&#10;YChcgYvNqIrOAo3L1RgAAP29WEYoueFx06x81s4fCBnAzhNNqYJ63gbNBHrZl63s1BVXyA1BG3GA&#10;PXvgCG0kAAJ4KAAZ4Q76tnZB0IScAATYi79uFpiq+L8HuMv/ANDoS4V/hlkNwITD5exDEcShBE7P&#10;RTFYk5eAAB5lRzWUi9+PgAF+dABipaR/IKyHpe8jBVJAC4DpCDM+VGIhMLMoymkUrSwK0taTq+sa&#10;zrWtzYbWvHTGALa5saMzdUtcTnOqbJweSdJ4n0+u9P9ZqOpKlhE7+Oqk7iCCbvy7LwcfBP4/0RBG&#10;ABXcThplNMM/HUJvEUGFydEu4voGgAIXNAA3aIGjz4AH30VcMax7ImCybK7hslzqwOdekd1nZdmh&#10;9nBwAncDtGAaM4DaBgCkzfoIBPiUpSrc+AibdnP5h/wAe0qO+5yBGOgZVQYTgg+1dPae77wAPGCC&#10;9H4bjagn797YH8f0e/VwAA7+CI8mYVu2/lOVudFRbbdPduGO/8ACNB0gABXAUACxwAHXH0AAWsDW&#10;fgLSE0JezRGjPsTUOqDACgdQbHu1AVb0SMtTSzBaEkJYTQnTUo8L7MgBighQ99sycCXtpO8nZPDb&#10;U9K/bkUNuignIN5Kg3sgoEYiAAXGPAAAPIlAAArE0AApIoAAGnFM0wMYrAACxFmBJ11duoLOPOH4&#10;5YxAACXGUiqD3GIoTirl0yvHVGXheeBYZAw/K9ENHGPDXIxDlAVAoCz4wQGcA4bVf5AmikCBebUD&#10;BnGrD+NquEAMRAIgEAlJV5JFkUHjejJchKaCBjaIGM0zg2jajmRgOB0Q+xzISBQwyPMr2rrOAmtE&#10;bZtQIywTGwMB0uwASSO+rqI4AAKTDQKgc70CgAOCHHA8mBMkUGpXgvQdE0yChFmsxdzBEGSsncO/&#10;ciCKH9P8AAL+chZi0QbB0AAC86wAHRmRA0WszGgtDSOtGXEcisDnV6nQ8KUoPtSKwleEc96CESIC&#10;gAAgUDgkFg0HhEJhULhkNh0PiERiUTikVi0XjEZgZ/jgCLsffMDf8jf4BggBlAAkkmg0shMugsol&#10;MXkj/k8omsIm0HmU5m4Bn0Lns6kcNocPkk6ftLADVpwHC1RAIYqkai7TrEqooorgAA1fq0WmQAaN&#10;lAAOtAAEFrsMValvAD+uUEf9fAwBJF5AADvgASd/ADlwVthgJwwAQGJAD4xgAW2PAACyQAJ+VADk&#10;zAAaWbABLz0VZWhrU2G2liL71AAWmrAAk1z3BWxneE2m120TmE8g6lEu9Mm34HB4XD4nF43Hg1yf&#10;zXmQojEkd+SAQS5HV63X7HZ7USbvdD3KbcyoEjmFjle6hW5gfiilBnUL2YAntJn/ul84hn0nn4h9&#10;OaoCqiCwBBxAjtGxA4AGtBTWtcAAXQe7R7QkABcQqAAHwwAAhw27TMHIADQmUugixIAIGxOiJexU&#10;AARxaAAPxgiLlAAW8agAfUcL2vokx4rywIQfkggAWciAABcjgAeklO2iTZpcf4Uyie4CypJkrOG8&#10;zyPQgTpD1FoRkfKxVzG+LnpGeYrTSB0rzZNs3TfOE4zlOc6AAbU7l86QgzrPk+oIpZ+gAt5qT9Qs&#10;+ChRC4rmR9GAAdlHuNKgCgAP1KgAetMAAYNNgACNPAAHdQgAAlSAAcVTgArBps6z6KRCgrShshKk&#10;nbWoAGHXDRgA3oSgA2IFUNYLapIYbXBIISZH5YVl2ZZs2JICKSHImVgJokZWOkKtnW3blusIbNwC&#10;86RMpkBFvXOqz/ABAIAQIHEDQRBRrQYEkHQg7MJHtCkLQwB8NQ47MPRA0SCRIIoAROBsUxWFWGgA&#10;DOIIibeJ1SrIK4uAAc41UdSogV+PyNJElHpbuGhUAFJXRbqayCfgXyiFNVyZMZVzLax/zRNWVZ3n&#10;me59n9t4mbYjoGWz1oQ9iRP07Sj6Aq1AUEt4AhXqgAyOBbtGbrQAagI2vAAeGwu0wRysCwdeU7T7&#10;smdtgAZaujPCWAJDboxbGurWIAa8IwAF3vx/q452YaSgdTnFitV7i0DRKSGvHMiyaCTubWo0IhFj&#10;H/q+bZ289zpkeJ5dCEwZdIdendP1FmpIESBm7MyioELrpFL1Pa9s7OhD0gZCIg8T7ORpvbonQYAg&#10;v4wA3deBsQTBdjXsF0IwnCpcQvDMNiHDrM1ekWDRNFCIRUXoAZgAANfMhMZmN9QAHV9qCx4JIAAR&#10;+aIH+1B9gCWv9ZDrGR2YfFkw/2UqGc6zsmQ7kvgVeCdlmjmyKkkZyFZNbwoKQVgtBd27Qh3kyAhB&#10;h2rUFBrtQK+YDR2heQnAA6EeQAC8hIV8bE7Q34ZAAGfDUAAMIcAABFDs7QwIfAAHdEEAD9yyFmag&#10;cUuwAA9RLRojYgjeQORRIawIso0VWBLcWiJGbeUZqvHRF8AAJoxPlfPD4YCuzewvWrB5Zxyh7kyC&#10;GrwY8bI6R1NoSQQBJA/OEIiSQfxMgGkyX1HaQkGBVSHAGDGRQpyZLakK05dS7HknZQO8teS9HnvR&#10;X09N6q/nrvZQ+9sgbBmEPfIe+GNCvQPSrIK2+M0KXQgABbLNOydwABBlxGoiKOB9AAf0LV/iSUlr&#10;ccCAAA8x5HnaOUH6MQJhBpugaWGCCaYJTJmsRkgIgAAgUDgkFg0HhEJhULhkNh0PiERiUTikVi0X&#10;jEZhbZjiPAcfOEakUjkklk0VfspADUlgAHEvAAamUniK8mwAeU5ABIngABU/mkQb9DADPowAGFJA&#10;AiplBh7AqAAc1TADRq1OhUfAYAOldADLsAAfVjABDswAA9piLwtgAZFvABLuUVZV1go1vAAW17AD&#10;5vwAG2BAAbwgAd2HADBxQAEuNn1ArGRyWTmkplJ5E+ZReUzmdz2f0Ghpz/0gB0j/ZwB1QwiGnemq&#10;AJA2DN0W12233G5h7M3gPCG/Z0DEW64nFyTV5AAC3Ll0w2rY6AAa3TAAk6wAF3Z2z27gAXHfAAP8&#10;Vls+1cnnAF1ZUFIvtAAN+ERXvzxmOD33AD0/QA+a9ADLAAHkBAACkCr0vghQSx4FIisZ9AAWsIve&#10;+Kcnk4yIgzDLlOZC8Os405+FJEQDkDEp/OMVcUn+kbTnmK0XgdD0ZRnGkaxtG8cRyiJtx4frYAFH&#10;UgtxACWGo5ocJimbapsXicJ0ngkQW2yhm+oqjqS1imOG2pcy6ABfTA0C0gOrivTAXwAK0AB/TYAA&#10;mzeAABTkiJxTqABpzwuK5oo9T/pUdFATSj4ACBQoAAdRCCnbRbEsWxoSylIVJNFNh/FHR4vthFdJ&#10;05TtPM5Sp4thGKBtPTYAGY2AdNgflP1dV9YIEjhshTOQBGW2AF1jXbPOQasNgtI7bOgbDpOo6wSO&#10;w7Tau4ezvPA8QHvIIbbPOcj0rsgj2iLCYGvk+lHrQtRi3JcUyCJdFzTXNq9lsAEEiFSKHwdCEJAZ&#10;e4AHnfUghHfoAXuBleVgyxOsyE4yRlFJV1OjMWxeK1SYFiWJ4piuLSCbmMmKgYdYvjyEyIlqXyQm&#10;QNNtJknQtKF5NDKkrGepClS00C2HgABD5w0GAABh4AV9AkDB1oV6lrN04VtOk7WJaaKt4ZgAHLqO&#10;gAoAGhY6AmsITmsvzDcKfwZj+woS05o2sHAg7QfGxbXtjbtOGDTvWgUgIEOlbEhtu870jMeG2NqB&#10;ke2Ct73wiEZ+5dg5HYboumazquu7IXO27rvlw8LxrNajzPRPttPc+FvIg/oAAL0oAHZ1DBsKGnWU&#10;FwdStJol3wVr8GrJCOigX3T8v3GWkBN4F1cLGh9H54wNhR5J2YTFUWNJF0YeH6Xp+p6sbVmHtbGC&#10;2AA+tV2QyNxWS5Om8Kp2nvatrlyjZhLClqayl6EB+c/H6zmdip/IAGv/nVA2YAwS9HKtGCanFOZE&#10;E6jiTunkuQSyGmnAAM2CQAIEgAPuB4AAMYNEVFjB0+qkH0veY8PIfEJQWgshRAqEUK4WLrH838gQ&#10;pVbDuhbDU0Rp26AAAMQMfKmiMGnAIN2ITcoMw2eG4c5jijnuMWO5BZZolmrPcstFpjm1rudIGFGL&#10;T9YHuxTOAAesYYMwbBDGWLqK3cOzXjCEhy9I0u6V0foeiF3SgFAACmPAADYRGNupUYjwATA9Rswp&#10;hkP3nsPYjHyRRCCAgIAAIFA4JBYNB4RCYVC4ZDYdD4hEYlE4pFYtF4xGYe/44AW7H3TAwrGpJJZN&#10;J5RDX7KwA1JcABxMQAGppKYivJwAHlOwASJ8AAVQZtEG/RQAz6QABhSwAIqdQ4OiakAHdVahBhLW&#10;QAJq4AHZXwAM7EAA/ZYK+7QAFtawATbcAAFcYi4roAGnd57PwHe4K/L8AGFgQA88IAAJhwAE8VMJ&#10;lEHbjwAwckAKyJaBQqvmc1m85Co4/39A0blTtndNp9RqdVq9Zrddr9hQ39swTAyHAxRAxlAxuAd8&#10;E8+DoGZ7iAk3FGzyRtewGtJFseh0elAmr1QAFuxjBxrWx3QA1vAABJ4wALvNrXt6QAuPYAAf7wAQ&#10;/lrXJ9QAyvxBSL+wADf8hL0nsABfQIAB9QO7QAAxBaIs+ABdQgAAfwmy4FIjA59AAWsNgABkPMGw&#10;rYOYAAVxKADfAC6cVOhFAihHF5eRWgpVxof6Ss+eYrR04UZR7H0fyBIMhSHIiFm3I5IxQN0iyY1K&#10;Vn6lqXpi7aaA01qcRinZ5LyJEKtaopvqOpKlhgpqnquVs0vu/LOAhNwABROIAQcI06gABc8RO3yC&#10;yeABaT+tq3uKua6ruacuABEcMPW9q/H4AAlUiABpUoADZtDKaIsedrIsmysvSbUMiHGelShTMh61&#10;FVVV1ZVtXVe2FLkLFA9Ioz5cOKJKISObZMRQMqBgFWFhx+6pquu7NMtY7psO+8LxhI8rztZANGFw&#10;9z4Pk27WPqck1mU/T+P8BqC2qXNzzmjgAAddjxPIEF4IjS61LYIV7VAh9Fz+5yEB9fwAANgKEnxg&#10;gAGNg4ACDhU9RShk+l/iE7zzaFiYqgjPnwyrayHGhVxskkcR0K0eYtkuTZPlGUyGlxqAMA+XnxFG&#10;G5VlE+5ZBMqyunMtUQoMLNZMExGepSmKcESbK+dgAEXpjOhPp4ATcCEvCBqoAARrCGwcWWuUCJq4&#10;LkiC6HEuy8CTs4AHftVOmCAAJbeAAebkwzEPxcF52Uh9N7YyitZ9mnAJOz58s+MauBMUvA8VxfGc&#10;bxyD0uFUUWOibPmi4syoOa/Ng0w4CGBFDLcf0aU2NZALQTZbvPAa13Wi8wXPQ9T2Wu94Hvi+duPt&#10;u1wiLDsPnP4IAGR4nfgYAF7CEABgeZ1wAXgEF5NnehbUhSUHIgdftYNhHbABfwfAAAvxoaevzQHA&#10;omfVhiG0cAGuFliQF+d0kh0uQnDj7ImO4+jWQo7frAGAUA4CKhG1AcaRxQWwFVEzZKRMmcmsSwTo&#10;nhPkut/aAUYpDQ0yJmaOSlpgiyvFgKu9AAAF4UEFCdCtRJfCIFoH2AAW8M2vNgWE2JQpeIOu8BDD&#10;0AAL4gPsII7xvBjW9GQMk21T8GIGRNIKLxF4IwkooUfE6K0V4sRZIWpcCqKB1K2I4PA4oESCQHG0&#10;GFFAlkUAIi1G0grpjsOobyapZiznWsUdg7JATtFsO3W0fR3abCBn7d80loQAAPSJAADKRkNgAC9k&#10;gACKLz14kQXmWt6qkQlSOIYNGTwACPjdfYE+UkQiHmEHm3x9QTJTEKfc/B+T9I3GtH2wQfADAWS5&#10;QyxxGpJVLj0CvMFcks5iEGICgAAgUDgkFg0HhEJhULhkNh0PiERiUTikVi0XjEZi7cjgsf8faQBk&#10;QBjUlk0nlEpgr9lgAakvAA4mQADU1lURXk5ADyngAJE/AAKoU3iDfowAZ9JAAwpgAEVPk88eQAQt&#10;VokDCVZAAlrgAG9fADJsQAJdlAAHtERfFrAC5twAJlxAACukRc13sNjgg0vgAD1/hrMwQAfmFmMz&#10;iDtxQAYONrddoQKq+TymVy2Xj7/eNrfA/FufaOX0Wj0ml02n1Gp1Wr1kWf2vA8DekjAkQzL7ozfC&#10;uZW8DHOt4HB4UoavFAAW5GHHGqbHNADW6AAEnTAAu62qe3ZAC47gAB/fABD8WqcnlADK9EFBnrAD&#10;091Lpoh+QAkcFXv3AAj/QAEH9iLXn8ABbQGAAlQMua6oIwp+AAYkHAAd0IgAH0KAAYcLrguQCw2i&#10;J4Q9C0MLiJj6JEhsFgAWUUgABcWOk6jhxg4JfumEghRihxVxyf6TQAe4rx+yUbyFIciSLI0jyRJK&#10;MMyASOG4dqBgeiCRszHaTSohDMyU0SWH6ADimqASZBwAKag01Scl4naep+JCgqG1LcqQpSmBgpyo&#10;JMQ89ABDx4JvDYCgAGNBgAH9DAACFEgAWdGQLA60NiiDOABNKyLM+qGHzTQAPuXoAUmIFQgArIJI&#10;iaNTgAe9VOUiLFSgxpgxcEh+sjLdbNXTCDsykiFvrXaR14gpRxoL1b2NY9kWTZVltXAB2pHUqHsy&#10;fxx2qfZ9WwA0ppFKqTyxXSP2ZcSMTAAQB3OALkAs1VJnZdwAPWBlEUU1NIAAbt8AAAl9gADF/NVE&#10;50YEgh/roAQA0MH4AAjhiGl9h87hE/j/IhAEBQJNt9X5bB9ABh5fAA7J7ULQ4HZMABaZTDMR0BDs&#10;PwuYeVxJYKFRPFJZRXFh/P0EcrXG0dcoFXaH5pYEqsyJ4TaUWdjRyVefIyzJ8itqgEZ/q+sazrWt&#10;64hBta+N+DEhruuy6lyYTGmibNTSqpJ8oFazio6kme+E7KfiSMH3vYAD5vzKB3wO3zcA3CgBs2b0&#10;cJSzrTSS2LcXIACdyeZoLLW3U6gt7LKJaKvQZQAYttLEsXWDHhLN8g7J1bhsyfkACuE/ZFegeodZ&#10;2/cdz3WuQAYaRh4ii7nNVNV934zhTAwjDeP3Ioed0LXojmAAPkEOJhA//owGWwACP73iHvSidcLb&#10;QifMAAEfSAGOAAWv3ZllqIT7EGYxFyqGZtFUWAXWXmSIZkeZXASgOWU052xJQqwJZoQQTMDQChng&#10;gPt/0E4KQVgsrZXaTh7kjUjBdI7ZiXjUVYmZNBOm3MZbiahao4wADLhc3ZiJGRmwzAAKqGxN3qgA&#10;DLDsAC5wBkFYsLGITinGQdIcpNyDknKNBAAOWJxeRktqTOB2KgABoRXUs50ijn3oIBdGQ9VxjDHQ&#10;CdTB6MxKjMjWMyFVpQJhrRnjhHGOUcyBIAEgSMN5FB1x7TWVOOkfyKvJAzIMAAK5DGqScACRKNH+&#10;mpZEAAYUkSCvkNU+lqzbiCBFk0AABsnSIuZZ49d7KAXtgABRKcAA0pVHHOS2lfZtSCN7gkykWj8E&#10;OPyZeiEuUTCEP5Zw/uRsgDSoAEXG0OxwxUzJDeSMLZmRWsiEyGGaQ8IDEpH8l0OZIwbkjCoQQkYt&#10;oEhVCfMKM5AQgAAgUDgkFg0HhEJhULhkNh0PiERiUTikVi0XjEZjUFb0dVT+kBQf8jAMlAIAkb/k&#10;8GlcFlsuk0QlL/g80g02gUmmYAnUElMwAM4gs/hE9hdEgVChk/kD+f7VqAIgcvjdVq1XrEHbVbAD&#10;vr1ZAB4sQACNlhNNACxtQAJVtAAHuERfFzAC5uwAJ15nklADWvwAbGBAAkwgAFuHADjxQAaeNABL&#10;yEVZWTAFoHGXiLtzQAYOdweEe4K0VKsGl02n1EUmMpqkW1s3kd7ALDEu1I2p3G53W73m932/4HB4&#10;UappqkyVijy5T+dXNosEk2vhM7m/Qks7nU/o1J2PWoMIpE568y7tJpex7cy4dXvzWBAW+ACy444W&#10;BbF9v+EEgAF394R6QAABdQG9aDAlA4AHdBSfCLBoAgbCCIl7CYABZCwAApDKKl5DgAHrD4ABTEQA&#10;BPEoAAFFCEn5FYAFnFwACZGIAALGiInhG4AGHHUYRkmKGRWfgAFlIYAAXIx+BHJJ9QLJipr4nySI&#10;u6SDgE2oSgPJqBFTLZbpMI6ByCgR/JMp0ozEijWIJFABKHMyEqC2MgCkLc6FtLM7zxPM9T3Pk+z8&#10;3SUgEblBnokwEz/RDcH7RYAGpR1E0gjCfmZSjKpAq0IAaAA+U4hp90+ABaVEti3LhLCILmfC6rvG&#10;ImAAZ9YAAcVZgAGFbAAEVcoLWZxMYxzICWyTKMszCIM0drOM9KwANEBVI2faDhpTJaBEO/RBTJaN&#10;tW3blu29b6HG/cQgAJcpQg3dAPR8h59XaxLF3BeN5IWqBqgA+ALAA+b6sE9rPv2/oXN8eeCAAX2D&#10;gBRZ+zxA4JQTBaCQaIoAUzCUKP0AAP41T1QGBjwAYIeYAB5kkMQ0ii1FjHlXRoAsbRxHRh5W2SGy&#10;BIUiSMBd/3neNrMIPTgy2VInJMUaTAdniCmnIAnCzpxwaTqOpanqmqyybesEygYyOy9Dru08aB7A&#10;77q7E8rp6sieFABeoDhzt4A3w4UJl6AEAHpmYB704VxG+ABpcAAAZ8GAAOcMiu1j7xSwBjxoACxy&#10;GOH3UNRraJS3rjVC6FtzlmNEAB7dCAAg9IsizIRXlfGmx7IooyZlUsf19WKh9j2SYIASSEZ85y0m&#10;0onKaH3WiU0+FJ6jzcoDoeKlyDpe6LyH+fCUksE3rDnO6mkvNY09/73v/BqZr/GDVygIZaTAs1nd&#10;AF6CH4Uf5wflajud8lHw/w3T2gNfD5dob8+x+BrM7YCboxQ4wADLgUohhrDx3IMQcxUiDdHcpJAA&#10;CCDBCVUoCQI2sn4SYQAAATCMiK7Uli1hQzNlrLx4I5R2q1miP0WJDFkP9nI/XdJhealJ47xHklFh&#10;6Q15jNDWGrJJEYlUSDovBNgSMfMTwEIWBY/Q3IARVRXdgQIGb7m0kpH4U0TbkAsBqfzGWM0Z40LP&#10;PsBR8w5iBsujSnxtajhqOzPoBqPBwkOC8AAcoeQAAkSBc8s44LfVXqxVsDBXCuiKQmAA4oPpYIxA&#10;AcaDFyTlBaAACfJslDZyGj3lBBwXTmEsBDlMAABEqSGjllYAAaEr3WLBdcsNS6+1jGbM67hZazY4&#10;y9USSkeBKQ2ysHKKh0gQYdGoKaLMkwTCUiUTWG2X005qTVIk1gbYKyBikJNIohauQRQxImN2ck1p&#10;zFXXqvc+Edl+H3X8xiApp4Ar+UjA1BUD2IoNYohGCaFHdQXgyQQrw7wAC/oNKQAEpghgAj2AAIVD&#10;5USqTWQ2R0KBawqRqRBG8LWYszeGiqGaRIRqHesCac5uymiNpKHQ3LQgyprOQQKOE0yUjqYUFFpw&#10;WRjUnaiQEIAAIFA4JBYNB4RCYVC4ZDYdD4hEYlE4pFYtF4xGY1DW1HV6ApAQo3I5JJZNE37KQA1J&#10;YABxLwAGplJ4ivJsAHlOQASJ4AAVP5pEG/QwAz6MABhSQAIqZFXxTwAf6lNDvVQAEqxDX3WwAtK8&#10;ACVYQAB7JCX/ZwBQ2+AGhbQAA7gACTc7fcYg6rwAGdewAS79FWVgQA/sJLphEHbiQAwcYABLj59Q&#10;KDk8plctl8xFbO/3eAc8iBJoUVJ8I/k9AzBns9BM2opAAi/mdls9ptdtt9xuY2194JwLv1Bmxrqg&#10;HEA/xwABOVFW7zd1z+h0dm1eoAAt18MONy2O4AGt3wBoRIABd5Zov/QAHh67NaIRqs17oH8IgDft&#10;OJ1BCL+wB9gaiJewCAATQImKZnTBAAGRBYAAvBwABpCLkuWW0KgAIcMLGsq4OKhh9Q+ABaxEAAmR&#10;KADfgKiL1ngABiRcuS6IoZkZgACkbOlHDbn0vZnAUK0fn6yhVyGbyBg4zZ/RzHLVACzYAoGaEfis&#10;G0lSrK0ryxLMtS3LiDvQX4CA5MR8tUAUuzOjaUyClhqOzAwNNymxePweSdp6n4FNytSiqOpIYKWp&#10;qKHjQYAENQyaETRKIq2fauq+sIlQ0A6CtKlaWm5TEIQkoxnrAsUUIicVRAAadSr6v6KMCZTBsKl7&#10;tMQxTGGC8LQgABdbzRXNdV2hx5zUMx52CVsIhpRqHtKSrVDUiDNku19l15aNpWnajcmla4RATbRc&#10;NUEqRzEDlJIqctyAAp58WrdN1IW6hqus7FXO27rvmtWjxvKFyaQqW1zKhXisAkAB3YGgr9iK/r7o&#10;hAJegAEeHAAd+IrSogM4rNz4UrfYACFjjIzyzYAPog8Pn1EMRxKJkTt/FT2GLl1PUjkSDHvmgAHB&#10;m4AANnV12qzZFseEo7MwRuiASDujmWgYVSZniSn60pcivqQl6bquravrGsyVTBuFkgYm61Xk1UtN&#10;t4plODcTlOk7CRj09KJTikKUpgRXHcpJbxRFFIhRlHFpmFxH5wQAGHwuIYkHPEgACPGAAXPHxJE0&#10;OVDUdSmnU+qVSwVK3iiEVgBL7HMhbQE7D03To2zZ2oGQ+gEahDSke1Q4I2ULVDB1Hc913agm93wX&#10;zUSiBh1MqTgh44AAn5SKpzOp1+f3nouhdt3gtNzcO4bDvPA8TyPMk+NXPaOAYFgj9P4/0AQF5oAZ&#10;AGP3gAEH5ZC1aCYzC2OJFPAAbHyaEMkZMLVyLKVQOePY4UYcA36JPIIxEd4AHnjrLqh16SSjNj3M&#10;2BhAgJk6m3FPB8K6HBNmqP/BUgY4k1BOCxCsaMJoXQvhhDFKo4YaAzZIMdJiTj5kHSZAwgxmx/kD&#10;iCQKIZBR/mqiBAuIr7T5ECiQaxkBB2QRPIVEszDY12gJVcAFs6cSbvsJ421/ZuE9txT8oBupFGbj&#10;gAAJeNzehEqLK4V5v7KImRBjpAsAAUY+AAcEPyO4AGNBNkJIF/xC1RDiVIqYvzmSJqqAA6QAAKZK&#10;ERHZJcfywR5j4ZlDKTyVT4Q6IlD49o/xDNAAWQMO5I0kEDCWa8XEn5ZSzTQk4bctwUkDF8aoCcoS&#10;zw+mAQRpkQoovtiQyBFA/zjgfAIRRkg/5EsliIQuK0P5aSeXoAg64FgBOdNu9l7a9Xur4X0hZ8S/&#10;yssDHcawI07QAgMngQ18TGj4BHns24hj91+P5nwQ+ACIoBR2gKQ9z8CIFEEkSP9Rg95rkVl9Ech8&#10;pCDi1aAFRKwAUhirFoZsJMw2mmbH4ZsM7Ugrmnoa7sgIgAAgUDgkFg0HhEJhULhkNh0PiERiUTik&#10;Vi0XjEZjUVbUdZYCkA0jcjkklk0LfspADUlgAHEvAAamUniK8mwAeU5ABIngABU/mkQb9DADPowA&#10;GFJAAipkVcdPACUqU0RNViL7rAAWlbAA9rwAYlhAAIsgAIFnsdlgj4tgAXNvABNuQAAN1ul2hjiv&#10;QAad9ABLwEVZWDAEgAQAGmJhL/xgAbGPAAEyWFkFBy2XzGZzWbzkRCOfAAS0Ukxj/fcDKGGW2d1m&#10;t12v2Gx2UYobfCD83BquoBOUDCezgwj4UVlL9ADg5HA5XL5mWavPAAW6UumGxx7YADW7QAEndAAu&#10;8E0W3jAFsfHNiWiCQAd3tgpF+AABvzhLk+wAZf5AGl6g4AALwAiL+LeXIACDA6fKAgh/QYyjDoIf&#10;UIgAWsKAAJkLgAAsNIieEOgAYcQAAJURgAb0TLuAMUPRFblNwfgKhRGJ2RYgxUxsRTdjo3Z/NKf6&#10;Bx8g7dsWxrNRSgx6OeaoKkDJh+RpJ8oSjKUpypKsrIia8shpDQCmXK8vom4qVpal7/JkDTZJsXic&#10;J0ngkQSBTZNqoqjqSGClqaih0z2ABHT8qirIg/hYUI/bGgzRD+xUhDzLcuC5CbRaByEhC9HEvi/M&#10;AJbBMIggbU+gsXAAaFSAACFT0lMFVVXViR1OCDQtHSiLtK4yBCUwxdVbXdeV7XyCO0awMskAhZsM&#10;F6BgJKamBFVKIm7aFf2laaCyS6LpzK2Truy7buhI77wpO8bV0bVb1PY9yCPgIr5PogjBmUAD7HJW&#10;L1nze4ABPfQABBfqIwYfwAXGAAhYLOCCzEAeFILCJ9QnCsLiZDMNognJ5AAYGMgA4QRrSBFqZAgj&#10;SmuEuShVKcbFSQbdj23cjV9HuAGELGaCBkOb5xnOdZ3L6Om0dDDAvnkozElhqUVM80pviydp6n84&#10;tjOajGepClWYiuGgBOaKGlroAHnsCCjFsaG1EZGzgAdW1AAFm2u471BMarZaLiubDABhOF0qva+m&#10;mv7AopeCC0+GzyrbaBu49ofF8Y11XgACfIpJgB/3ufI76eRfG83zmhmNz4E1eKEuEY3c0V3foQAB&#10;hQBorOeAc72LX2s6QLUU6zIWDt9vvAFzxPJctVXO9p3Pe+ID+QAHBbUdQABT54ARiFAAF96uNuGD&#10;vs9XvSF9hgeCiFg6EP5IWswoWoACd9VnIZDp4AAcv4/F2UrtKfzdgzb3mxoVH+ki6wNznGADACvA&#10;UIL9IEQJgVAtVo3IHBKNKLEgiQjSsvgmkGCasyGo9IOkAgsHkUQcIgbuEDIkiKTLrCVH8JyBQkIQ&#10;qJJIBkygBaSbFNSbGLpufma9qSdWrJ5NgxkYC6Hio/ClEeCxBCsGnF3E1wx5yCMRAAAaKhEVGoEb&#10;qpFu5EFLKYb8ppTi8SCPSH+OaMw+XWQMjVGsgZ6gCRug0RVHo546D7HtHdgJAh2m7Ekz4SKIwlD5&#10;jZIOQhJIHDcB2aVlpdQfmlANBQxkSYWwYhQXghUIoWwpfJJoxsJD+EIA5KEARZAEIPIlGYcw+x7y&#10;rhBJsAMKpLyfIdLKQqu0sjXAM7UAS2XcHYd0t5cDvlxPALauY0bxGRFnCAAFz4xgANZB/NFyDkiC&#10;C9ms9djoH5tPsIO948j4IdsIJVGl8yFX1BOe260hkhzij9H3FuWpF44wjnmQI0o82SglAqk9lIuj&#10;DLsgUwAbztQToHCCk6eLOCAggAAgUDgkFg0HhEJhULhkNh0PiERiUTikVi0XjEZjUbgTajzfAUhE&#10;Eckklk0lfspADUlgAHEvAAamUniK8mwAeU5ABIngABU/mkQb9DADPowAGFJAAiplBh7AqAAd1Tgp&#10;Sq0FedZAC+rgAANfABCsQAXdlABJtAAA9rr1ghj4uAAXNzABNuwAkICgspfoAAd/griwQAaeFABL&#10;xEVZWLADtxwAEeRv2Ap2Vy2XzGZzWbhgOzwACuhkj/0gAdGnAD21URf2tdMDTb72SiFW1btfAL+z&#10;m73m932/4ECa3DCe4HYE5CHgYo3F64O8CXRAAR6kVdnXADx7XP7nd70mavh0GiG3l4FDb4AaXrAA&#10;k9wAFfxmi4+gAfP378SB/77PbhAEwAsKxrWA6El7A7IMkEEFgAvjJgGhLWt0W0KQEISfKAiB9Q2A&#10;Baw8w7EgNESCwkABuROvCQraAL8xbFyBNI0jcCY9wSFs7hMxyArqAiZzcBZF7uxidqBhYK0jnRIM&#10;lSXJkmydJ8oSijxtCKvJdSjLCFwclhqJcmCZA04CbF4nCdJ4JEMAU86iKMZ6kKUpgROAqBgKkqiC&#10;ChPIAOudgAGJP4AAhQQAB9QoARiABaUUAAlUaADkAJB6GrgfC5LouwmxS5yB0Q3DAsG4ZrAAI1SI&#10;jRFQgBAAExXLNW1dV6nP2B4AApWrRtKc9cgAe9eJpGJ4IGXbcE/Gpb1hY9kWSgTwmqD4C2eNzcCe&#10;3APIGAtlJKBltAAC9uoq7R4z27FsXJctmAAfl00k38S0Qgi/wgk8HWRT13IHBaRhffV1oXA5ewSE&#10;YAXwAES09TyCRLCkbrFC6fzUhkHQdDxa0ZR0CXRdUprUtly47UzSHSEuRAw7hUZMF8rIGCiCNwf6&#10;CRjlyFZigWWohGNN5m3SBAK3B/XtQ+apNGMWIEfcYigK+kl3j2mabp2n6hJkTm4fEY2uiegxg0qI&#10;aygufoTruX62hewoXr+IJVZgCpeHAAzBMSbpyeSdp7h01vTNs3hgpamt/Ok7Hdl4TcGAONAzw4AB&#10;vxVNAA2R90TRdGiUAFn2uvNJriuZcrqu/LoRB14AAwRxMIw3JVYhHHJWlh+M8B2ZyxoaGYPoUZO5&#10;2iHdk7969szjcaIg1tAZblvI5Ep0+Q1LVvzCQ4Hp55TQkeAaepx+o+vp4Amh7YFQIEV4E43Aaa4r&#10;/YbF83Z/L86G7LrX0IP9uvbGgwEfqAIN/xni3Ie+58n8OSAA/HsG8d0053BBVmAEXSPx35wGzkDg&#10;ORyB6S4DwTH+EWDAAQGwbIiv5gDAkGMINa4yESE0KsMTSQ1RDqmJogCWqwbEMYUwDagzB/oLIcAs&#10;VEb4VUPQMIxHCbhq5wUYjaaSFcFAqYlAViOOuHoqhUkDCrA0ibMCBj5ggc2ApfSDAFQkGoLEYRMw&#10;0jJGWM0Z4zpTBGXkbkaDepbJa9R8YGI6HAMWMoAA6o9N0TQpA4BU3AjGkEACHMICRm/GjIkAA45G&#10;EJX0C+D7qTZOQFoxVybF3QGUIOpRSzm1MQkIPJlCDo3SjTj4vwgRjkiDmlZDON0r5YEXdceMCpJE&#10;SmnSSrwe7sTSD1IGekgQsEYi8ZECUYbPZYzJJMlMDhuE0ECCEbgIiMQKRUmUSVTwIZtOoIeg4cE3&#10;5rzhJKucD05ZCQ4OA1MACqAUTtAA4MExNHNH2PwkEF095DEFlwACO5BQiT/ABLMiEHjIsBYGQSUS&#10;JIRsKQtK5mRpUNj6Q6h8IFFY8x7crOJZSMRbzFcmd8U9IQkl5FCXmWpmEJS7IEGmI4oSIUhFODov&#10;Iqi8gbMyjEeqMQ6xHEvRpphAQIAAIFA4JBYNB4RCYVC4ZDYdD4hEYlE4pFYtF4xGY1G4U2481wDI&#10;RRHJJJZNFn7KQA1JZJ5dL5hMY2SJoAATNwBIQDCX5PQAs6AACVQwAB6MAJS/QAA6ZCXxTwAuakAC&#10;bVQAAqxDX/WwA468AGnYQBNCRS6a5bQAHra7MA5lb7hcblc7pdQADLwAAte5zIYzW3+AHPgwA98N&#10;drjgMDAn/Ona/sgxp0exLlWriMxmc1EmNnQSFdAacAZ6wAhDgAJOp3m9ZrYEIdhV6zEMg/gA39xr&#10;t1u95F2rv71fBxw802OMAGtyQAJOYABdz5ctukAKe+N6QewAAj24S5O8AGV4YKRfIAAV57bDV76w&#10;AI/cABB8YTgL7O9qAOktgAQv55vQiCen4ABbwIAAUQO2QBN7BcGIcfikhPCITm9BqCFTC43p0Rid&#10;AIkxpsAGIrREpSLsAAJVxQTKdDKk6klqa8YCgQMZwFCsbRvHEcx1HceR2bMfhu0pip0t0ex0pKVp&#10;aDEltcdMnAA+gPykAB8yqzR6SwAEsHo4ILQSzUnHTKCuIIKEzS+hh9zUABaTaoSiKMA8xsWgadIK&#10;6qoqmqomzQhcAgAc1ArAsShiUAEfmyAAC0XI1G0dR66AbSUupI+kwrUtlILewB5oGeadGWwBhMAb&#10;SdGwjxtnHQp801R7jGwCk4hJKp8hKpgBhkgYhp0DKBgpVtgI2D1h0VRiKHBZCkJVYNmWY37Lr3Lz&#10;hhw4rjuSazlua54XOi6c8MzRYCgA8gigABFzoa7xyPA8SCXI/wFPShj1l69r3viECEvu0oAPu/L9&#10;v6894oY+6vHGAE/2bhSXmC5gSCBRxVYkAzAE8nQrw4hjAHqpI0izj5RriVmRhKpJbNKEmNPogRpT&#10;UfYqi3mJt4Xmma5tm+cZyAFUGGgYdMynU6ILla6aCjEkJYagB2mAINaczReaiAB5aoAAk6umycMy&#10;3BvgAZ+vgAGGxAAEWyorpKM7RLaCH+G+3ACFm4vqhOXTZN1CqKo6CSRW87qgqRcqoq1+IgcXDABV&#10;4AAvxZ9AXxzGr8g+haJnXK8s1STgdzQBApzoCzsjDFHR0Z9rWeqZdAk0TIZ1LGK3zHVoPO3YoS1c&#10;oJ0fjAHugZ4oGezAFc2poMAb9bnCE3kHXnLAALVAPNqD6BhS0oip0E6dAawAIIHcSBQ6jejclMi4&#10;fCi3KJJ8qXfOggN/aAabgTBSJ0Ccx9MN3aT/XG/0tZoW2PjQWtcAy0QBLTWqNg5BymHHOOgScdsD&#10;1+mQKcVAZcFQAOOAWAAGUGyKn3AlB9Yr3SHrqXYMpti5AAl4AYQV1pBV6L2BGfA+RCD7uzK4v8/g&#10;Ql4EJSQNqHw+gDRBMU7Y3sLSKO0dq5EgaJobGNIRE2IkUCCOYJMBCKwD3OgUHks0U0XQNK3GKaVf&#10;MSyti6XOAgKITo1D2NahcVIZTSiUIGAYgY9CkhRCxHlepjHLR9j9H+QEgS6KoH0QMAbQX9EOfSfS&#10;RZXH+Rkf9FMkMkTEJ/WeAZpjTgNNQak1SLZZIdtbNy18Z7YWxtlBERUO8qy5CGlcvIg7dU2i0Teo&#10;ZOJBV9mzIGnhwAAI1BObmRB0Y6FAKBH0A+ZElH1OvkEnWJTN4kINiMQ+FTinFwiL+VwdU2x+pbH9&#10;NF8Ezz5zMaKX6cBFYiEQiopsrbXSBRbLe9eacRJGSTmbPcuAE59AEisBBIpEoHjtH2PCghtp8OWn&#10;OS5a4BICQGMy4la62WUrbM0PaiwABcUZABMgB4AAh0fM1CQ8MJolwoUkA1ZRSm+kIhee6GK+CGn3&#10;IJDhgJ/3fUWH+OGnQ/VwxJnSQihJJ4W1BkVOqaaPBusOZS5aNwTikj9C1VEWqOGJCqhWQIRazw1o&#10;zEDQag9XyFkBgAAgUDgkFg0HhEJhULhkNh0PiERiUTikVi0XjEZjUbiTbjx7AMhQkckklk0OfspA&#10;DUlgAHEvAAamUniK8mwAeU5ABIngABU/mkQb9DADPowAGFJAAipkVO9PoMHQlTAAFq0JfdZAC0rg&#10;AJVfAAHsUJlL9AADtAAfFrAC5twAJtxAACukNdV3ADsvVhsdRv1/wGBwWDwkUBuHAAWxUkf+NADo&#10;yAAe2TwuVy2XzGZzWbzmdwAI0AADejitrfAAcupz2r1mtibV2GJxcvHGabG3ADW3QAEm9AAu4Gay&#10;b2AC44wAB/JABD5macnPADK6UFIvVAGHBoAstntMIXvfAAj8QAEHlhvbkIBAC29gAIXvn1AnLyx+&#10;RtAD135/UafL0/wPKSGB1P3AkCwNA8EQTBUFwZBsHIUxp/gKbsKQGgQIQe1rtpYaiXJgmQNM0mxe&#10;JwnSeCQ+IFM0oZvqKo8AqWpqKKeO7BqmkarAKrCtK4WivLAsQDoTCIAPStS2LcXK4LkugBILIhvS&#10;iAEiSNDMrSvLCSp/FQMy6kh/TAAB1zGAD/HpLM0TTNU1zYyrxBGiqsn2ABxTrNs7wa2BqtkC0PNq&#10;zLbmw3Ldt6EjfuCzLhuK47kge5bmsy55yOi6aCOqIrrsQgkqJCgrvl68LxvKECIn5U1Flw9z4HjV&#10;gAHrV8i07PFZpIspMBPXA01pXdeV7X1f2BYM1G5YgzoGTFhJpDaWtomKZszEcSvpE8UxWoijGepC&#10;lKYESnKgwRD3CgsmoLOStq6r4lL5ISESJIh9Xgtq3riJq5rq7ZtXyqqryrZN/X+vwGYFPlYvUjEw&#10;H8AB04WyTKYBh+IYjiSJzeisoSlieMo3PWCWbQDcN0azeN84AXOEyjjVTRtHiG5zoOkZTqOs7CCu&#10;2+9PPBitR1LU+UgAFegO0lV+41YR9HHpAHiDpbT6Lp2n6hqOpamv6PG2dL0z7qiyJVDk/WdENoJu&#10;+adp7LdrRbbFtBhGNuxnb7A3CQ4AYQAACbvcseXRIC+oXut4H1eUlXpukwmvw9q63xWIATxoAS6D&#10;OCozuuFnThricXzPNc21YP89u28IpChu85xWOMVPuPMxQNB5FQtD5NROUUY5TmZbSOX0qgdL0y7K&#10;IU+AAU+FsCI7qaXj970taLKNtcBOSnlej6S/ICCAACBQOCQWDQeEQmFQuGQ2HQ+IRGJROKRWLReM&#10;RmNRuNNqPDgAyFjSGQxyTSeUQJ+ysANSXAAcTEABqaSmIrycAB5TsAEifAAFUGbRBv0UAM+kAAYU&#10;sACKnRU71GhwdD1UASSryWCPuuABaV8AEqxAAD2WGv60AB9WsALm3AAhXEAOG6AAE3ep3m9Xu+X2&#10;/X+M0EFAAMYWsgGMv/FAB1Y0APTIYDJZPKZXLZfMZnNZuCh3PAADaGKuLSACuPvOanVauFtXXAAL&#10;bGYTLLNjbABrbkACTeAAXb/LvbhABccUAA/kAAh8vLuTnABldGCkXqAAG9eE2h/AABd0AL3wAAR+&#10;MACDzQ13ekAOb2Xa8az4fGUYp/ureCQMyTt/L+f3/P/AEAwFAcCQLAyIm5BJlIGGsDsqlZ+pal6Y&#10;hwmaassnBeJ0nifCQoChMsopvqOpKlhgpqnooqI7r8qpDu47ztRgATTK6r5aLCsaygOiJ+R8rywB&#10;TIQAAJIsHSPJEkpQwQAAvJ0ZsSxZ0ymAB6ytJUsSzLUty4zgJy+AAITEip2TKAB4zRLs1P81xqtg&#10;2UKMu2xsNw3T7t84DLOEeziOM5AHuU5jLOccjoOkgjqCK6zsIRCAAAHSDvvC8YRvK86EUIAE90fS&#10;M108qb6H+kgtPuVFP1PVFU1VVdWVbT5s1gFNIAGa1XIxRyXGo2cKpoDTLwzDZ5J6n8mRCoykGepS&#10;mKcESoKkvsXShGTuxo08gRwsQlLIsyGRkbdv04AbD1tclyr4BF0QtXysIw+gAHXeAAHnedzXre17&#10;3wlAF32wjDIondhXgdd84Ii02zeC1dzk27c1rO7fhc4LhuKXDjuS5Yhua57owXRDquuBrsrSrBfZ&#10;K8TyPMEAARkcGW5XkatYLfDtHME2bA3mWc51neeZ7nzMwSbhrvoEyBn+giSVCgukoJd2k6ckOj6M&#10;xb/R8fk6msA0KADXtfpzgFhw9YrKxFElkxNFFmxVZ6+WjagAagxFrRvHNtR2hLTn/Np9gZvupZ/w&#10;F776BgBNiCwCWoxCL1DKZ0n0yB6cDyXJ8pAt0AQAAOc1HiJnxzx+0Jq/K51hoC8MAU4trhk7N7iG&#10;JT5imLUBjGNULjmm0SAOQIbRxgd9k9Kg94R/1gbJ9gL5G/9Gi92IlxSFPp5+l5j6DFJIxD6BEEvt&#10;nH5fve+ySAiAACBQOCQWDQeEQmFQuGQ2HQ+IRGJROKRWLReMRmNRuOQZmR8Cg+RPEAyUEx2USmLP&#10;2WABqS8ADiZAANTWVRFeTkAPKeAAkT8AAqhTeIN+jABn0kADCmAARU+KnepUSDoerAABVmCyx+gB&#10;/V8ALSxAAlWUAAe0QV6WsANi3AAI3GqXO6XW7Xe8XmO2gDgAN38ASUAxl/4UAOvEAB54u9Y3HY/I&#10;ZHJZPKZXLRWsgIACDOYGSxGuABwaPL6XTaeFtXVAALa2YzPI25sABrbUACTcAAXbvJPbfABccEAS&#10;IHgAh8fJOTlABlc2CkXoAAG9OG6FgdcAB3tAB790AAzwajxePILjcCQk+T1ev2e33e/4fH5fP6XV&#10;ufc3YV/pDBYP6qI0KXmo14cJomzIpyXidp6n4kKCobIqMb6kKUpgYKcqCKF9DaMm9DzuO8ggVxGA&#10;AgRMrCtII0Kvn8sKxrKJSzrSdkaAAdUbxkvr/x3HkeqIoQFAADEhs8/yLv0AB0yUAB6ybH0nyhKM&#10;pSm/4QytFDNIhFgAQlKkvPY1RqtY1yZQK2K3tqazbty3YXN637glw4aROM5DIuUcjmOcgkGwfIKI&#10;GLQIAAhQgAARQ8v0Syh7nxRoOBZSB3UVSdKUrS1L0xTNNIYbVOnOzIMU2hcAphMsDA0yUEwWeSfK&#10;BIDJS6pJnqWpqnhEyTrmAAB3V4gopV+hskH3YYAFrYwACTZIAHRZgANDUVoWivS+L8wDBIzLbEHW&#10;AC1npaVv3BcNxMe7QOgAA10IqcN1gAfl3XHeCITDMYLQIyTZNo2zzt03jIt8ezgOE4k6iG5LluaZ&#10;Tnui6YGoTJBpYg77w3jiiFv0PYS4yQ2K45juPY/kGQstDxvA+rhvv7cNSQHUya1RBCdJ5Vk+1fCK&#10;j1lWkL1tXDsV5SSCV+KSI2GfcXFoAAVaSAAB6ZIuRafb4E6kAAM6rpyMSRbTFMZqGu69r8pSHUIF&#10;7Iis8AAfO07Bcd5tbetTTO2c0zWEl+Tdf04YFOjj4LO+Dz2gboCK6TqIJdx+ABeeyAXq+12g/RyY&#10;yEtzcdyvLMkgIIAAIFA4JBYNB4RCYVC4ZDYdD4hEYlE4pFYtF4xGY1G45Em3H1AAZEX47JZNDn7K&#10;QA1JYABxLwAGplJ4ivJsAHlOQASJ4AAVP5pEG/QwAz6MABhSQAIqZQYewKgAHdU4KUqtEX/WQAza&#10;4AAhXwBIgDTrJZbNZ7RabVHQPbZjMwFcYzWX+AHTdwA9b1a75fb9f8BgcFg8JhbSFMQAAfi4q6sc&#10;AHnkcNk8plYO1cwAAtm5dMMA2NAAGtowAJNMABdqcC9tYAFxr8VjCHs8C5NsAGVuYKRd4AAbvwA+&#10;eEAGnxa9YLFluVy8BdH8++gKRV021zOt1+x2e12+53e93/BhmJ4waGPM5IGDvDG5S/ZXLZeOLeGs&#10;DNl5OJ1PCRPqBgKGb6iqOpIYKWprAKgYCpKogirCkhp7wgAD/gAtoDvXC8MQys8KvmAC4gEjrHHU&#10;yDJQ1E0TxRFMVRWgoFxcADzAwip6Rouy8RZHDKswarNM4+LAtAbDRNI0wSNQ1TANYezXNgxYHgA2&#10;Yhtq27cmU3benxLIAHNLgAAZL8czCyy6FMEszC3MU0zVNc2TbN03zgi6Pm2LyxFDOKBPa95qM6+S&#10;ZPowD7PweSdp6n4FMDCajGepClKYETAwRBR3Kqq6EHZTFJgAAdOTxT1PrSBFRAADNSw8uSOLudIA&#10;RoelQVfWFY1kysPgAENboq6B9gAcVe1nX6HR3HoLT7IDQtGazStO1IXNW1rXlw2MnyjKb0SqgoO2&#10;yAAHW4AACW/YFwoifUsnwBoWXQfVxXXdl23dd94O1OZrrEFE3z0lk+R/P76punNCP0/lEP8olF0b&#10;AlH0iqKp0pBirroABy4kAEIHvU8QXjjNXgNjgAA3j+Lo6deR0HjWTIgf2UyHZIC5bk7t44A1bVxj&#10;QR5sis9HBnWX1lIOQg/oDA1aAB0aLbdus3YjAT1CdOAHmYQsCfWp15XzkhRrGQ55dcPifR5Za3sO&#10;xMsgIIAAIFA4JBYNB4RCYVC4ZDYdD4hEYlE4pFYtF4xGY1G45GmrHw+BpE2wDJQLHZRKYE/ZYAGp&#10;LwAOJkAA1NZVEV5OQA8p4ACRPwACqFN4g36MAGfSQAMKYABFT6JD2BUwA7qtBSfWQA3a4AAHX6jY&#10;bFY7JZbNZ7ECLVNJtJQDHXTcQA9LpaLtd7xeZU+74AG1fwA/MFesJhbwDsQABDi8NjYlixCAAFk4&#10;rXG7jsxmc1m85nc9n9BoZS/tIzhNpxnotVq9Zrddr9hsdls9pZ2zt0tXwGadrEJY/ZdMBvwwAGeN&#10;hF/yQA8eZPqBagRhHL0wAy+sABf2cVjL0xO8AHZ4YLpxMAAT5976fV65SBfcAA78QBboy//t4PFP&#10;Hl7P5/YWfMAAAbEBv9AqVMQBztsjAyiPiDoAJEAyKqMb4ANIf0GQzDUNw5DsPKI35+hME8SG9D8T&#10;xRFMVRXFkWxQ5JfgJBx3oGBkMvsf4AHVHbJMoyYBMIwR+IK3T5pKwjfgBHEjLfIq9SFJT7gfKbzP&#10;RF0rywqIDy2tgNR7ICOHXMSdp7LMzLvMR1gAc02TPDYYzgpClQRBU3IaC88AABk9oqdE/AAetAzt&#10;QdCULQ07E4ElFDLQ9G0dR9IUjSTVG3SoZLcZtJ01TdOU6ioCVA+D5R+jsdnUAB51TT1VoIb1XVRV&#10;VWNaI1aABLYDgAWldAABtezrSU9xtPALorVJ5x1HlZWVZdmWbCzSHi8gIWdalqrQgICAACBQOCQW&#10;DQeEQmFQuGQ2HQ+IRGJROKRWLReMRmNRuOR2EtuQMeBjeBv+GAGUP+VSaTymCSuPTGZTOaTWbTec&#10;TmdTueT2fRoDUEAhyiAMBUeOuulPx402f0+oVGpRJ/VUAN2sAN71sA1OvV+aSyBAiyAEgWcAAq1A&#10;B+W0ALO4AAG3N/CC7P6wXmGgS+AC7CACRR8YN/OTDXi9YnFYvGY3HY/IZGW12GSvKRmUSgmCTOLf&#10;JZ/QaHRaPSaXTafUamntbWBOggZ0QPA6rabXbbfcbnGAXeACiBwAUcBR108UAPTkbrlbq2vwANjo&#10;AB+9Pl9WKBTsAAedvg0iCc233G5g0ACHzdaZ8Ly+eKeBw+/0fH5fP6fX7QxgZwSEH7/3/P/AEAwF&#10;AcCG1AwxOETsCQXBkGwc5a+MCDsJu64aOHZDAAKaeMHw6mh5RAABvxHDzlhNE4ABVFUKoS8C4Fmu&#10;S5vWEMSoav4AAHHKIpgb0exrH8gSDITTpWeYSyOB0hyVJcmSbJ0nscbkpF8gb+ShK8sSzALeAK3y&#10;iRYjjinS47ky1JxzzQAB1TXMzSCjN4AJghiqrxF8YvI80aSeD0+ABLkdpUAD3nC6TqTbQ9EUTDqV&#10;n6lYeROExkUVSdKKigKAACBQOCQWDQeEQmFQuGQ2HQ+IRGJROKRWLReMRmNRuOR2It2QA9/yNyQM&#10;GR6USmVSuWQV/S+EgKZRWXv6CgGcACcAGGyN/gCfQWZAKaTCCTudTmWxiazGZ0GgxykUiIU2jzmq&#10;UutVuIgSvAAO2EAUOM0F22cAPG1Vy2W23W+t0Fw3O02u4Xe8XmDAe+AAe38ALzBAApYWIvzEABZ4&#10;sAA3HAAQ5G9ZONBjLAAF5mKubOAB75/KaHRaPSaXTafUanVWWRp4S68x6vZbPabXbbfcbndbveb2&#10;UtvgFWdqrfcW9CTkQUB8sANnnRXkCSCirqABZdeGnPtABY92kzzgNuIsXyAAv+eCiv1dzvRBwe8A&#10;Fb5QVQ/UACn8RnowUcf0AFJAAAF/AYADLAyOijBIAEXBiGnnB4ABjCSCssDAAGJDDjNCrwCLAsSy&#10;I4dcRAAeUSw1E8UIYxB+AAbUXAAfcYxTGaPAzGwABtHIAHxHgAFzH7CMMiEVsUxjHAayDJRotgIy&#10;aAAJSgip1SmAEHnnJcsSzLUty5LqOJ8d0AFICpAzKm0vTRNM1TXNk2zdN7ZxcbRkKGG84TQSs8gA&#10;R8+ISTc/gAINBIi/aEFNQ8cR0hDtDm9hYu+ADwoiLtKAAY9LoTSSsoUb1OgAI1QIKWFRgAFlTP05&#10;KCP6HD/wDAZfwLA6OQSKMFwahgr1yABm14hJgV+AAOWFO6KOWAYAA/ZNIIwoMRHXKsIWJaS3H1ao&#10;AGvbFpzSEVuAAGFvoKetxR9IDCikw7EsWWbGseyIQ20igGXkAAL3qiq1HiAB2X3eF+39f+ATSnx/&#10;J8DATYPZ+A4VheGYbh2H4gg9sGuBtjHGoYH4i3AdY4AEpnUhNvhgABWZLQlUoOCGVUtTAC5cgtGU&#10;dSFJIYz57gAFucoaMmeAAPGfobTpvU/UKCVGWFS1OjFCoHVdWlIoCRgAqyFqCGmrgAemtABYwAF1&#10;r9kWUhEiVMFgASIhAubUABAbbh+urCDuuOYjl9nYut841vSDnfvoAHFwG9t9HIbWDYaEXEetyFzI&#10;NzyHdMjXbJXBQ5sIPoqfPMgAcnOcFz3P9B0KCJ8n6BEG14Sj/0XV9ZFKAoAAIFA4JBYNB4RCYVC4&#10;ZDYdD4hEYlE4pFYtF4xGY1G45HY63JAS4GtI9JZNJ5RGGzKwAS5dBThMQAkJpBWhNwADJ1DRJPYa&#10;a6AADjQ4Kc6MAFjSQAAaYAG3T4apakAD/VYKUawAFfWwAD68AGbYYa3rIACNZ4KsLUABZbYzPRJB&#10;RxcwApLtFRfeQA9b5BUzfwAQ8FDVlhQAcsRBSfi6RSqYAadUJTk8pBAFlwAH80AMuAo66tAAHno8&#10;rpdNp9RqYM5tYAHXr9Vsdls4eRdtOZ3j4TfHqAFzvwAUuFEX5xQAs+QAAbywAIedtOhJhH04q/es&#10;AHB2ej2+53e93/B4fF4/JG3HcA/A3/5fZ7fd7/h8fl8/p9ft9/fK2ytwH/SQ/EAJKmI4AAWkDAAC&#10;0EgAY0GAAuCCjNCIADtCieJ8ggbwyABkw4gpmQ+AAIREACjDmxpYqWpqnm3Cy4oIJsYAAMsZgAJ0&#10;bIKVUcgAGUeISshvLMtCCLUWC2LcjEHoIuYcLqu6GH/KEJwqrZXoKMErgAPktIbKD1rOIwAG/MQA&#10;QyG4AE5NAABbNaClPNwABrOMAo6zrMs3OqOHbPQAHhPs5z/QCFn9QYAJAbgAHvRNA0WycbCczjMI&#10;gfFJgAXFLOC4aIOKfjjuS5YGua59GNk6YRorLoAR+2NNgATtXIa3QE1kAAL1qAAbVxEMRoQYtegA&#10;algIiA1hgADVjSMFgAA3ZaEnjZwAFRaKOgLagADFa6ClZbQAT0drlOYLNwxSyCENYc1OlnCEJN0h&#10;lBn9VtX3cAFZASAAvXuiN5E3faEgjfwACtgKG32TYAXkggFYSAAu4Yip3YeABV4kguGC6AGEgUAB&#10;342AEclUjthgMAAw5IgpW5OAB2ZUrqvixlyGnHmIAFtmiCjJm4AP6AaIr+TKC3pe18VGyZ8tAdQI&#10;h1pJ76Hpmm6dp+oajqWp6o78PmYAsRAgdSBghqtGSSgcKDsAEIjMAGXCwAGroLQ0WoKZe4zJDV5B&#10;FuwAF1vMSKOpMUN1FaEmxwQACZwqbJwBfEzhOU+ngAAachaFpIRVUvrSta22TJELoHJcmlIhsDJJ&#10;AaChn0wATcU9IM8hjrH6AAT9iguJFWAAY9uAAXd0AB7d7edZmn4OvoNOrNPTPCNtedYAHl5vh+e7&#10;l5Gv6YAVZ6GqhV7IAGt7kaxuAnwIi3jfOA4QpOI4zkXTT9QhD66PeMAHwAIipu/s2J9fyAHshUjM&#10;6quE6AAHsAyCiDgMAAUMCSOhcgYAAQEDyCjhgkYEwZHCdAMAATcaBBUYBNAA9Ma5BRgQjAAByExC&#10;RlQpAAFqFhBXALsIWOiGQAAeQ1hRCoCUOSGryBND0hrbiEDliEAAH8RSEoJAsgtBpFG3BIicQVDg&#10;yQAATiomFMZtgikdK8A8sBYiCBQjAr9YJBBaxldg7IhAxI1AASuGAgrghsPyfCQx8ZeQXkJhGMCE&#10;sJ33pPSgGUEsgROR9kJIWQ0h5ESJkVIsgb9huhFXcLgx7rJGHgjKLUAAb5NNtJAQU0Y83bO4IImi&#10;QYQJTEJbCQJuIy4xDUZGyUgglZZN4b031cZkUWEIjaACNQxAAL+AiACFIypbiFmMAAT8ySCjamY6&#10;sgrlUhEDSIsgt7nCBOeLs6AhEjgABHm8QUBE4QAPBGnLciAdJ0AAmmQSIBA48gAZuGQgow56AAAz&#10;PdqidQPT7Zyf0jKqFugAWcPGStBSLO9HtLigzQwc0NVoraaajo5P0Ig+M34uQAFYCiRWab7DnPuo&#10;WQ5ZYGwAThAQRVmI4wAP5H0aelj+3tEEkCCUADdgRUrf0OenQAI4EFN09wawAFqAFABAYQcCIFM6&#10;AAESpgAFUKok/BknCkx8EFF/VcAAHatAAgkOGCgQyCw1B4ABxICyI0mAAI2tUHEYwgITMwbUziCT&#10;DhXC0gkLymkMC3XtDaHSENpAAISwUO1CQ9BMQ2oAAGQkFFHY0AAgbIRHQUgwYxFYmxPIJFGKcVUx&#10;DfABFggqZVdNeIgxgAAi7UEFjAFCVpBU61wITL2NiWCCU9fmQ0lxIj9EJl2loPlBRkFwBzSG4lxb&#10;jEOICIAAIFA4JBYNB4RCYVC4ZDYdD4hEYlE4pFYtF4xGY1G45HY9C25IVhAyfH5NJ5RKYGNZYAHf&#10;LwAAZkACXNYK/5wAFrO4KK58AFjQYSJKJBWXRwAEaVNJs2acAALUQASqpQKFMgCAG3W4K9a8ABjY&#10;QA/rIAA9ZwALrVBX5bQAuLhBTNcwAdrtBW9eQARr5BVhfwALMFGaIJIKOMQAFJi4K8McAB7kQA98&#10;pBWjlwAC81FcLBQdnwAPtFBX1pQAutRBSpqwAiNdKthEKwABBtQAAtxHXZuwA8d9seBweFw+JAt2&#10;7AA5eVxeZzedDx/0QAE+oAJw/wAr+0ACd3QABPBEa89QAufMACh6dvuYRpX0AGD8QA8/oAM+DgAI&#10;f1z/5JvuAAKwCirHHgAB2wO4T3AAFUGIKOsHgAM8JIS+JggAMcMIKTsNgA6IfgAQcQgAUMSPs0Bn&#10;RQhqQm4AAkRcgpHxiAAmxoABwxuAAhx0gpdx6/L9o5GgmgAa8ioSMkkAAPEloKZUnAALUooKrZtp&#10;imaGM6ggky2ABby8gsVoash/AAE0zIKEs0q0rg4zaAA1zggoszmACjmWAE0hLNcqgtPoAGNQCKzD&#10;FwkIKZNDum6pv0WAAi0cgpWUiAAYUojr0igABqU0hIvU6AA/VAgpiVGAAwVMgpsVS77woQftXAAE&#10;9YoKGdaAAZtbzAkL+12gjrnqddgAqHVhnvXljWPZFk2VZdmWbZ1n2haNpWnaiERWfDrgKgZ/qw67&#10;sW6g7sINcSBW9cNquKcl1AAIN2gSkxj3ie4KXpNE03egcnGUe6lAisay1iE98IVbptYMfCCPMXIA&#10;jZhoEI4BGIn+aeKYQgZu4wANCYegZXY8fAW5DciKzzgYABtlB+lLlb3oGGWXgQ+h5qygbFlIfIb5&#10;zMiJl5noBDToADo+f8imufDwAJdCGAHpgAA/p4ENwAWaIs66XJefR3a0fula7ryPxucICN8eNta/&#10;s7iH+A21gCvgjABtYDJunLtFe7jvaQ8Sv4U9D1ak6ycvG07U7/McTAcfjahAfe0WMqICgDp4P44i&#10;R98sfuw5a2MFJ8FeTDl0B9aANOuIOc/TtC0WTEb1h9O6Jx+kD2QC5sAgG9uf8UGdiyFHR3zIMjkx&#10;JeGfMtiSfxweSANHCLyjyvMfARelkaMCZ6wDqcbOpAFf+d3zJ1+KXQ5kgELnzaEgeDG0e7ZoQT33&#10;gGQ/5bkgcqHvkqCEd/R8yF725nYTMCZkweYCD6fkIcAwGoFD+QqPlq0AWTF2DsPoRUFQDJ9AsP4Y&#10;sGx8kUSoAEqgSnnDIhIPc6gEwAF5G8AEI8LXnCrhgPhSgMHqEXCfDcA41odNTJm1Zba8Rjj4XoBQ&#10;AAw4jACDFEl9BAmij3byQhEgoQBiEioAY2Y1YsD3QYCpkz7xPD4MiD2GpsGqEFKxGVXpOIzv/jWd&#10;d7hAmqRlOuEeAIu3Gx3jxHmPUe4+R9j9H+QDX1UjYBQ0gaJA36SBWoH+RgAGVilbg2sAAapKEREj&#10;JdwB2JKBqAA6AORBUskDTsUkpZBBPynAAIWVRCTZpUILDMAA9JZAAduA1C6GSGIHHaAAUcvSCy9F&#10;GAAHMw4Ul6bcX4wBggWGEKKQQxAODFGMVMGAACoxiEFDnNkADoyMhTm8AAy8h0AgVAAFucxDR7Tp&#10;AAJqdhBWbAAmfHc2bkgANMAGR1rQ7mrjvkVP1aLVkwzpHtP6ghDJxzCmJE9cLdDtuvVW0kiDgm+K&#10;XPW9x045wAQkGQABiLDwgUfLeXGWqPwQ0FOECOlBFS2j8Rsjg4KCotoOQghIM5BXLOMSQGQAEGxi&#10;kFb5SgEaIERRRAAAmowAJLiRLYW5AgABOVPmKN6ioAIgKJhQ2FHKOyCApq5RxiJEQu1hbuE4gqQk&#10;iJGfMFwAApq2PdAA9IETgxdAAX0lBKRBJXPtIOh45Jy4QgAeGJIAARLCAAeSOCt70q5EJcNAEgsj&#10;5yznbzDoawAEFTKIKHyzQAIqCEABBhP6gSKKDReQR8dVgAKLG+o1R5BLHGaAWREL9swAPWCYQWii&#10;mhqItRehUyZlaYiyuFNVUk01UKqoUuUnK7QggAXUOQAAQrpTrnbMMHIAFgDrtRaeky2ycCXTzJy7&#10;t47yXlvNee9F6b1T9fUFpqUkL1nPsamcghogfAAi8REGl+wAVNIImEgkoSBSjX6/8ACwwdXYWBGY&#10;mcrqBFpLWQQUWE8DrDIaq5rjnQAUrAAzkG8jmV1RL2X0gjj0rRoIZBJUqp8BTwMSJnGAAAX4zIS3&#10;EjNVVaAzmxNqbhEMWz2AA9mO7ip6tNI5Lq/pj745LI/hyykmcmSBqAABkILapkMas3WsdD29Hkb4&#10;FHMCmVNyuA7mUAF+waVuuELKWjt6SZRI0fqkrfyINWhUgk01MSCGzr0QJwxCAIaBAAMzQhBUQiDR&#10;GiUjgqNGZnv4QSrCOghkdgIHmW4Y6yo1aKACJIYgAQ3JLqAgoldSSkX8lELSUyuZ9tSox5hBRVax&#10;AAy8GR2TtoPDqQUYGuwAAc18QW+YJkeI+CrsXJKBVIisp3BsACMRH6OzSoSzkVLPp+UAMZQSutpW&#10;mURCfVtq9XkcD1uPTkSbcHqt031TFZkMaYIJWwU1ljTXGIJIPLhBCXz8JYDUgrHhXYQBcAAX/AwA&#10;Bl4MQW3wG+FT9OuOFPIIM4cR4lxNY5AQgAAgUDgkFg0HhEJhULhkNh0PiERiUTikVi0XjEZjUbjk&#10;dj0XbchT4Bkhgj8nlEpiTWlgAJ0vgq3mQAEs1iLQnAAKk7gqjnwAHNBAAkokFZdHAARpUJatNABP&#10;qEFkgBAEhbYAMlZADArkFblfipwsQAWllgrXtAAcdrABGt0dPVxABiulDosEHF5ACZvgAF9/lUCO&#10;mDACMw0FaWJAAKxkRS2PACOyUFY+VAAVzGBjtTAAezwAAmhjru0gAd+nzWp1Wr1mtgjz2AAb+zAD&#10;/22u3G53UTH29AAU4ER2z/ACv40umGhAkRevNAC56AAD/TADh6wAFHZ7HaAXdAD88AAWfjAAN8wA&#10;EPp3fr1PTD+g0UQ4ey2nzwL6/AAFX7ivdAQACZALIsmhBBwMABQwS+DliDBoAHXCAAJwaCCiTCwA&#10;EjDIAP8hLrHCAAhxCgpAxIAAMROiKiBI6TqIIJsXgAtBrrmuq4j0AAoRyABqR4xbGkpIEaDEgqrA&#10;AziCDxJIAFZJgAATJ4AGLKSCvwfQAB1LAAH9LYAC7LwAD/MKCy2fwABNM6Cl5NQAD3NoAGTOAADX&#10;OYAExOwAH7PIAFPPgAKaaoAEJQQAAtQoAGNRCKq+bgACRRyCzgZIAAnSj6G+AAi0ygo704AARU/F&#10;KivcgscihHce1KwrDiVVgAG1V4AANWQASASgADNXCCmxXcFoKNlfgAXFhIKZ1ioKe1kAAHtltq24&#10;t2eAESEC9jAzIdx2WwDksB0e9qW9b9wXDcVx3JctzXPdF03Vdd2XOVV3gGGV5GigYV3be6FnVfQA&#10;HxfqCs8DyMnFgaCgRg1CUNgZxIKDeGgAAeIIbhSE4AABy4vPE9YgAYAYaDaK2QewAWwdiCgzk6Cn&#10;PlSOghloAAdmAAYmgmDAQ37gnJnLNQ5Ml/s+ij5rWcaC5aCGX5jdYQaVh+Io4dungAeGpXxqmqpS&#10;dGsAAdOt6trtqQ4twjWDYbeh9m4KOE27jFe5AnSMkm0uIWW5oKHm7YQCyEvAfjxPI8wGvQ9WvXNk&#10;4Mx8BW44tjB88YzUqv0/iCDbyYADByyCuVJ0oQ4hkDEHBEFZgBwAWKZ1muIVHUgAPvWIKG/XgAUv&#10;ZQ668QiGgpd9zwIQo7F4mxitK6SHG2R2wAC8hwgqahKqqQyJ50joHFSUUXMcuTOE00zWaPuAAOfv&#10;7wAF9HVYljFd89A0HQu80QYyE5Uc4AcKrywUcJCCmV/IAAl/lLUwpogiTBWAABhAUjqqUeDURwjo&#10;wwjAANPHaAB14NyCgcgsABnI5FdK8cyQR6ZHEODZhE28qjgyBHDH+nkfoMDsgoGlCaGEMYZQzhpD&#10;WG0N4cQ5h0RZ+ACx6Q/HYVNm0O4iRFiNEdcpnGKwdIufM047zTGoiRFNbx80PAAHjFmKkWyCJPAS&#10;iBESsgDAAfOK4ADZWzuJbWgBAUYiGjyjgAAX0c0tJcCXHcAABY9ENM4LCPx5Tznpd5FwwJSgIv7f&#10;6RRCA6wARwHk44/J+wVEFDrJUAAZ5MEdc86AULR3RulISgEJgAFdjYIKIaVAAArSrILFd2zuHdSC&#10;d6jBGSQgAPEIIIWXQABPy9IakUzjuRdgADTMUgoB5kERcYPkgpfBMxgduz17D2heGdM/NMhAC5tI&#10;SJygmTqghCPhfaAAI85QADdnQ4cABiYXkElBKsK0G5TOZNmpdTIRSCwCgJAYjkCFUQMMOQQRNAwA&#10;CboMQ2UqvRY0Le8+AgkyADzKcbAFJsBQYQxOGHR5YjZCUdo9R+kFIaRUjpJDtGQLTlDPKmxyktLa&#10;XUvaoxWPQBTRmlifTCnBEIVKuVg4+nMNFKATAADuoivSCRljOb44DaD5NqOPHcJYAKIEJaEAAo4y&#10;5EASAAaQdwAApVfIi3tvos5AOAllT8ic2gFomRQRRqQ8IHtQPvJFyJA5Kh1kvJkjkm5vSedIsYhD&#10;PQT2DdPHmPYyLEAAAfYs6rtUREEEPZF+TKCKQTsNTR3zwEZvCluXIhALbQAAHvaMhMwG4N2B4ABr&#10;A6KsgAfyMoiM02egXtolFKc0k0EETVNVpQIC7IrIQ/ZWiQRQXFfTOF9ah1EiiuYAAQVzyCiXukAA&#10;G11W2uKHLZezRBZ6v/nwQQPl4bfkVuqDZWKs5/QKVTA0gp87BgnjqmUhFCXMoWCS80q8FgOAAF/f&#10;2EhDYPkDZqqeBTXThioeWFmtGC8GYNNaQECAACBQOCQWDQeEQmFQuGQ2HQ+IRGJROKRWLReMRmNR&#10;uOR2PR+CNqRHcAyVDyWSyCVSuWS2XS+YTGZTOaS+UAAPTkAASeRl/z8AO+hUGhzWjUekUmDPumAB&#10;r08AT9/0qqVWaB+sAAZ1uGq6vAAfWEABSyRGpABX2kAE22AAC2+o0BuXMANO7ACsB8ACi+ABc38A&#10;FLBRF+YUALPEAAG4sACHHVbIRy3gUAB3LACbxB8ZsAOXPS59aEACrSQU66cAGfVR1B60AKHYAAHb&#10;MAM7bQ1h7kAGHeQUd7/X7Fw8MAEPjSpl8kABHmWu209rgAxdMAHrrQls9kAEvuQlt98AOjxAAe+W&#10;Co70AAneuIp73ABDfGCr/6AAN/cACb9QVef0ABBAAADHAYAGDAyCkZBIAChBgAFBB4AEJCQAAtCo&#10;AGNDAAMKfgABdDwANCfSIkfEjnCagpvxSAAixYlRjxeAAKxlBcGmpG0aCgAEEkYhLxHQAAeSChJs&#10;SIAB2yOADfh2gpASaAAuSgiJOSmABESsgsXmPGMZsihSpHMEkwg4lCpy7M0zzRNM1TXNk2zdN84T&#10;jOU5zog65m4YqBh1Os+T7P0/0ApCcg8ty4I4d1EKId9A0ZRqBnhSAAOGcNHUqloY0w/8AsyhavFc&#10;sCxLICizKAtJXvU9gBVUADkmWzrPhXWIABPWgAHrW6/MAwQpMIwzEFmxTGMcENLKqm9hswlKIQ3S&#10;TiJaph9gAKtpoKL1rMCwaOSmTgAFpbwAAXcIAFLciIjhc4AHBdSCk1doAH7eAADTeaVFFezZNoON&#10;9ABFJv1QJzpOohg84IpyoIJUwAFThYAFRhyClHiNggaiNEHdgIxIKKONgALuPWxXiCEtkYAA1kwA&#10;RsagAD5liClJl4AAZmQAFlmoAPcTwAAlnebvegh06AAGCDyABhaMgoR6ToWCiBpqEs8coADXqaVE&#10;/qzluaOmtABO4AaaIAAXOOCGj9soAGltCClZtYAFjtwAYiUdkgDcdygVu6InpvUnyiggkb+AA0cF&#10;NapHvaAOtIFR22LxnG8dx/IcjyXJ8pyqku+bZ1pRUfLc7z3P8/AAQAAAfSp8oFIHgAGLdB1qWrOc&#10;3YgAdnaddz+Nijd94opmpZVAHyxrKiCz4StkTmB5AAHn5byPM5gIoLEIAFx6mQV7Dlf4mxrH9sln&#10;RdJ0yIH98d03Ws/u/R9P1fWqypH9eB+h+vgUGJ9n7fv/H8/1/f+f6ip2RsgiVUAIaxKADv+TUuoc&#10;CGjDMyAYAADEESGjxgoAAdcFyCphBIRF8Y/gADMhAAAccIwAQDAACKFAAAXwrIaPeFyr2okEPuBs&#10;AACYbERHFDlEBoiCQaIKPKIAAB1RDI6AeIxlTLuuMsB0AABonEdKEot1kCH+wdX4ipvQ9IqJ/ZMB&#10;qHaIoZgAaSCMiqnnfvBc4Q94haiCAIjdGeBxCVbj1VyLl6yy1fGJMWxRZEWyIxLibE8ii/QARWj9&#10;IeREiXHQdEafoEwdJFSRklJMhxAQgAAgUDgkFg0HhEJhULhkNh0PiERiUTikVi0XjEZjUbjkdj0f&#10;iDZkRKAclWsglEplUrgw9lwAc8xAElAYAac3AAGnUJVE9AB8oEzkoAkTZhqMpAATdLAD9p0NA9RA&#10;CGqgAJ9Xgr+rQAE1dgpTsAARNjiI1swAd9pAAZtgAYdvgqvuQAOt1jouvAAV17ll9iwewAAAuDjt&#10;pd4Ad2Jv2LxmNx0crT+ADXygAfmXx+ZzWbhYpzwAFGhADI0gAC2nAAj1UVvauABJ2AABGziLW21E&#10;kQAC+7AA53wAAXBhr14gAXPHABS5URy78ACz6AABvTAAh62c7GLtgZAAK70VcXhAD78nZ83n9Hp9&#10;Xr9nt90Yf/xbQl+gn9/3/H5/X7/n9/z/wBAMBQHAiPm3A5OIGMKBgChAAwfBqBvi+KFn+iEIQnC0&#10;LwfDUCoeHkQAGdERwigQfROf5PRUfqEFPFwAj7GIBuCAR/m1G8WIOQ8dgGTsfRKwTBn+EkiH9CYA&#10;RubQBMjIA2ycf43yjHMTROARzSuAQIy0f5lS6fsIISckxACIEypqgZJzSfrYCTDq9L2AI7TlM6BA&#10;rOzJImzwUgBFRPTxDyFTADdBgGqIDyAikMnhRZ/MSd03UBSMBuIeoBG7S8awpSVNo5DoAhpUAAMA&#10;DyCmPUzTNQ1QRtYvgj1cAAF1ihLIgBLplABK5zIKJ1eAAAlfoie9hAAW9iuS5aIOa57oumBp/OsE&#10;M/0488tAiAIJWxOiInXbh/Hlb9pWncVx3JctzMZCdEIMfExHICgg3gfFz3nel63te98XzfV934ho&#10;/3+AQuYEXcICFfr/pcHqYJkhBZYcAAVYigqelQn6gpo3CjIIcuOAAH+PoKEWRAAWOSgABOUIKe2V&#10;gAKGXAAb2YoKX2aVEwJWZwAA8Z2gpcZ8AEiBIhJLaIABHaOgppaU7rvoIuRXrouyCG5qmDoiDusJ&#10;ynaOUWeAAHbsGrbEj2wHaAF27HemMXgIIAAdt6E1MY9UAs1LVoo1oACLvbpOogllF/wIAHnwjet/&#10;uQAV4J1fWAiFKOM5DlCk5jMOgWe+ga6rr7SkCdAMAGsA6ip8dIAGOHLznU9V1fWI1DLBgKEYQdmb&#10;/W9t2/cdz3Xd953qLQObZwQgD/fMzhOFnOhIMeWABg+coSa4piw+ehjKC5cKAAGp7aC6obiInj8I&#10;AVAGgASOLP0AAQf1gBlZ7AAF/4/NCgyfrnWeIQGX9ABb55AAXgFybzXEIae1EOr3Wqu3NmAgACgw&#10;NkZSO+EeLX2wvFdu2hssFkBQLb03x2BDRmQhAAtVuyq28F8CHCkAAD4WAAWEPcAAvIZAAVoEuGxB&#10;WHCycSr1X4BCIuPOOLkqxWCIFORYLWJAAAGRLAAyIEUGiJqqIqeQfYADwjiihFmLUWz3ITSmDY+g&#10;JRnRcjJGWMxDiAiAACBQOCQWDQeEQmFQuGQ2HQ+IRGJROKRWLReMRmNRuOR2PR+ONCRAuSAtxgGU&#10;BGQSuWS2ND2YABzzMAEibABcTmCn6eAAvT8AKehAA+0UAAOkABs0uCjWnAB31EAC6qABXVeKketA&#10;Bu10ABmwABh2OCkWzABv2mj0mltmEiS4QVRXMADq7QlX3kAHW+QU9X+KlnBAAE4WXYeGBHFAAJY2&#10;MvHIAB2ZPEZXLZfMYdt5sAPbPZnQaHRQ8m6W1gOIsrVAAK60ACPYRWrq4AEHbAACbkAL7eAAD78A&#10;ELhAADcUAP/kAC8q8AE7nbjdRB69MALnrAAodkAALuQl598AL/xAB+eUAA70AAQ+vR+3RCL4ACUA&#10;GI8h/gBvfn3fv+f3/P/AEAwFAaKn9Ax/DoE0FEfAkGwdB8IQjCUJwpCsLQvDEMw1C7Nm2DqBm++b&#10;UQ3EiDJgHqZJovg6uq65pRegpsRkABWRqAA+Rw06lKYggVR8AB9SCAAsSIABCSOiouSUABkSagsO&#10;vklAAGJKgADBK6CmjLQAJKABHS+ABLTEgpuTKhrlr2vqOSaZAAApN8SoSsAMgABU7Iqek8gAdM+T&#10;jP0/oPKDfgOAETvI8zQTyegAGFRratuwoEvc+YAFrSwAAbTIACHTkgSE0B8VC3beoIrQjy4kiImP&#10;VYAAtVzXtiijZgADtagAcdcAACdd0KmLuAEgr7OUvTnCc6ACIi6Z6xaXLsO1X7juSdFpgBVZjgAx&#10;SVHhbdMU09YQ0BBwP3HY6Kq6btw3TdV13Zdr+wOWMFBMKF3Xre173xfN9X3fl+39AMZGwHbcgIYC&#10;B2Rf7/UMmZzzTFgz4gAF5ABA4ABbi4ACvjUbxypDULagoV5EAB85KAAp5QABE5WwLBmXl8ovobWZ&#10;5igq4BIgtDE/nYABRn1Dn4AFTAASuizOvUVoKJWlorI5CPO9N1g3qYAARqyI4qtJv4TrjRShiuli&#10;U9zJnZRlHLsHQAAxtb3ZKfNK0u4oDAAJm6vcyB4gAXu9oLocuoha2e5+B/CIqWHDoLieRBXmqEWF&#10;NFi3K6TqOtZrs3pShp80AEym4AAQdAqaqln0luga9T2a6yoOdY3zgIocXYgAffadV23b9x3KMwOY&#10;15B33XgeD4Xh+J4vjePOOAjJjxNPm+nkI/hcVL7iAzgAW3sAAN3toLuomAAWnwx1kCCBv8wAHb9I&#10;AdYDgAGB96K+lhtxg/vW+IQNH8gAXn+ddQijRhAAfMDcgr72DPsaOcxpJBHOvFA9A8AABYJERPK0&#10;EcMF3oQZIU19AwAGwtjMpAAupd21gYbayZSwtTiHGe83cyLexet9K238h7gVaofgQQwfsOwAC7h8&#10;Z0z5tggtQAcRUWMRzmnPYIslyh1woxPLEWRsgAAaRVVoraHY/QAOkFm6Z1C4INEVMaBJbBiyKDqj&#10;QAA7484wxtjdG9AY61tjwA3FUGg+44R5j1HsxBAQgAAgUDgkFg0HhEJhULhkNh0PiERiUTikVi0X&#10;jEZjUbjkdj0fkEMbUjSgCkxrkMplUrhQ9lwAc8xAB1mgAM83gpEnQAcE9hIDoAAbNDgpgowAYlJg&#10;rNpgAB9PhrcqQAJFVgporAAOlbhLXrwAJthgo6sgAY1nAANtQApjNAEmAUNV9zmc1glSbksvV6EN&#10;9t8miL3wQAc2FveHxGJxWHbeNAD+yAAJWTxcFdmXADCzQAsg6AAY0GVgj50gAWunAAG1QAJmt0UD&#10;eOxAC92kFI+3AAL3URY+9AAa4AAD/DhOxeIAX/J3O7efNAA+6AACnTiL/6wAuavABO7gAAnfiL18&#10;QAXPlAAI9AAfvrABA91ptcEfnzACz+3wBoAvoh1/90QEwA37goo4wAMudj/QTBUFwZBsHQfCEIoE&#10;6x/nvCgPhNDJ1wlDkOw9D8QRDEURxJEsTRPFEUxUjDGm2XQAxgIsVxKlwepgmSaDqmycII5p5gAG&#10;Mgp+oKhmygrxHqAAXyWgsAASABcSiAANyogpxyuAAky0AB8S6AEYACABnTG/CEsgfwABlNQAHpNq&#10;Ei5OAAEBOaIuyusdLuqcZpBMD9L9PqIQLA890JQqFxax7IsmJT/UGzRhM4srQAw/zSHy0zUNUAzW&#10;Nc/sCtoXrbNw3QFt43wL1QAARVWgqYnOABkVjAQNAAG1bOwujoB86TqIhClcO07gnAAoABobX5vW&#10;SABpWYAAIWeAAeWk1LVoRM4AFjbMyv3Q0O00AAO3Cip7XJG9X27dF03Vdd2I/Ch90sGAWXma123t&#10;e98XzfV935ft/X/QxVYEAcghia0wBNgDExrc07x2M6EkZiQAExiqC2KoSiIQVmOAAPGPo6S2RAAI&#10;2SoiOOUPq+6EN6Y4AArmE6rpHKQrxbrvgI4TiIod2egAd+gYVoTRURa9F0azFH0iz1J0q0rTlral&#10;NtaJiIz6WmsAAJetorT7aoI24juXUqIZaAALbRVVWSKABrbcAAV7iAAT7ogpXbu57oumCjquvO2q&#10;alMzImnwgAG7w6CihxVEzQiD7Fnba/aGvc+hByy/riiD5n4ABw89yfQdD0XRobM4yQyExO9J1fWd&#10;b13X9h2PZaHVwFzaehyTACHZophlXYcm+IIQffiaXn+g4xtiGGf5gADL54AHh6SGgz6oAE37AABR&#10;7aKnX7wABz8KE5sik7ZokHyUK9AESnKqKd/ch7d5+aFaLRTKP7RzNs6z7Qv6pZTDUVvuAIgn0kY2&#10;gAAlgU102SoFRNiVIqZlxwwPgASuOMAA5YNPgfE01QBA27iubyrtvbfR/rAMkZR9ZBT1j9MyZtoA&#10;70gJCeYM8AAUocERc2ypyBaj8rcfoRlbhcCIrXG/EeIMSYlRLMUmcRzqA5xMilFOKiDSAoAAIFA4&#10;JBYNB4RCYVC4ZDYdD4hEYlE4pFYtF4xGY1G45HY9H5BGG/Iwg/JM5QDKQVIZZLZdL5hMZlM5pIQb&#10;NwAFp1FXBPQA/aBNaFQ6JRYo26QAH9SwASqdRgA7KkAGFVQAOqwAAxW6g+a8AFrYQABrIACZZ4aC&#10;7UAHvbQA/7gAK8+bHZYg8bwAF7e4KSL8AATgYiysIAHLhwAAsUACJjQADMhDVdkwAPssAApmYjcH&#10;+AFfnwATtEAAJpblX1xqaVTB/rQAB9gAFzswAUttEZM/AAs94AJuDQAIeFUOJRA7x7qBs3cXDzZ/&#10;QeL0el0+p1et1+xFc4/5SAWAJPAQuz4/J5fN5/R6fV6/Z7fd7/h8ZdSG2QYGvIh3e3Cf1nIK/T5Q&#10;DAUBuIzIKAEB8EgGihuwafcCQhCKCvoAaln8ASnCUqCpHYqirKwHStK4oy5rAsSyOUs4mISe0Wse&#10;yL/AHGQAA3GoAOacKIrweK9L4gZ/tEJwAtKAiGnbI8PGEAEZQWI0nAABEooiyZXMqy8DOWzrPle0&#10;LRnpL4AGDMQAO6AAgTOAAHTUAEWnsADUlw2rbog3Ldt635/OEEJ+wk8YLz+AbIAYASKHJQx+Lmzs&#10;+0XRlG0cl7OAChEyoJSL8pSt64O6AJynHTwRCDULdUfUlS1NU9UVTVVV1ZVtFmzWAYSYZ9XVrW1a&#10;g5XLXtjBkG1vX6aPo1Z/Kap6jQ5JKrqyrYMK6r6wlq5KzLQhEvno3ycIISNtgAN9vAATlwgAMdyI&#10;bHcel6goj3WAC1AWhMcAAZt5oKF97AAEV8orLcrB8zDNIg/1+MtfyqyVKIEABdYjyXGaCHxiAAFt&#10;ic5Ck3CTTsWdsOBPVgJkCeQAACGRoqdWTAAeeU49leWZbCTOHUEuZAvl2a5tm+cZznWd55jxsZ+L&#10;smFA7tCZ7o2jpaD+lNI006YxeOkaigdhQtYsNWOqeDWVENmWculoWlFSG46cWygAG20RNaJj7YAA&#10;l7fcy8r3dKCYXdq1v8ae9AAbm+gBewXgAdfBgACvDAAEfEorKkzTRkYIIqWHJILXIOAAGnMMSxaE&#10;H3zuM4ri7dN5jTfuC4epIowIEgADXWoqtp7gAc3Z9R2vbdugcLHHJgW8SEcedx4PheGoaAiAACBQ&#10;OCQWDQeEQmFQuGQ2HQ+IRGJROKRWLReMRmNRuOR2PR+QSGDtqSHYBSdEyKVSuWS2XS+YTGZQsQzU&#10;AScBRF9zsAOKfTOgUGhUOJtujAB/UkAEqmUR2U8AMKpAAdVUABisUR81sALWvAADWEAEyyQ0r2cA&#10;Kq1AA0W0AJe4RV43MAL27QUk3kAAi+VGpu3AAAc4MABnDABj4kABbGAAR4+Kq7JAC8kkAAnMQ1+Z&#10;sAL/PAB56EADjSYXDgHUQ1/6sAK/XAApbGI5t+ABZ7cAA3dACaiGib+g6gAgARcWMuTkACtvngc3&#10;nc/odHpdPqQl5PjsBsWdt6dXvd/weHxePyeXzef0en1ev2eGSNpGcI5cLh+37ff8fbHiOKvL/AAd&#10;cAvzAcCIMoxtqQpSmCUpyoKkYSqKsrAMK0rivFqsCxLIJiGnrDwAAdEIAEpEgADTE65LouxeoKHk&#10;XAAZcYgAfsaAAIUbgABkdIKxJjsWxr9siyYjyIAAFyOhLsHwABfSaAB9ShBJ/AAJ0qgAAksIjDx6&#10;gAXMvNg2SINo2zcN0BreJtArxSCjDVn+ABzziAB7zpNU7TvPE8vBNx3OWErthYd09UHQlC0NQ9EU&#10;TRVF0ZRqJQOUbhC45qdn2ABy0wgoO02AAB08hpx1DGcagjUoAAfVCIyUAB0VagoNVhDIDIidVagA&#10;e1cISDldyvLKENCeYAMAdqE02DtO0+ihwWWgoC2cAAN2igtMHKAFKo6xgLAABVuABNwAHDcKChBc&#10;iIp8cUpVPVNSgigtwnDbzWI5XYOV6AjHMgilWnQAEt0df6gwPdMFqJYAAF3hEIh0q6sqGpMplhiN&#10;ZLGsqGX9aINgAUeNgAJuPIrXB7AAXGSITMwAB9lIAAPliEmRl4AArmV8P4ijJFcAAiZ1EERIIeGf&#10;gAYGhMuzMbiFMhZypK0sXuiF/S8XMwCkiMaH6ABZaw3Ldt7gCg3IEFkAGjNv1qdQAHptGu7Vte2P&#10;GfW0HoFAYbmb+27tu+8bzvW975vu/JVA5eOEIah1CcYACDxKCw2ABIcchoe8jOE5Dpyq2LciGjJ6&#10;n6CCrzwAEP0KIjP0i6ruhBQdSAEXB4hI3deABbdkhJm9rdQHoqEndIKE3e9j2aCCN4QAG94qOk55&#10;AACB5d4zeEvnoLzRNemhoaesAGfngAA2+4AA3++goV/E5SuI4YnzgBr9oWlZVmarv/4IZgWQ/i9Q&#10;JfuAHIh6m6Tob2ozQALsZokJnDmgIQHc2ugZkC3bgAB/A9sJrTXpVCcvYAA3IMAAeeCUAA14PAAB&#10;RCFfqH2oAAChCd/hOSELfcMACBYzGeAOTQb5+pG0JpGSQRxb6AR1mgNFDWIEQW7j5SgPoDYKokLE&#10;iFEuJkTT7EBAgAAgUDgkFg0HhEJhULhkNh0PiERiUTikVi0XjEZjUbjkdj0fkEhib/kgCbknXIBl&#10;REkUKccvABBmUJYc1AAZnEJHs7ADnnwAOlBABookNflHAAopUJBNNADPqAAAlThpnqwAXtZhJTrg&#10;ARNfhInsQAftlhLNtAAB9riokt0FE1xAC2ukFI13ADevQAlQBAASwEVR2DAA7wwAkj/AAlxkJXGP&#10;AFuEkJGmVADwzAANubABvz0FFehAD50gAA+nAAM1UVWWtAAq2AACGzit6b2Ikkt3W73m930YbfBA&#10;D24mp1e/g735VkswU5wAfHR5EHf3V4fFgmqBnTgz67wA7z6gpK8gABHniLH9QAC3tAAj+EVV3zAB&#10;C+15vbg/WLxuhFYAAFALcMUV8CgAJ0EKkqh2QYAAKweABGQkAA5wqAB6wwABcw2AAoQ9AEBII6p/&#10;AAtBmgAl5xoKB0WAAEMXu5GMZIkBsavY9yOMSAB3R4y7MxnIEgyFIciSLI0joSxJ+RGHaxBOZUkS&#10;jKUpypKsrSvLEsy1LcuS7L0vzBMKHuCbZwr6DzfRSmKZoZMi+JUgqdh6nqfqCOihqKhhJz2ABIz9&#10;EABABEaClbQoABfRCqqurJegBGoGgAedJIKk5uILHTGBKhsTLUtiKMkuC5LoWy7Lw20HQg9Rjo7T&#10;DGoQ04DgAatZsoyzMHgzTOM8N7QNE0h8gALNhAAQdioyDdkPM9CIUGb9nTFaFoo5N1BvIJUgwYdg&#10;AGFbgAB1b4AAxcUg1+ABa3OAADXUAAmXbIJ43grCtIII96gABd8PS9b2gs974oo+ZXITb4dXDcaE&#10;R1ApXwPBIB4cACmgS0bSoIQmLAAOGMw1DkPChQDmH6ABfZHSNJh5k4AGLlVHRtF4Q2lmCBVgAFkA&#10;3N6/I4d+dR3HuY59n+gaDI7En+sp+hgpQUGloWmabp2n6hqOpanqmq6tq6HTIa6+hQ3U1JkIKGwq&#10;OYADTs04p4nxzqAoSiDRJLcsMHYAHVuoAC1vFzXReB45pZJg8BRQz3lRtxAwAB0cTSiToKWPHQpC&#10;wU8kABr8qgtOLWB62regi4hMua6oIu4jPw28HgqAFVVY3NMoaO/XgAMvZIKyoaR9XDNjazrPoI/2&#10;J2BYQs2JYyMA54zTNQiGjAA/Rwax58pWo61rWxBtuGFb1wcNcjS3OWt03XdomXfeNGILeoj3vfKI&#10;dUFv3YgpyIVuAHAGD5FYh//LjO2hmEwMggJzIAAAKgIoI6xBGZjtgUxsXKHUPrlfM8sIEE31ALAA&#10;LODDLFIMueglZiJNycl9Iyjp+aPB3QdhRCmFSM0lGJCi54WkK4ZQzhpDWG0N4cQ5h1CoY0PQEr8R&#10;UQICZIGvpsIGEWJAABdxLY+MyJwAEWAOAAnJOja07J4beQgcUWz6n3II+YbsYQABmjIQUbUZ2PkI&#10;Ks4N8z211AGABFscQABJR1AA9QG0eWeQnEtH0AAapAOXLS5lzZk3OqidCQN0bpYBwFjIGYiobJJK&#10;XdYq4gYQ5MOEY+M6Tj+wAO1durl3Su1en/XK+4FoAJMBDIiw4AbZWzwcQCoEiA+5bRxi5DuXRF3p&#10;IkeokBbK21usEYM4dIC5XvPgjg+J8jfXzL0XsviCz7D1vGA4AADs2SGjmm4AAZE3yCn2CEp1zREE&#10;dCwnQwyAJUwCAAldAZEhCBqTzAANme0XZxi/n0gqdsi2ZlHH5BeDKj0XIwl2kAAtCZsTahERxSQ8&#10;26N2oPROijVS+hcPgCMUtFaOUdo9DsgIgAAgUDgkFg0HhEJhULhkNh0PiERiUTikVi0XjEZjUbjk&#10;dj0fkEhkQAY0lBIVlD0hYBggBl0sgb/mT/gjkmz/IM5AUvf7Rnz+GNBAT9ogBHFHf6jpT+HtNATo&#10;qABOVTfxqqz+mcFM1bAa/rwBA9hf7Usj9ggltAEghOtj+Rtvf0IM9zAS+uwCC95f5tvj+Pl/AYbw&#10;T/YGFfooxADoj9ALFxz8HeRtUDZuVfgOzEVtAlycCzb/W2hs0DI2lATf1ACjjb1j8glZE2xzoAZ+&#10;1fg33ADfW7ANNHr/T3Bfo04gDePHAJs5T9N/NmkDFnRAb56kwiwI7D/afbfoj7wDl/Whr08j+qDo&#10;uMj9Xr9nt90a1jbAUzARK+3vhDs/QAYX9AAdQAAAMQG/CDuofIAFrBQAANBoACZCECoM454gAXsL&#10;teI8NACBcOoiY8QQFAgQxIgp/ROADtmmABuxaAAVRgABrRmAAfRsAAKRyiKZn+V8fACtgnAAcEiA&#10;A2ITAArKCAHJgAHPJ4AGHKSCxyCgAMiHYASYAaCsWABZTAAAGTGf0SBC9MJTTNSPrCA4AA1OEtvA&#10;jh5Tqf51Tw0c1z3Pk+z9P9AUCiSXoaxY5BPRBJ0FRdGUbR1H0hSNJUnSlK0tS9MUzTVN0gaVPAi7&#10;AEGuAVSAujBx1QACciCAFCPiABY1iAA51ogpXVuAA111J0oDpXwADRYKEhJYiCjrY4ALmM6CjTZo&#10;AF3aAAATaYAJ8aIAVI1SCWVC0MQGDAAFLcQACHcsGQcWd0gBDQjgBNsUu3IzYoKypmgAB98IrYgS&#10;ILI4ANCWyCtKIwAG9g13LCAAoYWipC4cgqss2gpuYoABT4uAA+40gsLl6AAp5AAB4ZGAC+DaADmj&#10;egoV5YAEDgA7wRgA4gaIiAubgAQWdAAEGe1alyIndoQAHfotOaPpCP1fE64vsJU+P0dj+P9AAdRF&#10;cE95fBRa3OA0HwjPcKW7jyCXYAEOgXD8QgttmYO8AEvGDuWRZIGu7AADm8gBHxXxrG8qx2mW9x8A&#10;Egy1JoW8SABq8YgsbB8ABFckABy8reUkZYFefvFiHBFhz4AAb0QATNpPTIoAnUgADvWWxUiOnr2I&#10;APP0/a9t2/cJCmYys2Tnc9/4Hg+F4fieL43j+R5PlUEVXmgGGXoGygeZInVBx1UnPNgBV6CN9Xhz&#10;9D0dQgAdfygBXw6WBYSCFN9oAD9+COk3+fsVZba57Hq4AbkYMXxil5hYUAAOfFgAAHMBwAFKFGAB&#10;fa9DKr3XyQQfkE3DpcUIQSBpBFEAnQSgsgjA2CsHJQBUACIBjkdYiWhibFSCM0boPB7TogGgATqP&#10;JkpfGUHNZWy1l4WYfAAEHEEiq728gcIqngdQAB5xLeXE1R7S0UNOagfs/owj/oBW+nxrSC0GteQg&#10;ExPjYmOkFbM2htUJ22AWAABmNiz1okEceAACMc1bK4ji4AiBWW+AACXH1hCbgiyBAALyQi0lqCLk&#10;RGuNpBApSNIjBM1y6RZvhhm6WJzp1surda6k2ZGXYj1dmVCS8o5SSlImTM1xAgpmbFlKaV0r5YSx&#10;llLOWktZbS3JAWQagBk2jBJeDgiD1n6vae4QOYSqyGvofUGhxyNxzTPI6CKaQABdTVIKtyMcWRiT&#10;bABI0KQAFPDSISX8PgAAwTngYsUgi9WXHUAAEmeAAGxElGMACNJBYMkDe8J+fjAjSwhG8ACEcJUQ&#10;kchSCWFY3CCjpoYlcyJDWTQ5ZUQRzM7UEQ+CzECIRFExgMAAXlUxFHKjlAAPik0uKUEYig00+6e2&#10;otTis1V/TWZ3Nba61+MDYTjv5bKhps6HiIQmABJyUI6KhuqCFUmP5CVbiub85CPBD49OEj6EupYP&#10;KsEkJKAATlXUcI6hAwCbsjiISQABJKSjpESkUSe+AOFbwAAQrkAAS9dXXLapSRdLYAAPV9ruR2kw&#10;+HKOWrzYWwyjSZmLH6EcxAKGyWHshZGyVkyCEBCAACBQOCQWDQeEQmFQuGQ2HQ+IRGJROKRWLReM&#10;RmNRuOR2PR+QSGRRVtyVngGUDCGOOWAAgy8ASgAgCStuEnGcABZzuEnSfAA0UEAOCiAAiUeCpilU&#10;akQxB08AKGpQVs1UAAOsAAz1sAL2vAAMWEAMSyABI2cAJO1QlnW0AA64AASXOCs27AAH3m5XSCHe&#10;/AAx4EAPTCAAZYeCofFAAq42CkbIABvZMABTLABgZmKgLOAADZ8AP/RAAS6WCtzUQk96sAKnXQk2&#10;7EAG/aQUV7cAPndYzHH/fRULcEABXiRHRP+h0V/cuR83nc/odGOTUAct/AAldnpQh2d0AMLwAAde&#10;OwWLtwbdPkALX2Z7QEz4eeDPH6V2vwQpfkAP3+Q3jgAaMAgAcMCAA4ILAAHcFJilCGldB4AB9CTK&#10;suiD/lfDAACdDarqyUEPrwvS4AcAAhxMAB7xSABcRYAD8ikiJ+RknSeAbGwABDHKKmRHgAC5H6Cr&#10;USYACTIr5SPJCHA/JYAAJJyOvSABySnJMqytK8sSzLUttC0R+vSFAWTEbkuTLM0zzRNM1TXNk2zd&#10;N84TjOU5zpOs7IwmpToGK6ZJmgaWHGlyYJkmiSoaE9EP2/qCJ8OigKE3w/gAUtKAAAtLwBATPgMh&#10;sZH4AAUVCgrsiUABJVOrSuK8XrygwsaynRWIAB5WiEtRMiCLmEi6ruvIHgAI9ggAbtiIirABgAa1&#10;lQ7ZCCMgIzJMojgYWoABWWvLrkNKErTtShDrAAE1xNg2TaDe2zcSijhg3ZCMJws0bJm9O96XqkDq&#10;XBUkrO6djvvC8YdVbK0ovYWr3U4+AmSs+h4vtViCSKJIAATiiEv4foAGVjQAHPjoABdkAABBkcGT&#10;8h5Y5RdwfQoCjjNHDBXw1Dhq5pYdihHnAABbnYAM4AUURUW+hRc/SIU9GhZgBGwGxxHSKDBqFXmI&#10;gtQhQABaaxe0658AAOa9S1MI5KMpnJrWzbPtGzOOep97aHAVbgam07num67tu+8bzvW975vu/b+h&#10;JscEU8nAILCCUBQQg5LQqbIYa/IAAJvJoLRtHjQvddoJMQWAAWHPoqH/RAAcvSybJ/BGxVIz4dgS&#10;yanXK+IGD3aAAX3boLXVeGbENfv+IvgOScCE2OzDNAz5CE2faN52natrlZbLSNMglbobsgACB7SC&#10;tiNrZtqgjbhW3Ldo4c3zgB5AM5c5F5cB9823w5l9Srfl/GE8TyLDV0q4I9qmwAMJYWfVVZBVghHA&#10;AAuBRBWLgAF1A9oA91mAAc4ABnAIyKoPFcyplj7AAMwZ6Z1cANoSAAA3CdxhBH/MGRejFGZO2ktL&#10;aaCEiruiGM0GqAAA8O34JcSWB904BCOttH2AAcUR4exJiU3k449zCD0A0DGKQ8IlxVitFeLEWYtR&#10;bi5F2LzZliDdECdYPhMmfxfSuwwAADI2QTjQSJkYII3EPH1HUADiY3x5Iy/I679Ekv2PA/hgDAn+&#10;m7YKweAJ8UqxqgKQSA8CYFj4kkAAXklXGL6GTJk4ZxYLwZQg8sBUoSIx1H0AAW0p4Qs/QkysCUrV&#10;OozFlLFoiMGjQvRqjdHMNJaqfaqQ0VsvwAAvmFHo5qhGvAckQRyIkdyWn/mJM+aBEzrDnOsC5qq/&#10;ZozZm1NubhECAoAAIFA4JBYNB4RCYVC4ZDYdD4hEYlE4pFYtF4xGY1G45HY9H5BIZFI4E2pMaAFK&#10;UvJJZLZdL5hMZlCBFNQAAZxEXzOwA5J9M6BQaFQ4226MAH9SQASqZRHZTwAwqkAB1VQAGKxRJ2+Q&#10;Ata8AANYQATLJRHjZwAvbVBSbbQA/bgAFxcwADLsAB/eQABb4AGPfwAFsEABHhYqrsQACRiwACsd&#10;DXVkQAxMpBSflwA/81EaS/gAtNAAClo4i/NMAFnqQADdYABDr4i3NlisZDNk3KJud1Dw9vb3fY5c&#10;H6AHFxaRSt3yeVy+ZzZm7c6IhN03lzut1+x2e12+53e93/B4fF4/J5fN5m76SZnVfOACBPP8fl84&#10;F7gBNRFFXh+wA7f8+kAQChyjG247PKYJSnKgqRhKoqysAwrSeK8WqwLEsgmLMtC1F6goMw+ABzxE&#10;AAORKAAaxQm6coIv5jsCwbChGw7EiNGq6rugjNH+AD0m6ABpSAq6snRIgACdI4AAJJSInrJoAFzK&#10;DRNIiDTH41DVNYBrXNgiEegAI8wIa28BTIgQNTOAAEzUjrhOI4zOzLOM5Tmh8dGyEk8BU9zPTpPs&#10;/T/QFA0FQdCULQ1D0QmZs0WHqUgEYL3ADRNJ0mAdLAAEFMoqc1OAAe9P0pUKhwIAB8VMAAb1TCSu&#10;GdVoABPWAAAlWaiApW0rlnFVJBxXiiH3X4AGZYSEhjYtMU0+yEGVZYAAnZzCMMijEFcAAiWsAAHW&#10;yt642EZgAHLcAABdcdjhAABZXRI0kSU+CISaesnyi0YpNK07U1zLMthC2LZsWJCGj1gIADFglRO1&#10;M4NTTNaOTgceHABKuDYliaOx0bYD4wF7eg8e+KY9j+QZDkWR5JkuTZOi5qZUEgEZaZyBy1lGZOux&#10;wFABD4Moqb2dsyzeZ5+hNSHtoegO+KOjwMiJo6WAAH6daEZWkxIg6pbFtQ4AF3gAHeuReC2ex2V+&#10;xXUJ0kyXd0nSgXMpXpKl7Sw1rX32iEx38hK+AKABb73cuiqFCDGsfZKLzgnxyABX5979xc4x0f73&#10;GfPASBnxnK8ty/KoCIAAIFA4JBYNB4RCYVC4ZDYdD4hEYlE4pFYtF4xGY1G45HY9H5BIZFI4k4JM&#10;GX3KWWAZYG5JL5hMZlM5pGwvNwADJ1FW7PZrP6BQaFJG3RYKK6QAH9S6A86cAG1UQANKoAH/V6HV&#10;qwzq4AARXwALrEAH7ZaA97QAGta4KR7cAAXcYix7oAAtdwAI71FVdfQARMAAGBgwAAsMAB/iQADc&#10;ZBau/wAr8kACdlQABMxEXrmwAuc8ACloYi/NIAFnp8XjRDq4jPW6ALcR4SYdoAD3t6zud1HwrvQA&#10;DuBHaW/gA5+MAHxyd3y+Zzedz4Vj0wJOoapYAch0O12+53e93/B4fF4/J5fN5/R6fV65FRW22oGJ&#10;OuAfZ9ft0A9+QABf5EeGABvwC+8BwIiT3KUpglQUrJ2QaABhQgAAdQmAAMQsrJ8wyABaw4AADQ+A&#10;AmRErJ4xKABexQtq3riBa5rrCwMAAEEZoqyRXoKr4ENgt4Bx6hLHsiybKicy7MogzZ6s6z7Qik0b&#10;StOWbUgaADVhCio8SwABWS2gozy8AA6zDAsxokCkzN+4LrozIByzaAEMnzMk5Tm8THn+4YwBPPRR&#10;TpPs/T/QFA0FQdCULQ1D0RQTHgC9xTsMAQr0TSU+xmEAAR6AcnH4ABw07SdPuZA7/wUJUGQdCBhQ&#10;lCkYQxDUOFrD0QREJkSRNFBexU2UWRcY4AJuC4ABFYSGyAZ9jAAkxwAA6gSAAFlnoqWFpMoyzMAI&#10;zTOM8XLQNEiDSU3KEpSo1iKHpcwABhdKCjNdgADtd9QTGCV5gACN7OEph0X0AC0HveN/3/OKBCjZ&#10;hb4Bg+EYThWF4ZhuHYfiEyG5iY3oGSGI4wrK9BGip9Y8ABx5DjORwMo1RwWocGnZB8IwmHUKwuoc&#10;4Q3DsPgNEMRqHEp4xPFKCNiuC5IguleruCy8r2hD/l/pgAZ2gofaiAEzAoiMgRtakiWtbEk21bkm&#10;29J7UMZKcqoyeG0K0yGySLa+SPIB+46nM6OP+dW7gBJG3727bHnmx4RhNwR175wvDcPxCOICgAAg&#10;UDgkFg0HhEJhULhkNh0PiERiUTikVi0XjEZjUbjkdj0fkEhkUjkkCbknLD/lSiAMtAslmExmUzmk&#10;1Ec3irynQAdc9ms/oFBoUkbdFAD+pAAJVLoYAdlPADCqQAHVVAAYrFNfNbAC1rwAA1hABMslNeNn&#10;AC9tUFI9tAALuERY9zAAWuwAm4jgtbfIAX9/AD3wVUqzFwwAH2JAATxgAloBhsqf4AV+VABOzAAA&#10;mbiL1zwAXOhABS0kRfmnACz1QABmtAAi2FN2Wz2kjB+3AAU3UdyQAdO/AGeeu14nF43HjVIfzigY&#10;tE3PeXI6XT6nV63X7HZ7Xb7nd73f8Hh8Xj70nbglgbOgYM8nt90wzYEAAf+kVnrrAE66Pv/n9iKi&#10;m2o6kqWJSmqedioqmqodKurKhr4rqvrCAyxrKoaznitK1oItojreuKILmY4AAvErXtjCBdRUAB9x&#10;aAAiRgAAHRmABXRsxDFAjHQAAHHrIpUyjLMwJzNM4iDhNA0TSCkiLel5J4ABDKTHJa/0rPCuAFwa&#10;DDeSAdsvgBDErzHMiRskXwSTSIrHn9Ms3TfOE4zlOc6TrO07zxPM9I6cM+gjFp9mygYKz3QrrSzL&#10;aKnNRbAsHQ1HtnAEBTbAkDKgqRhMJBisS5B6uK8WqwLEsgmLMtC1F6ti3UREK6LsCwAAVWQAREAA&#10;E1uAAh11UUKIJGxXRwHzct23rHoS3rKley7MvizrPtCXLRtKhh+2qABwWxSFtJ+1r2Arb4AAFcSO&#10;vu/Kd23dDrMkyaBFCEt3jDdN5Xnel63te98XzfV9zwv5fgIDuAmGgYcX5gyKx0CIAAlhiKnFh8WR&#10;dg+JobSTlKUpiMWNMUZgchsDwTTMF0TTy+1BXkK1LC9Tw2gcOw/LVWxHL52gAfWbgADmdAAGeex5&#10;HyEV/YNhgoAFqn7n4B2PIFk2XIlmyPZ7RChqlw3Ggmbn0ABv65Ir5YpsCE1uBNE3EASOndtIAHft&#10;mw7ciTJH4x43TSEhL7fvG871vaQoCIAAIFA4JBYNB4RCYVC4ZDYdD4hEYlE4pFYtF4xGY1G45HY9&#10;H5BIZFI5JFm5J1i/5UTQDLQDJZhMZlM5pEwrNwADp1EZU/wA4KAAH9Q5rRaNR6RJG3S6FRCVT4q8&#10;KkAAjVQBUngAAfW4a7K8AGFYQAOrIAAxZ6SAHzawAtbcAANcQATLpaXjdwAvb1BSjfQA/cBDZ6AG&#10;PhQBXnYABXiwAJscAJdDVdkwAPssAApmQBg4JkYJg1foQATtIAAJp4i9dUAFzrQAUNgAAFswA9Ns&#10;AHLudNqLTvd9v+BDQPwwAGuNstpHKwAHbzeDz+h0ZrPX9pwIQxD2WB0u53e93/B4fF4/J5fN5/R6&#10;fV6/Z7fdIqW20jAzRAwJB5dLc/Kn9B58/CWp6/8AADAaCs4gaXQM98GIeDcHgIBEJAEiChn8f5vw&#10;yfcGw5DqKm1EACJ6ASniUiItRQABTxWgrIwsrqvrCYSxrKs4MLStZ8rat64gMua6qSu54ryvaBn+&#10;I8kACBcloS1R6gAYEorUtgcSqsy0IoWEtMqy7MgpA6VMg/T9p80JXtG0rrNS1bWlyAAnzgAB0zmf&#10;8nH22cKQ9PU9oxCQEAEDNAgJPCOnnQx+HVRL+z5Rjvp6l6Fsinp0sAfofBRTBv0bTdOU7T1P1BUN&#10;RVHUlS1NU7zGpVQVOGA5oJcAtUVkmoP1q3b7ohSqfqDWdeue+Kmv7ErBTDJYFgAe9koS3JyuK46E&#10;MQsCxLIHUrxupMcx2Wq4LkugmLsvC9F6gskCOAFjILRJ1AAYl2zEl4GXiAARXoADshC5E8oeyZXS&#10;4HzMM0gldAHgkwTK0TSCdW81yfNoAB7iAASFd9fYq9M1A7jN8oywcnTlOeLZCkELGjZgaCDlB+ZF&#10;leWZbl2X5hmOZZnmmaodEBtAOlxjpcGObZte+NohZJ7gAc2j5/pKJWBF9hoY2x6AABupoSyLLX/K&#10;Lt2hGNpxrLCkWyt1tx7H9vyDcMioGJe1gAAu3ABYBq7kAAJbqAAebwABl72AALb8AAQcCAGCAGiN&#10;+X9gEvoQwdJTDM00YVQiIH3ygAGdy++7/pXNqNt1Yg50GhI3omjaRzmQp6fqej2xwTET0/Ydj2XZ&#10;ukgIgAAgUDgkFg0HhEJhULhkNh0PiERiUTikVi0XjEZjUbjkdj0fkEhkUjkklACqlADF8rT4Dlxd&#10;k0xmUzmkkAU3AAgnQAAM9iL1oAAdFDmtFo1HpEybdLAD+pwAJVRhr7qgAA1XhrIrQAG9dhLssAAY&#10;VjAA6swADFppIAfNtAC1uFWrBMulreN3AC9vUFI99ADQwAAdODAAnwwAFWJnk+Y+NAAWyAAEOTxY&#10;BysNV2ZAA+zgACmfhL90QAlwDAD/1AAV+rAF0JlyA0NemzADh2wABG5te73m9327m4CAAf4gA4Md&#10;fHJADl5m/53P6EH1D/eb86w1FPZbPR7nd73f8Hh8Xj8nl83n9Hp9Xr9nt93rbXxKk9AKj+gI9/59&#10;AE/nD4qKHfAIAHdAj9QNA6LKWbamqeqIlIiY0IgAIUKIKqh9gA0R+obAh3AAYEQLKs60gwtcLgAW&#10;cUtg1q6qSeUXgAXkZIKq7YusfgAB7HQAAnHqEsaY7HsiEciQy0bSswzTOB8zzQIQ6aEtWV4ACXKo&#10;AAPLCCygdcuAAeEvtIl0ETHMjvSQDs0TC0yOH1NoAHHOEyzkpKnH8ZyBh0E09HzOc+z9P9AUDQVB&#10;0JQtDUPRFE0Ug5sUaEL+AIZSBgpRdKoi3L8A3TSKuYcoAOSfFLVE38FAAe1TgAB9VIqe9WoSBNYI&#10;bOoAHnWoAAVXAAALXa11gBKhKIglVAetdZ1qeaCyQIllgABdnIbIEhAsAEiBHBh/OMnCGMyVzNs6&#10;z9KIZWb6NU1gm3PXVeIIbl2NO1Lj1HeNLXI4gPzUjs2n0AByX5dx/3lQjpn84I+2qQ2AYRhOFYXh&#10;mG4dh+IYjiToumAN2G4X76B/idDAhj0eR8ihvZHf2OZMiVS1Oe2TvKJ+XXuiFoshadqoLDWYIPbl&#10;vSZcFZKfckpAAJ2h2y4Rq6PW9c5ZpcEA9p10gKjsbtq2+mPS6Z8zqIzDBOYWra/sGw7E9SAggAAg&#10;UDgkFg0HhEJhULhkNh0PiERiUTikVi0XjEZjUbjkdj0fkEhkUjkkljLblBzgaIAMtAkmmExmUzhg&#10;amwABM5irdnk0n0/oFBn0obYAloBAA9pVCADspwAZlRABAqgABFXpj9rQAXddq1YqhApjxsgAY9n&#10;gpHtQABdtiNnY4AC1zAAju0FrT9AADvkJV1/AA+wQACmFiL/xAAV+LABLxwAcmRpmTymVy2XmIez&#10;QAAudjr80AAcejAD+02Y1GpiuIf7T1g8E2xeWq2m12233G53W73m932/4HB4XD4nF43Hkjg5Qq0D&#10;8aUDAfI6VMzQezmeiGsADe7nT73fi9E0unJXlplOdgAYXrAA69wADHxpj5+gAWv3AAG/QAJn9say&#10;l7AK0rWnIEgAAUEIauC5LouwRoK7SCKOgq/lcwLBsKCiIuaABZQ8AAUxC/L9vBEsTROhQOxVEYDM&#10;+0JwxhFEZIWVgSRsKsZxzHUdx5HsfR/IEgyFIciSLIyKl/JIERUDpqNYEKDqQgajykgTWH+g8sIN&#10;LSJKPLgAQjKaWy/I6HhBM4CL4Acqoafc3H+cU4n5Ms6MwbU7gG1gBPKJTzqe9ZhPa974gw+b6vuW&#10;sWP4/yhLIeIAQCXqCH+tQjgDAsDwShkFrmCy6ruhC8gAMVSAAe9TgAK1VAAIdWgACNYIaetZgAPF&#10;bAA2ITH7Ph/TrX1fpCDlhAEA9iuijdRMicjmn5MlgJA1k2IeALWCvXJW2fbNtW3blu29b9wXDcVx&#10;uGP9zAELV0jjNRGXI4sHIq+h8sgyV3XsiLxNNXs+T89NAUEHT4PkoV5Ps/D9Ra/omP/R9IwGI4AA&#10;ViSCwmhFOQbUCDlpjYACbjyCjrkIADtkjCMMhDtERlQAD1lqCmpmCvgRe+aTKmwNJwnSOQ40ZxvH&#10;Xuao/fRuIGGdctnoOk6VpemROgKAACBQOCQWDQeEQmFQuGQ2HQ+IRGJROKRWLReMRmNRuOR2PR+Q&#10;SGRSOSSWTQdvykMPyWMEAy8TSeZTOaR4RzeKvCdAB2z2az+gUGhT9t0UAP6kAAlUuhgB2U8AMKpA&#10;AdVUABisU181sALWvAADWEAEyyU142cAL21QUj20AAu4AB+3MAAO7Qlj3kABa+ACbiOEu7BAAJ4W&#10;CjLEABc4sABTHQWWPwANbKAAkZcAOfNQUt50AIHQU3RaPSaXTacABrVAAE62O3N+gBybMAZHUbeS&#10;Uh/PiXgE6CXgJXccPicXjcfkcnlcvmc3nc/odHpdPqdXrdcAP/tAFtd05ALwInegPseWJ2EDAAO+&#10;uKuj3AB6/HzfP6RSituj0mlkqm092Kiqaqh0q6sqGrZ8q6r70LGsqhrOeK0rWgi2iOt64t0ADwAE&#10;vC9L4Cy/JwhB9RGAADxMhJ1xSxrHnpFoAHDGAAGnGYACzGyGmzHK6ru+sex9H6JQ8AAGyI166HNJ&#10;AARGfUgNI7R/mjJ4ihNKh1ybK8sSzLUty5LsvS/MEwzFMcyOSaMzg4uAFmQgYNzK54HzjFYKIqcU&#10;7AAfc8zfPbUPu/J/KUpihv9ABhKoqysAwrSuK8WqwLEsgmLMtC1F6ti3TUgsngA3qCryY69r6v6E&#10;xgcIABBVCEnVVdOJeAEUytBYy1mABf1shozVyAA7V5PlfV+mgK2EAAHWKjtNnHZM8T1YCKH22BAh&#10;PaRC2batrWvbFs21bduW7b1v3AgTum0Qzejs8dwprYQK2JYyKHBeC5LpdN6IfP0MP2/qoKlQ0BQJ&#10;RUDUZBVIQaoUHwjS0J0wuKCNhHbyIJT9Qw/UaERmaYABdjSEmVjoATiB+HoKM+SYQhow5QAA95Xe&#10;uW2wwoJgACGZo7DD3HQAB751bsnmme2fiUF+hHJl2i6No+kWagKAACBQOCQWDQeEQmFQuGQ2HQ+I&#10;RGJROKRWLReMRmNRuOR2PR+QSGRSOSSWTR9kykJhKWNiBhMAzEAyeaTWaBmcAAFTuIv6fABv0GbU&#10;OiUWjUeDNulACfP4AEqoUgAOyqABhVcADqtAAMV2pPmwABa2MAAazAAmWmpPG2ABe2+Cke5AAF3W&#10;Cv+8QWZABj30ACPAAALYOEoLDAA/4mEtzGQ13Y8ADbJQ03ZUAZU3VLNZvOZ3PZ+GhPRAAH6UAXuO&#10;OTVACwPnQaB/PzZHsUbVEa/cbndbveb3fb/gcHhcPicXjcfkcnlcvmcVVc8BjHpI2Bm6ZTPm8oPd&#10;sAAXvRF++EAODydnzeePUpt0yf1AlVKqOyrVitDquV6ka2xWSzAa0LUpC2Hity4IIuQjrouyEKaA&#10;ABQcvi/MGCy/sChBZQuAAnw0vSYgA9SGrwf7/iYABsxMhJdxSAAQxY9EXRfGChghGYAJYCTTw6jh&#10;0x2AB6R9GKHRCcLWiIFkjG5IEkyVJcmSbJ0nyhKMpSnKkqytK6aGjLQOATLpqQcAQHywpAQTKAAB&#10;zQiJ9TWABxzdMc4N5D8GPc+CqquYSsq2roMK+sKxlqsqzrTEkArat5eriua6gWhLwn7M80r6Y7BM&#10;IwARoSe1NQTRqCNqFAAFpUSIsMQQAFFVCCgpVYAGRV041hWLftLMTRAnHDsIvEKpqqeVfSTEJ/Jk&#10;P4SWKQlZWRZNlWXZlm2dZ9oWjaVpuNEIAvUViZPegT/IM69cgBEMRIEf6ZXHcNdoRcyCV3daB3Sg&#10;d3N5MAAA/ewDTBcCGHrfh+nRf5+Wo8w94IAJU4OAw64UfQz4bc6CtlgMDgLT5/Eri9II2bWNgLEI&#10;BTqpD4vnPL6vvPr8z+/lBwAo8BQJRN3wOANGIjSdKwnS6Cvif74n2FOf26u5F6GfYoaNcscoOaml&#10;gDowoaCgr1Hy1GBarqyGAdrIB1WCgCaojTHncfR37Jh7QWshi9xCbV+HqJwYbgb+r7num67tu6Jo&#10;CIAAIFA4JBYNB4RCYVC4ZDYdD4hEYlE4pFYtF4xGY1G45HY9H5BIZFI5JJZNJ4g3ZUHn9LVyAZgK&#10;JRM5pDQJNwAHp0AJgAYi8KAAHbQ5rRaNR42JKVBRNTQAtqhCXHUwAQatBWHWQAGa5GW3XwBLX8AC&#10;VZaRAnZaQAwrYAB1bwAGLlZwA+bsAFreQABr4ACZf7o8cEAF7hYKR8QAAXi4a/ccAGVkQAFsoABH&#10;lwBX23BQFnQBShJDUxowARNNCXRqQAPNZCUVrwAUtldNptdtt9xuY7iwWAAvv55MIy/+IAKA8AA7&#10;uVuobxH++YGX1J01WgetY+Z2e12+53e93/B4fF4/J5fN5/R6fV6/Z7fdJ218S3PUrPQf77OCP0AA&#10;3/YqdcAAAeUBvxAqTNeRQAE1BaCjRBwADpCKCucAAqwsABoQyhJSw4AAbw+irNLClqyLMs60nYta&#10;2reHS4rms67OgvJar2vq/iYwLBsKXrDsS3iGrEABkyGAAJyM4KfJ7JAAQAdYACnKAAHNKaElxKzP&#10;qWhBoy3J8ooQGEwAAVkxwNMszTO7QFTVFwMSWjjBHiAEUOY5x/OcWYSzyKaen7NE/T/QFA0FQdCU&#10;LQ1D0RRNFUXRlGwxDLeAWRqBjKnoBUciAGU03zgIoclPrqu9MUCelSgAGtUAAfdVoSTlXAACFYgA&#10;W9aAATtbobCwqgAQ9exCsEgrKJS6TmthhLcuC5TbGC7xnGoDL8wCzzgwjDIJG9nua4pm25JdYggh&#10;I2XEAErFwgow3QAAE3WAA4XcADO0uhBUXoAA+XuhIZ30ABU37Ud/4A979AQrau3i4binnhUmQCs7&#10;nHEsQnhPiZoYDi2L4xjONY3jmO49j+QZDkSHmzkoNp6Y6eg4nqfYvIwJ1hWSKJUbuRvaVWcAAPWd&#10;pmFefAAWGgzch8RWDEykWLFdkxepEYrwvS+WhbFpx1ayBsQI7FMYhEKKGdoAHPsIATUBWbbNs9GA&#10;LtQAA7tuho0e+4ylKiSOcfiBj9PISkPtG+79v/AcCpCAgIAAIFA4JBYNB4RCYVC4ZDYdD4hEYlE4&#10;pFYtF4xGY1G45HY9H5BIZFI5JJZNJ5RBG5KzO/5cjgDMQVKZpGQ5NwAB51FW7PZrP6BQYuzKIACx&#10;R4SLqUACNTQA7KgABtUwAt6sAFnWYa064AATX4i27EAH9ZQASrRQoFUHYAGFbwAOrkAAxdbUAHze&#10;QAtb4AANfwATMFd3jhQAvcRBSPiwAC8dBbK/gBPW7ZLMBMxd81m85nc9n9BoYRmAIAA7pwAAtVHX&#10;rrQA6NhHcitgLtS2Idw8NFu95vd9v+BweFw+JxeNx+RyeVy+Zzedz+hxV/0wIG+sudUAiF0YuH+8&#10;ANJEZc/wA3vN3PRJGp6wAUPdCUn8QASfpCSn9wA0f1W67XwSsKxsis60rUti3LguQdLouy1LyfK9&#10;r6v4DMCwa1MKeLDsSgjFiOxrHoIohmAACESAAmIAvTFMVRXFjfuyAAQRjEyYo7BwAHJHDxJceJ+x&#10;6GIUSAb8WyHIkiyNI8kSTJUlyZJsnSfKEoyki5tSqHETlZE4NyS3AQtS1aIH3MQAHFMspyQfk0gA&#10;Ns2AAXc3oKRE5AAKk6oSIs8AAb89oLF5HT/CgmIqsRtssyS0CUu8DLeYS4rmuoMLvGy+FqvzAMFQ&#10;ULMMxBesUxkXq4aYAAnUkz1NU9UOPE4AO8D4AAHWCOnxWYAHLWyEHyyJGhNXg91TX9gWDYVh2JYt&#10;jWPZFk2VZaTj/ZwBC5aI8IGQKBgGiETvIgbxt6ElvAEih73Ef9bHLbVmOaSt1ACSF2xQgbSH+a95&#10;3OgoaXuAML3eAB/1ha5sYBeqKUIALxgDRFFKjRlHQVSFJL1SlLQnTDCU3DSBH++gkgCbOOn+BmQY&#10;FdGR5JdDsgCD2UvAzF9oyfWXzJMpqQcH4WZsd2S5znWd55nrdoCAgAAgUDgkFg0HhEJhULhkNh0P&#10;iERiUTikVi0XjEZjUbjkdj0fkEhkUjkklk0nlEgbMrS4ClxgAMxBEpk4jm0Vds5ADwnk0n0/oEfK&#10;dDADRo0JbVJAEuAQAfVPAAuqQAflVhJ6rAAMVbirbrwAfdhAAzslBgYFtAAYlrAAstwABdxs0CA1&#10;1ADDvAAAd7AA0v1zAAEwQAYuFAD/xAAFWLAFoAuAyGRyWTymVy2XuYezWNtMcxD/b8DF9MeeY02n&#10;1Gp1Wr1mt12v2Gx2Wz2m12233G53W73kkbG/ClMSUxAJW4gD14I5QADfNirl6AAfHT3vVlAx7AAe&#10;fbhJf7wAOfhAAH8gA7AxAD29VLlwAf3vgrL+QACP1iPvf3W/Ucpn7/z/wBAMAOIAAOQMAC6gMjrP&#10;nA4gRuI/MBQlCcKQrC0LwxDMNQ3DkOw9D8QRCjBpRICLlAQXziBc4imtMCUXvo+yKG/Gj3PhEUJG&#10;7HQACPHqIh5IAAAZIYAFxIyCyMXAACjJgAHvJ4AGRKQAApKscSvLEsy1Lb/s0DzOMezzEHk4gPuI&#10;eEuTTNU1zZNs3TfOE4zlOc6TqhZrzwHTHFQgYOssDNAAABVBoqb1DMOxM7Nkqp+AAQ1HgA+RlgAF&#10;NKgAC1MAAGVNgAH9PAANlQgAXtSLat5SVQtS2FBVgAFFV7AsHRVZ1pWtbQkz59KYR4Q16IziPQjb&#10;PnYgYVqYdVb2TZVl2ZZqFoCAgAAgUDgkFg0HhEJhULhkNh0PiERiUTikVi0XjEZjUbjkdj0fkEhk&#10;Ujkklk0nlEpibalg/AMvW0vAIKlUGDs3AAGnURfs9ADgoE1oVDolFo1HpFJpVLplNp1PqFRqVTir&#10;/q1Xf7FctbINdIL8gj+sTgmQfjlXfsDCwCtjuqlvuFxuVzul1u13vF5vV7vl9v1/wGBwWDwkplja&#10;OEyQEyB8oEOPAFsAU8n1AcGFzGZzWbzmdz2f0Ghh9ifzM0hdFGpbEQ0i8mRDs9We8DG2Sami3G53&#10;W73m932/4HB4XD4nF41wW3JA4j5iByR1gb/gkyrAA6lX60v6UC7cCEXfA0yAMQfHlfzj9D64/r9n&#10;t93v+HxhkyhPihFX+0L8cCANXyb+PygTynwFYWQMayMP8q5hJkHbYn+tKBBUyRtPlC0LwxDMNQ3D&#10;kOw9D8QRCzBmRIAoHxOSCZC+gYFooyQABBGLsv2h55RsAB1xzEUdx5HsfR/ICQuqgRtskOjmBGWa&#10;UNIWCBidAKMquKbJFdIMrSvLEsuKgICAACBQOCQWDQeEQmFQuGQ2HQ+IRGJROKRWLReMRmNRuOR2&#10;PR+QSGRSOSSWTSeUSmVQVoS0FgiYGYCTNBwMFwwDzkABueAAAz+Iu2hAB4UWV0ekUmlUumU2nU+o&#10;VGpVOqVWrVeov+tOIBV0qCKwMyfgF/0etP+yVpS2MsxyzuCugIQ1i6XW7Xe8Xm9Xu+X2/X/AYHBY&#10;PCYXDYfEYnFN3GIB/Y852MGQQGZUABfMRV05sAPTPYrQaGLNjSQXK5MOamGubWAB5a+CijZQWivA&#10;AOjcQ2xgAC70AA/gAAJ8OKvvjABuckAMDmAB2c8ACHpAAfdUAB3sT6gQxs90AWeIgPxAAFeUABb0&#10;bzfRhte0AY9/bHZxTutnv1qI70CgAI/0AAlACMn5AbkOUyjLNSDjRQXBkGocfqzmqfsJi62QUGku&#10;z4FCgYurGAKILObSxhSsb4wdE8URTFUVxZFsXRfGEYxlGcaRrGyrrOAZtx2Ly4kYCEgAk4YJoi8B&#10;xyOADjH3G8mKuEknoKIkpAATEqoaOksAAWEtoK5JuIKU0wgAP0yIyIEzgATk1IaYM2gANU4AAfM5&#10;oi7AOgAVc8gACk+ISFM/yS46MATQgAFRQ4ABXRSIs2dIAB3SCEmvSb1P2iAWUwAB8U2jMpCJKkrI&#10;oYtRgAL9TILQgEgAaNWAAuMm1hWKNmc+AyBNW5nsE+BErGOyGLOb6xhMsZ+VlY1j2RZNlWXZlm2d&#10;Z9oWjaTRQmfpfLiIMQPwb9uPustp3AisnhJKMpyqTEryzLZYS7AyBzCU0xzKggF3qgrwU2fD3seg&#10;oz38AA64Cgpq4IAAn4OgrdgrhYABjhwAGJiIAHriiCvEAYAGZjQAAbjqCz+FNAyXel7II8DwHvlK&#10;Ex2bbtQ+hhG5iABL5ohIjZuABLZ0iNMBZTVOP0ACYARb2iyUAB9aSgpBaYAAtaeiIX6lieKoQ5hg&#10;ABBNw620Kzn8s5oJyA4iA/sp3wW+BDoGO8PLOdKxg8sZ9a5um67tu+8I2gKAACBQOCQWDQeEQmFQ&#10;uGQ2HQ+IRGJROKRWLReMRmNRuOR2PR+QSGRSOSSWTSeUSmVSF/S1wAGYB+IP+aABvTeVzmdTueT2&#10;ECSgQUiUMAJijQ06UkALCmQVuU+CqapAA/VUAAOsABs1uEvyvAAWWEAV5+AAFWcANK1QUZ20APG4&#10;AAE3MALu7AAMXmEs2+AAsX8ATR/gAc4UAKPEQUU4sAPvHU6oQxdZMAGrLQVa5kACfOQ0VZ8APrRA&#10;AOaUAOTUAAD6sANPXAABbGG2EWAB8bcAG3dAA372E4IAD3hAB0cUAW0ZgBU8uGvXnAAX9GC2cFAB&#10;7dcABftABi92fd/weHxeOOYJ/YJaYI45wTt7yTqWv43wM+TAAiH7PT3/v+f3/P/AEAwFAcCQLA0D&#10;wRBMFQXBkGwdB8IQjCUDPidr7AkmaaH8m5vMEf77ACASCQ8gbBoFD6YRMwLgPtEkWxG4ESprF6DR&#10;VCcbpMEsdOqgYhR8fhMyCfSGDlIoDFnJACIIbcmHsghSygAZASmA6sAGf5sSye6GC9LoDGPMACNW&#10;A5/mpMx7scfYAM+FUeIEQs4HyK05n6iAuzuAxkT1JSByYbcnIHNgEzSAMSz9LaHx0Es3AAV1HHuF&#10;tIxsgh20qAAcUxRhg02ewf09RhKVCfAj1IfyGNoBJ81UAI11afQ4VgsqFiLWgEHBW4BCfXR9kZXs&#10;1IW3Q2gMXFiAJYwCH+xBRnwLNmgSghrWiewC2pHFrWunT7RXD6H0KhR4uceoRhhch62wjTBRBSdz&#10;3Zdt3XfeF43led6Xre173xfN9X3ficsEATBH0+wBog+JvKebhgysKiBgbfuHv+oASKEoijEwpClK&#10;YWDIG4qKpqqPyrqyrZsoSdmT0vTCCgZlgAGhl4AFBmQAEJmuOIrMxqAAKGeIKaOfgABehAAxYUsa&#10;x6CF9pSCviAB4aeAFWjWAB06rm6GMKHIAHXrgAAlr4AGVsQAKGIgAVucAABHtYAFztzZrE258OC4&#10;YfbtbejzUX+9gAZm/ABagCgBvZfrwvSEH7xIABjxjrOwpI6AAMfJ6IxiCC5zAASmQGIc7fTBHA+J&#10;HvYSXPdN0/UdT1XV9Z1vXdf2HY9l2faJIwXBIFIaJsEYbYgEHxteCA74iFKxMPsD3a+UhuJYps2L&#10;YxyONaugapFMqirII7QL7xNOnahGKBk78YAU8H4ADv9IAFb9nqIlpoTfigtHFcAAXfvyuje8jmZF&#10;AAAPIAEJVUPkAAK4DEFFRAkAANIGAAgSKgAAfIJPuISbQ2xuCMLBN4b4hiYBjgATuF0gsHgAAVhM&#10;AANMKS6l3Ooy5mDvnlwxO+YIW8Aw3G0Y7DKHUO4eQ9h9D88BAYAAIFA4JBYNB4RCYVC4ZDYdD4hE&#10;YlE4pFYtF4xGY1G45HY9H5BIZFI5JJZNJ5RKZVHX/LRBA2/FJa/zwApsiYY3J0FpmloGSwDQQRK6&#10;JRaNR42JKVBSFTQAmqhDTlUwAsqtBZ03IKpq4AD9X4qBbEADbZQAarRBUBawApLdWJ1FXbcwAN7t&#10;BVxeQBShIABTfwA+8FBQ7hQA7sQAHri4KaMcADnkQBQQDDUhlwAlM0AJsAgA0tAAARo4LfIKSdQA&#10;Enq4SLNcAHxsQAJdoABPtwBMwA994AHRvwA1+FuZbdbupeRCSdywA1ucAA10QAwupBWZ1wAWO1BV&#10;Z3QAMPBSPF4/J5ZPM3/A3TA0ltBKh/N8fl8/p9ft9/x+f1+/5/f8/8AQDAUBwJAsDQPBEEwVBb6n&#10;9BwtsoUiZJaGbOmcihtQyA6ZikAcPEWgYNwZEcGNMggcxQABRxWhozxcABexiuCtIIrhTK8sDOgA&#10;V0eILDwBgABchAADcigBH6EuoYQADFJqCmPKAAArKaIk9KwAENLKCm3LjJqCvzAMEfcZuI9IxzO6&#10;bqoIQk2Oy7aEN0Gs5AAeE6x9DyEn7PSEqy1rXtifCyLMN9CIaVFDgAPlFS3LrKNKpaESQhE9H6go&#10;PUuABfU1ElOU6liWn6yheJmPT3QvT1UVTVVV1ZVtXVfWFY1lWdaVrW1b1xXNdIjBx/FiygnIoyjK&#10;pGbFjAozpVM6HiBgLXdnonEyBtGoZqWshsUByAB125MiCFPcAAD7ccjzwbNzpDaSBBbdkdx7R1Jz&#10;2uwbzpO0dQybSCr+FLAsGgk+oJSgABnggAHpg6CmLhQAAvhqCnJiAACBiaQkdiwAOXYKCNcFjYNk&#10;so2gBQg3oacWTAApohIKY2WAAC2XyxLUrE8kNjGwAACZzaGdqQ9CZnkmZJNuE4/oG9OeaRpOlaXp&#10;mm6dp+oajqWp6pqurPlXpvMoENhXglRf7ABAObGOTKC6ma+oEAdhoI9CD6OgTKbchG5ba4u6KDuE&#10;y6ui47b8AZX8CzyBjjwp9scNDOJsABacaAHCjjZyBh5yh/k/y5+W/cAAq+PwCR+f+bcyj43dKAhb&#10;9RYiBCN1h+EL15/gh2QAZMcVBDaATnGtICBkP3x+ip4J/IIFXigJMXVH/Lht9Gg1rGoAIo+kAiCd&#10;kCB/GX7NKoGKvugEaHwd4gXnzGhbdB79ACTqeAAr4f3UFv7aBY4Ah8/sAIw/yfoy/54aBj8gAb44&#10;BUw5ADYgORwZAnlvlXWuwAigAApyBq5ZzBEGOOSIEFODQ/BEQdb03xWzXiHEzWGPQmYtyBioPcLK&#10;EELYXQvhhDGGStCAgIAAIFA4JBYNB4RCYVC4ZDYdD4hEYlE4pFYtF4xGY1G45HY9H5BIZFI5JJZN&#10;J5RKZVHX/LXhAwfEJa/3oApsDZXDZmAm9PTe/qAfADQwlOaNR6RHn3SwAKadHWjUQAC6pBVPVwAf&#10;a0AAHXQA2bBIZmABxZQA7bRGRzawAorcAKGAYLThSAKW+4K3L1DTdfQAtsBBTfgwAbcMABJiYKVM&#10;YAERj4ii8kAEzlYKy8wAAjmwALM8AHxoY6WdIAEHpwAytUAC1rYKsdgABXs4iSNsAL03AACt4AGl&#10;v6TweFw+HQH82+MVBPy2ncX/xOh0el0+p1et1+x2e12+53e93/B4fF4/J5fN5/R6fV65VM+fE5m7&#10;JsAgr3239w7MzfAy78ws9kAJSd0BgAOEDAAY8EgAsaEBhBwAEfCIAA7CiElZC4AELDQAPmABmw+l&#10;JLREABSRKAB1RQhIRRXAsDiVF6GhrGQAH5GqCmfHCIh9HYAHnHyuK8MshAATEioKZ0kLgoaInpJo&#10;AB7KCCinKYAD5KyyLMfMtIaroBgAA0wAACsxgAKMzAAME0oKvo3AAYc3gAA85AAYs6yBLyIGFPQA&#10;MG/aCMqTIABtQcA0K7h9pmZ6Bk2clGlAINIH5Q1J0pStLUvTFM01TdOU7T1P1BUNRVHUlSvKmYCI&#10;GvD4JaY75h086ZgC+5tg2gZCriLC4gNU1OH7X4AS0fMFpbOM5gJZD2NCfEaRtMFeWfXtpWnaiHHI&#10;4w8oGWQTW4eVq2/cFw3FcdyXLc1z3RdN1XXdl2064wTribCKJmSL5jhTKwGyG8ujwmYjLiBV3YHg&#10;mC4NSqZn8gZ0pmU1fn6QK6Hng+KYri2L4xjN1ICAgAAgUDgkFg0HhEJhULhkNh0PiERiUTikVi0X&#10;jEZjUbjkdj0fkEhkUjkklk0nlEplUZf0tKwBmCpij/mhoAU3TMrnUNak9AwHoBBgaDgYtgYHmABm&#10;k0itJf8Epc7qVTqlVq1XrFZrVbrkHpMJpYBj9ihTwgaogaOEtrbldt1vuFxuVzul1u13vF5vV7vl&#10;9v1/wGBwWDwmFw2HxEalr+QVJPszmhPm4CWWJj7WzAmAmbRdJH0DB1JAWW0ml02n1GprNLfdJbmL&#10;UIm2SKgdP1W33G53W73m932/4HB4XD4nF43H5F9pYgpY3gYjgY1gYw0EDB8DGWTaXJiDZ7wpyZQp&#10;JtpYYpNk7np9Xr9l/pb1pbDpKZBX1XQb/D29v7/n9/z/wBAMBQHAkCwNA8EQTBS5G1BoxIGQCkg2&#10;0UFwrC0LsEpbbAAe6BmCfcQDGFURnPDETRPFEUxVFb2oCIAAIFA4JBYNB4RCYVC4ZDYdD4hEYlE4&#10;pFYtF4xGY1G45HY9H5BIZFI5JJZNJ5RKZVK5ZLZdI3/MQK3ZoVZi/y2AZ0Spu/4HPoPOgDQIFN4T&#10;Qp7BaRL6ZTadT6hUalU5DNwDCKFBatE6vBqFOoW4H9Y0/A1KJrQ3apa7Zbbdb7hcblc7pdbtd7xe&#10;b1e75fb9f8BgcFg8JhcNh8RT3LiwU8ccCQHkSLkQGeYGKIGBsTm85nc9n5M47G/lS/dMldM/XYLN&#10;Y9NBr9hsdls9ptdtt9xud1u95vd9v+BweFw4O0OMCwVySjQiPQiBNwpQgRxOp1etcJu/qE9NGzKE&#10;xaEoxJ4231/N5/R6fV6/Z7fd7/h8fl8/p9ftGW1+QcBP4IX4/4oKEMShA0gYCPvBEEsQm52JuYqB&#10;ks1JqBRChzqXBUMQzDUNw5DsPImgIIAAIFA4JBYNB4RCYVC4ZDYdD4hEYlE4pFYtF4xGY1G45HY9&#10;H5BIZFI5JJZNJ5RKZVK5ZLZdL5hCGlMwuCpskX/OROAZ4Fpy/wjAwPPACAp+/4HSIFSgBTILRKOA&#10;KhP6lPKdUaTOZjW65Xa9X7BCaJFH5RHvP3NA3k/rYexPb2HYblc7pdbtd7xeb1e75fb9f8BgcFg8&#10;JhcNh8RicVi8Zjcdj8hkYgtsoBxHlxFAxSA84QZ+TYGFaICslpdNp6/P39A3ZP2fA1hbH809k2BV&#10;t3bqN1u95vd9v+BweFw+JxeNx+RyeVy+Zzedz5Y2ekNgF1TVPxpRMzAgNRAH0PB4YjqoG/aI6oG3&#10;dkmm/7VgR/g9fF8/p9ft9/x+f1+/5/f8/8AQDAUBwIlhtQOByfiI6oBBSgYOJ+FCiBSogEp+BqCK&#10;mrUNKcp6rIIqiEKhECtQK5SxoQn58oGs6cnKohoJ+cCiH0zgBlMEUcnDE0eR7H0fyBIMhOYgIIAA&#10;IFA4JBYNB4RCYVC4ZDYdD4hEYlE4pFYtF4xGY1G45HY9H5BIZFI5JJZNJ5RKZVK5ZLZdL5hMZW/5&#10;oAmrNwIDp0A3xPReAaASaAASdNH+FaGG5lS6ZTadDKM7qG76MyYGq37WWIAq48xLX35Q37T7JZbN&#10;Z7RabVa7Zbbdb7hcblc7pdbtd7xeb1e75fb9f8BgcFg8JhbQ4MQGZ6+BuA8cRaMBKGB4GDIGDYGE&#10;aGEoGD6NlIEAYGA4GBYhYqM/4HqpFrIjooEAqHaaM/qM+a4An5q6M9am/uA7aG8d7Q3tQ33A3zWX&#10;6nhNz21YsN0+p1et1+x2e12+53e93/B4fF4/J5fN5/R6fV3qMAW37wNzANRgMBPsCQP+QM9P5+Py&#10;GjgH85KBAS3IFqNA6aAWgYIKMCLcgczrKqGBSBwqgQCqMgj5pofTZtW4yjOOoB6IGeaBnkoziJod&#10;8TKG3ygHsozdoHAJsscAZztyfSjHwgZ8ALIJ9G7Ih9iDI8aPXJUlyZJsnSfKEoylKcqSrK0ryxLM&#10;tS3Lkuy8hpszCEQTzIb0vzPNE0zVNc2TbN03pCgIgAAgUDgkFg0HhEJhULhkNh0PiERiUTikVi0X&#10;jEZjUbjkdj0fkEhkUjkklk0nlEplUrlktl0vmExmUzmkqbU3LYBnSTEs9CU1oFBoVDolFo1HpFJp&#10;VLplNp1PqFRqVTqlVq1XrFZrVbrldr1fsFhsVjslloT/tABblrdE6AIWgZZElzVFmu13vF5vV7vl&#10;9v1/wGBwWDwmFw2HxGJxWLxmNx2PjM3bRNAWVWUEtD/clzEgftz+yGh0Wj0ml02n1Gp1Wr1mt12v&#10;2Gx2Wz2m1g9rbjygYNhD83xJFHBXG24nF43H5HJ5XL2EBIAAIFA4JBYNB4RCYVC4ZDYdD4hEYlE4&#10;pFYtF4xGY1G45HY9H5BIZFI5JJZNJ5RKZVK5ZLZdL5hMZlM5pIm3NzWAZ0lIY/588xLQQdNaJRaN&#10;R6RSaVS6ZTadT6hUalU6pVatV6xWa1W65Xa9X7BYbFY7JZbNZ7RaZQqrYAxjb3VOgCEohcjyI7wi&#10;LVe75fb9f8BgcFg8JhcNh8RicVi8Zjcdj8hkclk8pCWzlzAA80n4pPn+8XzoQsLNI+srp9RqdVq9&#10;Zrddr9hsdls9ptdtt9xud1spu23ncgZGH7wzcJ+Mk93yeVy+Zzedz+ht4CCAACBQOCQWDQeEQmFQ&#10;uGQ2HQ+IRGJROKRWLReMRmNRuOR2PR+QSGRSOSSWTSeUSmVSuWS2XS+YTGZTOaRpszc+AOdIOPvU&#10;Rz8GgGhP+a0WjUekUmlUumU2nU+oVGpVOqVWrVesVmtVuuV2vV+wWGxWOyWWzWe0Wm1RRtW0D0IA&#10;uu4A2QP67JITXk32u+X2/X/AYHBYPCYXDYfEYnFYvGY3HY/IZHJZPKY5t5c5XBGyd9ToBg8Q6F8Z&#10;XSaXTafUanVavWa3Xa/YbHZbPabXbbfa5dtvS4AuUXZ/I28iY6bjjcfkcnlcvmc3bQGAACBQOCQW&#10;DQeEQmFQuGQ2HQ+IRGJROKRWLReMRmNRuOR2PR+QSGRSOSSWTSeUSmVSuWS2XS+YTGZTOaRJtTdJ&#10;gKdGyWP+fPoS0EDzWiUWjUekUmlUumU2nU+oVGpVOqVWrVesVmtVuuV2vV+wWGxWOyWWzWe0WmEO&#10;K2Al8295gG5AOYT5/q2giUqWq+X2/X/AYHBYPCYXDYfEYnFYvGY3HY/IZHJZPKX5u5dEXY7zS7P+&#10;3vkKCzRO7K6XTafUanVavWa3Xa/YbHZbPabXbbfcZNjbsEhXfOy5AEFUa7Ka8lvc8nlcvmc3nc/o&#10;a+AggAAgUDgkFg0HhEJhULhkNh0PiERiUTikVi0XjEZjUbjkdj0fkEhkUjkklk0nlEplUrlktl0v&#10;mExmUzmkKbk3TcDMk1g7/nz8fdBDAqojtnlHpFJpVLplNp1PqFRqVTqlVq1XrFZrVbrldr1fsFhs&#10;Vjslls1ntFptVrlLMtwFCFxfVUnz/ZIlvA4tl7vl9v1/wGBwWDwmFw2HxGJxWLxmNx2PyGRyWTr7&#10;byyfAOZMFYfGdD4s0Diymj0ml02n1Gp1Wr1mt12v2Gx2Wz2m122Ca25CYF3jkzIBBFYf3DX4m4xC&#10;2/J5W0U/NFO/GRY6Sl5fV63X7GkgIIAAIFA4JBYNB4RCYVC4ZDYdD4hEYlE4pFYtF4xGY1G45HY9&#10;H5BIZFI5JJZNJ5RKZVK5ZLZdL5hMZlM5pAm5N1DAy9NYu/58/X9QRaJ6I155R6RSaVS6ZIVTTxUA&#10;qklKC/no9qwVjDW3xTY+p7AIAHY1nAxVPn+/KkAgDaEdaECV7k969dbtd7xeb1e75fb9f8BgcFg8&#10;JhcNh8RicVi8Zjcdj8gzMkBQflXwAcwAsNaGoJc8LchodFo68pNMHwLqWza7Q/wDAwGDNkDCVtXz&#10;iqeqUrmACZt4BIm96qh7kV0HpORyeVy+Zzedz+h0el0+p1et1+x2e124hN24uYGRsc+/IKBT52z3&#10;PV68EqvcGN454RaHsCPsFSd+Xtgkz/QKCMAHegYFN416DtahjeQQtArnhBxdjPCJ4vZCkKwtC8MQ&#10;zDUNw5DsPQ/EEQxFEaVG7EwPLQbiBgKxy0G0zwShPEkZxoiCwFODoCR0cT5p8eq0Aq4q6MCTEigy&#10;CUkHK3h/JItC2p8OjikfGsqSrK0ruygIgAAgUDgkFg0HhEJhULhkNh0PiERiUTikVi0XjEZjUbjk&#10;dj0fkEhkUjkklk0nlEplUrlktl0vmExmUzlzbmyuAM5KM0lD/nz/gZDEtDX88o1HpFJpVLjippwh&#10;AVRb0LegLqwUJVZfNMiCcrwaB9hcssn5rK1nS1ctVrtltt1vuFxuVzul1u13vF5vV7vl9v1/wGBw&#10;WDwmFgrQxFWqzxnIBAeGg0/bVDEonyGXzGZmSnzgmAmfbMIf2jemNCdnKz6vFeTlgsVkn1mtGa2m&#10;12233G53W73m932/4HB4XD4nF42GmzbaWNFu8e/PGAt6TR4/V61wU3ZFYF7jUhE/ebv8QTM/lfd4&#10;UvpEXcArcl5+1CE6/z+n1+33/H5/X7/n9/z/wBAMBJEa8ChOz4CGsxoBN+dwSQeCcBwlCaEFXCwX&#10;IG6iDvAasOgkQMQH4uBMxIAoIROSiogEMaBselaytQtMKRnGkaxs4aAggAAgUDgkFg0HhEJhULhk&#10;Nh0PiERiUTikVi0XjEZjUbjkdj0fkEhkUjkklk0nlEplUrlktl0vmExmUzkzamxcgZGAM7fb/nz8&#10;AVBfb9oj8nYBfcDfU+f79oICfNMo07ftSpj+p9Vn1aptXAlffj+sVcp1BoFBfz7tVlAVsflvfj/o&#10;78glMf6nvC/QN7f00v1/wGBwWDjaqwwzo7MhFMebVxwQvaBvuEgioyyHp5xo4Hmlifx8K+hQuU0m&#10;l02n1Gp1Wr1mt12v2Gx2Wz2m12233G53W73m932/4HB4XD4nFiuWVA4AfLY+LnzzK3RB8Df+BUfX&#10;HAI7SvgYYwDyzyA0JXR/G83n9Hp9Xr9nt93v+Hx+Xz+n1+33/H5/X7/n9lrDFUHijmG5x/ug6IHJ&#10;oT8FggBcHGSpgOqOAKQKOArPH1CaDwogRqnfD4ejPER7P9EsTRPFEUxVFcWRbF0XxhGMZRnGiMKY&#10;AZsRyBSmAYA8fAatR9gep4goHDgAHygZ8Kefy7IO6rqJ8fCmG2zx4KYeSjnoFEuHso5+xrMMxI0V&#10;cyiGgZeIWeIqzYCCWE5OAGzkBpJKOLyjgEkDPHOpgpCxP5kEzQQCgfQpPKOCh80UKgvUaesx0hSN&#10;JUm/iAiAACBQOCQWDQeEQmFQuGQ2HQ+IRGJROKRWLReMRmNRuOR2PR+QSGRSOSSWTSeUSmVSuWS2&#10;XS+YTGZTOPN+bAh8TkcgSeEkAz8lP+hBCfgEG0J/gWigKBgOkQh/0WkP8AVKWVOBvKBgaBpuirhe&#10;2FhmeyPuaWe0Wm1Wu2R9UW8lAO5LWoUJ3la8BKTgFU31AUU6UUFSCkPV/Yc2ljFJ+243HY/IZHJZ&#10;PKZXLZfMZnNZvOZ3PZ/QaHRaPSaXTafUZikAJm60GzwCB0GbMwQMpUgPUUB6mTvukOaiq2Bp+5AN&#10;yODkPQg8t+bznc/oR5V9MpQPhQekOy8FYKx8A29UEyiqkBeUEyN+4d/Kwr+0sdH4fH5fP6fX7ff8&#10;fn9fv+f3/P/AEAwFAaKj/AwBCzBIjuKK6BiegYHIGoqfqwgSqQsgipKfDMKQ2+qioKpAAoPCZ6qQ&#10;VqilWUcVlyQMXH9AkYxkkbplWLKBlMup/ng7YIowVkgCC9RPKKEDCKmoRgqKL7tnFGcnyhKMpSnK&#10;kqytK8sSzLUty5LsvLSbUwi0ga/p+ESBgFCcvpdCoARggRtn7ORChROpSTXPD5lNPYaNgWKBgygi&#10;kH8op/O2riHwMP4CBVRpqKKE01I+9R2vUHUEiybU803TlO09T6ToCIAAIFA4JBYNB4RCYVC4ZDYd&#10;D4hEYlE4pFYtF4xGY1G45HY9H5BIZFI5JJZNJ5RKZVK5ZLZdL5hMZlFWzNQ2A5wjn/OyRAwYAaAA&#10;p3O4G/4JQADQ6NR6BSpnT6hIH1A1e/qsdxPWXLUa5Xa9X7BCVXY2TQxrSKU/qLCKQA6s/kY+bkgn&#10;7dQKC7wloGWKQAZBb3hbz0WcIl7Dh8RicVi8Zjcdj8hkclk8plctl8xmc1m85nc9n9BodFGpq2Sk&#10;AtQgYGKKQBNHr69Q35A2rSEEJNwrthu95ilRv2TqAENaZSYJQ4bQ2lwhVAwNJKGj3r0z0Yes+N72&#10;e12+53e93/B4fF4/J5fN5/R6fV6961vcJgJ8T3wixzvZ94/b3xwlW+v8QgVQCbT8QI0JTwOECcAG&#10;WCkBexyhn2pBVCrCgurXAsMQzDUNw5DsPQ/EEQxFEcSRLE0ToqbUVEy4QjqGDakOO5DirVFDuqSn&#10;a/IPGKhx0AEfR+oBzqGTwSyMP8bSSj4/yYAQVyeUiBiq1sHp2ZC6n6KzCCycclS9L8wTDMTDoCCA&#10;ACBQOCQWDQeEQmFQuGQ2HQ+IRGJROKRWLReMRmNRuOR2PR+QSGRSOSSWTSeUSmVSuWS2XS+YTGPq&#10;qaAMXzcrAKdJ0Az0EzKgUGhUOUP+jPV/UkytGmKorU9+0SpVOqVQ/1cBCutGiBpOegEBVWE0Z/uO&#10;yEUr2ls2K2W23W+4XG5XO6XW7Xe8Xm9Xu+X2/X/AYHBYPCYXDYeJN3FGKkv5E18KYjJZOXWR2wM8&#10;CXNJzKZ3JqnQEuvzyehe52R3v3VGws61TZ7YbHZbPabXbbfcbndbveb3fb/gcHhZ5t8UkQNW18Fc&#10;Pmbt5PvoFAU9Nf83rRurn8BCruN2dAIQaeyQNG08rHXr+n1ev2e33e/4fH5fP6fX7ff8RZtfsigP&#10;/FWxoHK+AKyH+gcDIFBCBK/AqEwY/MIIysgAoQr57saKYTQ0XcIt47IDO4FRKq+MSvrCtyyH4shV&#10;HtFo1jDGB4Q7GcaRrG0bsQgIgAAgUDgkFg0HhEJhULhkNh0PiERiUTikVi0XjEZjUbjkdj0fkEhk&#10;Ujkklk0nlEplUrlktl0vmExg7bmi7AM3IUDAUynk9n0/oEpf9Df0DWwkpBPm4BotBp1PqAAVVTPE&#10;DQ0Epb/qMLKtdKqurdhsVjslls1ntFptVrtltt1vuFxuVzul1u13vF5vV7uLevxGfmBVoCwgMvmH&#10;xGJhryfONKYryC8xWTkKnyw9AmZVsDCt2INeYGU0Wj0ml02n1Gp1Wr1mt12v2Gx2Wz2llob/Arc3&#10;S0gZEpc72vB4Uf27+26+E3JIvDw6l5wUAvR3kCGu/vWfruh5nb7nd73f8Hh8Xj8nl83n9Hp8Ta9h&#10;GwgCV8DBXq+ng277f35KAn/i2+qgD/AIDBZAhUIGJzioGfyspe25/gCgYBqWfqGNuAMLKWArbimK&#10;8Ovi/8QRDEURxI0SAoAAIFA4JBYNB4RCYVC4ZDYdD4hEYlE4pFYtF4xGY1G45HY9H5BIZFI5JJZN&#10;J5RKZVK5ZLZdL5hHG1MwOAZsw4GM4ZNgC/58/wBPJ/QJjRaNR6RSZPPILPwDBKZToPPJtP1u5KwT&#10;iDW35Sq9X4YqrEW4Glp4DrAAHi+7YWAJbzxPB/HyOVbsurTeb1e75fb9f8BgcFg8JhcNh8RicVi8&#10;Zjcdj8hkclk8pF2/lwg/M0354EMrn9Bob88p4JhHp3TosSkdYDgxr2uAtkGq8/ts/dkAky+t4fAN&#10;v2XAxHIyDdiqwNVyeVy+Zzedz+h0el0+p1et1+x2e128m3O8aIGk4GBO55fNk5++9s/jaJ/cmfPK&#10;Ez8wUEPslJ4XZ55KNP38n5avWW4BwILyeBsgYBJIngiipBxePjCMJQnCkKwtC8MQzDUNw5DsPQ/E&#10;CDm3EZkoGGqqRDFMVI+oafmCE0YCDFaFrEVQ+J+PrcgMtJ0vWGZ6SAfQGyG1KXvWIYsSSX8ZyZJs&#10;nSfKDmICgAAgUDgkFg0HhEJhULhkNh0PiERiUTikVi0XjEZjUbjkdj0fkEhkUjkklk0nlEplUrlk&#10;tl0vmEIaUzEQJmzDAM5DUxnk9n0/oFBoUgf9FdEDHolpTcodNiKoqBKnIBUYCqwSoVFf7yrRxK9f&#10;Tx/sQCFVlaFWAQtnpBKttYFOuFxuVzul1u13vF5vV7vl9v1/wGBwWDwmFw2HxGJxWLgbbxxWqajr&#10;QEqYCrT/gb+gb/qeYgWXAGdy9axml02nl9ThNTAOjopOE2xXeojik2wfAu5WdoFcDAVBf3BfyHeH&#10;FQJn5D7glQVB8AfPQdBtlu2nV63X7HZ7Xb7nd73f8Hh8Xj8nl83nuzY9RV54DU1TAno+Xz+kOrRW&#10;pQlVfjTf9CQHQATipig1ifK0zSBF+gYjitBp+oQUcIg4BEKHGpzpiqt76w3DkOw9D8QRDEURxJEs&#10;TRPFEUw4xxtjWgZIqmAcVRnGjAn44QzNiExPu2VUfEQqY3IGBKsqKcDhCgLElGihixD+siym8tAP&#10;wutsMxrLEsy1LcuPIgKAACBQOCQWDQeEQmFQuGQ2HQ+IRGJROKRWLReMRmNRuOR2PR+QSGRSOSSW&#10;TSeUSmVSuWS2XS+UNqZGkAzVKzWazCdTueT2fT+gUGKP2iG8T0dJUKPqimEoBU9WzgEUF/1V7Tgu&#10;lWtK6KKqvAOBuOcBmgv6zEMr2lfUq2W23W+4XG5XO6XW7Xe8Xm9Xu+X2/X/AYHBYPCYXDYeINvFH&#10;mBoWcAHEZHJZPKS+qv9/Zc9CbOIm+0xUDicKOngISWx9WZ/Idra1BIHYP6QV5VLCcE+gEGtFVgZX&#10;fb/gcHhcPicXjcfkcnlcvmc3nc/oXfFNtBwM94/o9ntduXZd/wNIiXxHG6qnzNCcC7sUDL72BEQr&#10;fF+yzzKlLaU0zzdVr3dz/P/AEAwFAcCQLA0DwRBMFQXBj/umOSBkWnDvIKnDMqqAEJwbDcOKEy71&#10;oHD6cABD6BsggTHgCoh+kio4TjgnraAGy5DtLCCBLAnkKIEaTLi6tIrmmoLaDUnBIIGAqVv23kOy&#10;bJ0nyhKLtoCAgAAgUDgkFg0HhEJhULhkNh0PiERiUTikVi0XjEZjUbjkdj0fkEhkUjkklk0nlEpl&#10;Urlktl0vjDamRoAM1S01mswnU7nk9n0/oFBmD/oj+oj/K4mpSslirpxoo6PnAIoNHeT9rBSLNbX0&#10;Df9Cg6lsQ5A1lYcDAcnIJVtjAsFvuFxuVzul1u13vF5vV7vl9v1/wGBwWDwmFw2HxGJxTXxg6AuP&#10;t0CAuKymVy2XytHHYlzjGkCo0A1AWjWc4C9Bf2pe9RLGtPeETOxCgR2i/nApglHf841OpAE4r8C4&#10;PCogBo5V1pYWeY5nN53P6HR6XT6nV63X7HZ7Xb7nd71+a3hDNlAzfgYH7/p9Xrw1Hez0+AmGPzcs&#10;UUP3CYJ/SugY8nABKA3p/FWe0CjQMMEHg5hVQYabbo+I62CqXr2QrC0LwxDMNQ3DkOw9D8QRDEUR&#10;wyZ8TAgBkUnGnAGRJF0XxghSjnmBUagwDccHshBPx4BD9ASSTRgEMb/p63SBmwfklCCLUmnS6hUy&#10;iY0hByj61rbGMsy1LcuS69iAgIAAIFA4JBYNB4RCYVC4ZDYdD4hEYlE4pFYtF4xGY1G45HY9H5BI&#10;ZFI5JJZNJ5RKZVK5ZLZdL4Y3Jk24GJJhN5xOZ1O55PZ9P403QHQxYIaM+VTSTgAqYgoGDJ8/qk7n&#10;/VTAWKws6BOKSqV7TAEQo+QSrZWBW7RabVa7Zbbdb7hcblc7pdbtd7xeb1e75fb9f8BgcFLm1hW+&#10;AcQH8Hi76BcdjMhCqq/wA/MtkYSAXrm3BhW0EsQAQdW37Un8hCvqUBmIxXVzYCNY7KVbPrNtt9xu&#10;d1u95vd9v+BweFw+JxeNx+RFW3y0dAzhoQDyelGQT1QACOx07tkwA8u8ANNjHx4wA4PMAHv6Z/k3&#10;9k1Q6PgYjf83z2oJXVtYCTsrN9v8/8AQDAUBwJAsDQPBEEwVBcGLwbMHhEsBttCAUGv+BsMAAoYB&#10;gA0MLJ67jvHk8CpMC5aaHpFK0smcD0nuGgvxidsEPw/T+NpD8cx1HceR66aAgIAAIFA4JBYNB4RC&#10;YVC4ZDYdD4hEYlE4pFYtF4xGY1G45HY9H5BIZFI5JJZNJ5RKZVK5ZLZdK2ZMQKD5o6wDNwfL51O5&#10;5PYGAqAAAbQwBQAFPqRSZM/6YAHlTwA/qlSolTH+AHTWQA565VILVnZUn8ZSxZVhXrRFVTa1tRiT&#10;HyCVbkwLTdbtd7xeb1e75fb9f8BgcFg8JhcNh8RicVi8Zjcdj5E2ckswHlSZkMxggJmwADM8AJuA&#10;czo4tVqdULFfnfqwA4tdUanVLE/YGc9ClCtudppJ1a1TbaBb49cbnvONx+RyeVy+Zzedz+h0el0+&#10;p1et1+xHmx2yfmwJZ+z4YsCfIAAR5/FyNNT3lsH9dnx8QA2/oAH597q/qsstyVii9KSt84ABOEjr&#10;iCqukAQVBcGQbB0HwhCMJQnCkKwtC8MMQcsNgUe0PHa0IEQy7LPAYADvNAm8RsK9bUNipR0Rirau&#10;p6qx/n4g7RIEGr+mhFaLQEty4LlBEfyNI8kSTJT0oCCAACBQOCQWDQeEQmFQuGQ2HQ+IRGJROKRW&#10;LReMRmNRuOR2PR+QSGRSOSSWTSeUSmVSuWS2XSNtzFqwMUy+bTecS4AzsAA6fAAB0EAzmiUWjQZ/&#10;0l/vGmAB/U+jwJrVMAPqrUOowOlPsrV0DVmwS1U2NbAKzEmPkEq2tgWG3W+4XG5XO6XW7Xe8Xm9X&#10;u+X2/X/AYHBYPCYXDYfERZuYswUpPTueYnJW6ggMAA3MADIZPOSqlAB5aGnVCos/TXOlOeulYNZ2&#10;72NU2Wz2m1lW267cbndbveb3fb/gcHhcPicXjcfkcnlRXFtx5QMG8vpQsD9UAAnsZrI9PkZ/Q8+n&#10;v6i1Z9ABq+e5+Felf2ETuWKyWYBWiPWq2e/8fn9fv+f3/P/AEAwFAcCQLAy9JibZTMgLMDuGBUIA&#10;A6oDwc37vNE8Kim9DYAKYeK5ghEJbCLEglwqjTYNk+baPvE8XRfGEYxk6aAggAAgUDgkFg0HhEJh&#10;ULhkNh0PiERiUTikVi0XjEZjUbjkdj0fkEhkUjkklk0nlEplUrlktl0XbExEIDmjcAM3AUvnU7nk&#10;mBs/AAEoU9olFo0bf9JADypgAf1PorQqQApL/o8KEVZfs/BoSE1feVXsUrVNlWwCtBJj5BKttYFj&#10;uFxuVzul1u13vF5vV7vl9v1/wGBwWDwmFw2HxGJxUqbWNY1oAQ5xeTo+QAFcAGWymbulVpdNp7+n&#10;b60gAaunuWWDerAAU11Op7Ur4mFucu9lVNntNrtpVt+24HB4XD4nF43H5HJ5XL5nN53P6HR6Udan&#10;VHgH7DCm836fdAAG8AABPjzNo73niWeplh0M7ffvADl+QAd/1ood/AACX78s5giqn+7YmhJAhavQ&#10;krcN0AS1I8ti3QPCEIwlCcKQrC0LwxDMNQ3DkOw8uKqgCbkRng7YHQ+4DxgSAAERbFEJvU0CoKuf&#10;EagAbMcNg0ShAIAECBJFkXRGbgAHpIyGu2ADVg2AAKyciqqncEspgnF6JQSyEGI7BzfStL0vzBMM&#10;xPQgIIAAIFA4JBYNB4RCYVC4ZDYdD4hEYlE4pFYtF4xGY1G45HY9H5BIZFI5JJZNJ5RKZVK5ZLZd&#10;D23MUfAzdC3/B5vL51O55BQDPwADKEAQLRQHPaRSaVLn/TX+8ag/X9U6XBqcAHbWQEFK4/oY/LAA&#10;HDYwG87MAAhaQAH7Y/Z+AQBb4LTrhBrrcbeAam/juJr8iqrgZGqcItgFhyTHyCVcYwMFj8hkclk8&#10;plctl8xmc1m85nc9n9BodFo9JpdNp9RqZCAZi23dbwhqtlLwdtQAA9xs91qKu8t8AL3u4G0eIABf&#10;x5LTn4JeYBeFgcIqcNiMVjCrjuf2e12+53e93/B4fF4/J5fN5/R6fV6wBrSRb1v7PIBPoAAX9wBh&#10;wF8v5Jt637gue4houM5CVi0EkElO/qOui6YBMSjzFsbBkKwtC8MQzDUNw5DsPQ/EEQxFEaqm5Exx&#10;oGDkSNIBMWgAA8YLwu8VxW/55OAqkBOK44XpSpxvuYEoRRohUHP1CKOwm68iSZJsnSfKD+oCgAAg&#10;UDgkFg0HhEJhULhkNh0PiERiUTikVi0XjEZjUbjkdj0fkEhkUjkklk0nlEplUrlktl0HbUxFQCmj&#10;Vl83nE5iQLngAA0/nVBoVDokMf9HADypQAf1NoslaNRAAvqk3EwkrDbp9bjKpry2mgCJMfIJVszA&#10;rlptVrtltt1vuFxuVzul1u13vF5vV7vl9v1/wGBwWBbeFZQBxA1weLkYOxwAAeRxmTykOo7/pNLp&#10;r+ysCqLRqdVl7RrAkGGdm9eVNgmljj1ls+o2Wz2m12233G53W73m932/4HB4XDwbY4whAnJbMDAv&#10;ExlhAAN6QA6HO61Py+ZeVMp2dz+hF84fHjCYs8zu68V1WssVksxVtHp+Xz+n1+33/H5/X7/n9/z/&#10;wAl5uQGUKBi9AK4p+AwAAVBoAMQAMEQkizsqU7bNtQ76qPCnRUtKLEJgA9awtcjrYPhEMUxVFcWR&#10;a4KAgIAAIFA4JBYNB4RCYVC4ZDYdD4hEYlE4pFYtF4xGY1G45HY9H5BIZFI5JJZNJ5RKZVK5ZLZd&#10;A23MX0AZoBZfN5xOYECp4AAPP51QaFQ6JIH/RwA8qUAH9TaLJWjUQAL6pOKO/3uBK0EhDXXxT7BE&#10;VTY1sArMSY+QSra2BYbdb7hcblc7pdbtd7xeb1e75fb9f8BgcFg8JhcNh782cUSwHjVpiMhFwZkw&#10;ABctkcxmZFV6TS6a/s1AmlowALtNQn7qSWJ9YttDKLGqbLZ7Tayrbdfud1u95vd9v+BweFw+JxeN&#10;x+RyeVg5i225NACI+Xggd1QBjQH0+1gM5SnlTKdodG0tLp6DV2yJfUKO3YrJZgFaI9arZ7ft9/x+&#10;f1+/5/f8/8AQDAUBwIlBmQOB8EgedzoAFAqgq0AgAMmBgAOhB8MJU7rPPCzRpw+AAWxEp5nRKAgr&#10;RQfsAti2b4tq+sMxjGUZxpGrtICAgAAgUDgkFg0HhEJhULhkNh0PiERiUTikVi0XjEZjUbjkdj0f&#10;kEhkUjkklk0nlEplUrlktlLZmB0AczRcum03lYInQAnQIAABoE4oVDolFo0Ef9JADypgAf1Po8ma&#10;VTAAuq1Rp1PP4mriCrFfhqpsS2AVlJMfIJVtTAsFtt1vuFxuVzul1u13vF5vV7vl9v1/wGBwWDwm&#10;Fw15beJcFAAIfw+Pg4MyQAAuVyGXzFGpL/pdNp7+zMCqbSqtXqOfcVcE2O0MjsSpslmtFqKts1u3&#10;3G53W73m932/4HB4XD4nF43H5F6bvLB+fd2MAXJuIN6gAAnX6XZ3ebzryrOg0LT8QAFvlrGbfubE&#10;+qbvahOv2ICs8etNr933/H5/X7/n9/z/wBAMBQHAkCpIbkEEkgY2wMlCyuiB0Ip+oMGwqtzuKY7z&#10;Pta8RpvI8y4EKEkRj4/z4Qe+aOvq2sLRbF0XxhGLtICAgAAgUDgkFg0HhEJhULhkNh0PiERiUTik&#10;Vi0XjEZjUbjkdj0fkEhkUjkklk0nlEplUrlktkrbmD7gYCgYBm02f85f8DncCnsCm86ndBgk6l1H&#10;kAIpQABNNAk3ANIqVTqlVq0doTyrT8ftdq8nadhAgtsj8lk3hM6qMCeYltwSr9xhqpui2AV3JMfI&#10;JVvjAuV/wGBwWDwmFw2HxGJxWLxmNx2PyGRyWTymVy2XzGZkVqbudf2azFNBIApQI0Gn1GVo1aeQ&#10;Af2v1MEaGzAAu2wAu80uNCtwl3WxkF0VN2vF6vhVv3A5XL5nN53P6HR6XT6nV63X7HZ7Xb7MwbZQ&#10;m6v7lXtAQ83j9HptM5AGs12wyr7+QAdP1ADr/EJ8wQAAd/wAAJAKrH5AgXhRA5pPUgzhOIAS8o8v&#10;a+wVCcKQrC0LwxDMNQ3DkOw9D8QRCpDvE+m4wREkLyvPFEWMo1atPez7GvkmTvAAfMcIqtAJR4AA&#10;PR+qTXn8XgTSKIsLwY3MHo7CLkRbJ8oSjKUpwwgIgAAgUDgkFg0HhEJhULhkNh0PiERiUTikVi0X&#10;jEZjUbjkdj0fkEhkUjkklk0nlEplUrlktkLcmDigYdl01m0XAM5AAQnk3n0/oFBoUkf9FADypAAf&#10;1LocOdNPADmqUlAVVAAfrAAB9bAE5AMlpb+eAmsgRptng6ptS2qoCJMfIJVuTAtF1u13vF5vV7vl&#10;9v1/wGBwWDwmFw2HxGJxWLxmNx2PgTdyQPsLqrwGyGIr07nuZz2fxVFf9HpNhv9ScwAp7plttAAv&#10;2El0T/be1BJK3D50EatSptlVt8euNz3fF43H5HJ5XL5nN53P6HR6XT6nV63RbHZGoE7jK69ozc8C&#10;Hf8nlhOi0jypVMvzs9wAcfxloD+gAF332Wifv7JYo/xbvMgTet+ty4LkKq6QDBUFwZBsHQfCEIwl&#10;CcKQrC0LwwlaYG4SSBjbDKSvCzsQRIxD0KQ9TTPa974nG+b6vuFyUv2fpIhPG44QVAa2uCjrhwRE&#10;sgyFIciSLB6AgIAAIFA4JBYNB4RCYVC4ZDYdD4hEYlE4pFYtF4xGY1G45HY9H5BIZFI5JJZNJ5RK&#10;ZVK5ZLY625g/YG/5mAZtNIFOAA/55PJnLqBQYGAqIAAhRwTQqVS6ZTadI56/3jU3y/qtOqfCnbWw&#10;E468B5ZRAE/xdZXxCwDBJtN55a7TPbTAgFawHURLdwFWb1A1TfVtYiTHyCVcIwL3h8RicVi8Zjcd&#10;j8hkclk8plctl8xmc1m85nc9n9BoYFMG297WCNFnrXRqPqddr87PQA8toAKs/si7N0AK845aA+AA&#10;LKLpTPXipOQEkDy9xsIrfVTf6JgY9g8Lzux2e12+53e93/B4fF4/J5fN5/R6fI3PZWPVe9XRwh7/&#10;p9YTsto8ttVtzu9637guG4qeH0dcDAgHUEnu+joOkATqI66wqsM+0KwtC8MQzDUNw5DsPQ/EEQxF&#10;EanltEwDhNFKzxIlL4tbFkYNinz8v25rHt0djeK9AABuEsqWn1IIKBVIh2wYvzAMEwkJxjJsnSfK&#10;EoxCgICAACBQOCQWDQeEQmFQuGQ2HQ+IRGJROKRWLReMRmNRuOR2PR+QSGRSOSSWTSeUSmVSuWS2&#10;MtyYDOBsyXTWbR8AzkABCeTefT+gUGhSR/0UAPKkAB/Uuhw52U8AOOpS0B1UAC6sS0BVsQCKvOGm&#10;01U2NbVsBEmPkEq2tgWG3W+4XG5XO6XW7Xe8Xm9Xu+X2/X/AYHBYPCYXDYfERptYs32ZIYnIACcg&#10;Gdz3I5fMYSiv+j0mlv68092VGpyyqgOr1mWPzWFAUa9Y5mLWNU2Wt2iPWq2bLeb3fb/gcHhcPicX&#10;jcfkcnlcvmc3iYttKmzFbnXLJ5UIdXtduE5vOvKlUy8aLSOOqVasC6W5tICX3HHtbTbWe02sq23u&#10;fn9fv+f3/P/AEAwFAcCQLA0DqGbcFF6yYhQQlTrp47MHwowrvKQ8DPrydcOAAckPq0rYABfEiWs+&#10;aQTRSF74rIszcI63T7wrGcaRrG0bwKgIgAAgUDgkFg0HhEJhULhkNh0PiERiUTikVi0XjEZjUbjk&#10;dj0fkEhkUjkklk0nlEplUrlktjLbmDhAMzD0um03j8zAIACE9nE/oFBoVDkj/owAeVJAD+plEh1M&#10;fwAc1TADsqwAoz/koCrgAF9fltZeIlsgQp1OVNpW1cARJj5BKtxYFnul1u13vF5vV7vl9v1/wGBw&#10;WDwmFw2HxGJxWLxmNx0abmRdtZCOPywAtgAB+bANZy+f0GHnQAdulf+Zw2eaOrgk7j9sf4u2UtnT&#10;zEm3B+hi1pVNrrluj1wuW64nF43H5HJ5XL5nN53P6HR6XT6nV5mRbjygYN6140c9s3d8Xjgj18wA&#10;ZnpAAo9gAA3vx7z+QAbv1rFHiAK/QAD39AAEwAnCsn8sgSgG8TeN8tq3riKq5vJCEIwlCcKQrC0L&#10;wxDMNQ3DkOw8oiYG2eydATD6VO+n0TRUwarHYABzxg0jSgAFMavc+DiHXHQAHJHqCs23IQSEzCur&#10;s24SNc60ErY4COuFB0VyjKUpypKsOICAgAAgUDgkFg0HhEJhULhkNh0PiERiUTikVi0XjEZjUbjk&#10;dj0fkEhkUjkklk0nlEplUrlktiq/mAEDszekDA8unE5j4BngACE/nVBoVDolFij/pAAcFLAAmpwA&#10;cVRADZqgAFNXAAGrVGrldhIksABr1FVNlWwCtBJj5BKttYFjuFxuVzul1u13vF5vV7vl9v1/wGBw&#10;WDwmFw2HxGJobXxgNAuPdc2xWKnlin4QyeZzVxf2dAGMa4AGmjAAJ0wAaupqdVq4prNbzeKsAksW&#10;xillVNntNrtpVt+24HB4XD4nF43H5HJ5XL5nN53P6HRwDa6gVyrlyoF6Vxys+oHb8GxpD/AD68wA&#10;anpABC9gAAfvgupaurbNWrFaA3huez2vR3DdAEtSPLYtz9QNA8EQTBUFwZBsHQfCEIwlCcKJIbcL&#10;g6gZvsqAcKpS7rLw9EShnbEoAHjFAABlFYALQASEvk+j7Nc/ERpWekcAYGEdnq57/xdASOwI30bS&#10;LI0jyRJL9ICAgAAgUDgkFg0HhEJhULhkNh0PiERiUTikVi0XjEZjUbjkdj0fkEhkUjkklk0nlEpl&#10;UrlktirXmAnAkza4BmwBl05nUfm4ACE/ndBoVDolFf9HADcpQAC1NAAdqAAnsMbFVADZrAAFNbAA&#10;Gr1FsFhhjxsgbGdnc1ioSpti2AVvJMfIJVujAtV3vF5vV7vl9v1/wGBwWDwmFw2HxGJxWLxmNx2P&#10;yGLrDZH1vAS/gc3m1HpECf83zj/qWbzkJ0GRnM9n4QAuo12vlb92T/yYBeu3AAl3QAEW9iLV4FXr&#10;D/FHFfoH5Gi2GCzk4heyfot4oobHLiVsVNuuFyuhVu3W8Hh8Xj8nl83n9Hp9Xr9nt93v+Hx8ba+g&#10;qyzV+V+1VA/P9xJ8wAABrQGAAfwMABkQSAANQYAAQQeADLIa4D8MmrSuK8Az/L4zgPN0Epxvg7Dt&#10;AEuKPLmusNxVFcWRbF0XxhGMZRnGkaxtG8cKGb0dg+6BupuAccpU/YISFIyPNKeElAAdcmgAG0oQ&#10;it4AGJKsFwbB4QSkAUJuDCythSrqvyOlZ2TMB4cTSeURLay0TI7FDvTJOc6TrO07xggIgAAgUDgk&#10;Fg0HhEJhULhkNh0PiERiUTikVi0XjEZjUbjkdj0fkEhkUjkklk0nlEplUrlktircmAWgbkgYFl03&#10;nEfAM7AAQn05oFBoVDkT/owAcFJns/EVNAE7AMFYlTAAaqwAENZgtQhLVrwAbNhAApsgAA1nolpt&#10;UMEltAUDf9roKpui2AV3JMfIJVvjAuV/wGBwWDwmFw2HxGJxWLxmNx2PyGRyWTymVy2XzGTbWbB1&#10;3ATqgYHzOjp88nwQ0mp1UVf2tADQ2AAFmzAAY20NqbEqtXpoiAD94AAAfDrtfsLZsdls4G1ektok&#10;qPNil0VN2vF6vhVv3S7nd73f8Hh8Xj8nl83n9Hp9Xr9ntyDU+AGBHzeWh92Brmn+/7tT5/zXtiH0&#10;BAABcCoiYsEAADMFgA3oANafwAM84pqrAsSyBSsy0P4wTnui9rqOsAS8o8va+w5FEUxVFcWRbF0X&#10;xhGMZRnGkaxslBtxye6oARG6Uvyn8fSEg6jLiesjgAZslAADsmgAGkoIq3Ldg1BqnIJCEJLugqvQ&#10;q47kwy5chpXDz7xCz0SI7EztTHNs3TfOE4w4gICAACBQOCQWDQeEQmFQuGQ2HQ+IRGJROKRWLReM&#10;RmNRuOR2PR+QSGRSOSSWTSeUSmVSuWS2MtuYPQAzMFy6bTePzMAgAIT2cT+gUGhRJw0UAAmkUeku&#10;mmAAZ08AAOpRFiVUABqsAARVuCv2vVGpwRq2MANmzAAU2kAAa2UO3W+GCS5Tu4UNU3dbAK9EmPkE&#10;q39gXXBYPCYXDYfEYnFYvGY3HY/IZHJZPKZXLZfMZnNZvNTBtu6dBHOaMATqeT7SanVP/WABna8A&#10;DHZAAJ7UAUVwgB1bsADTfAC9AKqVasBqtVyCP7lcC9QWxtWy2e0im123VaN6XISA3rxa7qm83u+3&#10;8q4Hu+f0en1ev2e33e/4fH5fP6fX7ff8e5uft1ax/gmga6IKf6dP81sApmf6BwMgsCvyiTTJ6CAD&#10;wfCqSn3DB/mpDZ/hvDwBAZEKCnBEjdN4G0UAA5R/OY4SGKqYirqyrYRIS/zSpmADnuibJ/hRH59g&#10;PIUFQslT/QFBscv8fYSyaBkKu+8IBL4jy/MBIssSzLUty5LsvS/MEwzFMcyTLMy3s8YadB5M6VQi&#10;1E2zCeU5gAa07AAIc8gBIUKIREhwRMdQARQG0VOW4KGxhGTjRohKvH6sABx0sizGytC1LYA04pTF&#10;ZtBNT4TygvDgyojsrPLTdU1VVdWVbMiAgIAAIFA4JBYNB4RCYVC4ZDYdD4hEYlE4pFYtF4xGY1G4&#10;5HY9H5BIZFI5JJZNJ5RKZVK5ZLYy3Jgr4GUJdNZtHwDOQAEJ5N59P6BNX/QwA56MAHhSQAPKZEXB&#10;TwA6qkABtVYLQ3+AJyAYSxK8AA1YQAIrJEWrZwA2bUABTbQABrhQblc4XWE+JbwYrpdFTfVsAsAS&#10;Y+QSrhWBe8RicVi8Zjcdj8hkclk8plctl8xmc1m85nc9n9BodFGpg3D5A0Ho9VWp1PAhq9hlH9sw&#10;A19sAHpuQARt5rK5EHHwQA6eJVKtBH7yQAA+ZXa/YQ1Y7LDOS/QA2OxabXbRTb7jsdD1S0J/Ip/B&#10;Fr6qb/gcHhSrh/P8fl8/p9ft9/x+f1+/5/f8/8AQDAT8LUbIeuYAZhQGxitp2nsFwgiJ+QmABlQs&#10;AAOwyAByQ4AAkw+ADAAEpyoKkdTjBshKsN8gqvGIsCxLIESGxWa0bO0bK2LcuADQixR9SAE4VSGb&#10;UIPS9YBMEjzCMNH0nSfKEoylKcqSrK0ryxLMtS3Li6GRL4HApMR4y6lUGtdMr/njNYAGlNwAB7OM&#10;QsAABizsAAlTzFiIKecCoqmqsUoQ6rluagkXRg6MZRoojsGwABu0iAAUUpPc0pO2Z/AsE1OHXIy/&#10;RFJSOyY99L1NU9UVTVUtICCAACBQOCQWDQeEQmFQuGQ2HQ+IRGJROKRWLReMRmNRuOR2PR+QSGRS&#10;OSSWTSeUSmVSuWS2OtyYP+XTOaR8AzcABCdTWeT2fR92UEANqiAAkUcAASlAB4U0AMWoAAl1MAP2&#10;rAAB1mGuCuAB1V8ADaxQl/2UATcAwViWsACO3AAM3GG2WZVxwVWr2if3u+Qu6P164EHjDCPW+31U&#10;4lbALGEmPkEq5FgYfKZXLZfMZnNZvOZ3PZ/QaHRaPSaXTafUanVavWa3XR6YNx9wMCa/W3qdBDbb&#10;ufP7fUOivzhAAd8WsVqCU14U+o1Ml3h+8cB1uu191WGxwzfP4AYwBAC1sQABryAAReeE1bo3bee2&#10;EXR4s/5BMrfXo+6K4lU4vG4/Iiqyb8QFAcCQLA0DwRBMFQXBkGwdB8IQjCUJwabcLNmgS0oEf60J&#10;lDa6LOm66LNCiQu8nKdAREsJuEfh/mXGAAg9GYABZG0Qw0g7lOYYqpKpEEQROhD2Os7AbIa9TpPA&#10;tjyA08z0IIfMpH+b8qnypTaxWlC0ACukcoKvS6O+gQBLQAS/hLNMsy0AD9P4ATHI8yDJTZOs7TvP&#10;E8z1Pc+T7P0/0BQNBUGyyiG0VDvCvQiTNwndFtewLDGbSYAMIGAAA/TKInlTklvE5yCySrLpyG6q&#10;wLFI6IRAqEeybJ4RAAd9ZK8sEsUew66E7NISjJO03O9OKOiO/5dVvY1j2RZNlUCgIIAAIFA4JBYN&#10;B4RCYVC4ZDYdD4hEYlE4pFYtF4xGY1G45HY9H5BIZFI5JJZNJ5RKZVK5ZLY62ZgPgHM2DLptN42A&#10;Z0AAhPZxP6BQYW6KIAG3RwA/aUACfTQBMwHEXhUwAxasACXWYK/65BZ0AYK4LEAHVZQANrREX5aw&#10;AyLcAA1cQAB7oAHvdwBX6Fe75H7W/CwKMEqb7hYGqcQtgFiyTHL+TSzkVpBFLlR+BMw6yvm2ths9&#10;n9BodFo9JpdNp9RqdVq9Zrddr9hsdls9ptdtt9U1t0EwNvXPAwLuNlep6EOFx5BXH+AG5zQA9egA&#10;Bz0wAt+sACj2a9O4ZU3hVavWSXCaU/afM7DY7K6rPaYhygAx/kAH39QAHPxyP1FOU/wY/4GgzAR6&#10;v2gQ/wOAQVQUSzFgEMiBn6f0JHE5Quq+TcGhS/qvv6vKdH/CR/Q8ALloFEqnuVESBADBqCAI8pHM&#10;2K47Q5AsbRvHEcx1HceR7H0fyBIMhSHIkiyNI7bqObZzq+DEkL24ifSe/S/gAaErgADctABBQVAA&#10;fUwAAWsxgAKUzABEIARa7qqKsYqsK0hE0zWgaxHAAB2TyAAaT4iLoQIb1AgABVCSm/TlHoEtFAbG&#10;xR0cDLegMWSvhmgcTn9DjlK+7k0OSriwIXTSvm9EIpCxU5qUNVVV1ZVtXVfWFY1lWdaVrW1b1woM&#10;lFGr4uVykcouNX7SnxYoAGVZAACBZaeSkgZ82hMUyTMKU0QlNTFoa7zwTe8SGvK86ozssizLQGyE&#10;vgeV1AAc12gBSNhtbEJjBNeoduQVV8j4gZAq+ATkRCWwrYGJka3jg+EYThWFx0gIgAAgUDgkFg0H&#10;hEJhULhkNh0PiERiUTikVi0XjEZjUbjkdj0fkEhkUjkklk0nlEplUrlktkLYmBWAkzVMum03i4Bn&#10;QACE9nE/oEnf9DADrowAbVJAA+pk8n0IfNRAC1qgAKVXirwrQAYtdABLsENftjAADswAcFpADqtg&#10;AG1vhLiuQAe91AEzAlBvV7n77vw1FOBZl8jKowwyAWJWM6AIcwksob/eWRMZXyysx+ZzWbzmdz2f&#10;0Gh0Wj0ml02n1Gp1Wr1mt12v2Gx2WtX+1Agd3D72evv26sb9AGM3fDh1mAYAbfJABH5gAxIChr86&#10;VTqtXKUF6T8u8zhNaeFcr1gJcNyMFcPntdtt42AHlZnvAAR+XBnfE+0lEn5AOvVX9WqBiQxjoPui&#10;zImoyIbMsK57wJBsHQfCEIwlCcKQrC0LwxDMNQ3DkOw82RuRCfDIgMxjIn+gsTPLD6Pn1FwAJgbA&#10;Bg1GgAKifKWuEdkducxIAAlID2qIm53yKAB/SQAALSWADfpwdsoIIf4DSoAIkyusqzoZG7qP+6yC&#10;xWgbhII7zwGKr6wohJxxzY9J1AAGU4n+bs6H840WNk4TIv2hTGJ0yJ5hLQQHNW/pVGgxgVSQfx/x&#10;NPD6ACATIn0K1KgZR9MUzTVN05TtPU/UFQ1FUdSVLUygxCbhJoGNlTpBFx9AAa9ZgBK4kgABNcpw&#10;V1eO2vIm2BSCcGJYk3TQ8YD2Slrsy7JqySoA1ayxO8tqkqkvKwhFFx7AaBzKrszvEiLyvOcIAVSA&#10;DcA7X1XQiQr8hIPjXlNegbrwXDGAhR9Fk4cl/DcOeAwZduCYLg2D4RCSAoAAIFA4JBYNB4RCYVC4&#10;ZDYdD4hEYlE4pFYtF4xGY1G45HY9H5BIZFI5JJZNJ5RKZVK5ZLZK35gEH5M3cAZsAZdOZ1D31PQA&#10;16AACPQwAC6NO1dSQABKYACbTwBN52xKoAHVVwAS60AAPXZbM34AFrYwA/bMAANaazW4JUoQ+bhY&#10;rIUrpCX9d6jNrzOHhfQAxsAACVg4q7MMAHbiaXTZ3jcdj4k/8k/ZuKRJl23kJGqc4oZuWpuBM1Js&#10;lkpu16YBB2UdY8NHr9hsdls9ptdtt9xud1u95vd9v+BweFw+JxeNx+Rydi3OY4oGHeVwJ6+p/QaG&#10;R6LR51SVdi9FTybe6nVau6rWS65XpZYLktbLZ7SBgATPoALu/gAAv1Cbg+faAC6CkhrSvEvrXGLB&#10;Dzoic8GAAekHvy/bowm0bSnKEsMA5CiFFFDoSK6A5Yv0AQVOi0p5n3FIwi3FhWw3F8YRjGUZxpGs&#10;bRvHEcx1HceR7H0fyBILNGzIg9gHI5CSEnbpuqa6hKIowFqQpTUqcqC3JyqhiKsrCtPRECvpm/6z&#10;H6tC1PoJj7LxEb+Lisb3QChsyABI4BgBAwAQQYsFIRAhyT+AEmSVQaJEay4SDpHZS0WHIC0dLaBP&#10;wgUyoEf6ESxSrTI40oAzYglOU+yU1H8Fgs1MbVCVTVVV1ZVtXVfWFY1lWdaVrW1byU5huAs0pzpu&#10;AVcI1JigSc67syk7cqKa8DxJ1LUuPNLz0gPMKwze98yvi+b6og/r/ziiECHjcc8wTaSCPYcN1WDV&#10;h8XcA4WXi6kbFPeozNSSyBzs5TSnysApi1gL3XZgmC4Ng+EVsgKAACBQOCQWDQeEQmFQuGQ2HQ+I&#10;RGJROKRWLReMRmNRuOR2PR+QSGRSOSSWTSeUSmVSuWS2WtyYOSBhuXTWbQt9TkANeeAAjz8AAuhT&#10;dXUUAASkAAm0sAAGnTdiVEAOqqAAl1cAAetS1+V0ALWwAB+2MAAazAAmWmC2N+gAB2+Cvm5V+wlK&#10;7RG2AB53sAMW/VasPvBABwYUAALETfFYvGSZyCTIB3GytU5VMU4AmbMAHJyZ/59/QM0lbSJrO6fU&#10;anVavWa3Xa/YbHZbPabXbbfcbndbveb3fb/gcHYtriGnEAJLcLaTl9Tuez8j0Ghzaiq6j0mlk2m0&#10;+bVFiVOq1cl1mtyyuvy6LWxWSzAa0WqIXJ8+kAXYpRHPv8APH+X2/h9AAAHTAbts45UDtyLbIBIU&#10;0EIKALKlSULMC4zcHIif0Mj+K8OEFC8PxBEMRRHEkSxNE8URTFUVxZFsXRfGEYpEbcaH6zABRklD&#10;mOca6fKAoQFqIoykAIpSmMwqCpKodTAPGrQDq4rywPUvL2veJiEwy0LjgA+T6Psip6TEABkTKAAQ&#10;zRHM1I6fE2nwDYWTid0LwiZLjhtNaCvyVTSCsK880BQNBUHQlC0NQ9EUTRVF0ZRtHNnGhtmSzE8U&#10;eicdp5HroOlILqSG7Eju4mrvPBJjxPJKDzSksMqrOtMsIRLTDsTL0pvqu6IPOADiG1VFLUO/JiBL&#10;YYeuVCIKuOdCBv1Zb8oIzD8v1aFZWg/LN2YhTMH8/J5PyejMA8gYAvyf1oWhZaEWtcSIPyAbjn6/&#10;h4gqMl6HnX973xfN9X3EaAiAACBQOCQWDQeEQmFQuGQ2HQ+IRGJROKRWLReMRmNRuOR2PR+QSGRS&#10;OSSWTSeUSmVSuWS2XQNrzEaAWaMiBgOXzmdPqeACYtcAEehAAF0WdK6kAACUsAE2nAAA1GdMSqAB&#10;1VcAEutAAD12WvywABa2MAP2zAADWkAEy2Ql/W+oVKePqxWQpXeG3MAOC+AAB3+dYHBYPBPnDCwV&#10;4lq4SPqvHPB/5EESzIv+o5fKvWBiNrZ15IHQPxRaMSV0DsIBakMxt+wTK5cAgDK3EA5XLZVzlfdB&#10;zGb3fb/gcHhcPicXjcfkcnlcvmc3nc/odHpdPqdXrdfsQRtdtvakBCHs8O9T+g0Oiguj0mlgSm0/&#10;L1Oq1d1Vmt6av2GxrWy2e0ga1rahi3n8AB9wKur9LuKSCtme0GgAc0IAA7zwwpCoAHEEkMg/CyCl&#10;RDw/u8PbLgKk58LMfosixFRYIpDxUDU7xGsuyaTHlAQ0t0K5TQ5Hkex9H8gSDIUhyJIsjSPJEkyV&#10;JcmSbJyPG3KInMuWMnpI8aYvKI6iKMnKkFcpSmKcJraPgYirKwrQlq4ryWLAfkDv21r+v+JiGxOA&#10;E3zjBKCnRPwAHnQMJNTK1CpSHkMhIYshlVRoGMqT7Liky4BIxARVnhTIwDPTh7I4VNQAqy5VsuH6&#10;Nn3E5LMuPMcnvQ1X1hWNZVnWla1tW9cVzXVd15Xsfu2bR3u8CFfLynryKFLbzvTMD1vbMj3pyqkz&#10;vk+k1vtNz8LJPE6LZOyIMMfM4ijckLnEcUCQNaNi3YAB3BHeAKMxJZP3qCAFXwbbvAohjKnnTJ4B&#10;UM2BnIlhS4OIj+lygdKoWypvXCGIu4meV24ti+MYzjUrICCAACBQOCQWDQeEQmFQuGQ2HQ+IRGJR&#10;OKRWLReMRmNRuOR2PR+QSGRSOSSWTSeUSmVSuWS2XQtszEygOaJqXzeWvqdABrz0AEegAAF0OcK6&#10;jAACUkAE2mAAA0+cMSpAB1VUAEusAAD1uWvyvABa2EAP2yAADWcAEy1RF720ALe4AAbXMAPm7Ti8&#10;Xm9XuFP+/HQS4FG3zCQdU4c0wNFU8Age/P9KtbJHNA5V/YQA4dUqbGFbGOt96E0lrSK/C6fUanVa&#10;vWa3Xa/YbHZbPabXbbfcbndbveb3fb/gcHUMbiAkK8d2YwFcK9Tp9TyfUAj0KiTejK6kUqmE2nVC&#10;b1JiVSrVgl1quSyvPywWKyP2zWi1EyIvb6ABv/cAAj9cz+f2FhHAACMY9z/I+T8Dv0/QMCzBhwNk&#10;U0IBWecJm0M8LH3AsMw1DcOQ7D0PxBEMRRHEkSxNE8URTFUVpUbcXE+gYvsYx5/oZGsWIM5wAGxH&#10;gBuk6gFqKo6kgIpamsYqKpqqdSrqyrYDq6r6wlqsayH+s4DAC+KEse8R1H8eMwn+AUyRxMyKSQgj&#10;HgChbGKex5TMCEotzPOs7TvPE8z1Pc+T7P0/0BQNBUHQlCtScVEAS5x4oGAtDIFHSemun6gqHILr&#10;SG7Uju8l7wS9JryyfKL1SnKr3SwtK1oQbtWABLs00fWKDnrAARgbGdZVzXVd15XtfV+lCAiAACBQ&#10;OCQWDQeEQmFQuGQ2HQ+IRGJROKRWLReMRmNRuOR2PR+QSGRSOSSWTSeUSmVSuWS2XRNszEygOaJq&#10;XzeSvqdABrz0AEegAAF0OcK6jAACUkAE2mAAA0+cMSpAB1VUAEusAAD1uWvyvABa2EAP2yAADWcA&#10;Ey1AB920ANK4AAIXOcXW7Xe8RJ/3u+P81CbAJi84PCYXDYfEYnFYvGY3HY/IZHJZPKZXLZfMZnNZ&#10;vOZ3PZ/QaGGXwBNzTN6ngEP6KVTp9TyfUAj0KiTejK6kUqmE2nVCb1JiVSrVgl1quSyvPywWKyP2&#10;zWgh9EAODqc8DazsdmG3xyKTvB9A+F/dryeXzef0en1ev2e33e/4fH5fP6fX7ff8R2etcgUkCF61&#10;IBPyhjXNga6fqCBUFJwV8GgAmgBqWprUpwYsLOEdQACVDbjAOlp/RAABaRGsaygFE4ABXFQARPAU&#10;BxenC+uaFQURqbEYRxHMdR3Hkex9H8gSDIUhyJIsjSPJCMtMbhmoGGUgOTDDcgI3oApxKKCP8vEs&#10;IHCEqyur8og1McHppJMzodEB/F4wATCLNE4TjOU5zpOs7JIgIIAAIFA4JBYNB4RCYVC4ZDYdD4hE&#10;YlE4pFYtF4xGY1G45HY9H5BIZFI5JJZNJ5RKZVK5ZLZdG3/MQG3Zo+IGBJfOZ1O55PZ9P6BQaFI3&#10;zAw8JKQ6qHS6ZTadT6hUalU6pVatV6xWa1W65Xa9X7BYbFY7JZbNZ7C27UgwDbT5aLhcblc7pTZi&#10;/0eJb0crrfb9f8BgcFg8JhcNh8RicVi8Zjcdj8hXGZkwKD8s6YGEIO/8jnc9n88AYO86QJAhbQDn&#10;NBq9Zrddr9hsdls9ptdtt9xud1hmhvRCC+A29QA93xeNx5Nd36+uYIxXz3DyOl0+p1et1+xBICCA&#10;ACBQOCQWDQeEQmFQuGQ2HQ+IRGJROKRWLReMRmNRuOR2PR+QSGRSOSSWTSeUSmVSuWS2XSdtzE9g&#10;GaISXzecTmdTueT2fT+gRB/0NCCWjH2g0mlUumU2nU+oVGpVOqVWrVesVmtVuuV2vV+wWGxWOyWW&#10;zRGYttrzQAiiz2+4XG5XOP0N/uKjCUP3S+X2/X/AYHBYPCYXDYfEYnFYvGY3HY+utjJBQCZVywMD&#10;ZDNZvOYK7PfKgQJCHSPjO6fUanVavWa3Xa/YbHZbPabXbYxu7ki3Zdbffb/gQ67cMuCbjKbg8nlc&#10;vmc3nc+EQECAACBQOCQWDQeEQmFQuGQ2HQ+IRGJROKRWLReMRmNRuOR2PR+QSGRSOSSWTSeUSmVS&#10;uWS2XS+CNmZLcBzUkTCcTmdTueT2fT+gSd/0NeiWjESg0mlUumU2nU+oVGpVOqVWrVesVmtVuuV2&#10;vV+wWGxWOyWWzSVqWkDAe2OuBg2GAG5UOh1N9XcAHe9ABl30AXd9AGagN/hPDABEYkACzGQ00Y8A&#10;N/JREEZUACnMAA1ZsAB7PRkmaEAPvSQVc6eKlHVAB7a2G2wDgAZ7MAHXbAAFbmGpfeABYb+OkbhA&#10;A58WCkfkQUycsAFXnQ0+dG+X4GdUAK3sRV89sAE7vQVX+Hcbp2+UAFr0R0C+sALT3Vu5AEAXT5RJ&#10;4qT8BNA/t/Wf/P/AEAwFAcCQLA0DwRBMFQXBkGwdB8IQjCUJoIugBG3DB2AFDYIq8XkPgAx40IyH&#10;0SgATkUABDYBIKJsXAAa8Yo6LkaAAQEboiccdAAIMeoSUMgAAHchoiGMjAAeckoy9AtAA/ZAgA+K&#10;CkJKgAFBK6OipLTEMUggSS+hJozEAAFzKhLljIABgTWAAHzcABmziip7zoAAWzugpoT0ADqgYAB0&#10;0BIUiI4A1CgAa1EQQdjABQFVHHbClI0lSdKUrS1L0xTNNU3TlO09T9QVDUSGpkbIRRWa74gMq04m&#10;aAAr1ggoCVmABF1sAAQ1zJElDxXoAHLYCCkbYYACfYyCtCJgAGxZiCt4S6Cn9aQAPLSA/2u+a6oJ&#10;Vs2zehg9XAABVXGhMvhIABcXTIsjySeceR85wqtG0pzXqABLXxXd3IIR9+gBFwmynKsrlBZzeooD&#10;WEgAFeGILcyEh/iIAE7ikzuZNZgW6B84Tkik6HvO08IJPRoT461AHTQQdoKN+WgAFGYIjFYACHms&#10;A2kfx8MAE7GBYcVR6BoOhaHomi6NBCAggAAgUDgkFg0HhEJhULhkNh0PiERiUTikVi0XjEZjUbjk&#10;dj0fkEhkUjkklk0nlEplUrlktl0viDWmQmA01asDAkwiD/ngAHk/ADpoQABlFADLpAAAtLhoupwA&#10;fNRAASqgAY9XgpNrQAa9dgrcsENedjAAxs0FR9pAFaJsJflvAAouUFHV1ADGvEFYt7AAXv0NswxA&#10;FjeYAMGHAB8xUNG+NADtyFfsMEQmVACgzGSbkhEmdhq70AAEOjgpk0wAYGpAAP1gAZuvir32QAFu&#10;1grQ3FEo1CdIAHe/gqi4QAuo6nXHiL65T6Foq5za5HR6XT6nV63X7HZ7Xb7nd73f8Hh8Xj8nl83n&#10;9Hp9Xr9nt93v+HxkLb+hIAP3Wc47L7/gAFL/oKPsBAAL8CoidcEAACsFoatiuK8giwM2hkEHWAAc&#10;ww4LhuKhJow8AApxCgpqRIAAZROADlgANMWAAOcXsAs7CMMxDFD4hpcRyAA2R4gr6G2AD7gCADKk&#10;Iy7MwiyaPs6EiCpqA0UuUAEngAmRrNK07UmA1bWteZrYtm2oWtu3KigYoKht+HcNFE4i7PkjbliY&#10;5wVFrOE7zxPM9T3Pk+z9P9AUDQVB0JQtDUPRFE0VRdGUSbVHjfIRHyFIbqG9S4ACNTUyGg3UzoIn&#10;h/orISCiZUwAGxVKCkBViCqifIAQkABV1ohNZIY/4UgA/h9gACNfqOpIr2G1zYSTCaDrefgABpZo&#10;AHpaAAC9aYAD1ayCgHbMgvugsmIKV9wNo20iyOUCOmddAAAdddus8giumu/0AIJaYvAAP18AA0wy&#10;NQ1TWAfYsvoo2R73FMaCNxTszTQ3s1I6POIAAMeJvdUJ/2UK1clZRuOY7j2P5BkORZHkmS5Nk+UZ&#10;TlWV5ZltDUebQ/SEP6B0oAOLIHUSBZ0gUhZwgmfVChq8GMAMCi+nKBx/XqD4SAAq6gAqIaWgi2AJ&#10;VJsUqiwO64fxU6+fsFgqhNoHosqzakgZb7WfdvHRt4AB7uW0oEVm7H4F+854AAS77uiIysfal7/v&#10;m/IITPEH4IXFn/IoBFDyABo5dBnH2BvLoLvoS7/pdrD0ANaFWAlSL2Yp9jx1ABmF1YBXWBx/y9Za&#10;J4IACnBdv+En2Bfd4Ynyf8Ii/UDwfmJjHvbq1IhFQ0oAB++cRoT+iPGXep6vrev7Hs+17aCICIAA&#10;IFA4JBYNB4RCYVC4ZDYdD4hEYlE4pFYtF4xGY1G45HY9H5BIZFI5JJZNJ5RKZVK5ZLZdL5A25kgQ&#10;DNT9MII6p0AB1PYKwqAAA1Q4K0KMACpSYi3KZBSZTwA2KlBT1VQAxKwAKAwoKOa8AFFYQBNQDDT5&#10;ZwAqLVBWzbQAA7hBRJc4KFLsAGReYK7L4ACHfwA9cEACvhQAccRBQni7HNQA/sgABNk4KrMsABhm&#10;QAhM4AFBn4Ky9FFQfpQAAtRcrpBKY3AA/NgABfswA+dsABBudxumBvQBpQeAGbw4q9+MABbyaLRw&#10;ZzQA6egAB304KlesABt2YiCe4AAR35xHH/40GJfNN/D6fV6/Z7fd7/h8fl8/p9ft9/x+f1+/5/f8&#10;/8AQDAUBwJAsDQPBEEwUhzWj68Z/kAsgBJYfcKgAFMMIKM8NgAOsPIiUkQgAQESIK1qnKgqRsRMp&#10;qCF3F4ADTGSCp6HQAFDHDGrKgh+x6AAZyAAB6SGjpjyMAAKySgoYyYAB5yeAAwSkACzj4hpeSwAA&#10;0S2gqZG3HTNs6z5QRY1yQLmEkyoK3pgAAMk3oKoYNAAc06t+0zhmaABxT457otgfgAK8HKCntQwA&#10;BdRKCmpRjvPA6B0uk6iCLCUSeJ9BaDweyDIDuE9PkZTNRVHUlS1NU9UVTVVV1ZVtXVfWFY1lWdaV&#10;rW1b1wjjWjRB5KwklEHgAJFhgAbtjAAA1kgBIxjzu4KGEpaIAEhak1IIJtsAAa9t2sgdgykMAAGL&#10;caCkXcwACjdKCmrdgACfd6QjFeQAKqPUlybJ55yjKcqoaH9/gAcuBNO1JtYMgrOEIzzQNZFqPzRb&#10;qDChiYAUYaiEuA4TiYmKGK0aBWQAAaWRoKaeTXRdWGzMgdIUkHaC0rS8bVPHp+jNT4Tk3XOd55nu&#10;fZ/oGg6FoeiaLo2j6RpOlaXpmf4MbQ0rISayAGlEVABbAmgBYKCD3r2ZAAduxXoqxybMhMT2vbNt&#10;mviKC2CyYTa28eS5O7gEgAp4mKiqe7gBkxpoiKXB5FkjUQnq/DgBJgYydKAecgAAncmx7I5aT3MA&#10;AePNoLaJKWFYiCYThcyIIRXTozwYpNVNOVISdfYZdyp/ILjM8gAWfcsOxKCXqAAceAAHVNe2KyAB&#10;LyC5a6eXoIM3nABiCKCX6YAAP6z3wfmp+i2FHulTpvwfD8Xx/J8vzfOhaAiAACBQOCQWDQeEQmFQ&#10;uGQ2HQ+IRGJROKRWLReMRmNRuOR2PR+QSGRSOSSWTSeUSmVSuWS2XS+YNuZFWBqYAzcCShkTsAFy&#10;fRkD0EAJGiAAiUeCk2lABr02CtyoQ1p1MAFGrQUbVkAKWuAAS1+CmOxAA82WIsK0AAxWuCrK3AAV&#10;XEADG6AB53eMmi9AA6X2EoTAABQYOQ1BuQUSYmn1GGIvHABM5GCg/KABm5eCjPNAB452IqnQADND&#10;OCunTAAd6mQsnWAAJ6+YQwp4kSK7Y7fcbndbveb3fb/gcHhcPicXjcfkcnlcvmc3nc/odHpdPqdX&#10;rdfsddtdsmALvK5/+EBTcAv7wv8AeT0QLz+GB+uJKb5ANH/UCvr8eQAgAP/1/EZAB9K+Er4ISO8D&#10;gKcMFAEghUQcfKIMAQgCmpCsGIGHkMn6YkOAHBsHowLERAOggDRMf5RRSfS1jEAx7Re/aFgbGZ/i&#10;BGx+izHJ+u9C6FlDH4BlvISco/BxUQggcRCxEiByNJCHSVJiBAdKh/E1K59oI84AD5LoClrMACS2&#10;CsyH8VUznyCU1ISd82gANM4Skjsrk0fMqAcij9IIALzz0gc+PE8gBvOf1Cn8HIT0SZTs0ZRtHUfS&#10;FI0lSdKUrS1L0xTNNU3TlO09T9QVDUVRu2bQRvIYjyAxUdWVbVyInWftZB/RITmvV9cVzXVd15Xt&#10;fV/YFg2FYdiWLY1j2RZNWF/ZgCA7Z9boEEllWpaqYPOaJn20GYrW6ftrXBcNxXHcly3NYaAggAAg&#10;UDgkFg0HhEJhULhkNh0PiERiUTikVi0XjEZjUbjkdj0fkEhkUjkklk0nlEplUrlktl0vmEUbMzRI&#10;Cmx0AM5AUxnk9n0/oFBoUIf9Ff0DRQlpR5odNp1PqFRqVTqlVq1XrFZrVbrldr1fsFhsVjslls1n&#10;tFptVrtkXbVvHE2AS/gYItt3vF5oFFf74uRFEeBYl6wmFw2HxGJxWLxmNx2PyGRyWTymVy2XzGZj&#10;NvbQVnIBaEDDMEz98f8J0ua1WavgBi+fnMHcr62gvFW3dur3W73m932/4HB4XD4nF43H5HJ5XLiC&#10;/5wIDfRQefOOfAfM7GrvlHgSSZ/fOhW8T97Pl83n9Hp9XrwsBIAAIFA4JBYNB4RCYVC4ZDYdD4hE&#10;YlE4pFYtF4xGY1G45HY9H5BIZFI5JJZNJ5RKZVK5ZLZdL5hKG/MxA/JsyQDOQtMZ5PZ9P6BQYo/6&#10;I/5yAXK/qUMhNTXXQqhUalU6pVatV6xWa1W65Xa9X7BYbFY7JZbNZ7RabVa7Zbbdb7hC25c0NAzt&#10;AwHcb1e75BqK/YGhWfg0EVsNgL7icVi8Zjcdj8hkclk8plctl8xmc1m85nc9W1loQUKtI4IGFc/q&#10;dVCqK6gFrxMI9k8dXtdtt9xud1u95vd9v+BweFw+JxeNMW1yT7rwEgKLR5zRaN0YH0oTR+t2OP24&#10;jz4JR4LSn8iaaJj53PR6fV6/Z7fdnoCAgAAgUDgkFg0HhEJhULhkNh0PiERiUTikVi0XjEZjUbjk&#10;dj0fkEhkUjkklk0nlEplUrlktl0vmExh7nmgLek3SQBnRimU9n0/oFBir/oj+gagfNJN4spj0oVP&#10;qFRqVTqlVq1XrFZrVbrldr1fsFhsVjslls1ntFptVrtltt1vqJ/uQELl1UMDKk6AIGuF9v0ufL+w&#10;Sqe2FNIwxD1v+LxmNx2PyGRyWTymVy2XzGZzWbzmdz2f0GhkDa0gVvSPgZYvQD0WtrypgZuEmzdW&#10;u2233G53W73m932/4HB4XD4nF43H3Tf5QIfvNYWCfwtAXTAkDolEAF6f8Hf3X5F9vQBg4B6/ihQC&#10;gYCvT7gbMeHvIA0+Xs7/1+33/H5/X7/kMgKAACBQOCQWDQeEQmFQuGQ2HQ+IRGJROKRWLReMRmNR&#10;uOR2PR+QSGRSOSSWTSeUSmVSuWS2XS+YTGXuWaAp6zcpAKdH9/z0RgGgAGZUOiUWjQSev9vP2mIC&#10;dAJVCapPmj1WrVesVmtVuuV2vV+wWGxWOyWWzWe0Wm1Wu2W23W+4XG5XO6XW7Wlu3lTUkpUkDUGh&#10;XfBUakv+Bv2Bq984suCzHPrB5HJZPKZXLZfMZnNZvOZ3PZ/QaHRaPSaXTafURBtasmU9H0kRwTAY&#10;WB4aBbaBUHabKgbvUy6gwmk7Oku6kmWpCZZ7/mc3nc/odHpdPqdXrdfsdntdvud3vXNqeEDATyCK&#10;npaBjmngjv1ekviBsKgmx8fVw44WZD2/v+f3/P/AEAwEoiAggAAgUDgkFg0HhEJhULhkNh0PiERi&#10;UTikVi0XjEZjUbjkdj0fkEhkUjkklk0nlEplUrlktl0vmExmUtcE1EL8nBsf87KABnwdgYFmdDok&#10;Inb/fcDclHVz+pyVFFRb9FqlVq1XrFZrVbrldr1fsFhsVjslls1ntFptVrtltt1vuFxuVzul1u13&#10;jDavQVo4pAd/IFOfxcnwBDcDBMDf8UwuLvEMo72wrmnD8U9/Aa6o7jE2dcmP0Gh0Wj0ml02n1Gp1&#10;Wr1mt12v2Gx2Wz2m12233EGALZ3g1gZgAXBFsDHOFAdGo+No8Rxsg5MLf+FAHJo7GwrSwSiE/bZO&#10;573f8Hh8Xj8nl83n9Hp9Xr9nt93v+HxtrX+gNfv3CIJ/QYyoVwoLoGETChUgYFoWATCgIgbjoFBS&#10;BAOo4CKOWSjm44IBHQwp2sEdD7n6eIUxCeb5RJEsTRPFEUxVFbyICIAAIFA4JBYNB4RCYVC4ZDYd&#10;D4hEYlE4pFYtF4xGY1G45HY9H5BIZFI5JJZNJ5RKZVK5ZLZdL5hMZlM5pNZtN5xOZ1O55PZ9P6BQ&#10;aFQ6JRaNR6RSaVS6ZTadT6hUalU6pVatV6xWa1W65Xa9X7BYbFY7JZbNZ7RabVa7Zbbdb7hcblc7&#10;pdbtd7xeb1e75fb9f8BgcFg8JhcNh8RicVi8Zjcdj8hkclk8plctl5ZAQIAAIFA4JBYNB4RCYVC4&#10;ZDYdD4hEYlE4pFYtF4xGY1G45HY9H5BIZFI5JJZNJ5RKZVK5ZLZdL5hMZlM5pNZtN5xOZ1O55PZ9&#10;P6BQaFQ6JRaNR6RSaVS6ZTadT6hUalU6pVatV6xWa1W65Xa9X7BYbFY7JZbNZ7RabVWYCBAA/gAE&#10;AAEAAAAAAAAAAAEEAAEAAADQAgAAAQEEAAEAAAA6AwAAAgEDAAQAAAD4oAIAAwEDAAEAAAAFAAAA&#10;BgEDAAEAAAACAAAAEQEEAM8AAAAAoQIAFQEDAAEAAAAEAAAAFgEEAAEAAAAEAAAAFwEEAM8AAAA8&#10;pAIAGgEFAAEAAAB4pwIAGwEFAAEAAACApwIAHAEDAAEAAAABAAAAKAEDAAEAAAACAAAAPQEDAAEA&#10;AAACAAAAUgEDAAEAAAACAAAAAAAAAAgACAAIAAgACAAAALYAAABkAQAAEgIAAM0CAABIBAAABQYA&#10;AI8HAAD+CAAATgoAAPILAADoDQAAFBAAAH8SAAADFQAAZRcAANcZAACAHAAAdR8AAF0iAACkJQAA&#10;LCkAAMUsAAARMAAAfDMAAM42AAD0OQAASj0AAF9AAACLQwAA2UYAAAhKAABjTQAAxVAAAEpUAAAK&#10;WAAAs1sAAEtfAAAgYgAAPmYAAANsAAAMcgAA/HcAACF8AABogQAAQ4cAAPWLAAApkAAAjJQAAAmZ&#10;AACdnQAAXKIAAO2mAAC4qwAAQrAAAMu0AACVuAAArLwAAE/AAACmwwAAz8YAALXJAAAFzAAAPNAA&#10;AGnUAAAA2AAANtsAALDgAAAA6AAAhu4AAGXyAABV9QAAbfoAAEQBAQCuCAEAIBABAHUVAQDQGgEA&#10;WSABAKclAQDOKQEA2S0BAC0xAQD+MwEA2DcBAMQ7AQBGQAEAgEMBANpFAQAvSwEAUFEBALBWAQC8&#10;WQEA2VwBAOJhAQDoZwEArm4BAJNzAQC6dwEA5HsBAC+AAQCVhQEAzYoBAMSPAQDOlAEAmZkBAPyd&#10;AQCuogEAi6cBAOGsAQAasgEAKrcBAIO8AQAKwgEAdcUBAPDIAQAQzAEA784BAB7RAQD70gEANtYB&#10;AEvcAQAq5AEAoeoBABDvAQBB8wEAj/cBAKf7AQD//gEADgMCADwIAgALDgIA3hICAP8VAgANGQIA&#10;CxwCAE8fAgAuIgIA8SQCAK8nAgCoKgIAri0CAF8wAgCEMgIAGDQCABI3AgANOwIA9z4CAHtBAgDV&#10;QgIAH0QCAJZFAgBFRwIALUgCABtJAgAFSgIA80oCAOpLAgB7TQIA404CAL9QAgCqUgIASVQCALJV&#10;AgADVwIAi1gCACJaAgCsWwIARV0CALZeAgA3YAIAmmECADljAgDBZAIAHmYCAIVnAgDnaAIAc2oC&#10;AO5rAgB4bQIA4W4CAHBwAgDwcQIAqXMCAFt1AgBYdwIAUXkCAHJ7AgDkfQIAUoACAMCCAgAehQIA&#10;o4cCALaJAgBuiwIAZYwCAFKNAgAOkAIAhJMCAAmXAgBNmQIAWZoCAGmbAgCInAIAr50CAAmfAgC3&#10;nwIArgAAAK4AAACuAAAAuwAAAHsBAAC9AQAAigEAAG8BAABQAQAApAEAAPYBAAAsAgAAawIAAIQC&#10;AABiAgAAcgIAAKkCAAD1AgAA6AIAAEcDAACIAwAAmQMAAEwDAABrAwAAUgMAACYDAABWAwAAFQMA&#10;ACwDAABOAwAALwMAAFsDAABiAwAAhQMAAMADAACpAwAAmAMAANUCAAAeBAAAxQUAAAkGAADwBQAA&#10;JQQAAEcFAADbBQAAsgQAADQEAABjBAAAfQQAAJQEAAC/BAAAkQQAAMsEAACKBAAAiQQAAMoDAAAX&#10;BAAAowMAAFcDAAApAwAA5gIAAFACAAA3BAAALQQAAJcDAAA2AwAAegUAAFAHAACGBgAA3wMAAPAC&#10;AAAYBQAA1wYAAGoHAAByBwAAVQUAAFsFAACJBQAATgUAACcEAAALBAAAVAMAANECAADaAwAA7AMA&#10;AIIEAAA6AwAAWgIAAFUFAAAhBgAAYAUAAAwDAAAdAwAACQUAAAYGAADGBgAA5QQAACcEAAAqBAAA&#10;SwQAAGYFAAA4BQAA9wQAAAoFAADLBAAAYwQAALIEAADdBAAAVgUAADkFAAAQBQAAWQUAAIcFAABr&#10;AwAAewMAACADAADfAgAALwIAAN0BAAA7AwAAFQYAAN8HAAB3BgAAbwQAADEEAABOBAAAGAQAAFgD&#10;AAAPBAAALgUAAM8FAADTBAAAIQMAAA4DAAD+AgAARAMAAN8CAADDAgAAvgIAAPkCAAAGAwAAsQIA&#10;ACUCAACUAQAA+gIAAPsDAADqAwAAhAIAAFoBAABKAQAAdwEAAK8BAADoAAAA7gAAAOoAAADuAAAA&#10;9wAAAJEBAABoAQAA3AEAAOsBAACfAQAAaQEAAFEBAACIAQAAlwEAAIoBAACZAQAAcQEAAIEBAABj&#10;AQAAnwEAAIgBAABdAQAAZwEAAGIBAACMAQAAewEAAIoBAABpAQAAjwEAAIABAAC5AQAAsgEAAP0B&#10;AAD5AQAAIQIAAHICAABuAgAAbgIAAF4CAACFAgAAEwIAALgBAAD3AAAA7QAAALwCAAB2AwAAhQMA&#10;AEQCAAAMAQAAEAEAAB8BAAAnAQAAWgEAAK4AAAB7AAAAYFsDAOgDAABgWwMA6AMAAFBLAwQUAAYA&#10;CAAAACEAgtdjdd0AAAAFAQAADwAAAGRycy9kb3ducmV2LnhtbEyPQUvDQBCF74L/YRnBm92sklrS&#10;bEop6qkItoL0ts1Ok9DsbMhuk/TfO3rRy4PhDe99L19NrhUD9qHxpEHNEhBIpbcNVRo+968PCxAh&#10;GrKm9YQarhhgVdze5CazfqQPHHaxEhxCITMa6hi7TMpQ1uhMmPkOib2T752JfPaVtL0ZOdy18jFJ&#10;5tKZhrihNh1uaizPu4vT8Daacf2kXobt+bS5Hvbp+9dWodb3d9N6CSLiFP+e4Qef0aFgpqO/kA2i&#10;1cBD4q+y97xQPOOoIU3VHGSRy//0xTcAAAD//wMAUEsDBBQABgAIAAAAIQBLcg6RwwAAAKcBAAAZ&#10;AAAAZHJzL19yZWxzL2Uyb0RvYy54bWwucmVsc7yQywrCMBBF94L/EGZv03YhIqbdiOBW9AOGZNIG&#10;mwdJFP17A4IoCO5czgz33MNs+pud2JViMt4JaKoaGDnplXGDgNNxt1gBSxmdwsk7EnCnBH03n20O&#10;NGEuoTSakFihuCRgzDmsOU9yJIup8oFcuWgfLeYyxoEHlGcciLd1veTxnQHdB5PtlYC4Vy2w4z2U&#10;5t9sr7WRtPXyYsnlLxXc2NJdgBgHygIsKYPPZVtlozXw7xLNfySalwT/eG/3AAAA//8DAFBLAQIt&#10;ABQABgAIAAAAIQD1E8j1CgEAABUCAAATAAAAAAAAAAAAAAAAAAAAAABbQ29udGVudF9UeXBlc10u&#10;eG1sUEsBAi0AFAAGAAgAAAAhADj9If/WAAAAlAEAAAsAAAAAAAAAAAAAAAAAOwEAAF9yZWxzLy5y&#10;ZWxzUEsBAi0AFAAGAAgAAAAhAMIYL+nKAgAAzQcAAA4AAAAAAAAAAAAAAAAAOgIAAGRycy9lMm9E&#10;b2MueG1sUEsBAi0ACgAAAAAAAAAhABtuIB46+AAAOvgAABUAAAAAAAAAAAAAAAAAMAUAAGRycy9t&#10;ZWRpYS9pbWFnZTEudGlmZlBLAQItAAoAAAAAAAAAIQAOjElSiKcCAIinAgAVAAAAAAAAAAAAAAAA&#10;AJ39AABkcnMvbWVkaWEvaW1hZ2UyLnRpZmZQSwECLQAUAAYACAAAACEAgtdjdd0AAAAFAQAADwAA&#10;AAAAAAAAAAAAAABYpQMAZHJzL2Rvd25yZXYueG1sUEsBAi0AFAAGAAgAAAAhAEtyDpHDAAAApwEA&#10;ABkAAAAAAAAAAAAAAAAAYqYDAGRycy9fcmVscy9lMm9Eb2MueG1sLnJlbHNQSwUGAAAAAAcABwDA&#10;AQAAXKcDAAAA&#10;">
                <v:shape id="Picture 6" o:spid="_x0000_s1027" type="#_x0000_t75" alt="A close up of a sign&#10;&#10;Description automatically generated" style="position:absolute;left:28920;top:1594;width:12884;height:3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8uxwgAAANoAAAAPAAAAZHJzL2Rvd25yZXYueG1sRI9BawIx&#10;FITvQv9DeAVvNatFKatRbKHqxWJV8PrYPDeLm5c1ibr+e1MoeBxm5htmMmttLa7kQ+VYQb+XgSAu&#10;nK64VLDffb99gAgRWWPtmBTcKcBs+tKZYK7djX/puo2lSBAOOSowMTa5lKEwZDH0XEOcvKPzFmOS&#10;vpTa4y3BbS0HWTaSFitOCwYb+jJUnLYXq+BHVu99bc7LhR8u1uWm5s+DOSjVfW3nYxCR2vgM/7dX&#10;WsEI/q6kGyCnDwAAAP//AwBQSwECLQAUAAYACAAAACEA2+H2y+4AAACFAQAAEwAAAAAAAAAAAAAA&#10;AAAAAAAAW0NvbnRlbnRfVHlwZXNdLnhtbFBLAQItABQABgAIAAAAIQBa9CxbvwAAABUBAAALAAAA&#10;AAAAAAAAAAAAAB8BAABfcmVscy8ucmVsc1BLAQItABQABgAIAAAAIQAz48uxwgAAANoAAAAPAAAA&#10;AAAAAAAAAAAAAAcCAABkcnMvZG93bnJldi54bWxQSwUGAAAAAAMAAwC3AAAA9gIAAAAA&#10;">
                  <v:imagedata r:id="rId19" o:title="A close up of a sign&#10;&#10;Description automatically generated"/>
                </v:shape>
                <v:shape id="Picture 4" o:spid="_x0000_s1028" type="#_x0000_t75" style="position:absolute;width:29914;height:34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3RxxAAAANoAAAAPAAAAZHJzL2Rvd25yZXYueG1sRI9Pa8JA&#10;FMTvBb/D8gRvdaOEKKmrqLXQSwvGHnp8ZF/+1OzbNLtN0m/fLQgeh5n5DbPZjaYRPXWutqxgMY9A&#10;EOdW11wq+Li8PK5BOI+ssbFMCn7JwW47edhgqu3AZ+ozX4oAYZeigsr7NpXS5RUZdHPbEgevsJ1B&#10;H2RXSt3hEOCmkcsoSqTBmsNChS0dK8qv2Y9RUGTrN50v9Htsvz+L1dfzITn5g1Kz6bh/AuFp9Pfw&#10;rf2qFcTwfyXcALn9AwAA//8DAFBLAQItABQABgAIAAAAIQDb4fbL7gAAAIUBAAATAAAAAAAAAAAA&#10;AAAAAAAAAABbQ29udGVudF9UeXBlc10ueG1sUEsBAi0AFAAGAAgAAAAhAFr0LFu/AAAAFQEAAAsA&#10;AAAAAAAAAAAAAAAAHwEAAF9yZWxzLy5yZWxzUEsBAi0AFAAGAAgAAAAhAFYDdHHEAAAA2gAAAA8A&#10;AAAAAAAAAAAAAAAABwIAAGRycy9kb3ducmV2LnhtbFBLBQYAAAAAAwADALcAAAD4AgAAAAA=&#10;">
                  <v:imagedata r:id="rId20" o:title=""/>
                </v:shape>
                <w10:wrap type="topAndBottom" anchorx="page"/>
              </v:group>
            </w:pict>
          </mc:Fallback>
        </mc:AlternateContent>
      </w:r>
    </w:p>
    <w:p w14:paraId="45D05861" w14:textId="77777777" w:rsidR="00496804" w:rsidRDefault="0037359D">
      <w:pPr>
        <w:pStyle w:val="Opisslike"/>
        <w:ind w:left="1134"/>
        <w:rPr>
          <w:rFonts w:ascii="Times New Roman" w:hAnsi="Times New Roman"/>
          <w:b w:val="0"/>
          <w:bCs w:val="0"/>
          <w:i/>
          <w:iCs/>
          <w:sz w:val="24"/>
          <w:szCs w:val="24"/>
        </w:rPr>
      </w:pPr>
      <w:bookmarkStart w:id="43" w:name="_Hlk32916235"/>
      <w:r>
        <w:rPr>
          <w:rFonts w:ascii="Times New Roman" w:hAnsi="Times New Roman"/>
          <w:b w:val="0"/>
          <w:bCs w:val="0"/>
          <w:i/>
          <w:iCs/>
          <w:sz w:val="24"/>
          <w:szCs w:val="24"/>
        </w:rPr>
        <w:t xml:space="preserve">Slika </w:t>
      </w:r>
      <w:r>
        <w:rPr>
          <w:rFonts w:ascii="Times New Roman" w:hAnsi="Times New Roman"/>
          <w:b w:val="0"/>
          <w:bCs w:val="0"/>
          <w:i/>
          <w:iCs/>
          <w:sz w:val="24"/>
          <w:szCs w:val="24"/>
        </w:rPr>
        <w:fldChar w:fldCharType="begin"/>
      </w:r>
      <w:r>
        <w:rPr>
          <w:rFonts w:ascii="Times New Roman" w:hAnsi="Times New Roman"/>
          <w:b w:val="0"/>
          <w:bCs w:val="0"/>
          <w:i/>
          <w:iCs/>
          <w:sz w:val="24"/>
          <w:szCs w:val="24"/>
        </w:rPr>
        <w:instrText xml:space="preserve"> SEQ Sl. \* ARABIC </w:instrText>
      </w:r>
      <w:r>
        <w:rPr>
          <w:rFonts w:ascii="Times New Roman" w:hAnsi="Times New Roman"/>
          <w:b w:val="0"/>
          <w:bCs w:val="0"/>
          <w:i/>
          <w:iCs/>
          <w:sz w:val="24"/>
          <w:szCs w:val="24"/>
        </w:rPr>
        <w:fldChar w:fldCharType="separate"/>
      </w:r>
      <w:r>
        <w:rPr>
          <w:rFonts w:ascii="Times New Roman" w:hAnsi="Times New Roman"/>
          <w:b w:val="0"/>
          <w:bCs w:val="0"/>
          <w:i/>
          <w:iCs/>
          <w:sz w:val="24"/>
          <w:szCs w:val="24"/>
        </w:rPr>
        <w:t>1</w:t>
      </w:r>
      <w:r>
        <w:rPr>
          <w:rFonts w:ascii="Times New Roman" w:hAnsi="Times New Roman"/>
          <w:b w:val="0"/>
          <w:bCs w:val="0"/>
          <w:i/>
          <w:iCs/>
          <w:sz w:val="24"/>
          <w:szCs w:val="24"/>
        </w:rPr>
        <w:fldChar w:fldCharType="end"/>
      </w:r>
      <w:r>
        <w:rPr>
          <w:rFonts w:ascii="Times New Roman" w:hAnsi="Times New Roman"/>
          <w:b w:val="0"/>
          <w:bCs w:val="0"/>
          <w:i/>
          <w:iCs/>
          <w:sz w:val="24"/>
          <w:szCs w:val="24"/>
        </w:rPr>
        <w:t>. Usporedba kružnog i linearnog modela gospodarenja zgradama</w:t>
      </w:r>
    </w:p>
    <w:bookmarkEnd w:id="43"/>
    <w:p w14:paraId="45D05862" w14:textId="77777777" w:rsidR="00496804" w:rsidRDefault="00496804">
      <w:pPr>
        <w:spacing w:line="240" w:lineRule="auto"/>
        <w:rPr>
          <w:rFonts w:ascii="Times New Roman" w:hAnsi="Times New Roman"/>
          <w:sz w:val="24"/>
        </w:rPr>
      </w:pPr>
    </w:p>
    <w:p w14:paraId="45D05863"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Postojeći prevladavajući linearni model gradnje i korištenja prostora i zgrada je dugoročno neodrživ te su potrebne mjere kojima će se osigurati zadržavanje vrijednosti resursa kroz sve faze njegovog c</w:t>
      </w:r>
      <w:r>
        <w:rPr>
          <w:rFonts w:ascii="Times New Roman" w:hAnsi="Times New Roman"/>
          <w:sz w:val="24"/>
          <w:szCs w:val="24"/>
        </w:rPr>
        <w:t>jeloživotnog</w:t>
      </w:r>
      <w:r>
        <w:rPr>
          <w:rFonts w:ascii="Times New Roman" w:hAnsi="Times New Roman" w:cs="Times New Roman"/>
          <w:sz w:val="24"/>
          <w:szCs w:val="24"/>
        </w:rPr>
        <w:t xml:space="preserve"> vijeka (sirovina, proizvodnja, upotreba, oporaba). Postojeći prostori i zgrade su bitni resursi koji bi, uz primjenu načela kružnog gospodarenja, mjera energetske učinkovitosti i obnovljivih izvora energije, mogli rezultirati značajnim smanjenjem nastanka građevnog otpada, a onda i emisija stakleničkih plinova i razvojem niza ostalih pozitivnih gospodarskih učinaka. Uspješna primjena kružnog gospodarenja u zgradarstvu ovisi stoga o povezivanju okolišnih i gospodarskih aspekata projekata. </w:t>
      </w:r>
    </w:p>
    <w:p w14:paraId="45D05864" w14:textId="77777777" w:rsidR="00496804" w:rsidRDefault="00496804">
      <w:pPr>
        <w:pStyle w:val="tekst"/>
        <w:spacing w:line="240" w:lineRule="auto"/>
        <w:rPr>
          <w:rFonts w:ascii="Times New Roman" w:hAnsi="Times New Roman" w:cs="Times New Roman"/>
          <w:sz w:val="24"/>
          <w:szCs w:val="24"/>
          <w:u w:color="942192"/>
        </w:rPr>
      </w:pPr>
    </w:p>
    <w:p w14:paraId="45D05865"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U linearnom modelu se odluke o tome hoće li se pojedina zgrada obnavljati, odnosno rušiti te graditi nova, donose uz uvažavanje gospodarskih kriterija. Tradicionalna analiza troškova i koristi često pokazuje da je ekonomičnije rušiti i zatim ponovno izgraditi, no ovaj rezultat ovisi o tome što se uključuje u proračun. Valjalo bi imati na umu da je energija samo jedan od niza resursa u cjelokupnom procesu gradnje i održavanja zgrada. Kružna obnova trebala bi obuhvatiti cjelovitu sliku vezano za korištenje resursa u cjeloživotnom vijeku zgrade. Dodavanjem okolišnih kriterija ukupnoj procjeni, obrazac ponašanja bi se mogao značajnije promijeniti. </w:t>
      </w:r>
    </w:p>
    <w:p w14:paraId="45D05866" w14:textId="77777777" w:rsidR="00496804" w:rsidRDefault="00496804">
      <w:pPr>
        <w:pStyle w:val="tekst"/>
        <w:spacing w:line="240" w:lineRule="auto"/>
        <w:rPr>
          <w:rFonts w:ascii="Times New Roman" w:hAnsi="Times New Roman" w:cs="Times New Roman"/>
          <w:sz w:val="24"/>
          <w:szCs w:val="24"/>
          <w:u w:color="942192"/>
        </w:rPr>
      </w:pPr>
    </w:p>
    <w:p w14:paraId="45D05867" w14:textId="77777777" w:rsidR="00496804" w:rsidRDefault="00496804">
      <w:pPr>
        <w:pStyle w:val="tekst"/>
        <w:spacing w:line="240" w:lineRule="auto"/>
        <w:rPr>
          <w:rFonts w:ascii="Times New Roman" w:hAnsi="Times New Roman" w:cs="Times New Roman"/>
          <w:sz w:val="24"/>
          <w:szCs w:val="24"/>
          <w:u w:color="942192"/>
        </w:rPr>
      </w:pPr>
    </w:p>
    <w:p w14:paraId="45D05868" w14:textId="77777777" w:rsidR="00496804" w:rsidRDefault="00496804">
      <w:pPr>
        <w:pStyle w:val="tekst"/>
        <w:spacing w:line="240" w:lineRule="auto"/>
        <w:rPr>
          <w:rFonts w:ascii="Times New Roman" w:hAnsi="Times New Roman" w:cs="Times New Roman"/>
          <w:sz w:val="24"/>
          <w:szCs w:val="24"/>
          <w:u w:color="942192"/>
        </w:rPr>
      </w:pPr>
    </w:p>
    <w:p w14:paraId="45D05869" w14:textId="77777777" w:rsidR="00496804" w:rsidRDefault="0037359D">
      <w:pPr>
        <w:pStyle w:val="tekst"/>
        <w:spacing w:line="240" w:lineRule="auto"/>
        <w:rPr>
          <w:rFonts w:ascii="Times New Roman" w:hAnsi="Times New Roman" w:cs="Times New Roman"/>
          <w:sz w:val="24"/>
          <w:szCs w:val="24"/>
          <w:u w:color="942192"/>
        </w:rPr>
      </w:pPr>
      <w:r>
        <w:rPr>
          <w:noProof/>
        </w:rPr>
        <w:lastRenderedPageBreak/>
        <w:drawing>
          <wp:inline distT="0" distB="0" distL="0" distR="0" wp14:anchorId="45D061F7" wp14:editId="45D061F8">
            <wp:extent cx="6276975" cy="2545715"/>
            <wp:effectExtent l="0" t="0" r="0" b="6985"/>
            <wp:docPr id="128000710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07103" name="Slika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76976" cy="2546111"/>
                    </a:xfrm>
                    <a:prstGeom prst="rect">
                      <a:avLst/>
                    </a:prstGeom>
                  </pic:spPr>
                </pic:pic>
              </a:graphicData>
            </a:graphic>
          </wp:inline>
        </w:drawing>
      </w:r>
    </w:p>
    <w:p w14:paraId="45D0586A" w14:textId="77777777" w:rsidR="00496804" w:rsidRDefault="0037359D">
      <w:pPr>
        <w:pStyle w:val="Opisslike"/>
        <w:rPr>
          <w:rFonts w:ascii="Times New Roman" w:hAnsi="Times New Roman"/>
          <w:b w:val="0"/>
          <w:bCs w:val="0"/>
          <w:i/>
          <w:iCs/>
          <w:sz w:val="24"/>
          <w:szCs w:val="24"/>
        </w:rPr>
      </w:pPr>
      <w:bookmarkStart w:id="44" w:name="_Hlk32916150"/>
      <w:r>
        <w:rPr>
          <w:rFonts w:ascii="Times New Roman" w:hAnsi="Times New Roman"/>
          <w:b w:val="0"/>
          <w:bCs w:val="0"/>
          <w:i/>
          <w:iCs/>
          <w:sz w:val="24"/>
          <w:szCs w:val="24"/>
        </w:rPr>
        <w:t xml:space="preserve">Slika </w:t>
      </w:r>
      <w:r>
        <w:rPr>
          <w:rFonts w:ascii="Times New Roman" w:hAnsi="Times New Roman"/>
          <w:b w:val="0"/>
          <w:bCs w:val="0"/>
          <w:i/>
          <w:iCs/>
          <w:sz w:val="24"/>
          <w:szCs w:val="24"/>
        </w:rPr>
        <w:fldChar w:fldCharType="begin"/>
      </w:r>
      <w:r>
        <w:rPr>
          <w:rFonts w:ascii="Times New Roman" w:hAnsi="Times New Roman"/>
          <w:b w:val="0"/>
          <w:bCs w:val="0"/>
          <w:i/>
          <w:iCs/>
          <w:sz w:val="24"/>
          <w:szCs w:val="24"/>
        </w:rPr>
        <w:instrText xml:space="preserve"> SEQ Sl. \* ARABIC </w:instrText>
      </w:r>
      <w:r>
        <w:rPr>
          <w:rFonts w:ascii="Times New Roman" w:hAnsi="Times New Roman"/>
          <w:b w:val="0"/>
          <w:bCs w:val="0"/>
          <w:i/>
          <w:iCs/>
          <w:sz w:val="24"/>
          <w:szCs w:val="24"/>
        </w:rPr>
        <w:fldChar w:fldCharType="separate"/>
      </w:r>
      <w:r>
        <w:rPr>
          <w:rFonts w:ascii="Times New Roman" w:hAnsi="Times New Roman"/>
          <w:b w:val="0"/>
          <w:bCs w:val="0"/>
          <w:i/>
          <w:iCs/>
          <w:sz w:val="24"/>
          <w:szCs w:val="24"/>
        </w:rPr>
        <w:t>2</w:t>
      </w:r>
      <w:r>
        <w:rPr>
          <w:rFonts w:ascii="Times New Roman" w:hAnsi="Times New Roman"/>
          <w:b w:val="0"/>
          <w:bCs w:val="0"/>
          <w:i/>
          <w:iCs/>
          <w:sz w:val="24"/>
          <w:szCs w:val="24"/>
        </w:rPr>
        <w:fldChar w:fldCharType="end"/>
      </w:r>
      <w:r>
        <w:rPr>
          <w:rFonts w:ascii="Times New Roman" w:hAnsi="Times New Roman"/>
          <w:b w:val="0"/>
          <w:bCs w:val="0"/>
          <w:i/>
          <w:iCs/>
          <w:sz w:val="24"/>
          <w:szCs w:val="24"/>
        </w:rPr>
        <w:t xml:space="preserve">. Dijagram povećanja kružnosti </w:t>
      </w:r>
    </w:p>
    <w:bookmarkEnd w:id="44"/>
    <w:p w14:paraId="45D0586B" w14:textId="77777777" w:rsidR="00496804" w:rsidRDefault="00496804">
      <w:pPr>
        <w:spacing w:line="240" w:lineRule="auto"/>
        <w:rPr>
          <w:rFonts w:ascii="Times New Roman" w:hAnsi="Times New Roman"/>
          <w:sz w:val="24"/>
        </w:rPr>
      </w:pPr>
    </w:p>
    <w:p w14:paraId="45D0586C" w14:textId="77777777" w:rsidR="00496804" w:rsidRDefault="00496804">
      <w:pPr>
        <w:spacing w:line="240" w:lineRule="auto"/>
        <w:rPr>
          <w:rFonts w:ascii="Times New Roman" w:hAnsi="Times New Roman"/>
          <w:sz w:val="24"/>
        </w:rPr>
      </w:pPr>
    </w:p>
    <w:p w14:paraId="45D0586D"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U sklopu procesa kružnog gospodarstva resursi općenito zadržavaju vrijednost jer se učinkovito i neprekidno koriste, odnos primarnih i sekundarnih resursa se optimizira, radikalno se smanjuje količina otpada, racionalizira se potrošnja energije i uporaba materijala, sprječava stvaranje otpada, potiče recikliranje i smanjenje količina opasnih kemikalija prilikom čega posljedično dolazi do razvoja novih materijala i tehnologija. </w:t>
      </w:r>
    </w:p>
    <w:p w14:paraId="45D0586E" w14:textId="77777777" w:rsidR="00496804" w:rsidRDefault="00496804">
      <w:pPr>
        <w:pStyle w:val="tekst"/>
        <w:spacing w:line="240" w:lineRule="auto"/>
        <w:rPr>
          <w:rFonts w:ascii="Times New Roman" w:hAnsi="Times New Roman" w:cs="Times New Roman"/>
          <w:sz w:val="24"/>
          <w:szCs w:val="24"/>
          <w:u w:color="942192"/>
        </w:rPr>
      </w:pPr>
    </w:p>
    <w:p w14:paraId="45D0586F"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Tipologija se postavlja sa svrhom provođenja ciljeva kružnog gospodarenja prostorom i zgradama na način da se prostori i zgrade (zatečeni i novo planirani) planiraju, grade, koriste, ponovno koriste bez nepotrebnog iscrpljivanja resursa, zagađenja okoliša i degradacije ekosustava. Prostori i zgrade trebaju biti izgrađeni i korišteni na ekonomski odgovoran način te doprinositi dobrobiti ljudi i zajednica.</w:t>
      </w:r>
    </w:p>
    <w:p w14:paraId="45D05870" w14:textId="77777777" w:rsidR="00496804" w:rsidRDefault="00496804">
      <w:pPr>
        <w:pStyle w:val="tekst"/>
        <w:spacing w:line="240" w:lineRule="auto"/>
        <w:rPr>
          <w:rFonts w:ascii="Times New Roman" w:hAnsi="Times New Roman" w:cs="Times New Roman"/>
          <w:sz w:val="24"/>
          <w:szCs w:val="24"/>
          <w:u w:color="942192"/>
        </w:rPr>
      </w:pPr>
    </w:p>
    <w:p w14:paraId="45D05871" w14:textId="77777777" w:rsidR="00496804" w:rsidRDefault="00496804">
      <w:pPr>
        <w:pStyle w:val="tekst"/>
        <w:spacing w:line="240" w:lineRule="auto"/>
        <w:rPr>
          <w:rFonts w:ascii="Times New Roman" w:hAnsi="Times New Roman" w:cs="Times New Roman"/>
          <w:sz w:val="24"/>
          <w:szCs w:val="24"/>
          <w:u w:color="942192"/>
        </w:rPr>
      </w:pPr>
    </w:p>
    <w:p w14:paraId="45D05872"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Navedeni procesi mogu se promatrati kroz različite faze i tipove projekata:</w:t>
      </w:r>
    </w:p>
    <w:p w14:paraId="45D05873" w14:textId="77777777" w:rsidR="00496804" w:rsidRDefault="0037359D">
      <w:pPr>
        <w:spacing w:line="240" w:lineRule="auto"/>
        <w:rPr>
          <w:rFonts w:ascii="Times New Roman" w:hAnsi="Times New Roman"/>
          <w:b/>
          <w:sz w:val="24"/>
        </w:rPr>
      </w:pPr>
      <w:r>
        <w:rPr>
          <w:rFonts w:ascii="Times New Roman" w:hAnsi="Times New Roman"/>
          <w:b/>
          <w:noProof/>
          <w:sz w:val="24"/>
          <w:lang w:eastAsia="hr-HR"/>
        </w:rPr>
        <w:drawing>
          <wp:anchor distT="0" distB="0" distL="114300" distR="114300" simplePos="0" relativeHeight="251658240" behindDoc="1" locked="0" layoutInCell="1" allowOverlap="1" wp14:anchorId="45D061F9" wp14:editId="45D061FA">
            <wp:simplePos x="0" y="0"/>
            <wp:positionH relativeFrom="column">
              <wp:posOffset>409575</wp:posOffset>
            </wp:positionH>
            <wp:positionV relativeFrom="paragraph">
              <wp:posOffset>151765</wp:posOffset>
            </wp:positionV>
            <wp:extent cx="5611495" cy="1326515"/>
            <wp:effectExtent l="57150" t="19050" r="65405" b="0"/>
            <wp:wrapTight wrapText="bothSides">
              <wp:wrapPolygon edited="0">
                <wp:start x="-147" y="-310"/>
                <wp:lineTo x="-220" y="3102"/>
                <wp:lineTo x="10779" y="4963"/>
                <wp:lineTo x="-220" y="6514"/>
                <wp:lineTo x="-220" y="17061"/>
                <wp:lineTo x="4473" y="18302"/>
                <wp:lineTo x="13712" y="18302"/>
                <wp:lineTo x="14226" y="17681"/>
                <wp:lineTo x="21778" y="15200"/>
                <wp:lineTo x="21778" y="13959"/>
                <wp:lineTo x="11952" y="9926"/>
                <wp:lineTo x="21558" y="8065"/>
                <wp:lineTo x="21558" y="6514"/>
                <wp:lineTo x="10779" y="4963"/>
                <wp:lineTo x="11879" y="4963"/>
                <wp:lineTo x="21778" y="620"/>
                <wp:lineTo x="21778" y="-310"/>
                <wp:lineTo x="-147" y="-310"/>
              </wp:wrapPolygon>
            </wp:wrapTight>
            <wp:docPr id="20" name="Dij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14:paraId="45D05874" w14:textId="77777777" w:rsidR="00496804" w:rsidRDefault="00496804">
      <w:pPr>
        <w:spacing w:line="240" w:lineRule="auto"/>
        <w:rPr>
          <w:rFonts w:ascii="Times New Roman" w:hAnsi="Times New Roman"/>
          <w:b/>
          <w:sz w:val="24"/>
        </w:rPr>
      </w:pPr>
    </w:p>
    <w:p w14:paraId="45D05875" w14:textId="77777777" w:rsidR="00496804" w:rsidRDefault="00496804">
      <w:pPr>
        <w:spacing w:line="240" w:lineRule="auto"/>
        <w:rPr>
          <w:rFonts w:ascii="Times New Roman" w:hAnsi="Times New Roman"/>
          <w:b/>
          <w:sz w:val="24"/>
        </w:rPr>
      </w:pPr>
    </w:p>
    <w:p w14:paraId="45D05876" w14:textId="77777777" w:rsidR="00496804" w:rsidRDefault="00496804">
      <w:pPr>
        <w:spacing w:line="240" w:lineRule="auto"/>
        <w:rPr>
          <w:rFonts w:ascii="Times New Roman" w:hAnsi="Times New Roman"/>
          <w:b/>
          <w:sz w:val="24"/>
        </w:rPr>
      </w:pPr>
    </w:p>
    <w:p w14:paraId="45D05877" w14:textId="77777777" w:rsidR="00496804" w:rsidRDefault="00496804">
      <w:pPr>
        <w:spacing w:line="240" w:lineRule="auto"/>
        <w:rPr>
          <w:rFonts w:ascii="Times New Roman" w:hAnsi="Times New Roman"/>
          <w:b/>
          <w:sz w:val="24"/>
        </w:rPr>
      </w:pPr>
    </w:p>
    <w:p w14:paraId="45D05878" w14:textId="77777777" w:rsidR="00496804" w:rsidRDefault="00496804">
      <w:pPr>
        <w:spacing w:line="240" w:lineRule="auto"/>
        <w:rPr>
          <w:rFonts w:ascii="Times New Roman" w:hAnsi="Times New Roman"/>
          <w:b/>
          <w:sz w:val="24"/>
        </w:rPr>
      </w:pPr>
    </w:p>
    <w:p w14:paraId="45D05879" w14:textId="77777777" w:rsidR="00496804" w:rsidRDefault="00496804">
      <w:pPr>
        <w:spacing w:line="240" w:lineRule="auto"/>
        <w:rPr>
          <w:rFonts w:ascii="Times New Roman" w:hAnsi="Times New Roman"/>
          <w:b/>
          <w:sz w:val="24"/>
        </w:rPr>
      </w:pPr>
    </w:p>
    <w:p w14:paraId="45D0587A" w14:textId="77777777" w:rsidR="00496804" w:rsidRDefault="00496804">
      <w:pPr>
        <w:spacing w:line="240" w:lineRule="auto"/>
        <w:rPr>
          <w:rFonts w:ascii="Times New Roman" w:hAnsi="Times New Roman"/>
          <w:b/>
          <w:sz w:val="24"/>
        </w:rPr>
      </w:pPr>
    </w:p>
    <w:p w14:paraId="45D0587B" w14:textId="77777777" w:rsidR="00496804" w:rsidRDefault="00496804">
      <w:pPr>
        <w:spacing w:line="240" w:lineRule="auto"/>
        <w:rPr>
          <w:rFonts w:ascii="Times New Roman" w:hAnsi="Times New Roman"/>
          <w:b/>
          <w:sz w:val="24"/>
        </w:rPr>
      </w:pPr>
    </w:p>
    <w:p w14:paraId="45D0587C" w14:textId="77777777" w:rsidR="00496804" w:rsidRDefault="0037359D">
      <w:pPr>
        <w:pStyle w:val="tekst"/>
        <w:spacing w:line="240" w:lineRule="auto"/>
        <w:rPr>
          <w:rFonts w:ascii="Times New Roman" w:hAnsi="Times New Roman" w:cs="Times New Roman"/>
          <w:sz w:val="24"/>
          <w:szCs w:val="24"/>
          <w:u w:color="942192"/>
        </w:rPr>
      </w:pPr>
      <w:r>
        <w:rPr>
          <w:rFonts w:ascii="Times New Roman" w:hAnsi="Times New Roman" w:cs="Times New Roman"/>
          <w:sz w:val="24"/>
          <w:szCs w:val="24"/>
          <w:u w:color="942192"/>
        </w:rPr>
        <w:t>Tijekom planiranja i gradnje u skladu s kružnim gospodarenjem prostorom i zgradama potrebno je primjenjivati mjere za troškovno optimizirani životni vijek novih zgrada i sprječavanje nekontroliranog širenja građevinskih zemljišta. Osim navedenih svojstava prostori i zgrade trebaju:</w:t>
      </w:r>
    </w:p>
    <w:p w14:paraId="45D0587D" w14:textId="77777777" w:rsidR="00496804" w:rsidRDefault="0037359D">
      <w:pPr>
        <w:pStyle w:val="Bezproreda"/>
        <w:numPr>
          <w:ilvl w:val="0"/>
          <w:numId w:val="7"/>
        </w:numPr>
        <w:ind w:left="426" w:hanging="284"/>
        <w:jc w:val="both"/>
        <w:rPr>
          <w:rFonts w:eastAsia="Times New Roman"/>
          <w:lang w:val="hr-HR" w:eastAsia="hr-HR"/>
        </w:rPr>
      </w:pPr>
      <w:r>
        <w:rPr>
          <w:bCs/>
          <w:lang w:val="hr-HR"/>
        </w:rPr>
        <w:t>smanjiti emisije stakleničkih plinova tijekom cjeloživotnog vijeka zgrada</w:t>
      </w:r>
      <w:r>
        <w:rPr>
          <w:lang w:val="hr-HR"/>
        </w:rPr>
        <w:t xml:space="preserve"> kroz primjenu mjera za </w:t>
      </w:r>
      <w:r>
        <w:rPr>
          <w:rFonts w:eastAsia="Times New Roman"/>
          <w:lang w:val="hr-HR" w:eastAsia="hr-HR"/>
        </w:rPr>
        <w:t>smanjenje potrošnje energije i promicanje energetske učinkovitosti, u kombinaciji s povećanim korištenjem energije iz obnovljivih izvora</w:t>
      </w:r>
    </w:p>
    <w:p w14:paraId="45D0587E" w14:textId="77777777" w:rsidR="00496804" w:rsidRDefault="0037359D">
      <w:pPr>
        <w:pStyle w:val="Bezproreda"/>
        <w:numPr>
          <w:ilvl w:val="0"/>
          <w:numId w:val="7"/>
        </w:numPr>
        <w:ind w:left="426" w:hanging="284"/>
        <w:jc w:val="both"/>
        <w:rPr>
          <w:lang w:val="hr-HR"/>
        </w:rPr>
      </w:pPr>
      <w:r>
        <w:rPr>
          <w:bCs/>
          <w:lang w:val="hr-HR"/>
        </w:rPr>
        <w:t>povećati energetsku učinkovitost i smanjiti potrošnju operativne energije u novim zgradama</w:t>
      </w:r>
      <w:r>
        <w:rPr>
          <w:lang w:val="hr-HR"/>
        </w:rPr>
        <w:t xml:space="preserve"> na način da se projektiranje zgrade provodi po načelima energetski učinkovitosti, odnosno po kriterijima zgrada gotovo nulte energije (engl. nearly zero-energy building, nZEB)</w:t>
      </w:r>
    </w:p>
    <w:p w14:paraId="45D0587F" w14:textId="77777777" w:rsidR="00496804" w:rsidRDefault="0037359D">
      <w:pPr>
        <w:pStyle w:val="Bezproreda"/>
        <w:numPr>
          <w:ilvl w:val="0"/>
          <w:numId w:val="7"/>
        </w:numPr>
        <w:ind w:left="426" w:hanging="284"/>
        <w:jc w:val="both"/>
        <w:rPr>
          <w:lang w:val="hr-HR"/>
        </w:rPr>
      </w:pPr>
      <w:r>
        <w:rPr>
          <w:bCs/>
          <w:lang w:val="hr-HR"/>
        </w:rPr>
        <w:lastRenderedPageBreak/>
        <w:t>osigurati učinkovitu primjenu materijala i kružni životni ciklus materijala</w:t>
      </w:r>
      <w:r>
        <w:rPr>
          <w:lang w:val="hr-HR"/>
        </w:rPr>
        <w:t xml:space="preserve"> tako da se predvidi gradnja s oporabljivim materijalima kako bi se poticali kružni tokovi korištenja materijala te primjenjivali materijali s niskom ugrađenom energijom. Posebnu pažnju treba posvetiti povećanju korištenja recikliranih materijala i smanjenju količine građevnog otpada i otpada od rušenja</w:t>
      </w:r>
    </w:p>
    <w:p w14:paraId="45D05880" w14:textId="77777777" w:rsidR="00496804" w:rsidRDefault="0037359D">
      <w:pPr>
        <w:pStyle w:val="Bezproreda"/>
        <w:numPr>
          <w:ilvl w:val="0"/>
          <w:numId w:val="7"/>
        </w:numPr>
        <w:ind w:left="426" w:hanging="284"/>
        <w:jc w:val="both"/>
        <w:rPr>
          <w:lang w:val="hr-HR"/>
        </w:rPr>
      </w:pPr>
      <w:r>
        <w:rPr>
          <w:bCs/>
          <w:lang w:val="hr-HR"/>
        </w:rPr>
        <w:t>osigurati učinkovito korištenje vode</w:t>
      </w:r>
      <w:r>
        <w:rPr>
          <w:lang w:val="hr-HR"/>
        </w:rPr>
        <w:t xml:space="preserve"> koje obuhvaća mjere za korištenje uređaja i sustava za uštedu pitke vode, kao i sustave za zbrinjavanje i korištenje oborinskih voda te pročišćavanje i ponovno korištenje otpadne sive vode</w:t>
      </w:r>
    </w:p>
    <w:p w14:paraId="45D05881" w14:textId="77777777" w:rsidR="00496804" w:rsidRDefault="0037359D">
      <w:pPr>
        <w:pStyle w:val="Bezproreda"/>
        <w:numPr>
          <w:ilvl w:val="0"/>
          <w:numId w:val="7"/>
        </w:numPr>
        <w:ind w:left="426" w:hanging="284"/>
        <w:jc w:val="both"/>
        <w:rPr>
          <w:lang w:val="hr-HR"/>
        </w:rPr>
      </w:pPr>
      <w:r>
        <w:rPr>
          <w:bCs/>
          <w:lang w:val="hr-HR"/>
        </w:rPr>
        <w:t>biti zdravi i udobni</w:t>
      </w:r>
      <w:r>
        <w:rPr>
          <w:b/>
          <w:bCs/>
          <w:lang w:val="hr-HR"/>
        </w:rPr>
        <w:t xml:space="preserve"> </w:t>
      </w:r>
      <w:r>
        <w:rPr>
          <w:lang w:val="hr-HR"/>
        </w:rPr>
        <w:t>kako bi se korisnici dulje zadržavali u zgradi  te kako bi im se u njoj omogućio izuzetno ugodan i poželjan boravak u zdravom ambijentu. Kvalitetniji unutarnji prostori doprinose većoj produktivnosti radnika, učenika, studenata te smanjuju vjerojatnost bolesti, alergija i drugih zdravstvenih problema</w:t>
      </w:r>
    </w:p>
    <w:p w14:paraId="45D05882" w14:textId="77777777" w:rsidR="00496804" w:rsidRDefault="0037359D">
      <w:pPr>
        <w:pStyle w:val="Bezproreda"/>
        <w:numPr>
          <w:ilvl w:val="0"/>
          <w:numId w:val="7"/>
        </w:numPr>
        <w:ind w:left="426" w:hanging="284"/>
        <w:jc w:val="both"/>
        <w:rPr>
          <w:lang w:val="hr-HR"/>
        </w:rPr>
      </w:pPr>
      <w:r>
        <w:rPr>
          <w:bCs/>
          <w:lang w:val="hr-HR"/>
        </w:rPr>
        <w:t>osigurati prilagodljivost i otpornost na klimatske promjene</w:t>
      </w:r>
      <w:r>
        <w:rPr>
          <w:lang w:val="hr-HR"/>
        </w:rPr>
        <w:t xml:space="preserve">, </w:t>
      </w:r>
      <w:r>
        <w:rPr>
          <w:rFonts w:eastAsia="Times New Roman"/>
          <w:lang w:val="hr-HR"/>
        </w:rPr>
        <w:t>što</w:t>
      </w:r>
      <w:r>
        <w:rPr>
          <w:lang w:val="hr-HR"/>
        </w:rPr>
        <w:t xml:space="preserve"> podrazumijeva sve mjere u svrhu izgradnje zgrada koje su otporne na očekivane buduće promjene u klimi, a sve kako bi se zaštitilo zdravlje i udobnost korisnika te održala vrijednost nekretnine i umanjili rizici na vrijednost nekretnine u budućnosti </w:t>
      </w:r>
    </w:p>
    <w:p w14:paraId="45D05883" w14:textId="77777777" w:rsidR="00496804" w:rsidRDefault="0037359D">
      <w:pPr>
        <w:pStyle w:val="Bezproreda"/>
        <w:numPr>
          <w:ilvl w:val="0"/>
          <w:numId w:val="7"/>
        </w:numPr>
        <w:ind w:left="426" w:hanging="284"/>
        <w:jc w:val="both"/>
        <w:rPr>
          <w:lang w:val="hr-HR"/>
        </w:rPr>
      </w:pPr>
      <w:r>
        <w:rPr>
          <w:bCs/>
          <w:lang w:val="hr-HR"/>
        </w:rPr>
        <w:t>osigurati troškovno optimizirani cjeloživotni vijek zgrade</w:t>
      </w:r>
      <w:r>
        <w:rPr>
          <w:lang w:val="hr-HR"/>
        </w:rPr>
        <w:t xml:space="preserve"> u svrhu optimiziranja troškova i dobivene vrijednosti sagledavajući cjeloživotni vijek zgrade. Mjere predviđaju ugradnju trajnih materijala i elemenata zgrade s niskim troškovima održavanja (Life Cycle Costing Analysis – LCCA) i s mogućim korištenjem nakon završetka životnog vijeka zgrade.</w:t>
      </w:r>
    </w:p>
    <w:p w14:paraId="45D05884" w14:textId="77777777" w:rsidR="00496804" w:rsidRDefault="00496804">
      <w:pPr>
        <w:pStyle w:val="tekst"/>
        <w:spacing w:line="240" w:lineRule="auto"/>
        <w:rPr>
          <w:rFonts w:ascii="Times New Roman" w:hAnsi="Times New Roman" w:cs="Times New Roman"/>
          <w:sz w:val="24"/>
          <w:szCs w:val="24"/>
        </w:rPr>
      </w:pPr>
    </w:p>
    <w:p w14:paraId="45D05885"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Revitalizacija i obnova nekorištenih prostora i zgrada obuhvaća one aktivnosti koje je potrebno osiguravati tijekom  cjeloživotnog vijeka  zgrade, a kako bi zgrada što dulje zadržala svoja svojstva odnosno funkcionalnost i ekonomsku vrijednost u vremenu (trajnost, adaptabilnost i smanjivanje nastanka otpada). Ona bi se trebala provoditi uz uvažavanje jednakih načela i u cilju dosezanja razina svojstava prostora i zgrada u što većoj mjeri onim razinama koje se primjenjuju prilikom projektiranja i gradnje novih zgrada.</w:t>
      </w:r>
    </w:p>
    <w:p w14:paraId="45D05886" w14:textId="77777777" w:rsidR="00496804" w:rsidRDefault="00496804">
      <w:pPr>
        <w:pStyle w:val="tekst"/>
        <w:spacing w:line="240" w:lineRule="auto"/>
        <w:rPr>
          <w:rFonts w:ascii="Times New Roman" w:hAnsi="Times New Roman" w:cs="Times New Roman"/>
          <w:sz w:val="24"/>
          <w:szCs w:val="24"/>
        </w:rPr>
      </w:pPr>
    </w:p>
    <w:p w14:paraId="45D05887" w14:textId="77777777" w:rsidR="00496804" w:rsidRDefault="00496804">
      <w:pPr>
        <w:pStyle w:val="tekst"/>
        <w:spacing w:line="240" w:lineRule="auto"/>
        <w:rPr>
          <w:rFonts w:ascii="Times New Roman" w:hAnsi="Times New Roman" w:cs="Times New Roman"/>
          <w:sz w:val="24"/>
          <w:szCs w:val="24"/>
        </w:rPr>
      </w:pPr>
    </w:p>
    <w:p w14:paraId="45D05888" w14:textId="77777777" w:rsidR="00496804" w:rsidRDefault="0037359D">
      <w:pPr>
        <w:pStyle w:val="Naslov2"/>
        <w:numPr>
          <w:ilvl w:val="2"/>
          <w:numId w:val="8"/>
        </w:numPr>
        <w:ind w:left="709" w:hanging="709"/>
        <w:rPr>
          <w:rFonts w:ascii="Times New Roman" w:hAnsi="Times New Roman" w:cs="Times New Roman"/>
          <w:color w:val="auto"/>
          <w:sz w:val="24"/>
          <w:szCs w:val="24"/>
        </w:rPr>
      </w:pPr>
      <w:bookmarkStart w:id="45" w:name="_Toc51851626"/>
      <w:r>
        <w:rPr>
          <w:rFonts w:ascii="Times New Roman" w:hAnsi="Times New Roman" w:cs="Times New Roman"/>
          <w:color w:val="auto"/>
          <w:sz w:val="24"/>
          <w:szCs w:val="24"/>
        </w:rPr>
        <w:t>PLANIRANJE I GRADNJA NOVIH ZGRADA U SKLADU S KRUŽNIM GOSPODARSTVOM</w:t>
      </w:r>
      <w:bookmarkEnd w:id="45"/>
    </w:p>
    <w:p w14:paraId="45D05889" w14:textId="77777777" w:rsidR="00496804" w:rsidRDefault="00496804">
      <w:pPr>
        <w:pStyle w:val="tekst"/>
        <w:spacing w:line="240" w:lineRule="auto"/>
        <w:rPr>
          <w:rFonts w:ascii="Times New Roman" w:hAnsi="Times New Roman" w:cs="Times New Roman"/>
          <w:sz w:val="24"/>
          <w:szCs w:val="24"/>
        </w:rPr>
      </w:pPr>
    </w:p>
    <w:p w14:paraId="45D0588A" w14:textId="77777777" w:rsidR="00496804" w:rsidRDefault="0037359D">
      <w:pPr>
        <w:spacing w:line="240" w:lineRule="auto"/>
        <w:rPr>
          <w:rFonts w:ascii="Times New Roman" w:hAnsi="Times New Roman"/>
          <w:sz w:val="24"/>
        </w:rPr>
      </w:pPr>
      <w:r>
        <w:rPr>
          <w:rFonts w:ascii="Times New Roman" w:hAnsi="Times New Roman"/>
          <w:sz w:val="24"/>
        </w:rPr>
        <w:t>Ciljevima i mjerama za kružno gospodarenje prostorom i zgradama između ostaloga potiču se mjere kružnosti kod planiranja novih zgrada, koje obuhvaćaju produljenje trajnosti zgrada, fleksibilnosti prostora, smanjenje količine građevnog otpada te povećanje energetske učinkovitosti zgrada. Kružno gospodarenje prostorom i zgradama provodi se u skladu s načelima zelene gradnje koja se odnosi na cjeloviti proces osmišljavanja, izvedbe, održavanja, uporabe i obnove prostora i zgrada zasnovane na načelu održivosti.</w:t>
      </w:r>
    </w:p>
    <w:p w14:paraId="45D0588B" w14:textId="77777777" w:rsidR="00496804" w:rsidRDefault="00496804">
      <w:pPr>
        <w:spacing w:line="240" w:lineRule="auto"/>
        <w:rPr>
          <w:rFonts w:ascii="Times New Roman" w:hAnsi="Times New Roman"/>
          <w:sz w:val="24"/>
        </w:rPr>
      </w:pPr>
    </w:p>
    <w:p w14:paraId="45D0588C" w14:textId="77777777" w:rsidR="00496804" w:rsidRDefault="0037359D">
      <w:pPr>
        <w:spacing w:line="240" w:lineRule="auto"/>
        <w:rPr>
          <w:rFonts w:ascii="Times New Roman" w:hAnsi="Times New Roman"/>
          <w:sz w:val="24"/>
        </w:rPr>
      </w:pPr>
      <w:r>
        <w:rPr>
          <w:rFonts w:ascii="Times New Roman" w:hAnsi="Times New Roman"/>
          <w:sz w:val="24"/>
        </w:rPr>
        <w:t>Uspješnost projekata koji djeluju unutar kružnog gospodarstva u najvećoj mjeri se može modelirati u fazi koncepta ili pripreme projekata. Ako govorimo o projektima gradnje ili proizvodnje građevnih proizvoda to bi značilo da se u fazi projektiranja razmišlja o tome koji će se materijali upotrijebiti, što će se dogoditi sa zgradom i ugrađenim materijalima na kraju njezina vijeka trajanja, kakva je trajnost ugrađenih materijala, koliki će biti troškovi održavanje zgrade, te kolika je količina ugrađene i operativne energije. Uspjeh projekata također ovisi o suradnji između svih dionika na pojedinim projektima te ne postoji jedan univerzalni pristup za sve projekte, odnosno potrebno je potrebno istražiti opcije koje su relevantne za svaki konkretni projekt.</w:t>
      </w:r>
    </w:p>
    <w:p w14:paraId="45D0588D" w14:textId="77777777" w:rsidR="00496804" w:rsidRDefault="00496804">
      <w:pPr>
        <w:spacing w:line="240" w:lineRule="auto"/>
        <w:rPr>
          <w:rFonts w:ascii="Times New Roman" w:hAnsi="Times New Roman"/>
          <w:sz w:val="24"/>
        </w:rPr>
      </w:pPr>
    </w:p>
    <w:p w14:paraId="45D0588E" w14:textId="77777777" w:rsidR="00496804" w:rsidRDefault="0037359D">
      <w:pPr>
        <w:spacing w:line="240" w:lineRule="auto"/>
        <w:rPr>
          <w:rFonts w:ascii="Times New Roman" w:hAnsi="Times New Roman"/>
          <w:sz w:val="24"/>
        </w:rPr>
      </w:pPr>
      <w:r>
        <w:rPr>
          <w:rFonts w:ascii="Times New Roman" w:hAnsi="Times New Roman"/>
          <w:sz w:val="24"/>
        </w:rPr>
        <w:t xml:space="preserve">Planom za Europu koja učinkovitije raspolaže resursima predlaže se da se zgrade  projektiraju, grade ali i renoviraju uz učinkovitije korištenje resursa, za što bi bile potrebne politike koje se odnose na </w:t>
      </w:r>
      <w:r>
        <w:rPr>
          <w:rFonts w:ascii="Times New Roman" w:hAnsi="Times New Roman"/>
          <w:sz w:val="24"/>
        </w:rPr>
        <w:lastRenderedPageBreak/>
        <w:t>širok spektar utjecaja na okoliš tijekom životnog vijeka zgrada. U Komunikaciji Komisije Europskom parlamentu i Vijeću: Strategija za održivu konkurentnost građevinskog sektora i poduzeća u tom sektoru  (COM(2012) 0433 final) od 31.7.2012. godine</w:t>
      </w:r>
      <w:r>
        <w:rPr>
          <w:rStyle w:val="Referencafusnote"/>
          <w:rFonts w:ascii="Times New Roman" w:hAnsi="Times New Roman"/>
          <w:sz w:val="24"/>
        </w:rPr>
        <w:footnoteReference w:id="41"/>
      </w:r>
      <w:r>
        <w:rPr>
          <w:rFonts w:ascii="Times New Roman" w:hAnsi="Times New Roman"/>
          <w:sz w:val="24"/>
        </w:rPr>
        <w:t xml:space="preserve"> ističe se da je učinkovito korištenje resursa jedan od glavnih izazova za taj sektor do 2020. godine. U sklopu te strategije navedeno je da će EK „predložiti pristupe međusobnom priznavanju ili usklađivanju različitih metoda procjene, također s ciljem da ih se učini funkcionalnijima i cjenovno pristupačnijima građevinskim tvrtkama, sektoru osiguranja i ulagačima”.</w:t>
      </w:r>
    </w:p>
    <w:p w14:paraId="45D0588F" w14:textId="77777777" w:rsidR="00496804" w:rsidRDefault="00496804">
      <w:pPr>
        <w:spacing w:line="240" w:lineRule="auto"/>
        <w:rPr>
          <w:rFonts w:ascii="Times New Roman" w:hAnsi="Times New Roman"/>
          <w:sz w:val="24"/>
        </w:rPr>
      </w:pPr>
    </w:p>
    <w:p w14:paraId="45D05890" w14:textId="77777777" w:rsidR="00496804" w:rsidRDefault="0037359D">
      <w:pPr>
        <w:spacing w:line="240" w:lineRule="auto"/>
        <w:rPr>
          <w:rFonts w:ascii="Times New Roman" w:hAnsi="Times New Roman"/>
          <w:sz w:val="24"/>
        </w:rPr>
      </w:pPr>
      <w:r>
        <w:rPr>
          <w:rFonts w:ascii="Times New Roman" w:hAnsi="Times New Roman"/>
          <w:sz w:val="24"/>
        </w:rPr>
        <w:t>Obzirom na navedeno 2014. godine izrađena je Komunikacija Komisije Europskom parlamentu, Vijeću, Europskom gospodarskom i socijalnom odboru i Odboru regija: Prilike za učinkovitije korištenje resursa u građevinskom sektoru (COM(2014) 0445 final) od 1.7.2014. godine</w:t>
      </w:r>
      <w:r>
        <w:rPr>
          <w:rStyle w:val="Referencafusnote"/>
          <w:rFonts w:ascii="Times New Roman" w:hAnsi="Times New Roman"/>
          <w:sz w:val="24"/>
        </w:rPr>
        <w:footnoteReference w:id="42"/>
      </w:r>
      <w:r>
        <w:rPr>
          <w:rFonts w:ascii="Times New Roman" w:hAnsi="Times New Roman"/>
          <w:sz w:val="24"/>
        </w:rPr>
        <w:t xml:space="preserve"> kojom se želi promaknuti učinkovitije korištenje resursa koji se koriste za nove i obnovljene prostore i zgrade te smanjenje njihova ukupnog utjecaja na okoliš tijekom cjeloživotnog vijeka. Korištenje resursa uvelike je određeno odlukama i izborima donesenima tijekom projektiranja odabirom građevnih materijala u vezi s građevnim materijalima. Primjerice građevinski proizvod poput čelika, kojeg karakterizira dugi životni vijek i čija trajnost osigurava vrlo visok udio recikliranja i ponovne obrade, izravno utječe na smanjenje potrošnje zaliha sirovina, a zgrade i druge konstrukcije izgrađene od čelika mogu trajati i do 100 godina uz pravilno održavanje. </w:t>
      </w:r>
    </w:p>
    <w:p w14:paraId="45D05891" w14:textId="77777777" w:rsidR="00496804" w:rsidRDefault="00496804">
      <w:pPr>
        <w:spacing w:line="240" w:lineRule="auto"/>
        <w:rPr>
          <w:rFonts w:ascii="Times New Roman" w:hAnsi="Times New Roman"/>
          <w:sz w:val="24"/>
        </w:rPr>
      </w:pPr>
    </w:p>
    <w:p w14:paraId="45D05892" w14:textId="77777777" w:rsidR="00496804" w:rsidRDefault="0037359D">
      <w:pPr>
        <w:spacing w:line="240" w:lineRule="auto"/>
        <w:rPr>
          <w:rFonts w:ascii="Times New Roman" w:hAnsi="Times New Roman"/>
          <w:sz w:val="24"/>
        </w:rPr>
      </w:pPr>
      <w:r>
        <w:rPr>
          <w:rFonts w:ascii="Times New Roman" w:hAnsi="Times New Roman"/>
          <w:sz w:val="24"/>
        </w:rPr>
        <w:t xml:space="preserve">Da bi se pomoglo ostvarivanju koristi od učinkovitijeg korištenja resursa, projektantima, proizvođačima, izvođačima, nadležnim tijelima i korisnicima potrebne su upotrebljive i pouzdane informacije na temelju kojih će moći donositi odluke. U sklopu ovog Programa taj se manjak informacija rješava predlaganjem skupa jasno određenih i mjerljivih pokazatelja za procjenu ekološke učinkovitosti zgrada. </w:t>
      </w:r>
    </w:p>
    <w:p w14:paraId="45D05893" w14:textId="77777777" w:rsidR="00496804" w:rsidRDefault="00496804">
      <w:pPr>
        <w:spacing w:line="240" w:lineRule="auto"/>
        <w:rPr>
          <w:rFonts w:ascii="Times New Roman" w:hAnsi="Times New Roman"/>
          <w:sz w:val="24"/>
        </w:rPr>
      </w:pPr>
    </w:p>
    <w:p w14:paraId="45D05894" w14:textId="77777777" w:rsidR="00496804" w:rsidRDefault="0037359D">
      <w:pPr>
        <w:spacing w:line="240" w:lineRule="auto"/>
        <w:rPr>
          <w:rFonts w:ascii="Times New Roman" w:hAnsi="Times New Roman"/>
          <w:sz w:val="24"/>
        </w:rPr>
      </w:pPr>
      <w:r>
        <w:rPr>
          <w:rFonts w:ascii="Times New Roman" w:hAnsi="Times New Roman"/>
          <w:sz w:val="24"/>
        </w:rPr>
        <w:t xml:space="preserve">Uspješnost kružnog gospodarenja prostorom i zgradama tako se postiže: promicanjem kvalitetnijeg projektiranja po načelima eko-dizajna kojim se korištenje resursa usklađuje s potrebama i funkcionalnošću zgrade, kvalitetnim planiranjem projekta, kojim se osigurava veće korištenje resursno i energetski učinkovitih proizvoda, korištenjem oporabljenih materijala ili ponovnim korištenjem postojećih materijala ili dijelova zgrada koje se uklanjaju, promicanjem učinkovitijeg korištenja resursa pri izgradnji i obnovi, korištenjem otpada kao goriva, osmišljavanjem procesa rastavljanja i uklanjanja zgrada ili njihovih dijelova te odgovornim gospodarenjem potencijalnim građevnim otpadom, sve s ciljem smanjenja količine neiskoristivog građevnog otpada na odlagalištu. </w:t>
      </w:r>
    </w:p>
    <w:p w14:paraId="45D05895" w14:textId="77777777" w:rsidR="00496804" w:rsidRDefault="00496804">
      <w:pPr>
        <w:spacing w:line="240" w:lineRule="auto"/>
        <w:rPr>
          <w:rFonts w:ascii="Times New Roman" w:hAnsi="Times New Roman"/>
          <w:sz w:val="24"/>
        </w:rPr>
      </w:pPr>
    </w:p>
    <w:p w14:paraId="45D05896" w14:textId="77777777" w:rsidR="00496804" w:rsidRDefault="0037359D">
      <w:pPr>
        <w:spacing w:line="240" w:lineRule="auto"/>
        <w:rPr>
          <w:rFonts w:ascii="Times New Roman" w:hAnsi="Times New Roman"/>
          <w:sz w:val="24"/>
        </w:rPr>
      </w:pPr>
      <w:r>
        <w:rPr>
          <w:rFonts w:ascii="Times New Roman" w:hAnsi="Times New Roman"/>
          <w:sz w:val="24"/>
        </w:rPr>
        <w:t xml:space="preserve">Stoga je faza projektiranja, temeljena na promišljanju o cjeloživotnom vijeku, presudna ako se želi omogućiti ponovna upotreba građevinskih proizvoda i materijala. Tako je, primjerice, građevinska industrija bila jedna od prvih koja je prihvatila ponovnu upotrebu čeličnih komponenti poput konstrukcijskih greda, krovnih i zidnih elemenata. Ponovna upotreba uključuje posebno dizajnirani sustav sakupljanja i prerade kako bi proizvod bio prikladan za novu primjenu. </w:t>
      </w:r>
    </w:p>
    <w:p w14:paraId="45D05897" w14:textId="77777777" w:rsidR="00496804" w:rsidRDefault="00496804">
      <w:pPr>
        <w:spacing w:line="240" w:lineRule="auto"/>
        <w:rPr>
          <w:rFonts w:ascii="Times New Roman" w:hAnsi="Times New Roman"/>
          <w:sz w:val="24"/>
        </w:rPr>
      </w:pPr>
    </w:p>
    <w:p w14:paraId="45D05898" w14:textId="77777777" w:rsidR="00496804" w:rsidRDefault="0037359D">
      <w:pPr>
        <w:spacing w:line="240" w:lineRule="auto"/>
        <w:rPr>
          <w:rFonts w:ascii="Times New Roman" w:hAnsi="Times New Roman"/>
          <w:sz w:val="24"/>
        </w:rPr>
      </w:pPr>
      <w:r>
        <w:rPr>
          <w:rFonts w:ascii="Times New Roman" w:hAnsi="Times New Roman"/>
          <w:sz w:val="24"/>
        </w:rPr>
        <w:t xml:space="preserve">Jedna od mnogih mogućnosti kružnog gospodarenja, zasnovane na načelima permakulture, jest i korištenje isključivo prirodnih materijala i primjenjivih tehnologija ekološkog graditeljstva, što rezultira građevinama koje su u potpunosti održive i reciklirajuće. Ta načela za sada nisu prepoznata u sustavu prostornog uređenja i gradnje, međutim ovaj Program će, između ostaloga, težiti podizanju razine znanja i društvene svijesti o održivom razvoju i mogućnostima korištenja lokalnih, prirodnih i recikliranih materijala čija proizvodnja ima nizak ugljični otisak i ne zahtjeva invazivnu obradu. </w:t>
      </w:r>
    </w:p>
    <w:p w14:paraId="45D0589A" w14:textId="77777777" w:rsidR="00496804" w:rsidRDefault="0037359D">
      <w:pPr>
        <w:spacing w:line="240" w:lineRule="auto"/>
        <w:rPr>
          <w:rFonts w:ascii="Times New Roman" w:hAnsi="Times New Roman"/>
          <w:sz w:val="24"/>
        </w:rPr>
      </w:pPr>
      <w:r>
        <w:rPr>
          <w:rFonts w:ascii="Times New Roman" w:hAnsi="Times New Roman"/>
          <w:sz w:val="24"/>
        </w:rPr>
        <w:lastRenderedPageBreak/>
        <w:t>Razvoj zelene gradnje prati i razvoj sustava certificiranja održive gradnje. Danas je u široj primjeni nekoliko globalno prepoznatih sustava: LEED (engl. Leadership in Energy and Environmental Design), BREEAM (engl. Building Research Establishment Environmental Assessment Methodology) i DGNB (njem. Deutsche Gesellschaft für Nachhaltiges Bauen)</w:t>
      </w:r>
      <w:r>
        <w:rPr>
          <w:rFonts w:ascii="Times New Roman" w:hAnsi="Times New Roman"/>
          <w:bCs/>
          <w:sz w:val="24"/>
        </w:rPr>
        <w:t>. Njihovo p</w:t>
      </w:r>
      <w:r>
        <w:rPr>
          <w:rFonts w:ascii="Times New Roman" w:hAnsi="Times New Roman"/>
          <w:sz w:val="24"/>
        </w:rPr>
        <w:t xml:space="preserve">odručje ocjenjivanja uključuje veliki broj faktora (korištenje građevinskog zemljišta, zbrinjavanje građevnog otpada, potrošnja vode, odabir rješenja vezanih za krajobraz i ambijent interijera, odabir i način upotrebe materijala, emisije stakleničkih plinova, energetska učinkovitost, korištenje obnovljivih izvora energije, itd.) kojima se ocjenjuje funkcionalnost, isplativost i kvaliteta zgrade tijekom njezinog cjeloživotnog vijeka trajanja. Rezultati ocjenjivanja vlasnicima i korisnicima zgrade daju jasnu i transparentnu informaciju o kvaliteti gradnje, a dodatno mogu povećati tržišnu vrijednost zgrade. Poticanje provođenja postupaka certificiranja održive gradnje predstavlja dodatni instrument u promicanju kružnog gospodarenja prostorom i zgradama. </w:t>
      </w:r>
    </w:p>
    <w:p w14:paraId="45D0589B" w14:textId="77777777" w:rsidR="00496804" w:rsidRDefault="00496804">
      <w:pPr>
        <w:spacing w:line="240" w:lineRule="auto"/>
        <w:rPr>
          <w:rFonts w:ascii="Times New Roman" w:hAnsi="Times New Roman"/>
          <w:sz w:val="24"/>
        </w:rPr>
      </w:pPr>
    </w:p>
    <w:p w14:paraId="45D0589C" w14:textId="77777777" w:rsidR="00496804" w:rsidRDefault="00496804">
      <w:pPr>
        <w:spacing w:line="240" w:lineRule="auto"/>
        <w:rPr>
          <w:rFonts w:ascii="Times New Roman" w:hAnsi="Times New Roman"/>
          <w:sz w:val="24"/>
        </w:rPr>
      </w:pPr>
    </w:p>
    <w:p w14:paraId="45D0589D" w14:textId="77777777" w:rsidR="00496804" w:rsidRDefault="0037359D">
      <w:pPr>
        <w:pStyle w:val="Naslov2"/>
        <w:numPr>
          <w:ilvl w:val="2"/>
          <w:numId w:val="8"/>
        </w:numPr>
        <w:ind w:left="709" w:hanging="709"/>
        <w:rPr>
          <w:rFonts w:ascii="Times New Roman" w:hAnsi="Times New Roman" w:cs="Times New Roman"/>
          <w:color w:val="auto"/>
          <w:sz w:val="24"/>
          <w:szCs w:val="24"/>
        </w:rPr>
      </w:pPr>
      <w:bookmarkStart w:id="47" w:name="_Toc51851627"/>
      <w:r>
        <w:rPr>
          <w:rFonts w:ascii="Times New Roman" w:hAnsi="Times New Roman" w:cs="Times New Roman"/>
          <w:color w:val="auto"/>
          <w:sz w:val="24"/>
          <w:szCs w:val="24"/>
        </w:rPr>
        <w:t>REVITALIZACIJA I OBNOVA NEKORIŠTENIH PROSTORA I ZGRADA</w:t>
      </w:r>
      <w:bookmarkEnd w:id="47"/>
    </w:p>
    <w:p w14:paraId="45D0589E" w14:textId="77777777" w:rsidR="00496804" w:rsidRDefault="00496804">
      <w:pPr>
        <w:pStyle w:val="tekst"/>
        <w:spacing w:line="240" w:lineRule="auto"/>
        <w:rPr>
          <w:rFonts w:ascii="Times New Roman" w:hAnsi="Times New Roman" w:cs="Times New Roman"/>
          <w:sz w:val="24"/>
          <w:szCs w:val="24"/>
        </w:rPr>
      </w:pPr>
    </w:p>
    <w:p w14:paraId="45D0589F" w14:textId="77777777" w:rsidR="00496804" w:rsidRDefault="0037359D">
      <w:pPr>
        <w:spacing w:line="240" w:lineRule="auto"/>
        <w:rPr>
          <w:rFonts w:ascii="Times New Roman" w:hAnsi="Times New Roman"/>
          <w:sz w:val="24"/>
        </w:rPr>
      </w:pPr>
      <w:r>
        <w:rPr>
          <w:rFonts w:ascii="Times New Roman" w:hAnsi="Times New Roman"/>
          <w:sz w:val="24"/>
        </w:rPr>
        <w:t xml:space="preserve">Nekorišteni prostori i zgrade na prostoru RH predstavljaju najznačajniju kategoriju moguće primjene kružnog gospodarenja. To je široka paleta nekretnina različitih veličina i mjerila. Od mjerila zgrada do zona velikog mjerila koje zaposjedaju značajne površine gradova i izdvojenih gospodarskih/industrijskih područja izvan naselja. </w:t>
      </w:r>
    </w:p>
    <w:p w14:paraId="45D058A0" w14:textId="77777777" w:rsidR="00496804" w:rsidRDefault="00496804">
      <w:pPr>
        <w:spacing w:line="240" w:lineRule="auto"/>
        <w:rPr>
          <w:rFonts w:ascii="Times New Roman" w:hAnsi="Times New Roman"/>
          <w:sz w:val="24"/>
        </w:rPr>
      </w:pPr>
    </w:p>
    <w:p w14:paraId="45D058A1" w14:textId="77777777" w:rsidR="00496804" w:rsidRDefault="0037359D">
      <w:pPr>
        <w:spacing w:line="240" w:lineRule="auto"/>
        <w:rPr>
          <w:rFonts w:ascii="Times New Roman" w:hAnsi="Times New Roman"/>
          <w:sz w:val="24"/>
        </w:rPr>
      </w:pPr>
      <w:r>
        <w:rPr>
          <w:rFonts w:ascii="Times New Roman" w:hAnsi="Times New Roman"/>
          <w:sz w:val="24"/>
        </w:rPr>
        <w:t xml:space="preserve">Svaki zahvat u prostoru provodi se u skladu s prostornim planom što će biti primjenjivo i na projekte revitalizacije i obnove nekorištenih prostora i zgrada. U slučaju zahvata velikog mjerila projekte će karakterizirati faznost i dugotrajnost, a ako se tome dodaju i potrebe za izmjenama prostornog plana, vjerojatno je da će vremenski okvir projekata izaći izvan okvira srednjoročnog akta strateškog planiranja. </w:t>
      </w:r>
    </w:p>
    <w:p w14:paraId="45D058A2" w14:textId="77777777" w:rsidR="00496804" w:rsidRDefault="00496804">
      <w:pPr>
        <w:spacing w:line="240" w:lineRule="auto"/>
        <w:rPr>
          <w:rFonts w:ascii="Times New Roman" w:hAnsi="Times New Roman"/>
          <w:sz w:val="24"/>
        </w:rPr>
      </w:pPr>
    </w:p>
    <w:p w14:paraId="45D058A3" w14:textId="77777777" w:rsidR="00496804" w:rsidRDefault="0037359D">
      <w:pPr>
        <w:spacing w:line="240" w:lineRule="auto"/>
        <w:rPr>
          <w:rFonts w:ascii="Times New Roman" w:hAnsi="Times New Roman"/>
          <w:sz w:val="24"/>
        </w:rPr>
      </w:pPr>
      <w:r>
        <w:rPr>
          <w:rFonts w:ascii="Times New Roman" w:hAnsi="Times New Roman"/>
          <w:sz w:val="24"/>
        </w:rPr>
        <w:t>Dodatno, za pojedine zgrade (kao npr. stari zvonici, napuštene kuće, štagljevi) koje mogu predstavljati ključno stanište za određene strogo zaštićene vrste (najčešće šišmiša ili ptica) potrebno je pri planiranju zahvata provesti odgovarajuće postupke ocjene ili predvidjeti odgovarajuće mjere zaštite i tehnička rješenja.</w:t>
      </w:r>
    </w:p>
    <w:p w14:paraId="45D058A4" w14:textId="77777777" w:rsidR="00496804" w:rsidRDefault="00496804">
      <w:pPr>
        <w:spacing w:line="240" w:lineRule="auto"/>
        <w:rPr>
          <w:rFonts w:ascii="Times New Roman" w:hAnsi="Times New Roman"/>
          <w:sz w:val="24"/>
        </w:rPr>
      </w:pPr>
    </w:p>
    <w:p w14:paraId="45D058A5" w14:textId="77777777" w:rsidR="00496804" w:rsidRDefault="0037359D">
      <w:pPr>
        <w:spacing w:line="240" w:lineRule="auto"/>
        <w:rPr>
          <w:rFonts w:ascii="Times New Roman" w:hAnsi="Times New Roman"/>
          <w:sz w:val="24"/>
        </w:rPr>
      </w:pPr>
      <w:r>
        <w:rPr>
          <w:rFonts w:ascii="Times New Roman" w:hAnsi="Times New Roman"/>
          <w:sz w:val="24"/>
        </w:rPr>
        <w:t>Ovaj Program stavlja u fokus revitalizaciju i obnovu nekorištenih prostora i zgrada u javnom vlasništvu čija je namjena usklađena s prostornim planovima (npr. društvene djelatnosti, stambena namjena u okviru POS programa i sl.).</w:t>
      </w:r>
    </w:p>
    <w:p w14:paraId="45D058A6" w14:textId="77777777" w:rsidR="00496804" w:rsidRDefault="00496804">
      <w:pPr>
        <w:spacing w:line="240" w:lineRule="auto"/>
        <w:rPr>
          <w:rFonts w:ascii="Times New Roman" w:hAnsi="Times New Roman"/>
          <w:sz w:val="24"/>
        </w:rPr>
      </w:pPr>
    </w:p>
    <w:p w14:paraId="45D058A7" w14:textId="77777777" w:rsidR="00496804" w:rsidRDefault="0037359D">
      <w:pPr>
        <w:spacing w:line="240" w:lineRule="auto"/>
        <w:rPr>
          <w:rFonts w:ascii="Times New Roman" w:hAnsi="Times New Roman"/>
          <w:sz w:val="24"/>
        </w:rPr>
      </w:pPr>
      <w:r>
        <w:rPr>
          <w:rFonts w:ascii="Times New Roman" w:hAnsi="Times New Roman"/>
          <w:sz w:val="24"/>
        </w:rPr>
        <w:t>U svrhu sveobuhvatnijeg sagledavanja kompletne problematike izgrađenih struktura pogodnih za ponovnu upotrebu po načelima kružnog gospodarenja u nastavku je prikazan pregled po tipologijama i mjerilima koja su najzastupljenija u Hrvatskoj:</w:t>
      </w:r>
    </w:p>
    <w:p w14:paraId="45D058A8" w14:textId="77777777" w:rsidR="00496804" w:rsidRDefault="00496804">
      <w:pPr>
        <w:spacing w:line="240" w:lineRule="auto"/>
        <w:rPr>
          <w:rFonts w:ascii="Times New Roman" w:hAnsi="Times New Roman"/>
          <w:bCs/>
          <w:sz w:val="24"/>
        </w:rPr>
      </w:pPr>
    </w:p>
    <w:p w14:paraId="45D058A9" w14:textId="77777777" w:rsidR="00496804" w:rsidRDefault="0037359D">
      <w:pPr>
        <w:spacing w:line="240" w:lineRule="auto"/>
        <w:rPr>
          <w:rFonts w:ascii="Times New Roman" w:hAnsi="Times New Roman"/>
          <w:bCs/>
          <w:sz w:val="24"/>
        </w:rPr>
      </w:pPr>
      <w:bookmarkStart w:id="48" w:name="_Hlk38923160"/>
      <w:r>
        <w:rPr>
          <w:rFonts w:ascii="Times New Roman" w:hAnsi="Times New Roman"/>
          <w:b/>
          <w:bCs/>
          <w:sz w:val="24"/>
        </w:rPr>
        <w:t>Polifunkcionalne zone napuštenih prostora i zgrada (mjerilo XL)</w:t>
      </w:r>
      <w:r>
        <w:rPr>
          <w:rFonts w:ascii="Times New Roman" w:hAnsi="Times New Roman"/>
          <w:b/>
          <w:sz w:val="24"/>
        </w:rPr>
        <w:t xml:space="preserve"> </w:t>
      </w:r>
      <w:r>
        <w:rPr>
          <w:rFonts w:ascii="Times New Roman" w:hAnsi="Times New Roman"/>
          <w:bCs/>
          <w:sz w:val="24"/>
        </w:rPr>
        <w:t xml:space="preserve">– zone više različitih funkcija, npr. industrija, brodogradilište, infrastruktura. Predstavljaju velike prostorne cjeline u sklopu najvećih hrvatskih gradova na kojima se odvijala lokalno vrlo važna gospodarska djelatnost. Značaj aktivnosti u takvim zonama je najčešće proporcionalan veličini, infrastrukturnoj i komunalnoj opremljenosti. Često ih karakterizira prisutnost infrastrukturnih elemenata poput željeznice ili luke. Dodatno opterećenje u razvoju ovakvih zona mogu biti i imovinsko-pravni odnosi. Ovakvi zahvati predstavljaju najveću razinu složenosti u pogledu provedbe, ali i mogućnost postizanja najboljeg rezultata u smislu primjene načela održivoga urbanog razvoja, </w:t>
      </w:r>
      <w:r>
        <w:rPr>
          <w:rFonts w:ascii="Times New Roman" w:hAnsi="Times New Roman"/>
          <w:sz w:val="24"/>
        </w:rPr>
        <w:t>rješenja temeljenih na prirodi</w:t>
      </w:r>
      <w:r>
        <w:rPr>
          <w:rStyle w:val="Referencafusnote"/>
          <w:rFonts w:ascii="Times New Roman" w:hAnsi="Times New Roman"/>
          <w:sz w:val="24"/>
        </w:rPr>
        <w:footnoteReference w:id="43"/>
      </w:r>
      <w:r>
        <w:rPr>
          <w:rFonts w:ascii="Times New Roman" w:hAnsi="Times New Roman"/>
          <w:sz w:val="24"/>
        </w:rPr>
        <w:t xml:space="preserve"> (engl. </w:t>
      </w:r>
      <w:r>
        <w:rPr>
          <w:rFonts w:ascii="Times New Roman" w:hAnsi="Times New Roman"/>
          <w:i/>
          <w:iCs/>
          <w:sz w:val="24"/>
        </w:rPr>
        <w:t>Nature Based Solution</w:t>
      </w:r>
      <w:r>
        <w:rPr>
          <w:rFonts w:ascii="Times New Roman" w:hAnsi="Times New Roman"/>
          <w:sz w:val="24"/>
        </w:rPr>
        <w:t xml:space="preserve"> – NBS)</w:t>
      </w:r>
      <w:r>
        <w:rPr>
          <w:rFonts w:ascii="Times New Roman" w:hAnsi="Times New Roman"/>
          <w:bCs/>
          <w:sz w:val="24"/>
        </w:rPr>
        <w:t xml:space="preserve">, primjene elemenata i sustava urbane zelene infrastrukture te u </w:t>
      </w:r>
      <w:r>
        <w:rPr>
          <w:rFonts w:ascii="Times New Roman" w:hAnsi="Times New Roman"/>
          <w:bCs/>
          <w:sz w:val="24"/>
        </w:rPr>
        <w:lastRenderedPageBreak/>
        <w:t xml:space="preserve">konačnici povrata vrijednosti kroz društveno-ekonomske parametre. Urbana sanacija ovakvih prostora je od velikog državnog značaja jer su upravo ti projekti glavni pokretači pozitivnih trendova u društvu. </w:t>
      </w:r>
    </w:p>
    <w:p w14:paraId="45D058AA" w14:textId="77777777" w:rsidR="00496804" w:rsidRDefault="00496804">
      <w:pPr>
        <w:spacing w:line="240" w:lineRule="auto"/>
        <w:rPr>
          <w:rFonts w:ascii="Times New Roman" w:hAnsi="Times New Roman"/>
          <w:bCs/>
          <w:sz w:val="24"/>
        </w:rPr>
      </w:pPr>
    </w:p>
    <w:p w14:paraId="45D058AB" w14:textId="77777777" w:rsidR="00496804" w:rsidRDefault="0037359D">
      <w:pPr>
        <w:spacing w:line="240" w:lineRule="auto"/>
        <w:rPr>
          <w:rFonts w:ascii="Times New Roman" w:hAnsi="Times New Roman"/>
          <w:sz w:val="24"/>
        </w:rPr>
      </w:pPr>
      <w:r>
        <w:rPr>
          <w:rFonts w:ascii="Times New Roman" w:hAnsi="Times New Roman"/>
          <w:b/>
          <w:bCs/>
          <w:sz w:val="24"/>
        </w:rPr>
        <w:t xml:space="preserve">Monofunkcionalne zone napuštenih prostora i zgrade (mjerilo L) </w:t>
      </w:r>
      <w:r>
        <w:rPr>
          <w:rFonts w:ascii="Times New Roman" w:hAnsi="Times New Roman"/>
          <w:sz w:val="24"/>
        </w:rPr>
        <w:t xml:space="preserve"> – cjeline jedne funkcije, jasno definiranih granica koje se u pravilu nalaze najčešće na gradskoj periferiji okružene prostorima slične namjene (npr. industrija, infrastruktura, vojska, turizam, bolnice i sl.). Najčešće je riječ o prostoru u kojem se nalazi veći broj zgrada različitih prostornih karakteristika (konstrukcija, materijali, rasponi, ovojnica, infrastrukturna opremljenost) povezanih procesima i sadržajima koji su se prethodno u njima odvijali. Budući da su u pitanju veće bruto razvijene površine (10 000 – 50 000 m</w:t>
      </w:r>
      <w:r>
        <w:rPr>
          <w:rFonts w:ascii="Times New Roman" w:hAnsi="Times New Roman"/>
          <w:sz w:val="24"/>
          <w:vertAlign w:val="superscript"/>
        </w:rPr>
        <w:t>2</w:t>
      </w:r>
      <w:r>
        <w:rPr>
          <w:rFonts w:ascii="Times New Roman" w:hAnsi="Times New Roman"/>
          <w:sz w:val="24"/>
        </w:rPr>
        <w:t>), predstavljaju izazov za implementaciju načela kružnog gospodarenja prostorom i zgradama. Prednosti su predmetnih lokacija: osnovna infrastrukturna opremljenost (promet, električna energija, voda, odvodnja), fleksibilnost prostora i velika površina. Nedostaci su mogućnost prethodnog onečišćenja okoliša, prisutnost opasnih materijala (npr. azbest, teški metali) i energetska neučinkovitost sustava (odnos energenta i ovojnice). Ovakve strukture bez većih teškoća mogu udomiti jednostavne proizvodne namjene, tehnološke parkove, istraživačke centre (start up/inkubatori) za veći broj korisnika, poslovne kampuse ili biti kombinacija navedenih sadržaja, što najčešće i slijedi namjenu zadanu prostorno planskom dokumentacijom. Uz kružno gospodarenje na ovim lokacijama postoji veliki potencijal primjene elemenata urbane zelene infrastrukture. Složenost i veličina zahvata zahtijevaju interdisciplinarni pristup, analizu opcija i primjenu NBS. Vremenski okvir poželjne realizacije ovakvih projekata je 5 godina.</w:t>
      </w:r>
    </w:p>
    <w:p w14:paraId="45D058AC" w14:textId="77777777" w:rsidR="00496804" w:rsidRDefault="00496804">
      <w:pPr>
        <w:spacing w:line="240" w:lineRule="auto"/>
        <w:rPr>
          <w:rFonts w:ascii="Times New Roman" w:hAnsi="Times New Roman"/>
          <w:sz w:val="24"/>
        </w:rPr>
      </w:pPr>
    </w:p>
    <w:p w14:paraId="45D058AD" w14:textId="77777777" w:rsidR="00496804" w:rsidRDefault="0037359D">
      <w:pPr>
        <w:spacing w:line="240" w:lineRule="auto"/>
        <w:rPr>
          <w:rFonts w:ascii="Times New Roman" w:hAnsi="Times New Roman"/>
          <w:sz w:val="24"/>
        </w:rPr>
      </w:pPr>
      <w:r>
        <w:rPr>
          <w:rFonts w:ascii="Times New Roman" w:hAnsi="Times New Roman"/>
          <w:b/>
          <w:bCs/>
          <w:sz w:val="24"/>
        </w:rPr>
        <w:t xml:space="preserve">Nekorištene zgrade (mjerilo M) </w:t>
      </w:r>
      <w:r>
        <w:rPr>
          <w:rFonts w:ascii="Times New Roman" w:hAnsi="Times New Roman"/>
          <w:sz w:val="24"/>
        </w:rPr>
        <w:t>– napuštene i nekorištene zgrade nalazimo kao dijelove napuštenih cjelina ili kao pojedinačne napuštene zgrade, najčešće kao dio urbanog tkiva. Ovisno o njihovoj nekadašnjoj namjeni, kao i o vremenu izgradnje te zgrade karakteriziraju različite veličine, konstruktivni sustavi i upotrijebljeni materijali. Rekonstrukcija i prenamjena ovih zgrada daje veliki potencijal za populariziranje teme kružnog gospodarstva.</w:t>
      </w:r>
    </w:p>
    <w:p w14:paraId="45D058AE" w14:textId="77777777" w:rsidR="00496804" w:rsidRDefault="00496804">
      <w:pPr>
        <w:spacing w:line="240" w:lineRule="auto"/>
        <w:rPr>
          <w:rFonts w:ascii="Times New Roman" w:hAnsi="Times New Roman"/>
          <w:sz w:val="24"/>
        </w:rPr>
      </w:pPr>
    </w:p>
    <w:p w14:paraId="45D058AF" w14:textId="77777777" w:rsidR="00496804" w:rsidRDefault="0037359D">
      <w:pPr>
        <w:spacing w:line="240" w:lineRule="auto"/>
        <w:rPr>
          <w:rFonts w:ascii="Times New Roman" w:hAnsi="Times New Roman"/>
          <w:sz w:val="24"/>
        </w:rPr>
      </w:pPr>
      <w:r>
        <w:rPr>
          <w:rFonts w:ascii="Times New Roman" w:hAnsi="Times New Roman"/>
          <w:b/>
          <w:bCs/>
          <w:sz w:val="24"/>
        </w:rPr>
        <w:t xml:space="preserve">Pojedinačni napušteni prostori u sklopu zgrada u korištenju (mjerilo S) </w:t>
      </w:r>
      <w:r>
        <w:rPr>
          <w:rFonts w:ascii="Times New Roman" w:hAnsi="Times New Roman"/>
          <w:sz w:val="24"/>
        </w:rPr>
        <w:t xml:space="preserve">– napušteni poslovni prostori u prizemljima zgrada, napušteni stanovi, neiskorišteni podrumi, tavani. Ova skupina prostora predstavlja veliku količinu pojedinačnih i raspršenih prostora različitih veličina, namjena i lokacija. Nalaze se  na mnogim mjestima i vrlo ih je teško tipizirati. Unutar ove skupine česti su slučajevi neriješenih imovinsko-pravnih odnosa nad nekretninom koji predstavljaju važnu prepreku u realizaciji projekata. Dio nekretnina u vlasništvu RH i jedinica lokalne i regionalne samouprave bio bi prikladan za poticajne gospodarske programe (obrti, samozapošljavanje) i programe socijalnog stanovanja u skladu s trendom socijalne kohezije. Projekti ponovne upotrebe napuštenih dijelova zgrada lako su provedive investicije velikoga socijalnog značaja. </w:t>
      </w:r>
    </w:p>
    <w:p w14:paraId="45D058B0" w14:textId="77777777" w:rsidR="00496804" w:rsidRDefault="00496804">
      <w:pPr>
        <w:spacing w:line="240" w:lineRule="auto"/>
        <w:rPr>
          <w:rFonts w:ascii="Times New Roman" w:hAnsi="Times New Roman"/>
          <w:bCs/>
          <w:sz w:val="24"/>
        </w:rPr>
      </w:pPr>
    </w:p>
    <w:p w14:paraId="45D058B1" w14:textId="77777777" w:rsidR="00496804" w:rsidRDefault="00496804">
      <w:pPr>
        <w:spacing w:line="240" w:lineRule="auto"/>
        <w:jc w:val="left"/>
        <w:rPr>
          <w:rFonts w:ascii="Times New Roman" w:hAnsi="Times New Roman"/>
          <w:bCs/>
          <w:sz w:val="24"/>
        </w:rPr>
      </w:pPr>
    </w:p>
    <w:p w14:paraId="45D058B2" w14:textId="77777777" w:rsidR="00496804" w:rsidRDefault="0037359D">
      <w:pPr>
        <w:pStyle w:val="Naslov2"/>
        <w:numPr>
          <w:ilvl w:val="2"/>
          <w:numId w:val="8"/>
        </w:numPr>
        <w:ind w:left="709" w:hanging="709"/>
        <w:rPr>
          <w:rFonts w:ascii="Times New Roman" w:hAnsi="Times New Roman" w:cs="Times New Roman"/>
          <w:color w:val="auto"/>
          <w:sz w:val="24"/>
          <w:szCs w:val="24"/>
        </w:rPr>
      </w:pPr>
      <w:bookmarkStart w:id="49" w:name="_Toc51851628"/>
      <w:r>
        <w:rPr>
          <w:rFonts w:ascii="Times New Roman" w:hAnsi="Times New Roman" w:cs="Times New Roman"/>
          <w:color w:val="auto"/>
          <w:sz w:val="24"/>
          <w:szCs w:val="24"/>
        </w:rPr>
        <w:t>KRUŽNA OBNOVA I REPROGRAMIRANJE KORIŠTENIH PROSTORA I ZGRADA</w:t>
      </w:r>
      <w:bookmarkEnd w:id="49"/>
    </w:p>
    <w:p w14:paraId="45D058B3" w14:textId="77777777" w:rsidR="00496804" w:rsidRDefault="00496804">
      <w:pPr>
        <w:spacing w:line="240" w:lineRule="auto"/>
        <w:rPr>
          <w:rFonts w:ascii="Times New Roman" w:hAnsi="Times New Roman"/>
          <w:bCs/>
          <w:sz w:val="24"/>
        </w:rPr>
      </w:pPr>
    </w:p>
    <w:p w14:paraId="45D058B4" w14:textId="77777777" w:rsidR="00496804" w:rsidRDefault="0037359D">
      <w:pPr>
        <w:spacing w:line="240" w:lineRule="auto"/>
        <w:rPr>
          <w:rFonts w:ascii="Times New Roman" w:hAnsi="Times New Roman"/>
          <w:sz w:val="24"/>
        </w:rPr>
      </w:pPr>
      <w:r>
        <w:rPr>
          <w:rFonts w:ascii="Times New Roman" w:hAnsi="Times New Roman"/>
          <w:sz w:val="24"/>
        </w:rPr>
        <w:t xml:space="preserve">Usporedno s izazovima velikog broja napuštenih prostora i zgrada, dodatna problematika je značajna starost i dotrajalost građevnog fonda na prostoru RH. Prostori i zgrade u korištenju također su pogodne za provođenje mjera kružnosti, kroz koje bi se mogao uravnotežiti odnos produljenja trajnosti, troškova održavanja, dobre iskoristivosti prostora i održivosti. </w:t>
      </w:r>
    </w:p>
    <w:p w14:paraId="45D058B5" w14:textId="77777777" w:rsidR="00496804" w:rsidRDefault="00496804">
      <w:pPr>
        <w:spacing w:line="240" w:lineRule="auto"/>
        <w:rPr>
          <w:rFonts w:ascii="Times New Roman" w:hAnsi="Times New Roman"/>
          <w:sz w:val="24"/>
        </w:rPr>
      </w:pPr>
    </w:p>
    <w:p w14:paraId="45D058B6" w14:textId="77777777" w:rsidR="00496804" w:rsidRDefault="0037359D">
      <w:pPr>
        <w:spacing w:line="240" w:lineRule="auto"/>
        <w:rPr>
          <w:rFonts w:ascii="Times New Roman" w:hAnsi="Times New Roman"/>
          <w:sz w:val="24"/>
        </w:rPr>
      </w:pPr>
      <w:r>
        <w:rPr>
          <w:rFonts w:ascii="Times New Roman" w:hAnsi="Times New Roman"/>
          <w:sz w:val="24"/>
        </w:rPr>
        <w:t>Mogućnosti primjene načela kružnog gospodarenja kod prostora i zgrada u korištenju su:</w:t>
      </w:r>
    </w:p>
    <w:p w14:paraId="45D058B7" w14:textId="77777777" w:rsidR="00496804" w:rsidRDefault="00496804">
      <w:pPr>
        <w:spacing w:line="240" w:lineRule="auto"/>
        <w:rPr>
          <w:rFonts w:ascii="Times New Roman" w:hAnsi="Times New Roman"/>
          <w:sz w:val="24"/>
        </w:rPr>
      </w:pPr>
    </w:p>
    <w:p w14:paraId="45D058B8" w14:textId="77777777" w:rsidR="00496804" w:rsidRDefault="0037359D">
      <w:pPr>
        <w:spacing w:line="240" w:lineRule="auto"/>
        <w:rPr>
          <w:rFonts w:ascii="Times New Roman" w:hAnsi="Times New Roman"/>
          <w:b/>
          <w:bCs/>
          <w:sz w:val="24"/>
        </w:rPr>
      </w:pPr>
      <w:r>
        <w:rPr>
          <w:rFonts w:ascii="Times New Roman" w:hAnsi="Times New Roman"/>
          <w:b/>
          <w:bCs/>
          <w:sz w:val="24"/>
        </w:rPr>
        <w:t>Kružna obnova postojećih zgrada (mjerilo L)</w:t>
      </w:r>
    </w:p>
    <w:p w14:paraId="45D058B9" w14:textId="77777777" w:rsidR="00496804" w:rsidRDefault="0037359D">
      <w:pPr>
        <w:spacing w:line="240" w:lineRule="auto"/>
        <w:rPr>
          <w:rFonts w:ascii="Times New Roman" w:hAnsi="Times New Roman"/>
          <w:sz w:val="24"/>
          <w:u w:color="0076BA"/>
        </w:rPr>
      </w:pPr>
      <w:r>
        <w:rPr>
          <w:rFonts w:ascii="Times New Roman" w:hAnsi="Times New Roman"/>
          <w:sz w:val="24"/>
          <w:u w:color="FF0000"/>
        </w:rPr>
        <w:lastRenderedPageBreak/>
        <w:t xml:space="preserve">Namijenjena je prostoru i zgradama javne ili stambene namjene, </w:t>
      </w:r>
      <w:r>
        <w:rPr>
          <w:rFonts w:ascii="Times New Roman" w:hAnsi="Times New Roman"/>
          <w:sz w:val="24"/>
          <w:u w:color="0076BA"/>
        </w:rPr>
        <w:t xml:space="preserve">zgradama kod kojih je potrebna energetska ili sveobuhvatna obnova u svrhu </w:t>
      </w:r>
      <w:r>
        <w:rPr>
          <w:rFonts w:ascii="Times New Roman" w:hAnsi="Times New Roman"/>
          <w:sz w:val="24"/>
        </w:rPr>
        <w:t xml:space="preserve">produljenje trajnosti i korištenja postojećih prostora i zgrada, </w:t>
      </w:r>
      <w:r>
        <w:rPr>
          <w:rFonts w:ascii="Times New Roman" w:hAnsi="Times New Roman"/>
          <w:sz w:val="24"/>
          <w:u w:color="0076BA"/>
        </w:rPr>
        <w:t xml:space="preserve">pri tome naglasak treba staviti na više standarde energetske obnove zgrada u korištenju, npr. nZEB standard (zgrada gotovo nulte potrošnje energije) ili standard obnove 10:1 (10 puta manja potrošnja energije u odnosu na stanje proje obnove). </w:t>
      </w:r>
    </w:p>
    <w:p w14:paraId="45D058BA" w14:textId="77777777" w:rsidR="00496804" w:rsidRDefault="00496804">
      <w:pPr>
        <w:spacing w:line="240" w:lineRule="auto"/>
        <w:rPr>
          <w:rFonts w:ascii="Times New Roman" w:hAnsi="Times New Roman"/>
          <w:sz w:val="24"/>
          <w:u w:color="FF0000"/>
        </w:rPr>
      </w:pPr>
    </w:p>
    <w:p w14:paraId="45D058BB" w14:textId="77777777" w:rsidR="00496804" w:rsidRDefault="0037359D">
      <w:pPr>
        <w:spacing w:line="240" w:lineRule="auto"/>
        <w:rPr>
          <w:rFonts w:ascii="Times New Roman" w:hAnsi="Times New Roman"/>
          <w:sz w:val="24"/>
        </w:rPr>
      </w:pPr>
      <w:r>
        <w:rPr>
          <w:rFonts w:ascii="Times New Roman" w:hAnsi="Times New Roman"/>
          <w:sz w:val="24"/>
          <w:u w:color="FF0000"/>
        </w:rPr>
        <w:t xml:space="preserve">Obnova </w:t>
      </w:r>
      <w:r>
        <w:rPr>
          <w:rFonts w:ascii="Times New Roman" w:hAnsi="Times New Roman"/>
          <w:sz w:val="24"/>
          <w:u w:color="0076BA"/>
        </w:rPr>
        <w:t xml:space="preserve">obuhvaća više elemenata: sagledavanje zgrade i njenih elemenata kroz </w:t>
      </w:r>
      <w:r>
        <w:rPr>
          <w:rFonts w:ascii="Times New Roman" w:hAnsi="Times New Roman"/>
          <w:sz w:val="24"/>
        </w:rPr>
        <w:t xml:space="preserve">cjeloživotni vijek </w:t>
      </w:r>
      <w:r>
        <w:rPr>
          <w:rFonts w:ascii="Times New Roman" w:hAnsi="Times New Roman"/>
          <w:sz w:val="24"/>
          <w:u w:color="0076BA"/>
        </w:rPr>
        <w:t>(</w:t>
      </w:r>
      <w:r>
        <w:rPr>
          <w:rFonts w:ascii="Times New Roman" w:hAnsi="Times New Roman"/>
          <w:i/>
          <w:iCs/>
          <w:sz w:val="24"/>
          <w:u w:color="0076BA"/>
        </w:rPr>
        <w:t>Building Life Cycle</w:t>
      </w:r>
      <w:r>
        <w:rPr>
          <w:rFonts w:ascii="Times New Roman" w:hAnsi="Times New Roman"/>
          <w:sz w:val="24"/>
          <w:u w:color="0076BA"/>
        </w:rPr>
        <w:t xml:space="preserve">), osmišljavanje mjera produljenja trajnosti zgrade, kružnost materijala – primjena oporabljenih materijala i materijala koji su pogodni za oporabu, energetska učinkovitost kroz primjenu </w:t>
      </w:r>
      <w:r>
        <w:rPr>
          <w:rFonts w:ascii="Times New Roman" w:hAnsi="Times New Roman"/>
          <w:sz w:val="24"/>
        </w:rPr>
        <w:t>termo-tehničkih</w:t>
      </w:r>
      <w:r>
        <w:rPr>
          <w:rFonts w:ascii="Times New Roman" w:hAnsi="Times New Roman"/>
          <w:sz w:val="24"/>
          <w:u w:color="0076BA"/>
        </w:rPr>
        <w:t xml:space="preserve"> i drugih sustava, a posebno onih s korištenjem obnovljivih izvora energije umjesto postojećih konvencionalnih sustava (dizalice topline iz okoliša, PV i solarni sustavi, vjetroturbine i vodene turbine </w:t>
      </w:r>
      <w:r>
        <w:rPr>
          <w:rFonts w:ascii="Times New Roman" w:hAnsi="Times New Roman"/>
          <w:i/>
          <w:iCs/>
          <w:sz w:val="24"/>
          <w:u w:color="0076BA"/>
        </w:rPr>
        <w:t>in situ</w:t>
      </w:r>
      <w:r>
        <w:rPr>
          <w:rFonts w:ascii="Times New Roman" w:hAnsi="Times New Roman"/>
          <w:sz w:val="24"/>
          <w:u w:color="0076BA"/>
        </w:rPr>
        <w:t xml:space="preserve">), učinkovita upotreba vode. Dodatni cilj je osiguravanje zdravih, pristupačnih, ugodnih prostora te sustava </w:t>
      </w:r>
      <w:r>
        <w:rPr>
          <w:rFonts w:ascii="Times New Roman" w:hAnsi="Times New Roman"/>
          <w:sz w:val="24"/>
        </w:rPr>
        <w:t>prilagodbi i otpornosti na klimatske promjene. Poseban naglasak je na upravljanju otpadom, onom dnevnom komunalnom te sprečavanju nastanka neiskoristivog građevnog otpada.</w:t>
      </w:r>
    </w:p>
    <w:p w14:paraId="45D058BC" w14:textId="77777777" w:rsidR="00496804" w:rsidRDefault="00496804">
      <w:pPr>
        <w:spacing w:line="240" w:lineRule="auto"/>
        <w:rPr>
          <w:rFonts w:ascii="Times New Roman" w:hAnsi="Times New Roman"/>
          <w:sz w:val="24"/>
        </w:rPr>
      </w:pPr>
    </w:p>
    <w:p w14:paraId="45D058BD" w14:textId="77777777" w:rsidR="00496804" w:rsidRDefault="0037359D">
      <w:pPr>
        <w:spacing w:line="240" w:lineRule="auto"/>
        <w:rPr>
          <w:rFonts w:ascii="Times New Roman" w:hAnsi="Times New Roman"/>
          <w:b/>
          <w:bCs/>
          <w:sz w:val="24"/>
        </w:rPr>
      </w:pPr>
      <w:r>
        <w:rPr>
          <w:rFonts w:ascii="Times New Roman" w:hAnsi="Times New Roman"/>
          <w:b/>
          <w:bCs/>
          <w:sz w:val="24"/>
        </w:rPr>
        <w:t>Vremenska raspodjela korištenja prostora (mjerilo XS)</w:t>
      </w:r>
    </w:p>
    <w:p w14:paraId="45D058BE" w14:textId="52CF507F" w:rsidR="00496804" w:rsidRDefault="0037359D">
      <w:pPr>
        <w:spacing w:line="240" w:lineRule="auto"/>
        <w:rPr>
          <w:rFonts w:ascii="Times New Roman" w:hAnsi="Times New Roman"/>
          <w:sz w:val="24"/>
        </w:rPr>
      </w:pPr>
      <w:r>
        <w:rPr>
          <w:rFonts w:ascii="Times New Roman" w:hAnsi="Times New Roman"/>
          <w:sz w:val="24"/>
        </w:rPr>
        <w:t>Vremenska raspodjela korištenja prostora podrazumijeva korištenje jednog prostora od strane dva ili više različita korisnika (time &amp; space sharing). Idealna za javne objekte (</w:t>
      </w:r>
      <w:r w:rsidR="003E1E05">
        <w:rPr>
          <w:rFonts w:ascii="Times New Roman" w:hAnsi="Times New Roman"/>
          <w:sz w:val="24"/>
        </w:rPr>
        <w:t>škol</w:t>
      </w:r>
      <w:r w:rsidR="003E1E05">
        <w:rPr>
          <w:rFonts w:ascii="Times New Roman" w:hAnsi="Times New Roman"/>
          <w:sz w:val="24"/>
        </w:rPr>
        <w:t>ske dvorane</w:t>
      </w:r>
      <w:r>
        <w:rPr>
          <w:rFonts w:ascii="Times New Roman" w:hAnsi="Times New Roman"/>
          <w:sz w:val="24"/>
        </w:rPr>
        <w:t xml:space="preserve">, </w:t>
      </w:r>
      <w:r w:rsidR="003F4A26">
        <w:rPr>
          <w:rFonts w:ascii="Times New Roman" w:hAnsi="Times New Roman"/>
          <w:sz w:val="24"/>
        </w:rPr>
        <w:t>mjesn</w:t>
      </w:r>
      <w:r w:rsidR="003F4A26">
        <w:rPr>
          <w:rFonts w:ascii="Times New Roman" w:hAnsi="Times New Roman"/>
          <w:sz w:val="24"/>
        </w:rPr>
        <w:t>i</w:t>
      </w:r>
      <w:r w:rsidR="003F4A26">
        <w:rPr>
          <w:rFonts w:ascii="Times New Roman" w:hAnsi="Times New Roman"/>
          <w:sz w:val="24"/>
        </w:rPr>
        <w:t xml:space="preserve"> odbor</w:t>
      </w:r>
      <w:r w:rsidR="003F4A26">
        <w:rPr>
          <w:rFonts w:ascii="Times New Roman" w:hAnsi="Times New Roman"/>
          <w:sz w:val="24"/>
        </w:rPr>
        <w:t>i</w:t>
      </w:r>
      <w:r>
        <w:rPr>
          <w:rFonts w:ascii="Times New Roman" w:hAnsi="Times New Roman"/>
          <w:sz w:val="24"/>
        </w:rPr>
        <w:t xml:space="preserve">, ambulante, </w:t>
      </w:r>
      <w:r w:rsidR="003F4A26">
        <w:rPr>
          <w:rFonts w:ascii="Times New Roman" w:hAnsi="Times New Roman"/>
          <w:sz w:val="24"/>
        </w:rPr>
        <w:t>muzej</w:t>
      </w:r>
      <w:r w:rsidR="003F4A26">
        <w:rPr>
          <w:rFonts w:ascii="Times New Roman" w:hAnsi="Times New Roman"/>
          <w:sz w:val="24"/>
        </w:rPr>
        <w:t>i</w:t>
      </w:r>
      <w:r>
        <w:rPr>
          <w:rFonts w:ascii="Times New Roman" w:hAnsi="Times New Roman"/>
          <w:sz w:val="24"/>
        </w:rPr>
        <w:t>, DVD</w:t>
      </w:r>
      <w:r w:rsidR="006E34A0">
        <w:rPr>
          <w:rFonts w:ascii="Times New Roman" w:hAnsi="Times New Roman"/>
          <w:sz w:val="24"/>
        </w:rPr>
        <w:t xml:space="preserve"> i sl.</w:t>
      </w:r>
      <w:r>
        <w:rPr>
          <w:rFonts w:ascii="Times New Roman" w:hAnsi="Times New Roman"/>
          <w:sz w:val="24"/>
        </w:rPr>
        <w:t xml:space="preserve">) koji se koriste samo dio vremena ili koji koriste samo dio prostora uslijed promjene intenziteta osnovne namjene. U svrhu ostvarivanja suživota raznih programa ponekad će biti potrebne dodatne prostorne intervencije ili opremanje. </w:t>
      </w:r>
    </w:p>
    <w:p w14:paraId="45D058BF" w14:textId="77777777" w:rsidR="00496804" w:rsidRDefault="0037359D">
      <w:pPr>
        <w:spacing w:line="240" w:lineRule="auto"/>
        <w:rPr>
          <w:rFonts w:ascii="Times New Roman" w:hAnsi="Times New Roman"/>
          <w:sz w:val="24"/>
          <w:u w:color="0076BA"/>
        </w:rPr>
      </w:pPr>
      <w:r>
        <w:rPr>
          <w:rFonts w:ascii="Times New Roman" w:hAnsi="Times New Roman"/>
          <w:sz w:val="24"/>
          <w:u w:color="0076BA"/>
        </w:rPr>
        <w:t xml:space="preserve">Fleksibilnost je osnovno načelo kod projektiranja. Potrebno je razmišljati o interesima lokalne zajednice i društveno-korisnom aspektu. Programi koji su posebno pogodni za suživot su razni modeli resursnih centara, </w:t>
      </w:r>
      <w:r>
        <w:rPr>
          <w:rFonts w:ascii="Times New Roman" w:hAnsi="Times New Roman"/>
          <w:i/>
          <w:iCs/>
          <w:sz w:val="24"/>
          <w:u w:color="0076BA"/>
        </w:rPr>
        <w:t>repair caffe</w:t>
      </w:r>
      <w:r>
        <w:rPr>
          <w:rFonts w:ascii="Times New Roman" w:hAnsi="Times New Roman"/>
          <w:sz w:val="24"/>
          <w:u w:color="0076BA"/>
        </w:rPr>
        <w:t xml:space="preserve">-i, dnevni boravci za treću dob, prostori za </w:t>
      </w:r>
      <w:r>
        <w:rPr>
          <w:rFonts w:ascii="Times New Roman" w:hAnsi="Times New Roman"/>
          <w:i/>
          <w:iCs/>
          <w:sz w:val="24"/>
          <w:u w:color="0076BA"/>
        </w:rPr>
        <w:t>co</w:t>
      </w:r>
      <w:r>
        <w:rPr>
          <w:rFonts w:ascii="Times New Roman" w:hAnsi="Times New Roman"/>
          <w:i/>
          <w:sz w:val="24"/>
          <w:u w:color="0076BA"/>
        </w:rPr>
        <w:t>-working</w:t>
      </w:r>
      <w:r>
        <w:rPr>
          <w:rFonts w:ascii="Times New Roman" w:hAnsi="Times New Roman"/>
          <w:sz w:val="24"/>
          <w:u w:color="0076BA"/>
        </w:rPr>
        <w:t xml:space="preserve">. </w:t>
      </w:r>
    </w:p>
    <w:p w14:paraId="45D058C0" w14:textId="77777777" w:rsidR="00496804" w:rsidRDefault="00496804">
      <w:pPr>
        <w:spacing w:line="240" w:lineRule="auto"/>
        <w:rPr>
          <w:rFonts w:ascii="Times New Roman" w:hAnsi="Times New Roman"/>
          <w:sz w:val="24"/>
          <w:u w:color="0076BA"/>
        </w:rPr>
      </w:pPr>
    </w:p>
    <w:p w14:paraId="45D058C1" w14:textId="77777777" w:rsidR="00496804" w:rsidRDefault="0037359D">
      <w:pPr>
        <w:spacing w:line="240" w:lineRule="auto"/>
        <w:rPr>
          <w:rFonts w:ascii="Times New Roman" w:hAnsi="Times New Roman"/>
          <w:sz w:val="24"/>
        </w:rPr>
      </w:pPr>
      <w:r>
        <w:rPr>
          <w:rFonts w:ascii="Times New Roman" w:hAnsi="Times New Roman"/>
          <w:sz w:val="24"/>
        </w:rPr>
        <w:t>Kroz mjere bolje iskoristivosti postojećih struktura smanjujemo potrebu izgradnje i održavanja novih te dižemo kvalitetu postojećih struktura i kvalitetu života. Novi zahtjevi poslovanja i nove poduzetničke koncepcije sve su više okrenute poslovanju u digitalnom svijetu i traže aktivnu prilagodbu koju u fizičkom prostoru podržavaju prostorni planovi.</w:t>
      </w:r>
    </w:p>
    <w:p w14:paraId="45D058C2" w14:textId="77777777" w:rsidR="00496804" w:rsidRDefault="00496804">
      <w:pPr>
        <w:spacing w:line="240" w:lineRule="auto"/>
        <w:rPr>
          <w:rFonts w:ascii="Times New Roman" w:hAnsi="Times New Roman"/>
          <w:sz w:val="24"/>
          <w:u w:color="0076BA"/>
        </w:rPr>
      </w:pPr>
    </w:p>
    <w:p w14:paraId="45D058C3" w14:textId="77777777" w:rsidR="00496804" w:rsidRDefault="0037359D">
      <w:pPr>
        <w:spacing w:line="240" w:lineRule="auto"/>
        <w:rPr>
          <w:rFonts w:ascii="Times New Roman" w:hAnsi="Times New Roman"/>
          <w:sz w:val="24"/>
        </w:rPr>
      </w:pPr>
      <w:r>
        <w:rPr>
          <w:rFonts w:ascii="Times New Roman" w:hAnsi="Times New Roman"/>
          <w:sz w:val="24"/>
        </w:rPr>
        <w:t xml:space="preserve">Urbana struktura se privremenim korištenjem prilagođava na dinamičan način okolnostima koje nastaju u realnom vremenu. Jedan od aspekata je korištenje javnih otvorenih prostora (javni parkovi, urbani vrtovi i farme). Ove teme posebno obrađuje Program razvoja zelene infrastrukture u urbanim područjima za razdoblje 2021. do 2030. godine  jer se zanemarivo mali broj planova uređenja zelenih površina u RH odnosi na tipove prostora kao što su javni otvoreni prostori u vidu urbanih vrtova, urbanih farmi i javnih parkova koji predstavljaju razmjerno novu kategoriju urbanih prostora. Naročito se otvara mogućnost za primjenu koncepta privremenog korištenja napuštenih ili neodgovarajuće korištenih javnih prostora u urbanom području kojim se može potaknuti lokalnu zajednicu u promišljanju rješenja u osmišljavanju javnih prostora za koje nije moguće predvidjeti trenutak privođenja planskoj namjeni, tj. osigurati sredstva za kvalitetnu urbanu obnovu takvih površina. </w:t>
      </w:r>
    </w:p>
    <w:p w14:paraId="45D058C4" w14:textId="77777777" w:rsidR="00496804" w:rsidRDefault="00496804">
      <w:pPr>
        <w:pStyle w:val="tekst"/>
        <w:spacing w:line="240" w:lineRule="auto"/>
        <w:rPr>
          <w:rFonts w:ascii="Times New Roman" w:hAnsi="Times New Roman" w:cs="Times New Roman"/>
          <w:sz w:val="24"/>
          <w:szCs w:val="24"/>
          <w:u w:color="942192"/>
        </w:rPr>
      </w:pPr>
    </w:p>
    <w:p w14:paraId="45D058C5" w14:textId="77777777" w:rsidR="00496804" w:rsidRDefault="0037359D">
      <w:pPr>
        <w:pStyle w:val="Naslov2"/>
        <w:ind w:left="426" w:hanging="426"/>
        <w:rPr>
          <w:rFonts w:ascii="Times New Roman" w:hAnsi="Times New Roman" w:cs="Times New Roman"/>
          <w:color w:val="auto"/>
          <w:sz w:val="24"/>
          <w:szCs w:val="24"/>
        </w:rPr>
      </w:pPr>
      <w:bookmarkStart w:id="50" w:name="_Toc51851629"/>
      <w:bookmarkEnd w:id="48"/>
      <w:r>
        <w:rPr>
          <w:rFonts w:ascii="Times New Roman" w:hAnsi="Times New Roman" w:cs="Times New Roman"/>
          <w:color w:val="auto"/>
          <w:sz w:val="24"/>
          <w:szCs w:val="24"/>
        </w:rPr>
        <w:t>KORISTI ZA RAZVOJ KRUŽNOG GOSPODARENJA PROSTOROM I ZGRADAMA</w:t>
      </w:r>
      <w:bookmarkEnd w:id="50"/>
    </w:p>
    <w:p w14:paraId="45D058C6" w14:textId="77777777" w:rsidR="00496804" w:rsidRDefault="00496804">
      <w:pPr>
        <w:pStyle w:val="tekst"/>
        <w:spacing w:line="240" w:lineRule="auto"/>
        <w:rPr>
          <w:rFonts w:ascii="Times New Roman" w:hAnsi="Times New Roman" w:cs="Times New Roman"/>
          <w:sz w:val="24"/>
          <w:szCs w:val="24"/>
        </w:rPr>
      </w:pPr>
    </w:p>
    <w:p w14:paraId="45D058C7" w14:textId="77777777" w:rsidR="00496804" w:rsidRDefault="0037359D">
      <w:pPr>
        <w:spacing w:line="240" w:lineRule="auto"/>
        <w:rPr>
          <w:rFonts w:ascii="Times New Roman" w:hAnsi="Times New Roman"/>
          <w:sz w:val="24"/>
          <w:lang w:eastAsia="hr-HR"/>
        </w:rPr>
      </w:pPr>
      <w:r>
        <w:rPr>
          <w:rFonts w:ascii="Times New Roman" w:hAnsi="Times New Roman"/>
          <w:sz w:val="24"/>
          <w:lang w:eastAsia="hr-HR"/>
        </w:rPr>
        <w:t xml:space="preserve">Koristi za razvoj kružnog gospodarenja prostorom i zgradama strukturirane su kroz okolišni, ekonomski i društveni aspekt. Okolišni aspekt predstavljaju svi oni pozitivni procesi usmjereni na prostor i zgrade, okoliš, energiju i materijale. Većinu okolišnih koristi moguće je jednostavno kvantitativno iskazati i pratiti. Ekonomske smjernice su one u posljedično-uzročnoj vezi s procesima definiranim u okolišnim koristima te predstavljaju pozitivne ekonomske trendove kružnog </w:t>
      </w:r>
      <w:r>
        <w:rPr>
          <w:rFonts w:ascii="Times New Roman" w:hAnsi="Times New Roman"/>
          <w:sz w:val="24"/>
          <w:lang w:eastAsia="hr-HR"/>
        </w:rPr>
        <w:lastRenderedPageBreak/>
        <w:t>gospodarenja. Pomoću složenih ekonomskih modela moguće je kvantitativno pratiti učinke kružnog gospodarenja na nacionalnoj ekonomskoj slici. Društvene koristi se odnose na povećanje kvalitete života stanovnika, a imaju važnu ulogu budući da ih može prepoznati i ocijeniti cijela zajednica. Budući da su teško kvantitativno iskazive, tendencija je da se društveni značaj, odnosno utjecaj pojedinog projekta uzme u obzir kod sagledavanja ekonomske isplativosti.</w:t>
      </w:r>
    </w:p>
    <w:p w14:paraId="45D058C8" w14:textId="77777777" w:rsidR="00496804" w:rsidRDefault="00496804">
      <w:pPr>
        <w:spacing w:line="240" w:lineRule="auto"/>
        <w:rPr>
          <w:rFonts w:ascii="Times New Roman" w:hAnsi="Times New Roman"/>
          <w:sz w:val="24"/>
          <w:lang w:eastAsia="hr-HR"/>
        </w:rPr>
      </w:pPr>
    </w:p>
    <w:p w14:paraId="45D058C9" w14:textId="77777777" w:rsidR="00496804" w:rsidRDefault="0037359D">
      <w:pPr>
        <w:pStyle w:val="Opisslike"/>
        <w:rPr>
          <w:rFonts w:ascii="Times New Roman" w:hAnsi="Times New Roman"/>
          <w:b w:val="0"/>
          <w:bCs w:val="0"/>
          <w:i/>
          <w:iCs/>
          <w:sz w:val="24"/>
          <w:szCs w:val="24"/>
          <w:lang w:eastAsia="hr-HR"/>
        </w:rPr>
      </w:pPr>
      <w:bookmarkStart w:id="51" w:name="_Hlk34972003"/>
      <w:r>
        <w:rPr>
          <w:rFonts w:ascii="Times New Roman" w:hAnsi="Times New Roman"/>
          <w:b w:val="0"/>
          <w:bCs w:val="0"/>
          <w:i/>
          <w:iCs/>
          <w:sz w:val="24"/>
          <w:szCs w:val="24"/>
        </w:rPr>
        <w:t xml:space="preserve">Tablica 1. </w:t>
      </w:r>
      <w:r>
        <w:rPr>
          <w:rFonts w:ascii="Times New Roman" w:hAnsi="Times New Roman"/>
          <w:b w:val="0"/>
          <w:bCs w:val="0"/>
          <w:i/>
          <w:iCs/>
          <w:sz w:val="24"/>
          <w:szCs w:val="24"/>
          <w:lang w:eastAsia="hr-HR"/>
        </w:rPr>
        <w:t>Koristi za razvoj kružnog gospodarenja prostorom i zgradama</w:t>
      </w:r>
    </w:p>
    <w:bookmarkEnd w:id="51"/>
    <w:p w14:paraId="45D058CA" w14:textId="77777777" w:rsidR="00496804" w:rsidRDefault="0037359D">
      <w:pPr>
        <w:pStyle w:val="tekst"/>
        <w:tabs>
          <w:tab w:val="left" w:pos="284"/>
        </w:tabs>
        <w:spacing w:line="240" w:lineRule="auto"/>
        <w:rPr>
          <w:rFonts w:ascii="Times New Roman" w:hAnsi="Times New Roman"/>
          <w:sz w:val="24"/>
        </w:rPr>
      </w:pPr>
      <w:r>
        <w:rPr>
          <w:rFonts w:ascii="Times New Roman" w:hAnsi="Times New Roman" w:cs="Times New Roman"/>
          <w:noProof/>
          <w:sz w:val="24"/>
          <w:szCs w:val="24"/>
        </w:rPr>
        <w:drawing>
          <wp:inline distT="0" distB="0" distL="0" distR="0" wp14:anchorId="45D061FB" wp14:editId="45D061FC">
            <wp:extent cx="6006465" cy="5658485"/>
            <wp:effectExtent l="0" t="38100" r="13335" b="5651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Pr>
          <w:rFonts w:ascii="Times New Roman" w:hAnsi="Times New Roman" w:cs="Times New Roman"/>
          <w:sz w:val="24"/>
          <w:szCs w:val="24"/>
        </w:rPr>
        <w:br w:type="page"/>
      </w:r>
    </w:p>
    <w:p w14:paraId="45D058CB" w14:textId="77777777" w:rsidR="00496804" w:rsidRDefault="0037359D">
      <w:pPr>
        <w:pStyle w:val="Naslov2"/>
        <w:ind w:left="426" w:hanging="426"/>
        <w:rPr>
          <w:rFonts w:ascii="Times New Roman" w:hAnsi="Times New Roman" w:cs="Times New Roman"/>
          <w:color w:val="auto"/>
          <w:sz w:val="24"/>
          <w:szCs w:val="24"/>
        </w:rPr>
      </w:pPr>
      <w:bookmarkStart w:id="52" w:name="_Toc51851630"/>
      <w:r>
        <w:rPr>
          <w:rFonts w:ascii="Times New Roman" w:hAnsi="Times New Roman" w:cs="Times New Roman"/>
          <w:color w:val="auto"/>
          <w:sz w:val="24"/>
          <w:szCs w:val="24"/>
        </w:rPr>
        <w:lastRenderedPageBreak/>
        <w:t>LEVEL(s)</w:t>
      </w:r>
      <w:bookmarkEnd w:id="52"/>
      <w:r>
        <w:rPr>
          <w:rFonts w:ascii="Times New Roman" w:hAnsi="Times New Roman" w:cs="Times New Roman"/>
          <w:color w:val="auto"/>
          <w:sz w:val="24"/>
          <w:szCs w:val="24"/>
        </w:rPr>
        <w:t xml:space="preserve"> </w:t>
      </w:r>
    </w:p>
    <w:p w14:paraId="45D058CC" w14:textId="77777777" w:rsidR="00496804" w:rsidRDefault="00496804">
      <w:pPr>
        <w:pStyle w:val="tekst"/>
        <w:spacing w:line="240" w:lineRule="auto"/>
        <w:rPr>
          <w:rFonts w:ascii="Times New Roman" w:hAnsi="Times New Roman" w:cs="Times New Roman"/>
          <w:sz w:val="24"/>
          <w:szCs w:val="24"/>
        </w:rPr>
      </w:pPr>
    </w:p>
    <w:p w14:paraId="45D058CD"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Opća uprava za okoliš Europske komisije (DG ENVI), u suradnji s velikim brojem građevinskih stručnjaka razvila je alat za procjenu i izvještavanje o aspektima održivosti građevina tijekom njihovog c</w:t>
      </w:r>
      <w:r>
        <w:rPr>
          <w:rFonts w:ascii="Times New Roman" w:hAnsi="Times New Roman"/>
          <w:sz w:val="24"/>
          <w:szCs w:val="24"/>
        </w:rPr>
        <w:t xml:space="preserve">jeloživotnog </w:t>
      </w:r>
      <w:r>
        <w:rPr>
          <w:rFonts w:ascii="Times New Roman" w:hAnsi="Times New Roman" w:cs="Times New Roman"/>
          <w:sz w:val="24"/>
          <w:szCs w:val="24"/>
        </w:rPr>
        <w:t>vijeka. LEVEL(s)</w:t>
      </w:r>
      <w:r>
        <w:rPr>
          <w:rStyle w:val="Referencafusnote"/>
          <w:rFonts w:ascii="Times New Roman" w:hAnsi="Times New Roman" w:cs="Times New Roman"/>
          <w:sz w:val="24"/>
          <w:szCs w:val="24"/>
        </w:rPr>
        <w:footnoteReference w:id="44"/>
      </w:r>
      <w:r>
        <w:rPr>
          <w:rFonts w:ascii="Times New Roman" w:hAnsi="Times New Roman" w:cs="Times New Roman"/>
          <w:sz w:val="24"/>
          <w:szCs w:val="24"/>
        </w:rPr>
        <w:t xml:space="preserve"> je alat za projektiranje i izgradnju održivih građevina te procjenu i izvještavanje o aspektima održivosti i kružnosti tijekom njihovog c</w:t>
      </w:r>
      <w:r>
        <w:rPr>
          <w:rFonts w:ascii="Times New Roman" w:hAnsi="Times New Roman"/>
          <w:sz w:val="24"/>
          <w:szCs w:val="24"/>
        </w:rPr>
        <w:t xml:space="preserve">jeloživotnog </w:t>
      </w:r>
      <w:r>
        <w:rPr>
          <w:rFonts w:ascii="Times New Roman" w:hAnsi="Times New Roman" w:cs="Times New Roman"/>
          <w:sz w:val="24"/>
          <w:szCs w:val="24"/>
        </w:rPr>
        <w:t>vijeka. On definira pokazatelje odnosno kriterije u procjeni održivosti i kružnosti i na taj način osigurava jedinstveni europski pristup procjeni okolišne učinkovitosti izgrađenog okoliša. LEVEL(s) će biti primjenjiv u različitim aktivnostima u kojima se potiče razvoj kružnih zgrada, poput zelene javne nabave, postupaka certificiranja i brojnih tržišnih inicijativa. LEVEL(s) povećava razinu znanja o održivoj gradnji na cjelokupnom europskom tržištu i postupno omogućava: poboljšanje izvedbe zgrada na troškovno učinkovit način, razmjenu iskustava i usporedbu primjera dobre prakse. Važni ciljevi pri kružnom planiranju prostora i projektiranju novih zgrada, kružnoj obnovi i reprogramiranju korištenih i nekorištenih prostora i zgrada u skladu s LEVEL(s) metodologijom prikazani su u tabelarnom prikazu:</w:t>
      </w:r>
    </w:p>
    <w:p w14:paraId="45D058CE" w14:textId="77777777" w:rsidR="00496804" w:rsidRDefault="00496804">
      <w:pPr>
        <w:pStyle w:val="Bezproreda"/>
        <w:jc w:val="both"/>
        <w:rPr>
          <w:lang w:val="hr-HR"/>
        </w:rPr>
      </w:pPr>
    </w:p>
    <w:p w14:paraId="45D058CF" w14:textId="77777777" w:rsidR="00496804" w:rsidRDefault="0037359D">
      <w:pPr>
        <w:pStyle w:val="Opisslike"/>
        <w:rPr>
          <w:rFonts w:ascii="Times New Roman" w:hAnsi="Times New Roman"/>
          <w:b w:val="0"/>
          <w:bCs w:val="0"/>
          <w:i/>
          <w:iCs/>
          <w:sz w:val="24"/>
          <w:szCs w:val="24"/>
        </w:rPr>
      </w:pPr>
      <w:r>
        <w:rPr>
          <w:rFonts w:ascii="Times New Roman" w:hAnsi="Times New Roman"/>
          <w:b w:val="0"/>
          <w:bCs w:val="0"/>
          <w:i/>
          <w:iCs/>
          <w:sz w:val="24"/>
          <w:szCs w:val="24"/>
        </w:rPr>
        <w:t>Tablica 2. LEVEL(s) Ciljevi i opis</w:t>
      </w:r>
    </w:p>
    <w:tbl>
      <w:tblPr>
        <w:tblStyle w:val="Reetkatablice"/>
        <w:tblW w:w="5000" w:type="pct"/>
        <w:tblBorders>
          <w:left w:val="none" w:sz="0" w:space="0" w:color="auto"/>
          <w:right w:val="none" w:sz="0" w:space="0" w:color="auto"/>
        </w:tblBorders>
        <w:tblLook w:val="04A0" w:firstRow="1" w:lastRow="0" w:firstColumn="1" w:lastColumn="0" w:noHBand="0" w:noVBand="1"/>
      </w:tblPr>
      <w:tblGrid>
        <w:gridCol w:w="2655"/>
        <w:gridCol w:w="6977"/>
      </w:tblGrid>
      <w:tr w:rsidR="00496804" w14:paraId="45D058D2" w14:textId="77777777">
        <w:tc>
          <w:tcPr>
            <w:tcW w:w="1378" w:type="pct"/>
            <w:tcBorders>
              <w:top w:val="single" w:sz="4" w:space="0" w:color="auto"/>
              <w:right w:val="nil"/>
            </w:tcBorders>
            <w:shd w:val="clear" w:color="auto" w:fill="FFB279" w:themeFill="accent5" w:themeFillTint="99"/>
          </w:tcPr>
          <w:p w14:paraId="45D058D0" w14:textId="77777777" w:rsidR="00496804" w:rsidRDefault="0037359D">
            <w:pPr>
              <w:spacing w:line="240" w:lineRule="auto"/>
              <w:rPr>
                <w:rFonts w:ascii="Times New Roman" w:hAnsi="Times New Roman"/>
                <w:b/>
                <w:bCs/>
                <w:szCs w:val="22"/>
              </w:rPr>
            </w:pPr>
            <w:r>
              <w:rPr>
                <w:rFonts w:ascii="Times New Roman" w:hAnsi="Times New Roman"/>
                <w:b/>
                <w:bCs/>
                <w:szCs w:val="22"/>
              </w:rPr>
              <w:t>Ciljevi</w:t>
            </w:r>
          </w:p>
        </w:tc>
        <w:tc>
          <w:tcPr>
            <w:tcW w:w="3622" w:type="pct"/>
            <w:tcBorders>
              <w:top w:val="single" w:sz="4" w:space="0" w:color="auto"/>
              <w:left w:val="nil"/>
              <w:bottom w:val="single" w:sz="4" w:space="0" w:color="auto"/>
            </w:tcBorders>
            <w:shd w:val="clear" w:color="auto" w:fill="FFB279" w:themeFill="accent5" w:themeFillTint="99"/>
          </w:tcPr>
          <w:p w14:paraId="45D058D1" w14:textId="77777777" w:rsidR="00496804" w:rsidRDefault="0037359D">
            <w:pPr>
              <w:spacing w:line="240" w:lineRule="auto"/>
              <w:rPr>
                <w:rFonts w:ascii="Times New Roman" w:hAnsi="Times New Roman"/>
                <w:b/>
                <w:bCs/>
                <w:szCs w:val="22"/>
              </w:rPr>
            </w:pPr>
            <w:r>
              <w:rPr>
                <w:rFonts w:ascii="Times New Roman" w:hAnsi="Times New Roman"/>
                <w:b/>
                <w:bCs/>
                <w:szCs w:val="22"/>
              </w:rPr>
              <w:t>Opis</w:t>
            </w:r>
          </w:p>
        </w:tc>
      </w:tr>
      <w:tr w:rsidR="00496804" w14:paraId="45D058D5" w14:textId="77777777">
        <w:tc>
          <w:tcPr>
            <w:tcW w:w="1378" w:type="pct"/>
            <w:tcBorders>
              <w:right w:val="nil"/>
            </w:tcBorders>
            <w:shd w:val="clear" w:color="auto" w:fill="FFCCA6" w:themeFill="accent5" w:themeFillTint="66"/>
          </w:tcPr>
          <w:p w14:paraId="45D058D3" w14:textId="77777777" w:rsidR="00496804" w:rsidRDefault="0037359D">
            <w:pPr>
              <w:spacing w:line="240" w:lineRule="auto"/>
              <w:rPr>
                <w:rFonts w:ascii="Times New Roman" w:hAnsi="Times New Roman"/>
                <w:b/>
                <w:bCs/>
                <w:szCs w:val="22"/>
              </w:rPr>
            </w:pPr>
            <w:r>
              <w:rPr>
                <w:rFonts w:ascii="Times New Roman" w:hAnsi="Times New Roman"/>
                <w:b/>
                <w:bCs/>
                <w:szCs w:val="22"/>
              </w:rPr>
              <w:t xml:space="preserve">Područje interesa: </w:t>
            </w:r>
          </w:p>
        </w:tc>
        <w:tc>
          <w:tcPr>
            <w:tcW w:w="3622" w:type="pct"/>
            <w:tcBorders>
              <w:top w:val="single" w:sz="4" w:space="0" w:color="auto"/>
              <w:left w:val="nil"/>
            </w:tcBorders>
            <w:shd w:val="clear" w:color="auto" w:fill="FFCCA6" w:themeFill="accent5" w:themeFillTint="66"/>
          </w:tcPr>
          <w:p w14:paraId="45D058D4" w14:textId="77777777" w:rsidR="00496804" w:rsidRDefault="0037359D">
            <w:pPr>
              <w:spacing w:line="240" w:lineRule="auto"/>
              <w:rPr>
                <w:rFonts w:ascii="Times New Roman" w:hAnsi="Times New Roman"/>
                <w:b/>
                <w:bCs/>
                <w:szCs w:val="22"/>
              </w:rPr>
            </w:pPr>
            <w:r>
              <w:rPr>
                <w:rFonts w:ascii="Times New Roman" w:hAnsi="Times New Roman"/>
                <w:b/>
                <w:bCs/>
                <w:szCs w:val="22"/>
              </w:rPr>
              <w:t>Cjeloživotni utjecaj svojstava zgrada na okoliš</w:t>
            </w:r>
          </w:p>
        </w:tc>
      </w:tr>
      <w:tr w:rsidR="00496804" w14:paraId="45D058D8" w14:textId="77777777">
        <w:tc>
          <w:tcPr>
            <w:tcW w:w="1378" w:type="pct"/>
          </w:tcPr>
          <w:p w14:paraId="45D058D6" w14:textId="77777777" w:rsidR="00496804" w:rsidRDefault="0037359D">
            <w:pPr>
              <w:spacing w:line="240" w:lineRule="auto"/>
              <w:jc w:val="left"/>
              <w:rPr>
                <w:rFonts w:ascii="Times New Roman" w:hAnsi="Times New Roman"/>
                <w:b/>
                <w:bCs/>
                <w:szCs w:val="22"/>
              </w:rPr>
            </w:pPr>
            <w:r>
              <w:rPr>
                <w:rFonts w:ascii="Times New Roman" w:hAnsi="Times New Roman"/>
                <w:b/>
                <w:bCs/>
                <w:szCs w:val="22"/>
              </w:rPr>
              <w:t>1. Emisije stakleničkih plinova tijekom cjeloživotnog vijeka zgrada</w:t>
            </w:r>
          </w:p>
        </w:tc>
        <w:tc>
          <w:tcPr>
            <w:tcW w:w="3622" w:type="pct"/>
          </w:tcPr>
          <w:p w14:paraId="45D058D7" w14:textId="77777777" w:rsidR="00496804" w:rsidRDefault="0037359D">
            <w:pPr>
              <w:spacing w:line="240" w:lineRule="auto"/>
              <w:rPr>
                <w:rFonts w:ascii="Times New Roman" w:hAnsi="Times New Roman"/>
                <w:szCs w:val="22"/>
              </w:rPr>
            </w:pPr>
            <w:r>
              <w:rPr>
                <w:rFonts w:ascii="Times New Roman" w:hAnsi="Times New Roman"/>
                <w:szCs w:val="22"/>
              </w:rPr>
              <w:t>Smanjiti ukupnu emisiju stakleničkih plinova na najmanju moguću mjeru, (u ciklusu „od kolijevke do kolijevke“ – od izgradnje do uklanjanja i ponovnog korištenja materijala za novu gradnju), s naglaskom na emisije od energija potrebnih za korištenje zgrade i energije ugrađene u materijale zgrade</w:t>
            </w:r>
          </w:p>
        </w:tc>
      </w:tr>
      <w:tr w:rsidR="00496804" w14:paraId="45D058DC" w14:textId="77777777">
        <w:tc>
          <w:tcPr>
            <w:tcW w:w="1378" w:type="pct"/>
          </w:tcPr>
          <w:p w14:paraId="45D058D9" w14:textId="77777777" w:rsidR="00496804" w:rsidRDefault="0037359D">
            <w:pPr>
              <w:spacing w:line="240" w:lineRule="auto"/>
              <w:jc w:val="left"/>
              <w:rPr>
                <w:rFonts w:ascii="Times New Roman" w:hAnsi="Times New Roman"/>
                <w:b/>
                <w:bCs/>
                <w:szCs w:val="22"/>
              </w:rPr>
            </w:pPr>
            <w:r>
              <w:rPr>
                <w:rFonts w:ascii="Times New Roman" w:hAnsi="Times New Roman"/>
                <w:b/>
                <w:bCs/>
                <w:szCs w:val="22"/>
              </w:rPr>
              <w:t>2. Učinkovita primjena materijala i kružni životni ciklus materijala</w:t>
            </w:r>
          </w:p>
          <w:p w14:paraId="45D058DA" w14:textId="77777777" w:rsidR="00496804" w:rsidRDefault="00496804">
            <w:pPr>
              <w:spacing w:line="240" w:lineRule="auto"/>
              <w:jc w:val="left"/>
              <w:rPr>
                <w:rFonts w:ascii="Times New Roman" w:hAnsi="Times New Roman"/>
                <w:b/>
                <w:bCs/>
                <w:szCs w:val="22"/>
              </w:rPr>
            </w:pPr>
          </w:p>
        </w:tc>
        <w:tc>
          <w:tcPr>
            <w:tcW w:w="3622" w:type="pct"/>
          </w:tcPr>
          <w:p w14:paraId="45D058DB" w14:textId="77777777" w:rsidR="00496804" w:rsidRDefault="0037359D">
            <w:pPr>
              <w:spacing w:line="240" w:lineRule="auto"/>
              <w:rPr>
                <w:rFonts w:ascii="Times New Roman" w:hAnsi="Times New Roman"/>
              </w:rPr>
            </w:pPr>
            <w:r>
              <w:rPr>
                <w:rFonts w:ascii="Times New Roman" w:hAnsi="Times New Roman"/>
              </w:rPr>
              <w:t>Optimizirati projekte zgrada konstrukcijski i oblikovno kako bi se poticali kružni tokovi korištenja materijala i primjena materijala s niskom ugrađenom energijom, produžila dugoročna korisnost materijala i umanjio značajan utjecaj primijenjenih materijala za gradnju zgrada na okoliš.</w:t>
            </w:r>
          </w:p>
        </w:tc>
      </w:tr>
      <w:tr w:rsidR="00496804" w14:paraId="45D058DF" w14:textId="77777777">
        <w:tc>
          <w:tcPr>
            <w:tcW w:w="1378" w:type="pct"/>
          </w:tcPr>
          <w:p w14:paraId="45D058DD" w14:textId="77777777" w:rsidR="00496804" w:rsidRDefault="0037359D">
            <w:pPr>
              <w:spacing w:line="240" w:lineRule="auto"/>
              <w:jc w:val="left"/>
              <w:rPr>
                <w:rFonts w:ascii="Times New Roman" w:hAnsi="Times New Roman"/>
                <w:b/>
                <w:bCs/>
                <w:szCs w:val="22"/>
              </w:rPr>
            </w:pPr>
            <w:r>
              <w:rPr>
                <w:rFonts w:ascii="Times New Roman" w:hAnsi="Times New Roman"/>
                <w:b/>
                <w:bCs/>
                <w:szCs w:val="22"/>
              </w:rPr>
              <w:t>3. Učinkovito korištenje vode</w:t>
            </w:r>
          </w:p>
        </w:tc>
        <w:tc>
          <w:tcPr>
            <w:tcW w:w="3622" w:type="pct"/>
            <w:tcBorders>
              <w:bottom w:val="single" w:sz="4" w:space="0" w:color="auto"/>
            </w:tcBorders>
          </w:tcPr>
          <w:p w14:paraId="45D058DE" w14:textId="77777777" w:rsidR="00496804" w:rsidRDefault="0037359D">
            <w:pPr>
              <w:spacing w:line="240" w:lineRule="auto"/>
              <w:rPr>
                <w:rFonts w:ascii="Times New Roman" w:hAnsi="Times New Roman"/>
                <w:szCs w:val="22"/>
              </w:rPr>
            </w:pPr>
            <w:r>
              <w:rPr>
                <w:rFonts w:ascii="Times New Roman" w:hAnsi="Times New Roman"/>
                <w:szCs w:val="22"/>
              </w:rPr>
              <w:t xml:space="preserve">Učinkovito koristiti vodene resurse, pogotovo u područjima na kojima su identificirani ili predviđeni problemi s uporabom vode </w:t>
            </w:r>
          </w:p>
        </w:tc>
      </w:tr>
      <w:tr w:rsidR="00496804" w14:paraId="45D058E2" w14:textId="77777777">
        <w:tc>
          <w:tcPr>
            <w:tcW w:w="1378" w:type="pct"/>
            <w:tcBorders>
              <w:right w:val="nil"/>
            </w:tcBorders>
            <w:shd w:val="clear" w:color="auto" w:fill="FFCCA6" w:themeFill="accent5" w:themeFillTint="66"/>
          </w:tcPr>
          <w:p w14:paraId="45D058E0" w14:textId="77777777" w:rsidR="00496804" w:rsidRDefault="0037359D">
            <w:pPr>
              <w:spacing w:line="240" w:lineRule="auto"/>
              <w:rPr>
                <w:rFonts w:ascii="Times New Roman" w:hAnsi="Times New Roman"/>
                <w:b/>
                <w:bCs/>
                <w:szCs w:val="22"/>
              </w:rPr>
            </w:pPr>
            <w:r>
              <w:rPr>
                <w:rFonts w:ascii="Times New Roman" w:hAnsi="Times New Roman"/>
                <w:b/>
                <w:bCs/>
                <w:szCs w:val="22"/>
              </w:rPr>
              <w:t xml:space="preserve">Područje interesa: </w:t>
            </w:r>
          </w:p>
        </w:tc>
        <w:tc>
          <w:tcPr>
            <w:tcW w:w="3622" w:type="pct"/>
            <w:tcBorders>
              <w:left w:val="nil"/>
              <w:right w:val="nil"/>
            </w:tcBorders>
            <w:shd w:val="clear" w:color="auto" w:fill="FFCCA6" w:themeFill="accent5" w:themeFillTint="66"/>
          </w:tcPr>
          <w:p w14:paraId="45D058E1" w14:textId="77777777" w:rsidR="00496804" w:rsidRDefault="0037359D">
            <w:pPr>
              <w:spacing w:line="240" w:lineRule="auto"/>
              <w:rPr>
                <w:rFonts w:ascii="Times New Roman" w:hAnsi="Times New Roman"/>
                <w:b/>
                <w:bCs/>
                <w:szCs w:val="22"/>
              </w:rPr>
            </w:pPr>
            <w:r>
              <w:rPr>
                <w:rFonts w:ascii="Times New Roman" w:hAnsi="Times New Roman"/>
                <w:b/>
                <w:bCs/>
                <w:szCs w:val="22"/>
              </w:rPr>
              <w:t>Zdravlje i udobnost u korištenju zgrada</w:t>
            </w:r>
          </w:p>
        </w:tc>
      </w:tr>
      <w:tr w:rsidR="00496804" w14:paraId="45D058E5" w14:textId="77777777">
        <w:tc>
          <w:tcPr>
            <w:tcW w:w="1378" w:type="pct"/>
          </w:tcPr>
          <w:p w14:paraId="45D058E3" w14:textId="77777777" w:rsidR="00496804" w:rsidRDefault="0037359D">
            <w:pPr>
              <w:spacing w:line="240" w:lineRule="auto"/>
              <w:jc w:val="left"/>
              <w:rPr>
                <w:rFonts w:ascii="Times New Roman" w:hAnsi="Times New Roman"/>
                <w:b/>
                <w:bCs/>
              </w:rPr>
            </w:pPr>
            <w:r>
              <w:rPr>
                <w:rFonts w:ascii="Times New Roman" w:hAnsi="Times New Roman"/>
                <w:b/>
                <w:bCs/>
              </w:rPr>
              <w:t>4. Zdravi, sigurni i udobni prostori</w:t>
            </w:r>
          </w:p>
        </w:tc>
        <w:tc>
          <w:tcPr>
            <w:tcW w:w="3622" w:type="pct"/>
            <w:tcBorders>
              <w:bottom w:val="single" w:sz="4" w:space="0" w:color="auto"/>
            </w:tcBorders>
          </w:tcPr>
          <w:p w14:paraId="45D058E4" w14:textId="77777777" w:rsidR="00496804" w:rsidRDefault="0037359D">
            <w:pPr>
              <w:spacing w:line="240" w:lineRule="auto"/>
              <w:rPr>
                <w:rFonts w:ascii="Times New Roman" w:hAnsi="Times New Roman"/>
              </w:rPr>
            </w:pPr>
            <w:r>
              <w:rPr>
                <w:rFonts w:ascii="Times New Roman" w:hAnsi="Times New Roman"/>
              </w:rPr>
              <w:t xml:space="preserve"> Graditi zgrade koje su energetski učinkovite i sigurne, ali pri tom i udobne, atraktivne i poticajne za život i rad u njima i koje štite ljudsko zdravlje u pogledu mikroklimatskih uvjeta, akustike i kvalitete zraka u unutarnjem prostoru.</w:t>
            </w:r>
          </w:p>
        </w:tc>
      </w:tr>
      <w:tr w:rsidR="00496804" w14:paraId="45D058E8" w14:textId="77777777">
        <w:tc>
          <w:tcPr>
            <w:tcW w:w="1378" w:type="pct"/>
            <w:tcBorders>
              <w:right w:val="nil"/>
            </w:tcBorders>
            <w:shd w:val="clear" w:color="auto" w:fill="FFCCA6" w:themeFill="accent5" w:themeFillTint="66"/>
          </w:tcPr>
          <w:p w14:paraId="45D058E6" w14:textId="77777777" w:rsidR="00496804" w:rsidRDefault="0037359D">
            <w:pPr>
              <w:spacing w:line="240" w:lineRule="auto"/>
              <w:rPr>
                <w:rFonts w:ascii="Times New Roman" w:hAnsi="Times New Roman"/>
                <w:b/>
                <w:bCs/>
                <w:szCs w:val="22"/>
              </w:rPr>
            </w:pPr>
            <w:r>
              <w:rPr>
                <w:rFonts w:ascii="Times New Roman" w:hAnsi="Times New Roman"/>
                <w:b/>
                <w:bCs/>
                <w:szCs w:val="22"/>
              </w:rPr>
              <w:t xml:space="preserve">Područje interesa: </w:t>
            </w:r>
          </w:p>
        </w:tc>
        <w:tc>
          <w:tcPr>
            <w:tcW w:w="3622" w:type="pct"/>
            <w:tcBorders>
              <w:left w:val="nil"/>
            </w:tcBorders>
            <w:shd w:val="clear" w:color="auto" w:fill="FFCCA6" w:themeFill="accent5" w:themeFillTint="66"/>
          </w:tcPr>
          <w:p w14:paraId="45D058E7" w14:textId="77777777" w:rsidR="00496804" w:rsidRDefault="0037359D">
            <w:pPr>
              <w:spacing w:line="240" w:lineRule="auto"/>
              <w:rPr>
                <w:rFonts w:ascii="Times New Roman" w:hAnsi="Times New Roman"/>
                <w:b/>
                <w:bCs/>
                <w:szCs w:val="22"/>
              </w:rPr>
            </w:pPr>
            <w:r>
              <w:rPr>
                <w:rFonts w:ascii="Times New Roman" w:hAnsi="Times New Roman"/>
                <w:b/>
                <w:bCs/>
                <w:szCs w:val="22"/>
              </w:rPr>
              <w:t>Trošak, vrijednost i rizici</w:t>
            </w:r>
          </w:p>
        </w:tc>
      </w:tr>
      <w:tr w:rsidR="00496804" w14:paraId="45D058EB" w14:textId="77777777">
        <w:tc>
          <w:tcPr>
            <w:tcW w:w="1378" w:type="pct"/>
          </w:tcPr>
          <w:p w14:paraId="45D058E9" w14:textId="77777777" w:rsidR="00496804" w:rsidRDefault="0037359D">
            <w:pPr>
              <w:spacing w:line="240" w:lineRule="auto"/>
              <w:jc w:val="left"/>
              <w:rPr>
                <w:rFonts w:ascii="Times New Roman" w:hAnsi="Times New Roman"/>
                <w:b/>
                <w:bCs/>
                <w:szCs w:val="22"/>
              </w:rPr>
            </w:pPr>
            <w:r>
              <w:rPr>
                <w:rFonts w:ascii="Times New Roman" w:hAnsi="Times New Roman"/>
                <w:b/>
                <w:bCs/>
                <w:szCs w:val="22"/>
              </w:rPr>
              <w:t>5. Prilagodljivost i otpornost na klimatske promjene</w:t>
            </w:r>
          </w:p>
        </w:tc>
        <w:tc>
          <w:tcPr>
            <w:tcW w:w="3622" w:type="pct"/>
          </w:tcPr>
          <w:p w14:paraId="45D058EA" w14:textId="77777777" w:rsidR="00496804" w:rsidRDefault="0037359D">
            <w:pPr>
              <w:spacing w:line="240" w:lineRule="auto"/>
              <w:rPr>
                <w:rFonts w:ascii="Times New Roman" w:hAnsi="Times New Roman"/>
              </w:rPr>
            </w:pPr>
            <w:r>
              <w:rPr>
                <w:rFonts w:ascii="Times New Roman" w:hAnsi="Times New Roman"/>
              </w:rPr>
              <w:t>Graditi zgrade otporne na očekivane klimatske promjene (budući klimatski ekstremi – poplave, obilne oborine, suša, ekstremni vjetrovi, snijeg, požari, podizanje razine mora), kako bi se zaštitilo zdravlje i udobnost korisnika te održala vrijednost nekretnine i umanjili rizici na vrijednost nekretnine u budućnosti.</w:t>
            </w:r>
          </w:p>
        </w:tc>
      </w:tr>
      <w:tr w:rsidR="00496804" w14:paraId="45D058EE" w14:textId="77777777">
        <w:trPr>
          <w:trHeight w:val="113"/>
        </w:trPr>
        <w:tc>
          <w:tcPr>
            <w:tcW w:w="1378" w:type="pct"/>
          </w:tcPr>
          <w:p w14:paraId="45D058EC" w14:textId="77777777" w:rsidR="00496804" w:rsidRDefault="0037359D">
            <w:pPr>
              <w:spacing w:line="240" w:lineRule="auto"/>
              <w:jc w:val="left"/>
              <w:rPr>
                <w:rFonts w:ascii="Times New Roman" w:hAnsi="Times New Roman"/>
                <w:b/>
                <w:bCs/>
                <w:szCs w:val="22"/>
              </w:rPr>
            </w:pPr>
            <w:r>
              <w:rPr>
                <w:rFonts w:ascii="Times New Roman" w:hAnsi="Times New Roman"/>
                <w:b/>
                <w:bCs/>
                <w:szCs w:val="22"/>
              </w:rPr>
              <w:t>6. Troškovno optimizirani cjeloživotni vijek zgrada</w:t>
            </w:r>
          </w:p>
        </w:tc>
        <w:tc>
          <w:tcPr>
            <w:tcW w:w="3622" w:type="pct"/>
          </w:tcPr>
          <w:p w14:paraId="45D058ED" w14:textId="77777777" w:rsidR="00496804" w:rsidRDefault="0037359D">
            <w:pPr>
              <w:spacing w:line="240" w:lineRule="auto"/>
              <w:rPr>
                <w:rFonts w:ascii="Times New Roman" w:hAnsi="Times New Roman"/>
                <w:szCs w:val="22"/>
              </w:rPr>
            </w:pPr>
            <w:r>
              <w:rPr>
                <w:rFonts w:ascii="Times New Roman" w:hAnsi="Times New Roman"/>
                <w:szCs w:val="22"/>
              </w:rPr>
              <w:t xml:space="preserve">Optimiziranje troškova i dobivene vrijednosti za cjeloživotni vijek zgrade, razmišljajući o dugoročnom potencijalu za poboljšanja svojstava zgrade, uključujući moguću buduću preprodaju, prenamjenu, upravljanje, održavanje, preuređenja, uklanjanje i kraj životnog vijeka zgrade. Univerzalni dizajn koji će osigurati dugoročnu vrijednost zgrade kao nekretnine kroz modularnost konstrukcije i dispozicije, fleksibilnost i adaptabilnost prostora i instalacijskih sustava zgrade za promjenu primarne namjene. Primjena robusnih i dugotrajnih materijala s niskim troškovima održavanja s mogućim korištenjem materijala i nakon završetka cjeloživotnog vijeka zgrade. </w:t>
            </w:r>
          </w:p>
        </w:tc>
      </w:tr>
    </w:tbl>
    <w:p w14:paraId="45D058EF" w14:textId="77777777" w:rsidR="00496804" w:rsidRDefault="0037359D">
      <w:pPr>
        <w:spacing w:line="240" w:lineRule="auto"/>
        <w:jc w:val="left"/>
        <w:rPr>
          <w:rFonts w:ascii="Times New Roman" w:hAnsi="Times New Roman"/>
          <w:sz w:val="24"/>
          <w:lang w:eastAsia="hr-HR"/>
        </w:rPr>
      </w:pPr>
      <w:r>
        <w:rPr>
          <w:rFonts w:ascii="Times New Roman" w:hAnsi="Times New Roman"/>
          <w:sz w:val="24"/>
        </w:rPr>
        <w:br w:type="page"/>
      </w:r>
    </w:p>
    <w:p w14:paraId="45D058F0" w14:textId="77777777" w:rsidR="00496804" w:rsidRDefault="0037359D">
      <w:pPr>
        <w:pStyle w:val="Naslov10"/>
        <w:spacing w:line="240" w:lineRule="auto"/>
        <w:ind w:left="426" w:hanging="426"/>
        <w:outlineLvl w:val="0"/>
        <w:rPr>
          <w:rFonts w:ascii="Times New Roman" w:hAnsi="Times New Roman" w:cs="Times New Roman"/>
          <w:sz w:val="24"/>
          <w:szCs w:val="24"/>
        </w:rPr>
      </w:pPr>
      <w:bookmarkStart w:id="53" w:name="_Toc51851631"/>
      <w:r>
        <w:rPr>
          <w:rFonts w:ascii="Times New Roman" w:hAnsi="Times New Roman" w:cs="Times New Roman"/>
          <w:sz w:val="24"/>
          <w:szCs w:val="24"/>
        </w:rPr>
        <w:lastRenderedPageBreak/>
        <w:t>PREGLED STANJA U PROSTORU</w:t>
      </w:r>
      <w:bookmarkEnd w:id="53"/>
    </w:p>
    <w:p w14:paraId="45D058F1" w14:textId="77777777" w:rsidR="00496804" w:rsidRDefault="00496804">
      <w:pPr>
        <w:spacing w:line="240" w:lineRule="auto"/>
        <w:rPr>
          <w:rFonts w:ascii="Times New Roman" w:hAnsi="Times New Roman"/>
          <w:sz w:val="24"/>
        </w:rPr>
      </w:pPr>
    </w:p>
    <w:p w14:paraId="45D058F2" w14:textId="77777777" w:rsidR="00496804" w:rsidRDefault="0037359D">
      <w:pPr>
        <w:spacing w:line="240" w:lineRule="auto"/>
        <w:rPr>
          <w:rFonts w:ascii="Times New Roman" w:hAnsi="Times New Roman"/>
          <w:sz w:val="24"/>
        </w:rPr>
      </w:pPr>
      <w:r>
        <w:rPr>
          <w:rFonts w:ascii="Times New Roman" w:hAnsi="Times New Roman"/>
          <w:sz w:val="24"/>
        </w:rPr>
        <w:t xml:space="preserve">Globalni trendovi kao što su klimatske promjene, degradacija okoliša, demografske promjene i sve veća potrošnja, postavljaju značajne i potencijalno neodržive pritiske na dostupnost i upotrebljivost prirodnih resursa poput zemlje, vode i ekosustava. U dokumentu </w:t>
      </w:r>
      <w:r>
        <w:rPr>
          <w:rFonts w:ascii="Times New Roman" w:hAnsi="Times New Roman"/>
          <w:bCs/>
          <w:sz w:val="24"/>
        </w:rPr>
        <w:t>Leading the way to a global circular economy: state of play and outlook</w:t>
      </w:r>
      <w:r>
        <w:rPr>
          <w:rStyle w:val="Referencafusnote"/>
          <w:rFonts w:ascii="Times New Roman" w:hAnsi="Times New Roman"/>
          <w:bCs/>
          <w:sz w:val="24"/>
        </w:rPr>
        <w:footnoteReference w:id="45"/>
      </w:r>
      <w:r>
        <w:rPr>
          <w:rFonts w:ascii="Times New Roman" w:hAnsi="Times New Roman"/>
          <w:sz w:val="24"/>
        </w:rPr>
        <w:t xml:space="preserve"> navodi se procjena da je između 1970. i 2017. godine, godišnje globalno vađenje sirovina se više nego utrostručilo, povećavajući se sa 27 milijardi tona na 92 milijarde tona. Od 2000. godine ubrzale su se stope vađenja, povećavajući se za 3,2 % godišnje. To je velikim dijelom potaknuto velikim infrastrukturnim ulaganjima i većim životnim standardom u zemljama u razvoju i tranziciji. </w:t>
      </w:r>
    </w:p>
    <w:p w14:paraId="45D058F3" w14:textId="77777777" w:rsidR="00496804" w:rsidRDefault="00496804">
      <w:pPr>
        <w:spacing w:line="240" w:lineRule="auto"/>
        <w:rPr>
          <w:rFonts w:ascii="Times New Roman" w:hAnsi="Times New Roman"/>
          <w:sz w:val="24"/>
        </w:rPr>
      </w:pPr>
    </w:p>
    <w:p w14:paraId="45D058F4" w14:textId="77777777" w:rsidR="00496804" w:rsidRDefault="0037359D">
      <w:pPr>
        <w:spacing w:line="240" w:lineRule="auto"/>
        <w:rPr>
          <w:rFonts w:ascii="Times New Roman" w:hAnsi="Times New Roman"/>
          <w:sz w:val="24"/>
        </w:rPr>
      </w:pPr>
      <w:r>
        <w:rPr>
          <w:rFonts w:ascii="Times New Roman" w:hAnsi="Times New Roman"/>
          <w:sz w:val="24"/>
        </w:rPr>
        <w:t>Očekuje se da će se u sljedećih 30 godina globalno urbano stanovništvo povećati za približno 2,4 milijarde, a njegov udio sa 54% u 2015. na 66% u 2050. godini. Povećanje broja stanovnika rezultira znatnim širenjem postojećih gradova i izgradnjom novih gradova. Gradovi koriste milijarde tona materijalnih resursa od fosilnih goriva, pijeska, šljunka i željezne rude do biotičkih resursa kao što su drvo i hrana. Više od trećine globalne potrošnje resursa namijenjeno je građevnim materijalima i građevinskom sektoru. Proizvodnja tih materijala zahtijeva energiju, što predstavlja više od 40% emisija stakleničkih plinova povezanih s proizvodnjom materijala. Predviđa se da će takva potrošnja sirovina rasti brže od urbanog stanovništva i dosegnuti oko 90 milijardi tona do 2050. godine (40 milijardi tona 2010.). Velika potražnja za takvim sirovinama daleko premašuje ono što planet može na održiv način osigurati te značajno pridonosi klimatskim promjenama (danas je beton odgovoran za 9% ukupne emisije stakleničkih plinova).</w:t>
      </w:r>
    </w:p>
    <w:p w14:paraId="45D058F5" w14:textId="77777777" w:rsidR="00496804" w:rsidRDefault="00496804">
      <w:pPr>
        <w:spacing w:line="240" w:lineRule="auto"/>
        <w:rPr>
          <w:rFonts w:ascii="Times New Roman" w:hAnsi="Times New Roman"/>
          <w:sz w:val="24"/>
        </w:rPr>
      </w:pPr>
    </w:p>
    <w:p w14:paraId="45D058F6" w14:textId="77777777" w:rsidR="00496804" w:rsidRDefault="0037359D">
      <w:pPr>
        <w:spacing w:line="240" w:lineRule="auto"/>
        <w:rPr>
          <w:rFonts w:ascii="Times New Roman" w:hAnsi="Times New Roman"/>
          <w:sz w:val="24"/>
        </w:rPr>
      </w:pPr>
      <w:r>
        <w:rPr>
          <w:rFonts w:ascii="Times New Roman" w:hAnsi="Times New Roman"/>
          <w:sz w:val="24"/>
        </w:rPr>
        <w:t xml:space="preserve">Zbog dugogodišnjeg trenda rasta gradova niske kompaktnosti, površina urbanih područja mogla bi se povećati s nešto manje od milijun četvornih kilometara na više od 2,5 milijuna četvornih kilometara u 2050. godini. Time bi se poljoprivredno zemljište i opskrba hranom doveli u rizik. Naime, brtvljenje tla (prekrivanje tla nepropusnim materijalom) jedan je od glavnih uzroka degradacije tla u EU. Brtvljenje tla često utječe na plodno poljoprivredno zemljište, dovodi biološku raznolikost u opasnost, povećava rizik od poplava i nestašice vode te pridonosi globalnom zatopljenju. </w:t>
      </w:r>
    </w:p>
    <w:p w14:paraId="45D058F7" w14:textId="77777777" w:rsidR="00496804" w:rsidRDefault="00496804">
      <w:pPr>
        <w:spacing w:line="240" w:lineRule="auto"/>
        <w:rPr>
          <w:rFonts w:ascii="Times New Roman" w:hAnsi="Times New Roman"/>
          <w:sz w:val="24"/>
        </w:rPr>
      </w:pPr>
    </w:p>
    <w:p w14:paraId="45D058F8" w14:textId="77777777" w:rsidR="00496804" w:rsidRDefault="0037359D">
      <w:pPr>
        <w:spacing w:line="240" w:lineRule="auto"/>
        <w:rPr>
          <w:rFonts w:ascii="Times New Roman" w:hAnsi="Times New Roman"/>
          <w:sz w:val="24"/>
        </w:rPr>
      </w:pPr>
      <w:r>
        <w:rPr>
          <w:rFonts w:ascii="Times New Roman" w:hAnsi="Times New Roman"/>
          <w:sz w:val="24"/>
        </w:rPr>
        <w:t>EK u svojoj Komunikaciji Novi akcijski plan za kružno gospodarstvo, za čišću i konkurentniju Europu, navodi da izgrađeni okoliš znatno utječe na različite sektore gospodarstva, lokalna radna mjesta i kvalitetu života. On crpi oko 50% svih ekstrahiranih materijala, dok građevinski sektor proizvodi više od 35% ukupnog otpada u EU. Prema procjenama 5–12% ukupnih nacionalnih emisija stakleničkih plinova čine emisije iz ekstrakcije materijala, proizvodnje građevnih proizvoda te izgradnje i obnove zgrada. Veća učinkovitost materijala mogla bi smanjiti te emisije za 80%.</w:t>
      </w:r>
    </w:p>
    <w:p w14:paraId="45D058F9" w14:textId="77777777" w:rsidR="00496804" w:rsidRDefault="00496804">
      <w:pPr>
        <w:spacing w:line="240" w:lineRule="auto"/>
        <w:rPr>
          <w:rFonts w:ascii="Times New Roman" w:hAnsi="Times New Roman"/>
          <w:sz w:val="24"/>
          <w:lang w:eastAsia="hr-HR"/>
        </w:rPr>
      </w:pPr>
    </w:p>
    <w:p w14:paraId="45D058FA" w14:textId="21C0E100" w:rsidR="00496804" w:rsidRDefault="0037359D">
      <w:pPr>
        <w:spacing w:line="240" w:lineRule="auto"/>
        <w:rPr>
          <w:rFonts w:ascii="Times New Roman" w:hAnsi="Times New Roman"/>
          <w:sz w:val="24"/>
        </w:rPr>
      </w:pPr>
      <w:r>
        <w:rPr>
          <w:rFonts w:ascii="Times New Roman" w:hAnsi="Times New Roman"/>
          <w:sz w:val="24"/>
        </w:rPr>
        <w:t>SPRRH izdvaja dvije skupine pritisaka na prostor: utjecaji klimatskih promjena i antropogeni utjecaji. Globalno zagrijavanje tako dovodi do ekstremnih vremenskih pojava kao što su obilne kiše, toplinski valovi i naleti vjetra razorne snage. U urbanim sredinama nastaju promjene mikroklime uslijed aktivnosti koje se u njima odvijaju, ali i zbog gustoće izgradnje te nepovoljnog omjera izgrađenih i prirodnih površina. Među antropogenim utjecajima za urbana područja izdvaja se nezakonita gradnja, napuštena i preskočena područja (reorganizacija obrambenog sustava i posljedično napušteni vojni kompleksi, restrukturiranje velikih industrijskih proizvođača i pripadajuće nekretnine koje nisu u svojoj prvotnoj namjeni, ugostiteljsko turistički prostori), odnos prema kulturnoj baštini i krajobrazu te postupanje s otpadom. Dodatno valja izdvojiti i potres jer ostvaruje značajno negativan utjecaj na gradove. Demografsko starenje, proces depopulacije te unutarnje migracije neki su od nepovoljnih pritisaka na prostor s</w:t>
      </w:r>
      <w:r>
        <w:rPr>
          <w:rFonts w:ascii="Times New Roman" w:eastAsia="Times" w:hAnsi="Times New Roman"/>
          <w:sz w:val="24"/>
        </w:rPr>
        <w:t xml:space="preserve"> negativnim učincima, posebno na gospodarski, zdravstveni i mirovinski sustav. </w:t>
      </w:r>
      <w:r>
        <w:rPr>
          <w:rFonts w:ascii="Times New Roman" w:eastAsia="Times" w:hAnsi="Times New Roman"/>
          <w:sz w:val="24"/>
        </w:rPr>
        <w:lastRenderedPageBreak/>
        <w:t>Uslijed navedenih kretanja sve</w:t>
      </w:r>
      <w:r>
        <w:rPr>
          <w:rFonts w:ascii="Times New Roman" w:hAnsi="Times New Roman"/>
          <w:sz w:val="24"/>
        </w:rPr>
        <w:t xml:space="preserve"> veći broj prostora i zgrada </w:t>
      </w:r>
      <w:r w:rsidR="00537202">
        <w:rPr>
          <w:rFonts w:ascii="Times New Roman" w:hAnsi="Times New Roman"/>
          <w:sz w:val="24"/>
        </w:rPr>
        <w:t>(</w:t>
      </w:r>
      <w:r w:rsidR="00537202">
        <w:rPr>
          <w:rFonts w:ascii="Times New Roman" w:hAnsi="Times New Roman"/>
          <w:sz w:val="24"/>
        </w:rPr>
        <w:t>zdravstvene ambulante, škole, pošte i sl</w:t>
      </w:r>
      <w:r w:rsidR="00537202">
        <w:rPr>
          <w:rFonts w:ascii="Times New Roman" w:hAnsi="Times New Roman"/>
          <w:sz w:val="24"/>
        </w:rPr>
        <w:t xml:space="preserve"> ) </w:t>
      </w:r>
      <w:r>
        <w:rPr>
          <w:rFonts w:ascii="Times New Roman" w:hAnsi="Times New Roman"/>
          <w:sz w:val="24"/>
        </w:rPr>
        <w:t>gubi osnovnu namjenu. Nedostatak navedenih funkcija smanjuje kvalitetu života u tim naseljima, a mjere kružnosti bi mogle biti dio sveobuhvatnih rješenja kojima bi se osiguravala održivost navedenih funkcija u naseljima i potaklo zadržavanje lokalnog stanovništva.</w:t>
      </w:r>
    </w:p>
    <w:p w14:paraId="45D058FB" w14:textId="77777777" w:rsidR="00496804" w:rsidRDefault="00496804">
      <w:pPr>
        <w:spacing w:line="240" w:lineRule="auto"/>
        <w:rPr>
          <w:rFonts w:ascii="Times New Roman" w:hAnsi="Times New Roman"/>
          <w:sz w:val="24"/>
        </w:rPr>
      </w:pPr>
    </w:p>
    <w:p w14:paraId="45D058FC" w14:textId="77777777" w:rsidR="00496804" w:rsidRDefault="0037359D">
      <w:pPr>
        <w:spacing w:line="240" w:lineRule="auto"/>
        <w:rPr>
          <w:rFonts w:ascii="Times New Roman" w:hAnsi="Times New Roman"/>
          <w:sz w:val="24"/>
        </w:rPr>
      </w:pPr>
      <w:r>
        <w:rPr>
          <w:rFonts w:ascii="Times New Roman" w:hAnsi="Times New Roman"/>
          <w:sz w:val="24"/>
        </w:rPr>
        <w:t xml:space="preserve">Navedeni pritisci ostavljaju neizbrisiv trag u prostoru, a posebno na urbana područja i zgrade. Odgovor na posljedice navedenih pritisaka nudi razvoj kružnog gospodarenja prostorom i zgradama. On pronalazi uporište u različitim nacionalnim strateškim dokumentima i dostupnim podacima iz kojih se izvode sljedeća polja interesa vezana za </w:t>
      </w:r>
      <w:r>
        <w:rPr>
          <w:rFonts w:ascii="Times New Roman" w:hAnsi="Times New Roman"/>
          <w:iCs/>
          <w:sz w:val="24"/>
        </w:rPr>
        <w:t>razvoj kružnog gospodarenja prostorom i zgradama</w:t>
      </w:r>
      <w:r>
        <w:rPr>
          <w:rFonts w:ascii="Times New Roman" w:hAnsi="Times New Roman"/>
          <w:sz w:val="24"/>
        </w:rPr>
        <w:t>:</w:t>
      </w:r>
    </w:p>
    <w:p w14:paraId="45D058FD" w14:textId="77777777" w:rsidR="00496804" w:rsidRDefault="0037359D">
      <w:pPr>
        <w:pStyle w:val="tekst"/>
        <w:numPr>
          <w:ilvl w:val="0"/>
          <w:numId w:val="9"/>
        </w:numPr>
        <w:spacing w:line="240" w:lineRule="auto"/>
        <w:ind w:left="426" w:hanging="284"/>
        <w:rPr>
          <w:rFonts w:ascii="Times New Roman" w:hAnsi="Times New Roman" w:cs="Times New Roman"/>
          <w:b/>
          <w:bCs/>
          <w:sz w:val="24"/>
          <w:szCs w:val="24"/>
        </w:rPr>
      </w:pPr>
      <w:r>
        <w:rPr>
          <w:rFonts w:ascii="Times New Roman" w:hAnsi="Times New Roman" w:cs="Times New Roman"/>
          <w:bCs/>
          <w:sz w:val="24"/>
          <w:szCs w:val="24"/>
        </w:rPr>
        <w:t>Napušteni prostori i zgrade</w:t>
      </w:r>
      <w:r>
        <w:rPr>
          <w:rFonts w:ascii="Times New Roman" w:hAnsi="Times New Roman" w:cs="Times New Roman"/>
          <w:b/>
          <w:bCs/>
          <w:sz w:val="24"/>
          <w:szCs w:val="24"/>
        </w:rPr>
        <w:t xml:space="preserve"> – </w:t>
      </w:r>
      <w:r>
        <w:rPr>
          <w:rFonts w:ascii="Times New Roman" w:hAnsi="Times New Roman" w:cs="Times New Roman"/>
          <w:sz w:val="24"/>
          <w:szCs w:val="24"/>
        </w:rPr>
        <w:t xml:space="preserve">kao posljedica velikih strukturnih promjena u zadnjih trideset godina: promjena državnog ustroja, ratna razaranja, reorganizacija obrambenog sustava, tranzicija gospodarstva, gospodarske krize, proces depopulacije, potresi. Posljedica svih navedenih procesa je velik broj napuštenih zgrada i prostora (tzv. </w:t>
      </w:r>
      <w:r>
        <w:rPr>
          <w:rFonts w:ascii="Times New Roman" w:hAnsi="Times New Roman" w:cs="Times New Roman"/>
          <w:i/>
          <w:sz w:val="24"/>
          <w:szCs w:val="24"/>
        </w:rPr>
        <w:t>brownfield</w:t>
      </w:r>
      <w:r>
        <w:rPr>
          <w:rFonts w:ascii="Times New Roman" w:hAnsi="Times New Roman" w:cs="Times New Roman"/>
          <w:sz w:val="24"/>
          <w:szCs w:val="24"/>
        </w:rPr>
        <w:t>) koji su se prestali koristiti u svojoj izvornoj namjeni (građevinski objekti i pripadajuće zemljište, uključujući infrastrukturu, neovisno o prethodnoj namjeni) te također veliki broj zapuštenih, neodržavanih ili djelomično korištenih zgrada i prostora. Dio takvih prostora obilježava značajno onečišćenje tla, posebno na dijelovima prostora koje su zauzimala industrijska ili vojna postrojenja. Stoga će u tim slučajevima prije novog korištenja biti nužno sanirati tlo te otkloniti moguće štetne utjecaje pri budućem korištenju. U tom smislu važnu ulogu u inventarizaciji i valorizaciji napuštenih prostora i zgrada ima Registar brownfield područja u Republici Hrvatskoj</w:t>
      </w:r>
      <w:r>
        <w:rPr>
          <w:rStyle w:val="Referencafusnote"/>
          <w:rFonts w:ascii="Times New Roman" w:hAnsi="Times New Roman"/>
          <w:bCs/>
          <w:sz w:val="24"/>
        </w:rPr>
        <w:footnoteReference w:id="46"/>
      </w:r>
      <w:r>
        <w:rPr>
          <w:rFonts w:ascii="Times New Roman" w:hAnsi="Times New Roman" w:cs="Times New Roman"/>
          <w:sz w:val="24"/>
          <w:szCs w:val="24"/>
        </w:rPr>
        <w:t xml:space="preserve">, koji je razvijen kao modul unutar ISPU) </w:t>
      </w:r>
    </w:p>
    <w:p w14:paraId="45D058FE" w14:textId="77777777" w:rsidR="00496804" w:rsidRDefault="0037359D">
      <w:pPr>
        <w:pStyle w:val="tekst"/>
        <w:numPr>
          <w:ilvl w:val="0"/>
          <w:numId w:val="9"/>
        </w:numPr>
        <w:spacing w:line="240" w:lineRule="auto"/>
        <w:ind w:left="426" w:hanging="284"/>
        <w:rPr>
          <w:rFonts w:ascii="Times New Roman" w:hAnsi="Times New Roman" w:cs="Times New Roman"/>
          <w:b/>
          <w:bCs/>
          <w:sz w:val="24"/>
          <w:szCs w:val="24"/>
        </w:rPr>
      </w:pPr>
      <w:r>
        <w:rPr>
          <w:rFonts w:ascii="Times New Roman" w:hAnsi="Times New Roman" w:cs="Times New Roman"/>
          <w:bCs/>
          <w:sz w:val="24"/>
          <w:szCs w:val="24"/>
        </w:rPr>
        <w:t>Značajna starost i dotrajalost građevnog fonda</w:t>
      </w:r>
      <w:r>
        <w:rPr>
          <w:rFonts w:ascii="Times New Roman" w:hAnsi="Times New Roman" w:cs="Times New Roman"/>
          <w:b/>
          <w:bCs/>
          <w:sz w:val="24"/>
          <w:szCs w:val="24"/>
        </w:rPr>
        <w:t xml:space="preserve"> – </w:t>
      </w:r>
      <w:r>
        <w:rPr>
          <w:rFonts w:ascii="Times New Roman" w:hAnsi="Times New Roman" w:cs="Times New Roman"/>
          <w:sz w:val="24"/>
          <w:szCs w:val="24"/>
        </w:rPr>
        <w:t xml:space="preserve">pomanjkanje sustava kontinuiranog održavanja zgrada stambenog i nestambenog fonda kroz više desetljeća prouzrokovan nedostatkom financijskih sredstava rezultiralo je velikim brojem neodržavanih i zapuštenih zgrada i prostora. Stambeni fond je brojčano dominantan unutar područja ukupne izgradnje. Budući da se u Republici Hrvatskoj godišnje izgradi tek 1 do 2% novih zgrada, potencijal postojeće stambene izgradnje u postizanju ciljeva održivog razvoja je značajan. Za razliku od gradnje novih zgrada, obnovom postojećih zgrada štede se prostorni resursi, materijali i energija. </w:t>
      </w:r>
    </w:p>
    <w:p w14:paraId="45D058FF" w14:textId="77777777" w:rsidR="00496804" w:rsidRDefault="0037359D">
      <w:pPr>
        <w:pStyle w:val="tekst"/>
        <w:numPr>
          <w:ilvl w:val="0"/>
          <w:numId w:val="9"/>
        </w:numPr>
        <w:spacing w:line="240" w:lineRule="auto"/>
        <w:ind w:left="426" w:hanging="284"/>
        <w:rPr>
          <w:rFonts w:ascii="Times New Roman" w:hAnsi="Times New Roman" w:cs="Times New Roman"/>
          <w:sz w:val="24"/>
          <w:szCs w:val="24"/>
        </w:rPr>
      </w:pPr>
      <w:r>
        <w:rPr>
          <w:rFonts w:ascii="Times New Roman" w:hAnsi="Times New Roman" w:cs="Times New Roman"/>
          <w:bCs/>
          <w:sz w:val="24"/>
          <w:szCs w:val="24"/>
        </w:rPr>
        <w:t>Građevni otpad</w:t>
      </w:r>
      <w:r>
        <w:rPr>
          <w:rFonts w:ascii="Times New Roman" w:hAnsi="Times New Roman" w:cs="Times New Roman"/>
          <w:b/>
          <w:bCs/>
          <w:sz w:val="24"/>
          <w:szCs w:val="24"/>
        </w:rPr>
        <w:t xml:space="preserve"> – </w:t>
      </w:r>
      <w:r>
        <w:rPr>
          <w:rFonts w:ascii="Times New Roman" w:hAnsi="Times New Roman" w:cs="Times New Roman"/>
          <w:sz w:val="24"/>
          <w:szCs w:val="24"/>
        </w:rPr>
        <w:t>dosadašnja energetska obnova stambenih zgrada i javnih zgrada je pokrenula razrješavanje dotrajalih i neučinkovitih sustava ovojnice zgrada, grijanja i pripreme tople vode, rasvjete, uvođenje mehaničke ventilacije i upotrebe obnovljivih izvora energije. Potencijal zgrada za energetsku obnovu i dalje ostaje velik, a imajući u vidu lokalne specifičnosti mjere bi nadalje trebalo proširiti i na ukupno produženje c</w:t>
      </w:r>
      <w:r>
        <w:rPr>
          <w:rFonts w:ascii="Times New Roman" w:hAnsi="Times New Roman"/>
          <w:sz w:val="24"/>
          <w:szCs w:val="24"/>
        </w:rPr>
        <w:t>jeloživotnog</w:t>
      </w:r>
      <w:r>
        <w:rPr>
          <w:rFonts w:ascii="Times New Roman" w:hAnsi="Times New Roman" w:cs="Times New Roman"/>
          <w:sz w:val="24"/>
          <w:szCs w:val="24"/>
        </w:rPr>
        <w:t xml:space="preserve"> vijeka zgrada i poboljšanje njihove učinkovitosti u skladu s prijedlozima EZP. Takve mjere mogle bi podrazumijevati uklanjanje unutarnjih funkcionalnih nedostataka i dotrajalosti koji (uz ovojnicu i energetiku zgrade) utječu na troškove održavanja i efikasnost programa koji se odvijaju u tim prostorima i zgradama. Sve nužne mjere potrebno je detaljno sagledati prilikom definiranja ciljeva vezanih uz građevni otpad, a imajući u vidu i reviziju ciljeva oporabe za građevni otpad i otpad od rušenja kroz koju će EK obratiti posebnu pažnju na izolacijske materijale, čiji se tok otpada povećava.</w:t>
      </w:r>
    </w:p>
    <w:p w14:paraId="45D05900" w14:textId="77777777" w:rsidR="00496804" w:rsidRDefault="00496804">
      <w:pPr>
        <w:pStyle w:val="tekst"/>
        <w:spacing w:line="240" w:lineRule="auto"/>
        <w:ind w:left="360"/>
        <w:rPr>
          <w:rFonts w:ascii="Times New Roman" w:hAnsi="Times New Roman" w:cs="Times New Roman"/>
          <w:b/>
          <w:bCs/>
          <w:sz w:val="24"/>
          <w:szCs w:val="24"/>
        </w:rPr>
      </w:pPr>
    </w:p>
    <w:p w14:paraId="45D05901" w14:textId="77777777" w:rsidR="00496804" w:rsidRDefault="0037359D">
      <w:pPr>
        <w:spacing w:line="240" w:lineRule="auto"/>
        <w:rPr>
          <w:rFonts w:ascii="Times New Roman" w:hAnsi="Times New Roman"/>
          <w:sz w:val="24"/>
        </w:rPr>
      </w:pPr>
      <w:r>
        <w:rPr>
          <w:rFonts w:ascii="Times New Roman" w:hAnsi="Times New Roman"/>
          <w:sz w:val="24"/>
        </w:rPr>
        <w:t xml:space="preserve">Izdvojenu temu kružnog gospodarenja prostorom i zgradama čine pojedinačno zaštićena kulturna dobra (pojedinačne građevine i graditeljski sklopovi) i zgrade koje se nalaze unutar zaštićene kulturno-povijesne cjeline. Republika Hrvatska danas u Registru zaštićenih kulturnih dobara ima oko 7100 upisa (broj se svakodnevno revidira), od toga 10 nepokretnih kulturnih dobara upisanih na UNESCO-ovu Popis svjetske kulturne baštine. Broj zaštićenih kulturnih dobara i cjelina kontinuirano raste, a nedostatak sredstava za njihovo održavanje trajno je prisutan. Posljedično njihov veliki broj ostaje napušten i izložen kontinuiranom propadanju. Istovremeno, rekonstrukcija i rehabilitacija zaštićenih kulturnih dobara i cjelina predstavlja izravni oblik kružnog gospodarenja prostorom i </w:t>
      </w:r>
      <w:r>
        <w:rPr>
          <w:rFonts w:ascii="Times New Roman" w:hAnsi="Times New Roman"/>
          <w:sz w:val="24"/>
        </w:rPr>
        <w:lastRenderedPageBreak/>
        <w:t>zgradama. Pitanjima obnove zaštićenih kulturnih dobara i cjelina potrebno je pristupiti s izrazitom pažnjom prema zadanim i zatečenim uvjetima i uz suradnju svih sudionika u gradnji. Zahtjevi primjene izvornih materijala, kao i suvremenih tehnologija, traže koordinirani i cjeloviti pristup koji je moguće zadovoljiti samo kroz navedenu suradnju.</w:t>
      </w:r>
    </w:p>
    <w:p w14:paraId="45D05902" w14:textId="77777777" w:rsidR="00496804" w:rsidRDefault="00496804">
      <w:pPr>
        <w:pStyle w:val="tekst"/>
        <w:spacing w:line="240" w:lineRule="auto"/>
        <w:rPr>
          <w:rFonts w:ascii="Times New Roman" w:hAnsi="Times New Roman" w:cs="Times New Roman"/>
          <w:sz w:val="24"/>
          <w:szCs w:val="24"/>
        </w:rPr>
      </w:pPr>
    </w:p>
    <w:p w14:paraId="45D05903" w14:textId="77777777" w:rsidR="00496804" w:rsidRDefault="00496804">
      <w:pPr>
        <w:spacing w:line="240" w:lineRule="auto"/>
        <w:jc w:val="left"/>
        <w:rPr>
          <w:rFonts w:ascii="Times New Roman" w:hAnsi="Times New Roman"/>
          <w:sz w:val="24"/>
          <w:lang w:eastAsia="hr-HR"/>
        </w:rPr>
      </w:pPr>
    </w:p>
    <w:p w14:paraId="45D05904" w14:textId="77777777" w:rsidR="00496804" w:rsidRDefault="0037359D">
      <w:pPr>
        <w:pStyle w:val="Naslov2"/>
        <w:ind w:left="426" w:hanging="426"/>
        <w:rPr>
          <w:rFonts w:ascii="Times New Roman" w:hAnsi="Times New Roman" w:cs="Times New Roman"/>
          <w:color w:val="auto"/>
          <w:sz w:val="24"/>
          <w:szCs w:val="24"/>
        </w:rPr>
      </w:pPr>
      <w:bookmarkStart w:id="54" w:name="_Toc51851632"/>
      <w:bookmarkStart w:id="55" w:name="_Toc37155498"/>
      <w:r>
        <w:rPr>
          <w:rFonts w:ascii="Times New Roman" w:hAnsi="Times New Roman" w:cs="Times New Roman"/>
          <w:color w:val="auto"/>
          <w:sz w:val="24"/>
          <w:szCs w:val="24"/>
        </w:rPr>
        <w:t>PREGLED NACIONALNOG FONDA ZGRADA</w:t>
      </w:r>
      <w:bookmarkEnd w:id="54"/>
      <w:bookmarkEnd w:id="55"/>
    </w:p>
    <w:p w14:paraId="45D05905" w14:textId="77777777" w:rsidR="00496804" w:rsidRDefault="00496804">
      <w:pPr>
        <w:spacing w:line="240" w:lineRule="auto"/>
        <w:rPr>
          <w:rFonts w:ascii="Times New Roman" w:hAnsi="Times New Roman"/>
          <w:sz w:val="24"/>
          <w:lang w:eastAsia="hr-HR"/>
        </w:rPr>
      </w:pPr>
    </w:p>
    <w:p w14:paraId="45D05906" w14:textId="77777777" w:rsidR="00496804" w:rsidRDefault="0037359D">
      <w:pPr>
        <w:spacing w:line="240" w:lineRule="auto"/>
        <w:rPr>
          <w:rFonts w:ascii="Times New Roman" w:hAnsi="Times New Roman"/>
          <w:sz w:val="24"/>
        </w:rPr>
      </w:pPr>
      <w:r>
        <w:rPr>
          <w:rFonts w:ascii="Times New Roman" w:hAnsi="Times New Roman"/>
          <w:sz w:val="24"/>
        </w:rPr>
        <w:t>Dugoročna strategija za poticanje ulaganja u obnovu nacionalnog fonda zgrada Republike Hrvatske daje pregled nacionalnog fonda zgrada i projekciju kretanja fonda zgrada do 2050. godine.</w:t>
      </w:r>
    </w:p>
    <w:p w14:paraId="45D05907" w14:textId="77777777" w:rsidR="00496804" w:rsidRDefault="0037359D">
      <w:pPr>
        <w:tabs>
          <w:tab w:val="left" w:pos="431"/>
        </w:tabs>
        <w:spacing w:line="240" w:lineRule="auto"/>
        <w:ind w:left="3"/>
        <w:rPr>
          <w:rFonts w:ascii="Times New Roman" w:hAnsi="Times New Roman"/>
          <w:sz w:val="24"/>
        </w:rPr>
      </w:pPr>
      <w:r>
        <w:rPr>
          <w:rFonts w:ascii="Times New Roman" w:hAnsi="Times New Roman"/>
          <w:sz w:val="24"/>
        </w:rPr>
        <w:t xml:space="preserve">Očekivana ukupna površina nestambenih zgrada u 2050. godini iznosi 15 m²/stanovniku odnosno 66.732.712 m² bruto površine s omjerom bruto površine u odnosu na neto grijanu površinu 1,35/1, odnosno 49.431.639 m² grijane površine zgrada. </w:t>
      </w:r>
    </w:p>
    <w:p w14:paraId="45D05909" w14:textId="77777777" w:rsidR="00496804" w:rsidRDefault="00496804">
      <w:pPr>
        <w:tabs>
          <w:tab w:val="left" w:pos="431"/>
        </w:tabs>
        <w:spacing w:line="240" w:lineRule="auto"/>
        <w:ind w:left="3"/>
        <w:rPr>
          <w:rFonts w:ascii="Times New Roman" w:hAnsi="Times New Roman"/>
          <w:sz w:val="24"/>
        </w:rPr>
      </w:pPr>
    </w:p>
    <w:p w14:paraId="45D0590A" w14:textId="77777777" w:rsidR="00496804" w:rsidRDefault="0037359D">
      <w:pPr>
        <w:pStyle w:val="Opisslike"/>
        <w:rPr>
          <w:rFonts w:ascii="Times New Roman" w:hAnsi="Times New Roman"/>
          <w:b w:val="0"/>
          <w:bCs w:val="0"/>
          <w:i/>
          <w:iCs/>
          <w:sz w:val="24"/>
          <w:szCs w:val="24"/>
        </w:rPr>
      </w:pPr>
      <w:r>
        <w:rPr>
          <w:rFonts w:ascii="Times New Roman" w:hAnsi="Times New Roman"/>
          <w:b w:val="0"/>
          <w:bCs w:val="0"/>
          <w:i/>
          <w:iCs/>
          <w:sz w:val="24"/>
          <w:szCs w:val="24"/>
        </w:rPr>
        <w:t>Tablica 3. Projekcija ukupne površine stambenih zgrada u 2030., 2040. i 2050. godini u m²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2189"/>
        <w:gridCol w:w="2190"/>
        <w:gridCol w:w="2182"/>
      </w:tblGrid>
      <w:tr w:rsidR="00496804" w14:paraId="45D0590F" w14:textId="77777777">
        <w:trPr>
          <w:trHeight w:val="288"/>
        </w:trPr>
        <w:tc>
          <w:tcPr>
            <w:tcW w:w="3061" w:type="dxa"/>
            <w:shd w:val="clear" w:color="auto" w:fill="FFCCA6" w:themeFill="accent5" w:themeFillTint="66"/>
            <w:noWrap/>
            <w:vAlign w:val="bottom"/>
          </w:tcPr>
          <w:p w14:paraId="45D0590B" w14:textId="77777777" w:rsidR="00496804" w:rsidRDefault="00496804">
            <w:pPr>
              <w:spacing w:line="240" w:lineRule="auto"/>
              <w:jc w:val="left"/>
              <w:rPr>
                <w:rFonts w:ascii="Times New Roman" w:hAnsi="Times New Roman"/>
                <w:b/>
                <w:bCs/>
                <w:sz w:val="24"/>
                <w:lang w:eastAsia="hr-HR"/>
              </w:rPr>
            </w:pPr>
          </w:p>
        </w:tc>
        <w:tc>
          <w:tcPr>
            <w:tcW w:w="2189" w:type="dxa"/>
            <w:shd w:val="clear" w:color="auto" w:fill="FFCCA6" w:themeFill="accent5" w:themeFillTint="66"/>
            <w:noWrap/>
            <w:vAlign w:val="bottom"/>
          </w:tcPr>
          <w:p w14:paraId="45D0590C"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2030.</w:t>
            </w:r>
          </w:p>
        </w:tc>
        <w:tc>
          <w:tcPr>
            <w:tcW w:w="2190" w:type="dxa"/>
            <w:shd w:val="clear" w:color="auto" w:fill="FFCCA6" w:themeFill="accent5" w:themeFillTint="66"/>
            <w:noWrap/>
            <w:vAlign w:val="bottom"/>
          </w:tcPr>
          <w:p w14:paraId="45D0590D"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2040.</w:t>
            </w:r>
          </w:p>
        </w:tc>
        <w:tc>
          <w:tcPr>
            <w:tcW w:w="2182" w:type="dxa"/>
            <w:shd w:val="clear" w:color="auto" w:fill="FFCCA6" w:themeFill="accent5" w:themeFillTint="66"/>
            <w:noWrap/>
            <w:vAlign w:val="bottom"/>
          </w:tcPr>
          <w:p w14:paraId="45D0590E"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2050.</w:t>
            </w:r>
          </w:p>
        </w:tc>
      </w:tr>
      <w:tr w:rsidR="00496804" w14:paraId="45D05914" w14:textId="77777777">
        <w:trPr>
          <w:trHeight w:val="288"/>
        </w:trPr>
        <w:tc>
          <w:tcPr>
            <w:tcW w:w="3061" w:type="dxa"/>
            <w:shd w:val="clear" w:color="auto" w:fill="FFCCA6" w:themeFill="accent5" w:themeFillTint="66"/>
            <w:noWrap/>
            <w:vAlign w:val="bottom"/>
          </w:tcPr>
          <w:p w14:paraId="45D05910"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višestambene</w:t>
            </w:r>
          </w:p>
        </w:tc>
        <w:tc>
          <w:tcPr>
            <w:tcW w:w="2189" w:type="dxa"/>
            <w:noWrap/>
            <w:vAlign w:val="bottom"/>
          </w:tcPr>
          <w:p w14:paraId="45D05911"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64.160.346</w:t>
            </w:r>
          </w:p>
        </w:tc>
        <w:tc>
          <w:tcPr>
            <w:tcW w:w="2190" w:type="dxa"/>
            <w:noWrap/>
            <w:vAlign w:val="bottom"/>
          </w:tcPr>
          <w:p w14:paraId="45D05912"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68.605.285</w:t>
            </w:r>
          </w:p>
        </w:tc>
        <w:tc>
          <w:tcPr>
            <w:tcW w:w="2182" w:type="dxa"/>
            <w:noWrap/>
            <w:vAlign w:val="bottom"/>
          </w:tcPr>
          <w:p w14:paraId="45D05913"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73.180.074</w:t>
            </w:r>
          </w:p>
        </w:tc>
      </w:tr>
      <w:tr w:rsidR="00496804" w14:paraId="45D05919" w14:textId="77777777">
        <w:trPr>
          <w:trHeight w:val="288"/>
        </w:trPr>
        <w:tc>
          <w:tcPr>
            <w:tcW w:w="3061" w:type="dxa"/>
            <w:shd w:val="clear" w:color="auto" w:fill="FFCCA6" w:themeFill="accent5" w:themeFillTint="66"/>
            <w:noWrap/>
            <w:vAlign w:val="bottom"/>
          </w:tcPr>
          <w:p w14:paraId="45D05915"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obiteljske</w:t>
            </w:r>
          </w:p>
        </w:tc>
        <w:tc>
          <w:tcPr>
            <w:tcW w:w="2189" w:type="dxa"/>
            <w:noWrap/>
            <w:vAlign w:val="bottom"/>
          </w:tcPr>
          <w:p w14:paraId="45D05916"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103.288.933</w:t>
            </w:r>
          </w:p>
        </w:tc>
        <w:tc>
          <w:tcPr>
            <w:tcW w:w="2190" w:type="dxa"/>
            <w:noWrap/>
            <w:vAlign w:val="bottom"/>
          </w:tcPr>
          <w:p w14:paraId="45D05917"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110.444.645</w:t>
            </w:r>
          </w:p>
        </w:tc>
        <w:tc>
          <w:tcPr>
            <w:tcW w:w="2182" w:type="dxa"/>
            <w:noWrap/>
            <w:vAlign w:val="bottom"/>
          </w:tcPr>
          <w:p w14:paraId="45D05918"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117.809.397</w:t>
            </w:r>
          </w:p>
        </w:tc>
      </w:tr>
      <w:tr w:rsidR="00496804" w14:paraId="45D0591E" w14:textId="77777777">
        <w:trPr>
          <w:trHeight w:val="288"/>
        </w:trPr>
        <w:tc>
          <w:tcPr>
            <w:tcW w:w="3061" w:type="dxa"/>
            <w:shd w:val="clear" w:color="auto" w:fill="FFCCA6" w:themeFill="accent5" w:themeFillTint="66"/>
            <w:noWrap/>
            <w:vAlign w:val="bottom"/>
          </w:tcPr>
          <w:p w14:paraId="45D0591A" w14:textId="77777777" w:rsidR="00496804" w:rsidRDefault="0037359D">
            <w:pPr>
              <w:spacing w:line="240" w:lineRule="auto"/>
              <w:jc w:val="left"/>
              <w:rPr>
                <w:rFonts w:ascii="Times New Roman" w:hAnsi="Times New Roman"/>
                <w:b/>
                <w:bCs/>
                <w:sz w:val="24"/>
                <w:lang w:eastAsia="hr-HR"/>
              </w:rPr>
            </w:pPr>
            <w:r>
              <w:rPr>
                <w:rFonts w:ascii="Times New Roman" w:hAnsi="Times New Roman"/>
                <w:b/>
                <w:bCs/>
                <w:sz w:val="24"/>
                <w:lang w:eastAsia="hr-HR"/>
              </w:rPr>
              <w:t>stambene ukupno</w:t>
            </w:r>
          </w:p>
        </w:tc>
        <w:tc>
          <w:tcPr>
            <w:tcW w:w="2189" w:type="dxa"/>
            <w:noWrap/>
            <w:vAlign w:val="bottom"/>
          </w:tcPr>
          <w:p w14:paraId="45D0591B"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166.272.175</w:t>
            </w:r>
          </w:p>
        </w:tc>
        <w:tc>
          <w:tcPr>
            <w:tcW w:w="2190" w:type="dxa"/>
            <w:noWrap/>
            <w:vAlign w:val="bottom"/>
          </w:tcPr>
          <w:p w14:paraId="45D0591C"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177.791.278</w:t>
            </w:r>
          </w:p>
        </w:tc>
        <w:tc>
          <w:tcPr>
            <w:tcW w:w="2182" w:type="dxa"/>
            <w:noWrap/>
            <w:vAlign w:val="bottom"/>
          </w:tcPr>
          <w:p w14:paraId="45D0591D"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189.646.889</w:t>
            </w:r>
          </w:p>
        </w:tc>
      </w:tr>
    </w:tbl>
    <w:p w14:paraId="45D0591F" w14:textId="77777777" w:rsidR="00496804" w:rsidRDefault="00496804">
      <w:pPr>
        <w:tabs>
          <w:tab w:val="left" w:pos="431"/>
        </w:tabs>
        <w:spacing w:line="240" w:lineRule="auto"/>
        <w:ind w:left="3"/>
        <w:rPr>
          <w:rFonts w:ascii="Times New Roman" w:hAnsi="Times New Roman"/>
          <w:sz w:val="24"/>
          <w:lang w:eastAsia="de-DE"/>
        </w:rPr>
      </w:pPr>
    </w:p>
    <w:p w14:paraId="45D05922" w14:textId="77777777" w:rsidR="00496804" w:rsidRDefault="0037359D">
      <w:pPr>
        <w:rPr>
          <w:rFonts w:ascii="Times New Roman" w:hAnsi="Times New Roman"/>
          <w:i/>
          <w:iCs/>
          <w:sz w:val="24"/>
        </w:rPr>
      </w:pPr>
      <w:r>
        <w:rPr>
          <w:rFonts w:ascii="Times New Roman" w:hAnsi="Times New Roman"/>
          <w:i/>
          <w:iCs/>
          <w:sz w:val="24"/>
        </w:rPr>
        <w:t>Tablica 4. Projekcija površine nestambenih zgrada u 2030., 2040. i 2050. godini u m²</w:t>
      </w:r>
    </w:p>
    <w:tbl>
      <w:tblPr>
        <w:tblStyle w:val="Reetkatablice1"/>
        <w:tblW w:w="5000" w:type="pct"/>
        <w:tblLook w:val="04A0" w:firstRow="1" w:lastRow="0" w:firstColumn="1" w:lastColumn="0" w:noHBand="0" w:noVBand="1"/>
      </w:tblPr>
      <w:tblGrid>
        <w:gridCol w:w="3118"/>
        <w:gridCol w:w="2168"/>
        <w:gridCol w:w="2168"/>
        <w:gridCol w:w="2168"/>
      </w:tblGrid>
      <w:tr w:rsidR="00496804" w14:paraId="45D05927" w14:textId="77777777">
        <w:trPr>
          <w:trHeight w:val="288"/>
          <w:tblHeader/>
        </w:trPr>
        <w:tc>
          <w:tcPr>
            <w:tcW w:w="3029" w:type="dxa"/>
            <w:shd w:val="clear" w:color="auto" w:fill="FFCCA6" w:themeFill="accent5" w:themeFillTint="66"/>
            <w:noWrap/>
          </w:tcPr>
          <w:p w14:paraId="45D05923" w14:textId="77777777" w:rsidR="00496804" w:rsidRDefault="00496804">
            <w:pPr>
              <w:tabs>
                <w:tab w:val="left" w:pos="431"/>
              </w:tabs>
              <w:spacing w:line="240" w:lineRule="auto"/>
              <w:ind w:left="3"/>
              <w:rPr>
                <w:rFonts w:ascii="Times New Roman" w:hAnsi="Times New Roman"/>
                <w:sz w:val="24"/>
                <w:lang w:eastAsia="de-DE"/>
              </w:rPr>
            </w:pPr>
          </w:p>
        </w:tc>
        <w:tc>
          <w:tcPr>
            <w:tcW w:w="2105" w:type="dxa"/>
            <w:shd w:val="clear" w:color="auto" w:fill="FFCCA6" w:themeFill="accent5" w:themeFillTint="66"/>
            <w:noWrap/>
          </w:tcPr>
          <w:p w14:paraId="45D05924" w14:textId="77777777" w:rsidR="00496804" w:rsidRDefault="0037359D">
            <w:pPr>
              <w:tabs>
                <w:tab w:val="left" w:pos="431"/>
              </w:tabs>
              <w:spacing w:line="240" w:lineRule="auto"/>
              <w:ind w:left="3"/>
              <w:jc w:val="center"/>
              <w:rPr>
                <w:rFonts w:ascii="Times New Roman" w:hAnsi="Times New Roman"/>
                <w:b/>
                <w:bCs/>
                <w:sz w:val="24"/>
                <w:lang w:eastAsia="de-DE"/>
              </w:rPr>
            </w:pPr>
            <w:r>
              <w:rPr>
                <w:rFonts w:ascii="Times New Roman" w:hAnsi="Times New Roman"/>
                <w:b/>
                <w:bCs/>
                <w:sz w:val="24"/>
                <w:lang w:eastAsia="de-DE"/>
              </w:rPr>
              <w:t>2030.</w:t>
            </w:r>
          </w:p>
        </w:tc>
        <w:tc>
          <w:tcPr>
            <w:tcW w:w="2105" w:type="dxa"/>
            <w:shd w:val="clear" w:color="auto" w:fill="FFCCA6" w:themeFill="accent5" w:themeFillTint="66"/>
            <w:noWrap/>
          </w:tcPr>
          <w:p w14:paraId="45D05925" w14:textId="77777777" w:rsidR="00496804" w:rsidRDefault="0037359D">
            <w:pPr>
              <w:tabs>
                <w:tab w:val="left" w:pos="431"/>
              </w:tabs>
              <w:spacing w:line="240" w:lineRule="auto"/>
              <w:ind w:left="3"/>
              <w:jc w:val="center"/>
              <w:rPr>
                <w:rFonts w:ascii="Times New Roman" w:hAnsi="Times New Roman"/>
                <w:b/>
                <w:bCs/>
                <w:sz w:val="24"/>
                <w:lang w:eastAsia="de-DE"/>
              </w:rPr>
            </w:pPr>
            <w:r>
              <w:rPr>
                <w:rFonts w:ascii="Times New Roman" w:hAnsi="Times New Roman"/>
                <w:b/>
                <w:bCs/>
                <w:sz w:val="24"/>
                <w:lang w:eastAsia="de-DE"/>
              </w:rPr>
              <w:t>2040.</w:t>
            </w:r>
          </w:p>
        </w:tc>
        <w:tc>
          <w:tcPr>
            <w:tcW w:w="2105" w:type="dxa"/>
            <w:shd w:val="clear" w:color="auto" w:fill="FFCCA6" w:themeFill="accent5" w:themeFillTint="66"/>
            <w:noWrap/>
          </w:tcPr>
          <w:p w14:paraId="45D05926" w14:textId="77777777" w:rsidR="00496804" w:rsidRDefault="0037359D">
            <w:pPr>
              <w:tabs>
                <w:tab w:val="left" w:pos="431"/>
              </w:tabs>
              <w:spacing w:line="240" w:lineRule="auto"/>
              <w:ind w:left="3"/>
              <w:jc w:val="center"/>
              <w:rPr>
                <w:rFonts w:ascii="Times New Roman" w:hAnsi="Times New Roman"/>
                <w:b/>
                <w:bCs/>
                <w:sz w:val="24"/>
                <w:lang w:eastAsia="de-DE"/>
              </w:rPr>
            </w:pPr>
            <w:r>
              <w:rPr>
                <w:rFonts w:ascii="Times New Roman" w:hAnsi="Times New Roman"/>
                <w:b/>
                <w:bCs/>
                <w:sz w:val="24"/>
                <w:lang w:eastAsia="de-DE"/>
              </w:rPr>
              <w:t>2050.</w:t>
            </w:r>
          </w:p>
        </w:tc>
      </w:tr>
      <w:tr w:rsidR="00496804" w14:paraId="45D0592C" w14:textId="77777777">
        <w:trPr>
          <w:trHeight w:val="288"/>
        </w:trPr>
        <w:tc>
          <w:tcPr>
            <w:tcW w:w="3029" w:type="dxa"/>
            <w:shd w:val="clear" w:color="auto" w:fill="FFCCA6" w:themeFill="accent5" w:themeFillTint="66"/>
            <w:noWrap/>
          </w:tcPr>
          <w:p w14:paraId="45D05928" w14:textId="77777777" w:rsidR="00496804" w:rsidRDefault="0037359D">
            <w:pPr>
              <w:tabs>
                <w:tab w:val="left" w:pos="431"/>
              </w:tabs>
              <w:spacing w:line="240" w:lineRule="auto"/>
              <w:ind w:left="3"/>
              <w:rPr>
                <w:rFonts w:ascii="Times New Roman" w:hAnsi="Times New Roman"/>
                <w:sz w:val="24"/>
                <w:lang w:eastAsia="de-DE"/>
              </w:rPr>
            </w:pPr>
            <w:r>
              <w:rPr>
                <w:rFonts w:ascii="Times New Roman" w:hAnsi="Times New Roman"/>
                <w:sz w:val="24"/>
                <w:lang w:eastAsia="de-DE"/>
              </w:rPr>
              <w:t>uredska</w:t>
            </w:r>
          </w:p>
        </w:tc>
        <w:tc>
          <w:tcPr>
            <w:tcW w:w="2105" w:type="dxa"/>
            <w:noWrap/>
          </w:tcPr>
          <w:p w14:paraId="45D05929"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10.309.712</w:t>
            </w:r>
          </w:p>
        </w:tc>
        <w:tc>
          <w:tcPr>
            <w:tcW w:w="2105" w:type="dxa"/>
            <w:noWrap/>
          </w:tcPr>
          <w:p w14:paraId="45D0592A"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10.831.614</w:t>
            </w:r>
          </w:p>
        </w:tc>
        <w:tc>
          <w:tcPr>
            <w:tcW w:w="2105" w:type="dxa"/>
            <w:noWrap/>
          </w:tcPr>
          <w:p w14:paraId="45D0592B"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11.082.926</w:t>
            </w:r>
          </w:p>
        </w:tc>
      </w:tr>
      <w:tr w:rsidR="00496804" w14:paraId="45D05931" w14:textId="77777777">
        <w:trPr>
          <w:trHeight w:val="288"/>
        </w:trPr>
        <w:tc>
          <w:tcPr>
            <w:tcW w:w="3029" w:type="dxa"/>
            <w:shd w:val="clear" w:color="auto" w:fill="FFCCA6" w:themeFill="accent5" w:themeFillTint="66"/>
            <w:noWrap/>
          </w:tcPr>
          <w:p w14:paraId="45D0592D" w14:textId="77777777" w:rsidR="00496804" w:rsidRDefault="0037359D">
            <w:pPr>
              <w:tabs>
                <w:tab w:val="left" w:pos="431"/>
              </w:tabs>
              <w:spacing w:line="240" w:lineRule="auto"/>
              <w:ind w:left="3"/>
              <w:rPr>
                <w:rFonts w:ascii="Times New Roman" w:hAnsi="Times New Roman"/>
                <w:sz w:val="24"/>
                <w:lang w:eastAsia="de-DE"/>
              </w:rPr>
            </w:pPr>
            <w:r>
              <w:rPr>
                <w:rFonts w:ascii="Times New Roman" w:hAnsi="Times New Roman"/>
                <w:sz w:val="24"/>
                <w:lang w:eastAsia="de-DE"/>
              </w:rPr>
              <w:t>obrazovne</w:t>
            </w:r>
          </w:p>
        </w:tc>
        <w:tc>
          <w:tcPr>
            <w:tcW w:w="2105" w:type="dxa"/>
            <w:noWrap/>
          </w:tcPr>
          <w:p w14:paraId="45D0592E"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6.236.465</w:t>
            </w:r>
          </w:p>
        </w:tc>
        <w:tc>
          <w:tcPr>
            <w:tcW w:w="2105" w:type="dxa"/>
            <w:noWrap/>
          </w:tcPr>
          <w:p w14:paraId="45D0592F"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6.552.169</w:t>
            </w:r>
          </w:p>
        </w:tc>
        <w:tc>
          <w:tcPr>
            <w:tcW w:w="2105" w:type="dxa"/>
            <w:noWrap/>
          </w:tcPr>
          <w:p w14:paraId="45D05930"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6.704.190</w:t>
            </w:r>
          </w:p>
        </w:tc>
      </w:tr>
      <w:tr w:rsidR="00496804" w14:paraId="45D05936" w14:textId="77777777">
        <w:trPr>
          <w:trHeight w:val="288"/>
        </w:trPr>
        <w:tc>
          <w:tcPr>
            <w:tcW w:w="3029" w:type="dxa"/>
            <w:shd w:val="clear" w:color="auto" w:fill="FFCCA6" w:themeFill="accent5" w:themeFillTint="66"/>
            <w:noWrap/>
          </w:tcPr>
          <w:p w14:paraId="45D05932" w14:textId="77777777" w:rsidR="00496804" w:rsidRDefault="0037359D">
            <w:pPr>
              <w:tabs>
                <w:tab w:val="left" w:pos="431"/>
              </w:tabs>
              <w:spacing w:line="240" w:lineRule="auto"/>
              <w:ind w:left="3"/>
              <w:rPr>
                <w:rFonts w:ascii="Times New Roman" w:hAnsi="Times New Roman"/>
                <w:sz w:val="24"/>
                <w:lang w:eastAsia="de-DE"/>
              </w:rPr>
            </w:pPr>
            <w:r>
              <w:rPr>
                <w:rFonts w:ascii="Times New Roman" w:hAnsi="Times New Roman"/>
                <w:sz w:val="24"/>
                <w:lang w:eastAsia="de-DE"/>
              </w:rPr>
              <w:t>hoteli i restorani</w:t>
            </w:r>
          </w:p>
        </w:tc>
        <w:tc>
          <w:tcPr>
            <w:tcW w:w="2105" w:type="dxa"/>
            <w:noWrap/>
          </w:tcPr>
          <w:p w14:paraId="45D05933"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4.650.511</w:t>
            </w:r>
          </w:p>
        </w:tc>
        <w:tc>
          <w:tcPr>
            <w:tcW w:w="2105" w:type="dxa"/>
            <w:noWrap/>
          </w:tcPr>
          <w:p w14:paraId="45D05934"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4.885.930</w:t>
            </w:r>
          </w:p>
        </w:tc>
        <w:tc>
          <w:tcPr>
            <w:tcW w:w="2105" w:type="dxa"/>
            <w:noWrap/>
          </w:tcPr>
          <w:p w14:paraId="45D05935"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4.999.292</w:t>
            </w:r>
          </w:p>
        </w:tc>
      </w:tr>
      <w:tr w:rsidR="00496804" w14:paraId="45D0593B" w14:textId="77777777">
        <w:trPr>
          <w:trHeight w:val="288"/>
        </w:trPr>
        <w:tc>
          <w:tcPr>
            <w:tcW w:w="3029" w:type="dxa"/>
            <w:shd w:val="clear" w:color="auto" w:fill="FFCCA6" w:themeFill="accent5" w:themeFillTint="66"/>
            <w:noWrap/>
          </w:tcPr>
          <w:p w14:paraId="45D05937" w14:textId="77777777" w:rsidR="00496804" w:rsidRDefault="0037359D">
            <w:pPr>
              <w:tabs>
                <w:tab w:val="left" w:pos="431"/>
              </w:tabs>
              <w:spacing w:line="240" w:lineRule="auto"/>
              <w:ind w:left="3"/>
              <w:rPr>
                <w:rFonts w:ascii="Times New Roman" w:hAnsi="Times New Roman"/>
                <w:sz w:val="24"/>
                <w:lang w:eastAsia="de-DE"/>
              </w:rPr>
            </w:pPr>
            <w:r>
              <w:rPr>
                <w:rFonts w:ascii="Times New Roman" w:hAnsi="Times New Roman"/>
                <w:sz w:val="24"/>
                <w:lang w:eastAsia="de-DE"/>
              </w:rPr>
              <w:t>bolnice</w:t>
            </w:r>
          </w:p>
        </w:tc>
        <w:tc>
          <w:tcPr>
            <w:tcW w:w="2105" w:type="dxa"/>
            <w:noWrap/>
          </w:tcPr>
          <w:p w14:paraId="45D05938"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3.280.271</w:t>
            </w:r>
          </w:p>
        </w:tc>
        <w:tc>
          <w:tcPr>
            <w:tcW w:w="2105" w:type="dxa"/>
            <w:noWrap/>
          </w:tcPr>
          <w:p w14:paraId="45D05939"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3.446.326</w:t>
            </w:r>
          </w:p>
        </w:tc>
        <w:tc>
          <w:tcPr>
            <w:tcW w:w="2105" w:type="dxa"/>
            <w:noWrap/>
          </w:tcPr>
          <w:p w14:paraId="45D0593A"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3.526.286</w:t>
            </w:r>
          </w:p>
        </w:tc>
      </w:tr>
      <w:tr w:rsidR="00496804" w14:paraId="45D05940" w14:textId="77777777">
        <w:trPr>
          <w:trHeight w:val="288"/>
        </w:trPr>
        <w:tc>
          <w:tcPr>
            <w:tcW w:w="3029" w:type="dxa"/>
            <w:shd w:val="clear" w:color="auto" w:fill="FFCCA6" w:themeFill="accent5" w:themeFillTint="66"/>
            <w:noWrap/>
          </w:tcPr>
          <w:p w14:paraId="45D0593C" w14:textId="77777777" w:rsidR="00496804" w:rsidRDefault="0037359D">
            <w:pPr>
              <w:tabs>
                <w:tab w:val="left" w:pos="431"/>
              </w:tabs>
              <w:spacing w:line="240" w:lineRule="auto"/>
              <w:ind w:left="3"/>
              <w:rPr>
                <w:rFonts w:ascii="Times New Roman" w:hAnsi="Times New Roman"/>
                <w:sz w:val="24"/>
                <w:lang w:eastAsia="de-DE"/>
              </w:rPr>
            </w:pPr>
            <w:r>
              <w:rPr>
                <w:rFonts w:ascii="Times New Roman" w:hAnsi="Times New Roman"/>
                <w:sz w:val="24"/>
                <w:lang w:eastAsia="de-DE"/>
              </w:rPr>
              <w:t>sportske dvorane</w:t>
            </w:r>
          </w:p>
        </w:tc>
        <w:tc>
          <w:tcPr>
            <w:tcW w:w="2105" w:type="dxa"/>
            <w:noWrap/>
          </w:tcPr>
          <w:p w14:paraId="45D0593D"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462.823</w:t>
            </w:r>
          </w:p>
        </w:tc>
        <w:tc>
          <w:tcPr>
            <w:tcW w:w="2105" w:type="dxa"/>
            <w:noWrap/>
          </w:tcPr>
          <w:p w14:paraId="45D0593E"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486.252</w:t>
            </w:r>
          </w:p>
        </w:tc>
        <w:tc>
          <w:tcPr>
            <w:tcW w:w="2105" w:type="dxa"/>
            <w:noWrap/>
          </w:tcPr>
          <w:p w14:paraId="45D0593F"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497.534</w:t>
            </w:r>
          </w:p>
        </w:tc>
      </w:tr>
      <w:tr w:rsidR="00496804" w14:paraId="45D05945" w14:textId="77777777">
        <w:trPr>
          <w:trHeight w:val="288"/>
        </w:trPr>
        <w:tc>
          <w:tcPr>
            <w:tcW w:w="3029" w:type="dxa"/>
            <w:shd w:val="clear" w:color="auto" w:fill="FFCCA6" w:themeFill="accent5" w:themeFillTint="66"/>
            <w:noWrap/>
          </w:tcPr>
          <w:p w14:paraId="45D05941" w14:textId="77777777" w:rsidR="00496804" w:rsidRDefault="0037359D">
            <w:pPr>
              <w:tabs>
                <w:tab w:val="left" w:pos="431"/>
              </w:tabs>
              <w:spacing w:line="240" w:lineRule="auto"/>
              <w:ind w:left="3"/>
              <w:rPr>
                <w:rFonts w:ascii="Times New Roman" w:hAnsi="Times New Roman"/>
                <w:sz w:val="24"/>
                <w:lang w:eastAsia="de-DE"/>
              </w:rPr>
            </w:pPr>
            <w:r>
              <w:rPr>
                <w:rFonts w:ascii="Times New Roman" w:hAnsi="Times New Roman"/>
                <w:sz w:val="24"/>
                <w:lang w:eastAsia="de-DE"/>
              </w:rPr>
              <w:t>trgovina</w:t>
            </w:r>
          </w:p>
        </w:tc>
        <w:tc>
          <w:tcPr>
            <w:tcW w:w="2105" w:type="dxa"/>
            <w:noWrap/>
          </w:tcPr>
          <w:p w14:paraId="45D05942"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12.833.465</w:t>
            </w:r>
          </w:p>
        </w:tc>
        <w:tc>
          <w:tcPr>
            <w:tcW w:w="2105" w:type="dxa"/>
            <w:noWrap/>
          </w:tcPr>
          <w:p w14:paraId="45D05943"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13.483.125</w:t>
            </w:r>
          </w:p>
        </w:tc>
        <w:tc>
          <w:tcPr>
            <w:tcW w:w="2105" w:type="dxa"/>
            <w:noWrap/>
          </w:tcPr>
          <w:p w14:paraId="45D05944"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13.795.956</w:t>
            </w:r>
          </w:p>
        </w:tc>
      </w:tr>
      <w:tr w:rsidR="00496804" w14:paraId="45D0594A" w14:textId="77777777">
        <w:trPr>
          <w:trHeight w:val="288"/>
        </w:trPr>
        <w:tc>
          <w:tcPr>
            <w:tcW w:w="3029" w:type="dxa"/>
            <w:shd w:val="clear" w:color="auto" w:fill="FFCCA6" w:themeFill="accent5" w:themeFillTint="66"/>
            <w:noWrap/>
          </w:tcPr>
          <w:p w14:paraId="45D05946" w14:textId="77777777" w:rsidR="00496804" w:rsidRDefault="0037359D">
            <w:pPr>
              <w:tabs>
                <w:tab w:val="left" w:pos="431"/>
              </w:tabs>
              <w:spacing w:line="240" w:lineRule="auto"/>
              <w:ind w:left="3"/>
              <w:rPr>
                <w:rFonts w:ascii="Times New Roman" w:hAnsi="Times New Roman"/>
                <w:sz w:val="24"/>
                <w:lang w:eastAsia="de-DE"/>
              </w:rPr>
            </w:pPr>
            <w:r>
              <w:rPr>
                <w:rFonts w:ascii="Times New Roman" w:hAnsi="Times New Roman"/>
                <w:sz w:val="24"/>
                <w:lang w:eastAsia="de-DE"/>
              </w:rPr>
              <w:t>ostalo</w:t>
            </w:r>
          </w:p>
        </w:tc>
        <w:tc>
          <w:tcPr>
            <w:tcW w:w="2105" w:type="dxa"/>
            <w:noWrap/>
          </w:tcPr>
          <w:p w14:paraId="45D05947"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24.303.780</w:t>
            </w:r>
          </w:p>
        </w:tc>
        <w:tc>
          <w:tcPr>
            <w:tcW w:w="2105" w:type="dxa"/>
            <w:noWrap/>
          </w:tcPr>
          <w:p w14:paraId="45D05948"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25.534.093</w:t>
            </w:r>
          </w:p>
        </w:tc>
        <w:tc>
          <w:tcPr>
            <w:tcW w:w="2105" w:type="dxa"/>
            <w:noWrap/>
          </w:tcPr>
          <w:p w14:paraId="45D05949" w14:textId="77777777" w:rsidR="00496804" w:rsidRDefault="0037359D">
            <w:pPr>
              <w:tabs>
                <w:tab w:val="left" w:pos="431"/>
              </w:tabs>
              <w:spacing w:line="240" w:lineRule="auto"/>
              <w:ind w:left="3"/>
              <w:jc w:val="center"/>
              <w:rPr>
                <w:rFonts w:ascii="Times New Roman" w:hAnsi="Times New Roman"/>
                <w:sz w:val="24"/>
                <w:lang w:eastAsia="de-DE"/>
              </w:rPr>
            </w:pPr>
            <w:r>
              <w:rPr>
                <w:rFonts w:ascii="Times New Roman" w:hAnsi="Times New Roman"/>
                <w:sz w:val="24"/>
                <w:lang w:eastAsia="de-DE"/>
              </w:rPr>
              <w:t>26.126.528</w:t>
            </w:r>
          </w:p>
        </w:tc>
      </w:tr>
      <w:tr w:rsidR="00496804" w14:paraId="45D0594F" w14:textId="77777777">
        <w:trPr>
          <w:trHeight w:val="288"/>
        </w:trPr>
        <w:tc>
          <w:tcPr>
            <w:tcW w:w="3029" w:type="dxa"/>
            <w:shd w:val="clear" w:color="auto" w:fill="FFCCA6" w:themeFill="accent5" w:themeFillTint="66"/>
            <w:noWrap/>
          </w:tcPr>
          <w:p w14:paraId="45D0594B" w14:textId="77777777" w:rsidR="00496804" w:rsidRDefault="0037359D">
            <w:pPr>
              <w:tabs>
                <w:tab w:val="left" w:pos="431"/>
              </w:tabs>
              <w:spacing w:line="240" w:lineRule="auto"/>
              <w:ind w:left="3"/>
              <w:rPr>
                <w:rFonts w:ascii="Times New Roman" w:hAnsi="Times New Roman"/>
                <w:b/>
                <w:bCs/>
                <w:sz w:val="24"/>
                <w:lang w:eastAsia="de-DE"/>
              </w:rPr>
            </w:pPr>
            <w:r>
              <w:rPr>
                <w:rFonts w:ascii="Times New Roman" w:hAnsi="Times New Roman"/>
                <w:b/>
                <w:bCs/>
                <w:sz w:val="24"/>
                <w:lang w:eastAsia="de-DE"/>
              </w:rPr>
              <w:t>nestambene ukupno</w:t>
            </w:r>
          </w:p>
        </w:tc>
        <w:tc>
          <w:tcPr>
            <w:tcW w:w="2105" w:type="dxa"/>
            <w:noWrap/>
          </w:tcPr>
          <w:p w14:paraId="45D0594C" w14:textId="77777777" w:rsidR="00496804" w:rsidRDefault="0037359D">
            <w:pPr>
              <w:tabs>
                <w:tab w:val="left" w:pos="431"/>
              </w:tabs>
              <w:spacing w:line="240" w:lineRule="auto"/>
              <w:ind w:left="3"/>
              <w:jc w:val="center"/>
              <w:rPr>
                <w:rFonts w:ascii="Times New Roman" w:hAnsi="Times New Roman"/>
                <w:b/>
                <w:bCs/>
                <w:sz w:val="24"/>
                <w:lang w:eastAsia="de-DE"/>
              </w:rPr>
            </w:pPr>
            <w:r>
              <w:rPr>
                <w:rFonts w:ascii="Times New Roman" w:hAnsi="Times New Roman"/>
                <w:b/>
                <w:bCs/>
                <w:sz w:val="24"/>
                <w:lang w:eastAsia="de-DE"/>
              </w:rPr>
              <w:t>62.077.026</w:t>
            </w:r>
          </w:p>
        </w:tc>
        <w:tc>
          <w:tcPr>
            <w:tcW w:w="2105" w:type="dxa"/>
            <w:noWrap/>
          </w:tcPr>
          <w:p w14:paraId="45D0594D" w14:textId="77777777" w:rsidR="00496804" w:rsidRDefault="0037359D">
            <w:pPr>
              <w:tabs>
                <w:tab w:val="left" w:pos="431"/>
              </w:tabs>
              <w:spacing w:line="240" w:lineRule="auto"/>
              <w:ind w:left="3"/>
              <w:jc w:val="center"/>
              <w:rPr>
                <w:rFonts w:ascii="Times New Roman" w:hAnsi="Times New Roman"/>
                <w:b/>
                <w:bCs/>
                <w:sz w:val="24"/>
                <w:lang w:eastAsia="de-DE"/>
              </w:rPr>
            </w:pPr>
            <w:r>
              <w:rPr>
                <w:rFonts w:ascii="Times New Roman" w:hAnsi="Times New Roman"/>
                <w:b/>
                <w:bCs/>
                <w:sz w:val="24"/>
                <w:lang w:eastAsia="de-DE"/>
              </w:rPr>
              <w:t>65.219.509</w:t>
            </w:r>
          </w:p>
        </w:tc>
        <w:tc>
          <w:tcPr>
            <w:tcW w:w="2105" w:type="dxa"/>
            <w:noWrap/>
          </w:tcPr>
          <w:p w14:paraId="45D0594E" w14:textId="77777777" w:rsidR="00496804" w:rsidRDefault="0037359D">
            <w:pPr>
              <w:keepNext/>
              <w:tabs>
                <w:tab w:val="left" w:pos="431"/>
              </w:tabs>
              <w:spacing w:line="240" w:lineRule="auto"/>
              <w:ind w:left="3"/>
              <w:jc w:val="center"/>
              <w:rPr>
                <w:rFonts w:ascii="Times New Roman" w:hAnsi="Times New Roman"/>
                <w:b/>
                <w:bCs/>
                <w:sz w:val="24"/>
                <w:lang w:eastAsia="de-DE"/>
              </w:rPr>
            </w:pPr>
            <w:r>
              <w:rPr>
                <w:rFonts w:ascii="Times New Roman" w:hAnsi="Times New Roman"/>
                <w:b/>
                <w:bCs/>
                <w:sz w:val="24"/>
                <w:lang w:eastAsia="de-DE"/>
              </w:rPr>
              <w:t>66.732.712</w:t>
            </w:r>
          </w:p>
        </w:tc>
      </w:tr>
    </w:tbl>
    <w:p w14:paraId="45D05950" w14:textId="77777777" w:rsidR="00496804" w:rsidRDefault="00496804">
      <w:pPr>
        <w:tabs>
          <w:tab w:val="left" w:pos="431"/>
        </w:tabs>
        <w:spacing w:line="240" w:lineRule="auto"/>
        <w:ind w:left="3"/>
        <w:rPr>
          <w:rFonts w:ascii="Times New Roman" w:hAnsi="Times New Roman"/>
          <w:sz w:val="24"/>
          <w:highlight w:val="yellow"/>
          <w:lang w:eastAsia="hr-HR"/>
        </w:rPr>
      </w:pPr>
    </w:p>
    <w:p w14:paraId="45D05951" w14:textId="77777777" w:rsidR="00496804" w:rsidRDefault="0037359D">
      <w:pPr>
        <w:tabs>
          <w:tab w:val="left" w:pos="431"/>
        </w:tabs>
        <w:spacing w:line="240" w:lineRule="auto"/>
        <w:ind w:left="3"/>
        <w:rPr>
          <w:rFonts w:ascii="Times New Roman" w:hAnsi="Times New Roman"/>
          <w:sz w:val="24"/>
        </w:rPr>
      </w:pPr>
      <w:r>
        <w:rPr>
          <w:rFonts w:ascii="Times New Roman" w:hAnsi="Times New Roman"/>
          <w:sz w:val="24"/>
        </w:rPr>
        <w:t xml:space="preserve">Intenzitet obnove zgrada, bez politika koje usmjeravaju investicije prema obnovi i očuvanju postojećeg fonda zgrada, je u pravilu nizak. Inicijalni motiv gradnje je zadovoljavanje neposredne i očekivane potrebe za  stambenim ili poslovnim prostorom, što usmjerava investiciju na gradnju novih zgrada. Tek aktivnim usmjeravanjem investicija na povećanje stope obnove zgrada, moguće je utjecati na intenzitet obnove zgrada i odnos novogradnje u odnosu na rekonstrukciju zgrada. Obnova zgrada formalno obuhvaća zgrade koje se rekonstruiraju i/ili energetski obnavljaju te zgrade koje se grade na lokacijama postojećih zgrada zbog kojih se postojeće zgrade uklanjaju (zamjenska gradnja). Zamjenske zgrade u pogledu praćenja stope obnove je teško identificirati jer u pravilu dolazi do promjene namjene i veličine zgrada. </w:t>
      </w:r>
    </w:p>
    <w:p w14:paraId="45D05952" w14:textId="77777777" w:rsidR="00496804" w:rsidRDefault="00496804">
      <w:pPr>
        <w:tabs>
          <w:tab w:val="left" w:pos="431"/>
        </w:tabs>
        <w:spacing w:line="240" w:lineRule="auto"/>
        <w:ind w:left="3"/>
        <w:rPr>
          <w:rFonts w:ascii="Times New Roman" w:hAnsi="Times New Roman"/>
          <w:sz w:val="24"/>
        </w:rPr>
      </w:pPr>
    </w:p>
    <w:p w14:paraId="45D05953" w14:textId="77777777" w:rsidR="00496804" w:rsidRDefault="0037359D">
      <w:pPr>
        <w:tabs>
          <w:tab w:val="left" w:pos="431"/>
        </w:tabs>
        <w:spacing w:line="240" w:lineRule="auto"/>
        <w:ind w:left="3"/>
        <w:rPr>
          <w:rFonts w:ascii="Times New Roman" w:hAnsi="Times New Roman"/>
          <w:sz w:val="24"/>
        </w:rPr>
      </w:pPr>
      <w:r>
        <w:rPr>
          <w:rFonts w:ascii="Times New Roman" w:hAnsi="Times New Roman"/>
          <w:sz w:val="24"/>
        </w:rPr>
        <w:t xml:space="preserve">U analizi strukture fonda uveden je pojam demolacije (napuštanja) fonda, kojim se određuje postotak fonda koji izlazi iz upotrebe, bilo rušenjem, privremenim napuštanjem ili neregistriranim napuštanjem zgrada koje su formalno još uvijek u funkciji. Stopa demolacije je veća od registriranog rušenja i prenamjene, kroz statističke podatke u građevinarstvu pokazuje udio stvarno srušenih, privremeno napuštenih i napuštenih zgrada u odnosu na veličinu fonda novogradnje. Demolaciju je zbog prirode podatka – način korištenja – teško pratiti uobičajenim metodama. Fizička demolacija (rušenje zgrada) prati se kroz statističku informaciju o srušenim zgradama, dok je funkcionalna demolacija uslijed napuštanja zgrada dohvatljiva na razini popisa stanovništva. </w:t>
      </w:r>
    </w:p>
    <w:p w14:paraId="45D05955" w14:textId="77777777" w:rsidR="00496804" w:rsidRDefault="0037359D">
      <w:pPr>
        <w:tabs>
          <w:tab w:val="left" w:pos="431"/>
        </w:tabs>
        <w:spacing w:line="240" w:lineRule="auto"/>
        <w:ind w:left="3"/>
        <w:rPr>
          <w:rFonts w:ascii="Times New Roman" w:hAnsi="Times New Roman"/>
          <w:sz w:val="24"/>
        </w:rPr>
      </w:pPr>
      <w:r>
        <w:rPr>
          <w:rFonts w:ascii="Times New Roman" w:hAnsi="Times New Roman"/>
          <w:sz w:val="24"/>
        </w:rPr>
        <w:lastRenderedPageBreak/>
        <w:t>Očekivana stopa demolacije u RH je izuzetno visoka te u modelu predviđanja budućeg fonda zgrada do 2050. godine iznosi 40% do 2025., 50% do 2030. i 60% do 2050. godine, što iznosi 5.797.137 m² do 2030. godine, 7.255.439 m² do 2040. te 7.113.045 m² do 2050. godine. Iskazane površine demolacije fonda zgrada predstavljaju potencijal za projekte kružnog gospodarenja prostorom i zgradama.</w:t>
      </w:r>
    </w:p>
    <w:p w14:paraId="45D05956" w14:textId="77777777" w:rsidR="00496804" w:rsidRDefault="00496804">
      <w:pPr>
        <w:spacing w:line="240" w:lineRule="auto"/>
        <w:jc w:val="left"/>
        <w:rPr>
          <w:rFonts w:ascii="Times New Roman" w:hAnsi="Times New Roman"/>
          <w:sz w:val="24"/>
        </w:rPr>
      </w:pPr>
    </w:p>
    <w:p w14:paraId="45D05957" w14:textId="77777777" w:rsidR="00496804" w:rsidRDefault="0037359D">
      <w:pPr>
        <w:pStyle w:val="Opisslike"/>
        <w:rPr>
          <w:rFonts w:ascii="Times New Roman" w:hAnsi="Times New Roman"/>
          <w:b w:val="0"/>
          <w:bCs w:val="0"/>
          <w:i/>
          <w:iCs/>
          <w:sz w:val="24"/>
          <w:szCs w:val="24"/>
          <w:lang w:eastAsia="hr-HR"/>
        </w:rPr>
      </w:pPr>
      <w:r>
        <w:rPr>
          <w:rFonts w:ascii="Times New Roman" w:hAnsi="Times New Roman"/>
          <w:b w:val="0"/>
          <w:bCs w:val="0"/>
          <w:i/>
          <w:iCs/>
          <w:sz w:val="24"/>
          <w:szCs w:val="24"/>
        </w:rPr>
        <w:t>Tablica 5. Ukupna očekivana površina zgrada koje se obnavljaju do 2050. godine u 2030., 2040. i 2050. u m²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2189"/>
        <w:gridCol w:w="2190"/>
        <w:gridCol w:w="2182"/>
      </w:tblGrid>
      <w:tr w:rsidR="00496804" w14:paraId="45D0595C" w14:textId="77777777">
        <w:trPr>
          <w:trHeight w:val="288"/>
        </w:trPr>
        <w:tc>
          <w:tcPr>
            <w:tcW w:w="3061" w:type="dxa"/>
            <w:shd w:val="clear" w:color="auto" w:fill="FFCCA6" w:themeFill="accent5" w:themeFillTint="66"/>
            <w:noWrap/>
            <w:vAlign w:val="bottom"/>
          </w:tcPr>
          <w:p w14:paraId="45D05958" w14:textId="77777777" w:rsidR="00496804" w:rsidRDefault="00496804">
            <w:pPr>
              <w:spacing w:line="240" w:lineRule="auto"/>
              <w:jc w:val="left"/>
              <w:rPr>
                <w:rFonts w:ascii="Times New Roman" w:hAnsi="Times New Roman"/>
                <w:b/>
                <w:bCs/>
                <w:sz w:val="24"/>
                <w:lang w:eastAsia="hr-HR"/>
              </w:rPr>
            </w:pPr>
          </w:p>
        </w:tc>
        <w:tc>
          <w:tcPr>
            <w:tcW w:w="2189" w:type="dxa"/>
            <w:shd w:val="clear" w:color="auto" w:fill="FFCCA6" w:themeFill="accent5" w:themeFillTint="66"/>
            <w:noWrap/>
            <w:vAlign w:val="bottom"/>
          </w:tcPr>
          <w:p w14:paraId="45D05959"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2030.</w:t>
            </w:r>
          </w:p>
        </w:tc>
        <w:tc>
          <w:tcPr>
            <w:tcW w:w="2190" w:type="dxa"/>
            <w:shd w:val="clear" w:color="auto" w:fill="FFCCA6" w:themeFill="accent5" w:themeFillTint="66"/>
            <w:noWrap/>
            <w:vAlign w:val="bottom"/>
          </w:tcPr>
          <w:p w14:paraId="45D0595A"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2040.</w:t>
            </w:r>
          </w:p>
        </w:tc>
        <w:tc>
          <w:tcPr>
            <w:tcW w:w="2182" w:type="dxa"/>
            <w:shd w:val="clear" w:color="auto" w:fill="FFCCA6" w:themeFill="accent5" w:themeFillTint="66"/>
            <w:noWrap/>
            <w:vAlign w:val="bottom"/>
          </w:tcPr>
          <w:p w14:paraId="45D0595B"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2050.</w:t>
            </w:r>
          </w:p>
        </w:tc>
      </w:tr>
      <w:tr w:rsidR="00496804" w14:paraId="45D05961" w14:textId="77777777">
        <w:trPr>
          <w:trHeight w:val="253"/>
        </w:trPr>
        <w:tc>
          <w:tcPr>
            <w:tcW w:w="3061" w:type="dxa"/>
            <w:shd w:val="clear" w:color="auto" w:fill="FFCCA6" w:themeFill="accent5" w:themeFillTint="66"/>
            <w:noWrap/>
            <w:vAlign w:val="bottom"/>
          </w:tcPr>
          <w:p w14:paraId="45D0595D"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obnova stambenih zgrada</w:t>
            </w:r>
          </w:p>
        </w:tc>
        <w:tc>
          <w:tcPr>
            <w:tcW w:w="2189" w:type="dxa"/>
            <w:noWrap/>
            <w:vAlign w:val="center"/>
          </w:tcPr>
          <w:p w14:paraId="45D0595E"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8,71 mil. m²</w:t>
            </w:r>
          </w:p>
        </w:tc>
        <w:tc>
          <w:tcPr>
            <w:tcW w:w="2190" w:type="dxa"/>
            <w:noWrap/>
            <w:vAlign w:val="center"/>
          </w:tcPr>
          <w:p w14:paraId="45D0595F"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9,11 mil. m²</w:t>
            </w:r>
          </w:p>
        </w:tc>
        <w:tc>
          <w:tcPr>
            <w:tcW w:w="2182" w:type="dxa"/>
            <w:noWrap/>
            <w:vAlign w:val="center"/>
          </w:tcPr>
          <w:p w14:paraId="45D05960"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9,50 mil. m²</w:t>
            </w:r>
          </w:p>
        </w:tc>
      </w:tr>
      <w:tr w:rsidR="00496804" w14:paraId="45D05966" w14:textId="77777777">
        <w:trPr>
          <w:trHeight w:val="288"/>
        </w:trPr>
        <w:tc>
          <w:tcPr>
            <w:tcW w:w="3061" w:type="dxa"/>
            <w:shd w:val="clear" w:color="auto" w:fill="FFCCA6" w:themeFill="accent5" w:themeFillTint="66"/>
            <w:noWrap/>
            <w:vAlign w:val="bottom"/>
          </w:tcPr>
          <w:p w14:paraId="45D05962"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zamjenska gradnja stambenih zgrada (fond zahvaćen demolacijom)</w:t>
            </w:r>
          </w:p>
        </w:tc>
        <w:tc>
          <w:tcPr>
            <w:tcW w:w="2189" w:type="dxa"/>
            <w:noWrap/>
            <w:vAlign w:val="center"/>
          </w:tcPr>
          <w:p w14:paraId="45D05963"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5,80 mil. m²</w:t>
            </w:r>
            <w:r>
              <w:rPr>
                <w:rFonts w:ascii="Times New Roman" w:hAnsi="Times New Roman"/>
                <w:sz w:val="24"/>
                <w:vertAlign w:val="superscript"/>
                <w:lang w:eastAsia="hr-HR"/>
              </w:rPr>
              <w:footnoteReference w:id="47"/>
            </w:r>
          </w:p>
        </w:tc>
        <w:tc>
          <w:tcPr>
            <w:tcW w:w="2190" w:type="dxa"/>
            <w:noWrap/>
            <w:vAlign w:val="center"/>
          </w:tcPr>
          <w:p w14:paraId="45D05964"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7,26 mil. m²</w:t>
            </w:r>
          </w:p>
        </w:tc>
        <w:tc>
          <w:tcPr>
            <w:tcW w:w="2182" w:type="dxa"/>
            <w:noWrap/>
            <w:vAlign w:val="center"/>
          </w:tcPr>
          <w:p w14:paraId="45D05965"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7,11 mil. m²</w:t>
            </w:r>
          </w:p>
        </w:tc>
      </w:tr>
      <w:tr w:rsidR="00496804" w14:paraId="45D0596B" w14:textId="77777777">
        <w:trPr>
          <w:trHeight w:val="288"/>
        </w:trPr>
        <w:tc>
          <w:tcPr>
            <w:tcW w:w="3061" w:type="dxa"/>
            <w:shd w:val="clear" w:color="auto" w:fill="FFCCA6" w:themeFill="accent5" w:themeFillTint="66"/>
            <w:noWrap/>
            <w:vAlign w:val="bottom"/>
          </w:tcPr>
          <w:p w14:paraId="45D05967" w14:textId="77777777" w:rsidR="00496804" w:rsidRDefault="0037359D">
            <w:pPr>
              <w:spacing w:line="240" w:lineRule="auto"/>
              <w:jc w:val="left"/>
              <w:rPr>
                <w:rFonts w:ascii="Times New Roman" w:hAnsi="Times New Roman"/>
                <w:b/>
                <w:bCs/>
                <w:sz w:val="24"/>
                <w:lang w:eastAsia="hr-HR"/>
              </w:rPr>
            </w:pPr>
            <w:r>
              <w:rPr>
                <w:rFonts w:ascii="Times New Roman" w:hAnsi="Times New Roman"/>
                <w:sz w:val="24"/>
                <w:lang w:eastAsia="hr-HR"/>
              </w:rPr>
              <w:t>obnova nestambenih zgrada</w:t>
            </w:r>
          </w:p>
        </w:tc>
        <w:tc>
          <w:tcPr>
            <w:tcW w:w="2189" w:type="dxa"/>
            <w:noWrap/>
            <w:vAlign w:val="center"/>
          </w:tcPr>
          <w:p w14:paraId="45D05968"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1,61 mil. m²</w:t>
            </w:r>
          </w:p>
        </w:tc>
        <w:tc>
          <w:tcPr>
            <w:tcW w:w="2190" w:type="dxa"/>
            <w:noWrap/>
            <w:vAlign w:val="center"/>
          </w:tcPr>
          <w:p w14:paraId="45D05969"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2,39 mil. m²</w:t>
            </w:r>
          </w:p>
        </w:tc>
        <w:tc>
          <w:tcPr>
            <w:tcW w:w="2182" w:type="dxa"/>
            <w:noWrap/>
            <w:vAlign w:val="center"/>
          </w:tcPr>
          <w:p w14:paraId="45D0596A"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3,18 mil. m²</w:t>
            </w:r>
          </w:p>
        </w:tc>
      </w:tr>
      <w:tr w:rsidR="00496804" w14:paraId="45D05970" w14:textId="77777777">
        <w:trPr>
          <w:trHeight w:val="288"/>
        </w:trPr>
        <w:tc>
          <w:tcPr>
            <w:tcW w:w="3061" w:type="dxa"/>
            <w:shd w:val="clear" w:color="auto" w:fill="FFCCA6" w:themeFill="accent5" w:themeFillTint="66"/>
            <w:noWrap/>
            <w:vAlign w:val="bottom"/>
          </w:tcPr>
          <w:p w14:paraId="45D0596C"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zamjenska gradnja nestambenih zgrada (fond zahvaćen demolacijom)</w:t>
            </w:r>
          </w:p>
        </w:tc>
        <w:tc>
          <w:tcPr>
            <w:tcW w:w="2189" w:type="dxa"/>
            <w:noWrap/>
            <w:vAlign w:val="center"/>
          </w:tcPr>
          <w:p w14:paraId="45D0596D"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3,27 mil. m²</w:t>
            </w:r>
          </w:p>
        </w:tc>
        <w:tc>
          <w:tcPr>
            <w:tcW w:w="2190" w:type="dxa"/>
            <w:noWrap/>
            <w:vAlign w:val="center"/>
          </w:tcPr>
          <w:p w14:paraId="45D0596E"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2,49 mil. m²</w:t>
            </w:r>
          </w:p>
        </w:tc>
        <w:tc>
          <w:tcPr>
            <w:tcW w:w="2182" w:type="dxa"/>
            <w:noWrap/>
            <w:vAlign w:val="center"/>
          </w:tcPr>
          <w:p w14:paraId="45D0596F"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1,694 mil. m²</w:t>
            </w:r>
          </w:p>
        </w:tc>
      </w:tr>
    </w:tbl>
    <w:p w14:paraId="45D05971" w14:textId="77777777" w:rsidR="00496804" w:rsidRDefault="00496804">
      <w:pPr>
        <w:tabs>
          <w:tab w:val="left" w:pos="431"/>
        </w:tabs>
        <w:spacing w:line="240" w:lineRule="auto"/>
        <w:ind w:left="3"/>
        <w:rPr>
          <w:rFonts w:ascii="Times New Roman" w:hAnsi="Times New Roman"/>
          <w:sz w:val="24"/>
          <w:lang w:eastAsia="hr-HR"/>
        </w:rPr>
      </w:pPr>
    </w:p>
    <w:p w14:paraId="45D05972" w14:textId="77777777" w:rsidR="00496804" w:rsidRDefault="0037359D">
      <w:pPr>
        <w:tabs>
          <w:tab w:val="left" w:pos="431"/>
        </w:tabs>
        <w:spacing w:line="240" w:lineRule="auto"/>
        <w:ind w:left="3"/>
        <w:rPr>
          <w:rFonts w:ascii="Times New Roman" w:hAnsi="Times New Roman"/>
          <w:sz w:val="24"/>
        </w:rPr>
      </w:pPr>
      <w:r>
        <w:rPr>
          <w:rFonts w:ascii="Times New Roman" w:hAnsi="Times New Roman"/>
          <w:sz w:val="24"/>
        </w:rPr>
        <w:t xml:space="preserve">Kružnom obnovom nekorištenih zgrada poboljšavaju se, između ostalog, energetska svojstva zgrada čime se doprinosi ciljevima Dugoročne strategije. Nekorištene zgrade ne sudjeluju u potrošnji energije te se energetskom obnovom takvih zgrada ne ostvaruju uštede energije prilikom ponovnog korištenja zgrade. Međutim, kružnom obnovom zgrada sagledava se cjeloživotni utjecaj svojstava zgrada na okoliš te je uz energiju za korištenje zgrade potrebno uzeti u obzir i energiju koja je utrošena na proizvodnju građevnih materijala, izgradnju zgrade, popravke, održavanje, obnovu i konačno razgradnju zgrade. Navedena energija naziva se ugljičnim otiskom zgrade, a za njen izračun potrebno je razviti metodologiju za izračun ugljičnog otiska. </w:t>
      </w:r>
    </w:p>
    <w:p w14:paraId="45D05973" w14:textId="77777777" w:rsidR="00496804" w:rsidRDefault="00496804">
      <w:pPr>
        <w:tabs>
          <w:tab w:val="left" w:pos="431"/>
        </w:tabs>
        <w:spacing w:line="240" w:lineRule="auto"/>
        <w:ind w:left="3"/>
        <w:rPr>
          <w:rFonts w:ascii="Times New Roman" w:hAnsi="Times New Roman"/>
          <w:sz w:val="24"/>
        </w:rPr>
      </w:pPr>
    </w:p>
    <w:p w14:paraId="06CB16CE" w14:textId="75712097" w:rsidR="00467019" w:rsidRDefault="0037359D" w:rsidP="00467019">
      <w:pPr>
        <w:tabs>
          <w:tab w:val="left" w:pos="431"/>
        </w:tabs>
        <w:spacing w:line="240" w:lineRule="auto"/>
        <w:ind w:left="3"/>
        <w:rPr>
          <w:rFonts w:ascii="Times New Roman" w:hAnsi="Times New Roman"/>
          <w:sz w:val="24"/>
        </w:rPr>
      </w:pPr>
      <w:r>
        <w:rPr>
          <w:rFonts w:ascii="Times New Roman" w:hAnsi="Times New Roman"/>
          <w:sz w:val="24"/>
        </w:rPr>
        <w:t>U Dugoročnoj strategiji navedena je procjena ulaganja u energetsku obnovu zgrada. Uz iskazane direktne troškove energetske obnove navedeni su i troškovi novogradnje koja u stvarnosti predstavlja energetsku obnovu uz premještanje fonda zgrada u prostoru. Ovaj trošak je znatno veći od troška energetske obnove, budući da dolazi do trajnog napuštanja prostora čime se narušava njegov gospodarski potencijal i održivost aktivnosti u tom prostoru, ali taj proces je već godinama prisutan i u trenutačnim makroekonomskim i demografskim okvirima nepovratan.</w:t>
      </w:r>
      <w:bookmarkStart w:id="56" w:name="_Toc33513454"/>
    </w:p>
    <w:p w14:paraId="0FFC2723" w14:textId="77777777" w:rsidR="00467019" w:rsidRDefault="00467019" w:rsidP="00467019">
      <w:pPr>
        <w:tabs>
          <w:tab w:val="left" w:pos="431"/>
        </w:tabs>
        <w:spacing w:line="240" w:lineRule="auto"/>
        <w:ind w:left="3"/>
        <w:rPr>
          <w:rFonts w:ascii="Times New Roman" w:hAnsi="Times New Roman"/>
          <w:b/>
          <w:bCs/>
          <w:i/>
          <w:iCs/>
          <w:sz w:val="24"/>
        </w:rPr>
      </w:pPr>
    </w:p>
    <w:p w14:paraId="45D05976" w14:textId="2299F14F" w:rsidR="00496804" w:rsidRDefault="0037359D">
      <w:pPr>
        <w:pStyle w:val="Opisslike"/>
        <w:rPr>
          <w:rFonts w:ascii="Times New Roman" w:hAnsi="Times New Roman"/>
          <w:b w:val="0"/>
          <w:bCs w:val="0"/>
          <w:i/>
          <w:iCs/>
          <w:sz w:val="24"/>
          <w:szCs w:val="24"/>
          <w:lang w:eastAsia="hr-HR"/>
        </w:rPr>
      </w:pPr>
      <w:r>
        <w:rPr>
          <w:rFonts w:ascii="Times New Roman" w:hAnsi="Times New Roman"/>
          <w:b w:val="0"/>
          <w:bCs w:val="0"/>
          <w:i/>
          <w:iCs/>
          <w:sz w:val="24"/>
          <w:szCs w:val="24"/>
        </w:rPr>
        <w:t>Tablica 6. Procjena ulaganja u energetsku obnovu zgrada</w:t>
      </w:r>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2236"/>
        <w:gridCol w:w="1964"/>
        <w:gridCol w:w="1964"/>
      </w:tblGrid>
      <w:tr w:rsidR="00496804" w14:paraId="45D0597B" w14:textId="77777777" w:rsidTr="005E7EFB">
        <w:trPr>
          <w:trHeight w:val="270"/>
        </w:trPr>
        <w:tc>
          <w:tcPr>
            <w:tcW w:w="3458" w:type="dxa"/>
            <w:shd w:val="clear" w:color="auto" w:fill="FFCCA6" w:themeFill="accent5" w:themeFillTint="66"/>
            <w:vAlign w:val="center"/>
          </w:tcPr>
          <w:p w14:paraId="45D05977" w14:textId="77777777" w:rsidR="00496804" w:rsidRDefault="0037359D">
            <w:pPr>
              <w:spacing w:line="240" w:lineRule="auto"/>
              <w:jc w:val="left"/>
              <w:rPr>
                <w:rFonts w:ascii="Times New Roman" w:hAnsi="Times New Roman"/>
                <w:b/>
                <w:bCs/>
                <w:sz w:val="24"/>
                <w:lang w:eastAsia="hr-HR"/>
              </w:rPr>
            </w:pPr>
            <w:r>
              <w:rPr>
                <w:rFonts w:ascii="Times New Roman" w:hAnsi="Times New Roman"/>
                <w:b/>
                <w:bCs/>
                <w:sz w:val="24"/>
                <w:lang w:eastAsia="hr-HR"/>
              </w:rPr>
              <w:t>Razdoblje</w:t>
            </w:r>
          </w:p>
        </w:tc>
        <w:tc>
          <w:tcPr>
            <w:tcW w:w="2236" w:type="dxa"/>
            <w:shd w:val="clear" w:color="auto" w:fill="FFCCA6" w:themeFill="accent5" w:themeFillTint="66"/>
            <w:vAlign w:val="center"/>
          </w:tcPr>
          <w:p w14:paraId="45D05978"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2021. – 2030.</w:t>
            </w:r>
          </w:p>
        </w:tc>
        <w:tc>
          <w:tcPr>
            <w:tcW w:w="1964" w:type="dxa"/>
            <w:shd w:val="clear" w:color="auto" w:fill="FFCCA6" w:themeFill="accent5" w:themeFillTint="66"/>
            <w:vAlign w:val="center"/>
          </w:tcPr>
          <w:p w14:paraId="45D05979"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2031. – 2040.</w:t>
            </w:r>
          </w:p>
        </w:tc>
        <w:tc>
          <w:tcPr>
            <w:tcW w:w="1964" w:type="dxa"/>
            <w:shd w:val="clear" w:color="auto" w:fill="FFCCA6" w:themeFill="accent5" w:themeFillTint="66"/>
            <w:vAlign w:val="center"/>
          </w:tcPr>
          <w:p w14:paraId="45D0597A"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2041. – 2050.</w:t>
            </w:r>
          </w:p>
        </w:tc>
      </w:tr>
      <w:tr w:rsidR="00496804" w14:paraId="45D05980" w14:textId="77777777" w:rsidTr="005E7EFB">
        <w:trPr>
          <w:trHeight w:val="270"/>
        </w:trPr>
        <w:tc>
          <w:tcPr>
            <w:tcW w:w="3458" w:type="dxa"/>
            <w:shd w:val="clear" w:color="auto" w:fill="FFCCA6" w:themeFill="accent5" w:themeFillTint="66"/>
          </w:tcPr>
          <w:p w14:paraId="45D0597C"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Obuhvat obnove – stambene</w:t>
            </w:r>
          </w:p>
        </w:tc>
        <w:tc>
          <w:tcPr>
            <w:tcW w:w="2236" w:type="dxa"/>
            <w:vMerge w:val="restart"/>
            <w:vAlign w:val="center"/>
          </w:tcPr>
          <w:p w14:paraId="45D0597D"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8,71</w:t>
            </w:r>
          </w:p>
        </w:tc>
        <w:tc>
          <w:tcPr>
            <w:tcW w:w="1964" w:type="dxa"/>
            <w:vMerge w:val="restart"/>
            <w:vAlign w:val="center"/>
          </w:tcPr>
          <w:p w14:paraId="45D0597E"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9,11</w:t>
            </w:r>
          </w:p>
        </w:tc>
        <w:tc>
          <w:tcPr>
            <w:tcW w:w="1964" w:type="dxa"/>
            <w:vMerge w:val="restart"/>
            <w:vAlign w:val="center"/>
          </w:tcPr>
          <w:p w14:paraId="45D0597F"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9,5</w:t>
            </w:r>
          </w:p>
        </w:tc>
      </w:tr>
      <w:tr w:rsidR="00496804" w14:paraId="45D05985" w14:textId="77777777" w:rsidTr="005E7EFB">
        <w:trPr>
          <w:trHeight w:val="315"/>
        </w:trPr>
        <w:tc>
          <w:tcPr>
            <w:tcW w:w="3458" w:type="dxa"/>
            <w:shd w:val="clear" w:color="auto" w:fill="FFCCA6" w:themeFill="accent5" w:themeFillTint="66"/>
          </w:tcPr>
          <w:p w14:paraId="45D05981"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(milijuna m</w:t>
            </w:r>
            <w:r>
              <w:rPr>
                <w:rFonts w:ascii="Times New Roman" w:hAnsi="Times New Roman"/>
                <w:sz w:val="24"/>
                <w:vertAlign w:val="superscript"/>
                <w:lang w:eastAsia="hr-HR"/>
              </w:rPr>
              <w:t>2</w:t>
            </w:r>
            <w:r>
              <w:rPr>
                <w:rFonts w:ascii="Times New Roman" w:hAnsi="Times New Roman"/>
                <w:sz w:val="24"/>
                <w:lang w:eastAsia="hr-HR"/>
              </w:rPr>
              <w:t>)</w:t>
            </w:r>
          </w:p>
        </w:tc>
        <w:tc>
          <w:tcPr>
            <w:tcW w:w="2236" w:type="dxa"/>
            <w:vMerge/>
            <w:vAlign w:val="center"/>
          </w:tcPr>
          <w:p w14:paraId="45D05982" w14:textId="77777777" w:rsidR="00496804" w:rsidRDefault="00496804">
            <w:pPr>
              <w:spacing w:line="240" w:lineRule="auto"/>
              <w:jc w:val="left"/>
              <w:rPr>
                <w:rFonts w:ascii="Times New Roman" w:hAnsi="Times New Roman"/>
                <w:sz w:val="24"/>
                <w:lang w:eastAsia="hr-HR"/>
              </w:rPr>
            </w:pPr>
          </w:p>
        </w:tc>
        <w:tc>
          <w:tcPr>
            <w:tcW w:w="1964" w:type="dxa"/>
            <w:vMerge/>
            <w:vAlign w:val="center"/>
          </w:tcPr>
          <w:p w14:paraId="45D05983" w14:textId="77777777" w:rsidR="00496804" w:rsidRDefault="00496804">
            <w:pPr>
              <w:spacing w:line="240" w:lineRule="auto"/>
              <w:jc w:val="left"/>
              <w:rPr>
                <w:rFonts w:ascii="Times New Roman" w:hAnsi="Times New Roman"/>
                <w:sz w:val="24"/>
                <w:lang w:eastAsia="hr-HR"/>
              </w:rPr>
            </w:pPr>
          </w:p>
        </w:tc>
        <w:tc>
          <w:tcPr>
            <w:tcW w:w="1964" w:type="dxa"/>
            <w:vMerge/>
            <w:vAlign w:val="center"/>
          </w:tcPr>
          <w:p w14:paraId="45D05984" w14:textId="77777777" w:rsidR="00496804" w:rsidRDefault="00496804">
            <w:pPr>
              <w:spacing w:line="240" w:lineRule="auto"/>
              <w:jc w:val="left"/>
              <w:rPr>
                <w:rFonts w:ascii="Times New Roman" w:hAnsi="Times New Roman"/>
                <w:sz w:val="24"/>
                <w:lang w:eastAsia="hr-HR"/>
              </w:rPr>
            </w:pPr>
          </w:p>
        </w:tc>
      </w:tr>
      <w:tr w:rsidR="00496804" w14:paraId="45D0598A" w14:textId="77777777" w:rsidTr="005E7EFB">
        <w:trPr>
          <w:trHeight w:val="255"/>
        </w:trPr>
        <w:tc>
          <w:tcPr>
            <w:tcW w:w="3458" w:type="dxa"/>
            <w:shd w:val="clear" w:color="auto" w:fill="FFCCA6" w:themeFill="accent5" w:themeFillTint="66"/>
          </w:tcPr>
          <w:p w14:paraId="45D05986"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Obuhvat obnove – nestambene</w:t>
            </w:r>
          </w:p>
        </w:tc>
        <w:tc>
          <w:tcPr>
            <w:tcW w:w="2236" w:type="dxa"/>
            <w:vMerge w:val="restart"/>
            <w:vAlign w:val="center"/>
          </w:tcPr>
          <w:p w14:paraId="45D05987"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4,88</w:t>
            </w:r>
          </w:p>
        </w:tc>
        <w:tc>
          <w:tcPr>
            <w:tcW w:w="1964" w:type="dxa"/>
            <w:vMerge w:val="restart"/>
            <w:vAlign w:val="center"/>
          </w:tcPr>
          <w:p w14:paraId="45D05988"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4,88</w:t>
            </w:r>
          </w:p>
        </w:tc>
        <w:tc>
          <w:tcPr>
            <w:tcW w:w="1964" w:type="dxa"/>
            <w:vMerge w:val="restart"/>
            <w:vAlign w:val="center"/>
          </w:tcPr>
          <w:p w14:paraId="45D05989"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4,88</w:t>
            </w:r>
          </w:p>
        </w:tc>
      </w:tr>
      <w:tr w:rsidR="00496804" w14:paraId="45D0598F" w14:textId="77777777" w:rsidTr="005E7EFB">
        <w:trPr>
          <w:trHeight w:val="315"/>
        </w:trPr>
        <w:tc>
          <w:tcPr>
            <w:tcW w:w="3458" w:type="dxa"/>
            <w:shd w:val="clear" w:color="auto" w:fill="FFCCA6" w:themeFill="accent5" w:themeFillTint="66"/>
          </w:tcPr>
          <w:p w14:paraId="45D0598B"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(milijuna m</w:t>
            </w:r>
            <w:r>
              <w:rPr>
                <w:rFonts w:ascii="Times New Roman" w:hAnsi="Times New Roman"/>
                <w:sz w:val="24"/>
                <w:vertAlign w:val="superscript"/>
                <w:lang w:eastAsia="hr-HR"/>
              </w:rPr>
              <w:t>2</w:t>
            </w:r>
            <w:r>
              <w:rPr>
                <w:rFonts w:ascii="Times New Roman" w:hAnsi="Times New Roman"/>
                <w:sz w:val="24"/>
                <w:lang w:eastAsia="hr-HR"/>
              </w:rPr>
              <w:t>)</w:t>
            </w:r>
          </w:p>
        </w:tc>
        <w:tc>
          <w:tcPr>
            <w:tcW w:w="2236" w:type="dxa"/>
            <w:vMerge/>
            <w:vAlign w:val="center"/>
          </w:tcPr>
          <w:p w14:paraId="45D0598C" w14:textId="77777777" w:rsidR="00496804" w:rsidRDefault="00496804">
            <w:pPr>
              <w:spacing w:line="240" w:lineRule="auto"/>
              <w:jc w:val="left"/>
              <w:rPr>
                <w:rFonts w:ascii="Times New Roman" w:hAnsi="Times New Roman"/>
                <w:sz w:val="24"/>
                <w:lang w:eastAsia="hr-HR"/>
              </w:rPr>
            </w:pPr>
          </w:p>
        </w:tc>
        <w:tc>
          <w:tcPr>
            <w:tcW w:w="1964" w:type="dxa"/>
            <w:vMerge/>
            <w:vAlign w:val="center"/>
          </w:tcPr>
          <w:p w14:paraId="45D0598D" w14:textId="77777777" w:rsidR="00496804" w:rsidRDefault="00496804">
            <w:pPr>
              <w:spacing w:line="240" w:lineRule="auto"/>
              <w:jc w:val="left"/>
              <w:rPr>
                <w:rFonts w:ascii="Times New Roman" w:hAnsi="Times New Roman"/>
                <w:sz w:val="24"/>
                <w:lang w:eastAsia="hr-HR"/>
              </w:rPr>
            </w:pPr>
          </w:p>
        </w:tc>
        <w:tc>
          <w:tcPr>
            <w:tcW w:w="1964" w:type="dxa"/>
            <w:vMerge/>
            <w:vAlign w:val="center"/>
          </w:tcPr>
          <w:p w14:paraId="45D0598E" w14:textId="77777777" w:rsidR="00496804" w:rsidRDefault="00496804">
            <w:pPr>
              <w:spacing w:line="240" w:lineRule="auto"/>
              <w:jc w:val="left"/>
              <w:rPr>
                <w:rFonts w:ascii="Times New Roman" w:hAnsi="Times New Roman"/>
                <w:sz w:val="24"/>
                <w:lang w:eastAsia="hr-HR"/>
              </w:rPr>
            </w:pPr>
          </w:p>
        </w:tc>
      </w:tr>
      <w:tr w:rsidR="00496804" w14:paraId="45D05994" w14:textId="77777777" w:rsidTr="005E7EFB">
        <w:trPr>
          <w:trHeight w:val="525"/>
        </w:trPr>
        <w:tc>
          <w:tcPr>
            <w:tcW w:w="3458" w:type="dxa"/>
            <w:tcBorders>
              <w:bottom w:val="single" w:sz="4" w:space="0" w:color="auto"/>
            </w:tcBorders>
            <w:shd w:val="clear" w:color="auto" w:fill="FFCCA6" w:themeFill="accent5" w:themeFillTint="66"/>
          </w:tcPr>
          <w:p w14:paraId="45D05990"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Investicijski trošak obnove – stambene i nestambene  (milijardi kn)</w:t>
            </w:r>
          </w:p>
        </w:tc>
        <w:tc>
          <w:tcPr>
            <w:tcW w:w="2236" w:type="dxa"/>
            <w:tcBorders>
              <w:bottom w:val="single" w:sz="4" w:space="0" w:color="auto"/>
            </w:tcBorders>
            <w:vAlign w:val="center"/>
          </w:tcPr>
          <w:p w14:paraId="45D05991"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30,4</w:t>
            </w:r>
          </w:p>
        </w:tc>
        <w:tc>
          <w:tcPr>
            <w:tcW w:w="1964" w:type="dxa"/>
            <w:tcBorders>
              <w:bottom w:val="single" w:sz="4" w:space="0" w:color="auto"/>
            </w:tcBorders>
            <w:vAlign w:val="center"/>
          </w:tcPr>
          <w:p w14:paraId="45D05992"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31,1</w:t>
            </w:r>
          </w:p>
        </w:tc>
        <w:tc>
          <w:tcPr>
            <w:tcW w:w="1964" w:type="dxa"/>
            <w:tcBorders>
              <w:bottom w:val="single" w:sz="4" w:space="0" w:color="auto"/>
            </w:tcBorders>
            <w:vAlign w:val="center"/>
          </w:tcPr>
          <w:p w14:paraId="45D05993"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31,8</w:t>
            </w:r>
          </w:p>
        </w:tc>
      </w:tr>
      <w:tr w:rsidR="00496804" w14:paraId="45D05997" w14:textId="77777777" w:rsidTr="005E7EFB">
        <w:trPr>
          <w:trHeight w:val="270"/>
        </w:trPr>
        <w:tc>
          <w:tcPr>
            <w:tcW w:w="3458" w:type="dxa"/>
            <w:tcBorders>
              <w:bottom w:val="single" w:sz="4" w:space="0" w:color="auto"/>
            </w:tcBorders>
            <w:shd w:val="clear" w:color="auto" w:fill="FFCCA6" w:themeFill="accent5" w:themeFillTint="66"/>
          </w:tcPr>
          <w:p w14:paraId="45D05995"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Ukupni investicijski trošak (milijardi kn)</w:t>
            </w:r>
          </w:p>
        </w:tc>
        <w:tc>
          <w:tcPr>
            <w:tcW w:w="6164" w:type="dxa"/>
            <w:gridSpan w:val="3"/>
            <w:tcBorders>
              <w:bottom w:val="single" w:sz="4" w:space="0" w:color="auto"/>
            </w:tcBorders>
            <w:vAlign w:val="center"/>
          </w:tcPr>
          <w:p w14:paraId="45D05996"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93,31</w:t>
            </w:r>
          </w:p>
        </w:tc>
      </w:tr>
    </w:tbl>
    <w:p w14:paraId="45D059BE" w14:textId="77C23E33" w:rsidR="00496804" w:rsidRDefault="00496804">
      <w:pPr>
        <w:tabs>
          <w:tab w:val="left" w:pos="431"/>
        </w:tabs>
        <w:spacing w:line="240" w:lineRule="auto"/>
        <w:ind w:left="3"/>
        <w:rPr>
          <w:rFonts w:ascii="Times New Roman" w:hAnsi="Times New Roman"/>
          <w:sz w:val="24"/>
          <w:lang w:eastAsia="hr-HR"/>
        </w:rPr>
      </w:pPr>
    </w:p>
    <w:p w14:paraId="71D91E83" w14:textId="31748EB0" w:rsidR="005E7EFB" w:rsidRDefault="005E7EFB">
      <w:pPr>
        <w:tabs>
          <w:tab w:val="left" w:pos="431"/>
        </w:tabs>
        <w:spacing w:line="240" w:lineRule="auto"/>
        <w:ind w:left="3"/>
        <w:rPr>
          <w:rFonts w:ascii="Times New Roman" w:hAnsi="Times New Roman"/>
          <w:sz w:val="24"/>
          <w:lang w:eastAsia="hr-HR"/>
        </w:rPr>
      </w:pPr>
    </w:p>
    <w:p w14:paraId="5F92BC98" w14:textId="77777777" w:rsidR="005E7EFB" w:rsidRDefault="005E7EFB">
      <w:pPr>
        <w:tabs>
          <w:tab w:val="left" w:pos="431"/>
        </w:tabs>
        <w:spacing w:line="240" w:lineRule="auto"/>
        <w:ind w:left="3"/>
        <w:rPr>
          <w:rFonts w:ascii="Times New Roman" w:hAnsi="Times New Roman"/>
          <w:sz w:val="24"/>
          <w:lang w:eastAsia="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2231"/>
        <w:gridCol w:w="1963"/>
        <w:gridCol w:w="1963"/>
      </w:tblGrid>
      <w:tr w:rsidR="005E7EFB" w14:paraId="7FB561DA" w14:textId="77777777" w:rsidTr="005E7EFB">
        <w:trPr>
          <w:trHeight w:val="270"/>
        </w:trPr>
        <w:tc>
          <w:tcPr>
            <w:tcW w:w="3560" w:type="dxa"/>
            <w:tcBorders>
              <w:top w:val="single" w:sz="4" w:space="0" w:color="auto"/>
            </w:tcBorders>
            <w:shd w:val="clear" w:color="auto" w:fill="FFCCA6" w:themeFill="accent5" w:themeFillTint="66"/>
          </w:tcPr>
          <w:p w14:paraId="64EBD70D" w14:textId="77777777" w:rsidR="005E7EFB" w:rsidRDefault="005E7EFB" w:rsidP="00981331">
            <w:pPr>
              <w:spacing w:line="240" w:lineRule="auto"/>
              <w:jc w:val="left"/>
              <w:rPr>
                <w:rFonts w:ascii="Times New Roman" w:hAnsi="Times New Roman"/>
                <w:b/>
                <w:bCs/>
                <w:sz w:val="24"/>
                <w:lang w:eastAsia="hr-HR"/>
              </w:rPr>
            </w:pPr>
            <w:r>
              <w:rPr>
                <w:rFonts w:ascii="Times New Roman" w:hAnsi="Times New Roman"/>
                <w:b/>
                <w:bCs/>
                <w:sz w:val="24"/>
                <w:lang w:eastAsia="hr-HR"/>
              </w:rPr>
              <w:t>Razdoblje</w:t>
            </w:r>
          </w:p>
        </w:tc>
        <w:tc>
          <w:tcPr>
            <w:tcW w:w="2300" w:type="dxa"/>
            <w:tcBorders>
              <w:top w:val="single" w:sz="4" w:space="0" w:color="auto"/>
            </w:tcBorders>
            <w:vAlign w:val="center"/>
          </w:tcPr>
          <w:p w14:paraId="46A5F38D" w14:textId="77777777" w:rsidR="005E7EFB" w:rsidRDefault="005E7EFB" w:rsidP="00981331">
            <w:pPr>
              <w:spacing w:line="240" w:lineRule="auto"/>
              <w:jc w:val="center"/>
              <w:rPr>
                <w:rFonts w:ascii="Times New Roman" w:hAnsi="Times New Roman"/>
                <w:b/>
                <w:bCs/>
                <w:sz w:val="24"/>
                <w:lang w:eastAsia="hr-HR"/>
              </w:rPr>
            </w:pPr>
            <w:r>
              <w:rPr>
                <w:rFonts w:ascii="Times New Roman" w:hAnsi="Times New Roman"/>
                <w:b/>
                <w:bCs/>
                <w:sz w:val="24"/>
                <w:lang w:eastAsia="hr-HR"/>
              </w:rPr>
              <w:t>2021. – 2030.</w:t>
            </w:r>
          </w:p>
        </w:tc>
        <w:tc>
          <w:tcPr>
            <w:tcW w:w="2020" w:type="dxa"/>
            <w:tcBorders>
              <w:top w:val="single" w:sz="4" w:space="0" w:color="auto"/>
            </w:tcBorders>
            <w:vAlign w:val="center"/>
          </w:tcPr>
          <w:p w14:paraId="677D3C4A" w14:textId="77777777" w:rsidR="005E7EFB" w:rsidRDefault="005E7EFB" w:rsidP="00981331">
            <w:pPr>
              <w:spacing w:line="240" w:lineRule="auto"/>
              <w:jc w:val="center"/>
              <w:rPr>
                <w:rFonts w:ascii="Times New Roman" w:hAnsi="Times New Roman"/>
                <w:b/>
                <w:bCs/>
                <w:sz w:val="24"/>
                <w:lang w:eastAsia="hr-HR"/>
              </w:rPr>
            </w:pPr>
            <w:r>
              <w:rPr>
                <w:rFonts w:ascii="Times New Roman" w:hAnsi="Times New Roman"/>
                <w:b/>
                <w:bCs/>
                <w:sz w:val="24"/>
                <w:lang w:eastAsia="hr-HR"/>
              </w:rPr>
              <w:t>2031. – 2040.</w:t>
            </w:r>
          </w:p>
        </w:tc>
        <w:tc>
          <w:tcPr>
            <w:tcW w:w="2020" w:type="dxa"/>
            <w:tcBorders>
              <w:top w:val="single" w:sz="4" w:space="0" w:color="auto"/>
            </w:tcBorders>
            <w:vAlign w:val="center"/>
          </w:tcPr>
          <w:p w14:paraId="4A7EDB71" w14:textId="77777777" w:rsidR="005E7EFB" w:rsidRDefault="005E7EFB" w:rsidP="00981331">
            <w:pPr>
              <w:spacing w:line="240" w:lineRule="auto"/>
              <w:jc w:val="center"/>
              <w:rPr>
                <w:rFonts w:ascii="Times New Roman" w:hAnsi="Times New Roman"/>
                <w:b/>
                <w:bCs/>
                <w:sz w:val="24"/>
                <w:lang w:eastAsia="hr-HR"/>
              </w:rPr>
            </w:pPr>
            <w:r>
              <w:rPr>
                <w:rFonts w:ascii="Times New Roman" w:hAnsi="Times New Roman"/>
                <w:b/>
                <w:bCs/>
                <w:sz w:val="24"/>
                <w:lang w:eastAsia="hr-HR"/>
              </w:rPr>
              <w:t>2041. – 2050.</w:t>
            </w:r>
          </w:p>
        </w:tc>
      </w:tr>
      <w:tr w:rsidR="005E7EFB" w14:paraId="74753FBB" w14:textId="77777777" w:rsidTr="00981331">
        <w:trPr>
          <w:trHeight w:val="270"/>
        </w:trPr>
        <w:tc>
          <w:tcPr>
            <w:tcW w:w="3560" w:type="dxa"/>
            <w:shd w:val="clear" w:color="auto" w:fill="FFCCA6" w:themeFill="accent5" w:themeFillTint="66"/>
          </w:tcPr>
          <w:p w14:paraId="6C77E64C" w14:textId="77777777" w:rsidR="005E7EFB" w:rsidRDefault="005E7EFB" w:rsidP="00981331">
            <w:pPr>
              <w:spacing w:line="240" w:lineRule="auto"/>
              <w:jc w:val="left"/>
              <w:rPr>
                <w:rFonts w:ascii="Times New Roman" w:hAnsi="Times New Roman"/>
                <w:sz w:val="24"/>
                <w:lang w:eastAsia="hr-HR"/>
              </w:rPr>
            </w:pPr>
            <w:r>
              <w:rPr>
                <w:rFonts w:ascii="Times New Roman" w:hAnsi="Times New Roman"/>
                <w:sz w:val="24"/>
                <w:lang w:eastAsia="hr-HR"/>
              </w:rPr>
              <w:t>Zamjena demoliranog - stambena</w:t>
            </w:r>
          </w:p>
        </w:tc>
        <w:tc>
          <w:tcPr>
            <w:tcW w:w="2300" w:type="dxa"/>
            <w:vMerge w:val="restart"/>
            <w:vAlign w:val="center"/>
          </w:tcPr>
          <w:p w14:paraId="4ECAE66C" w14:textId="77777777" w:rsidR="005E7EFB" w:rsidRDefault="005E7EFB" w:rsidP="00981331">
            <w:pPr>
              <w:spacing w:line="240" w:lineRule="auto"/>
              <w:jc w:val="center"/>
              <w:rPr>
                <w:rFonts w:ascii="Times New Roman" w:hAnsi="Times New Roman"/>
                <w:sz w:val="24"/>
                <w:lang w:eastAsia="hr-HR"/>
              </w:rPr>
            </w:pPr>
            <w:r>
              <w:rPr>
                <w:rFonts w:ascii="Times New Roman" w:hAnsi="Times New Roman"/>
                <w:sz w:val="24"/>
                <w:lang w:eastAsia="hr-HR"/>
              </w:rPr>
              <w:t>5,8</w:t>
            </w:r>
          </w:p>
        </w:tc>
        <w:tc>
          <w:tcPr>
            <w:tcW w:w="2020" w:type="dxa"/>
            <w:vMerge w:val="restart"/>
            <w:vAlign w:val="center"/>
          </w:tcPr>
          <w:p w14:paraId="58F69DF7" w14:textId="77777777" w:rsidR="005E7EFB" w:rsidRDefault="005E7EFB" w:rsidP="00981331">
            <w:pPr>
              <w:spacing w:line="240" w:lineRule="auto"/>
              <w:jc w:val="center"/>
              <w:rPr>
                <w:rFonts w:ascii="Times New Roman" w:hAnsi="Times New Roman"/>
                <w:sz w:val="24"/>
                <w:lang w:eastAsia="hr-HR"/>
              </w:rPr>
            </w:pPr>
            <w:r>
              <w:rPr>
                <w:rFonts w:ascii="Times New Roman" w:hAnsi="Times New Roman"/>
                <w:sz w:val="24"/>
                <w:lang w:eastAsia="hr-HR"/>
              </w:rPr>
              <w:t>7,26</w:t>
            </w:r>
          </w:p>
        </w:tc>
        <w:tc>
          <w:tcPr>
            <w:tcW w:w="2020" w:type="dxa"/>
            <w:vMerge w:val="restart"/>
            <w:vAlign w:val="center"/>
          </w:tcPr>
          <w:p w14:paraId="0816F9AE" w14:textId="77777777" w:rsidR="005E7EFB" w:rsidRDefault="005E7EFB" w:rsidP="00981331">
            <w:pPr>
              <w:spacing w:line="240" w:lineRule="auto"/>
              <w:jc w:val="center"/>
              <w:rPr>
                <w:rFonts w:ascii="Times New Roman" w:hAnsi="Times New Roman"/>
                <w:sz w:val="24"/>
                <w:lang w:eastAsia="hr-HR"/>
              </w:rPr>
            </w:pPr>
            <w:r>
              <w:rPr>
                <w:rFonts w:ascii="Times New Roman" w:hAnsi="Times New Roman"/>
                <w:sz w:val="24"/>
                <w:lang w:eastAsia="hr-HR"/>
              </w:rPr>
              <w:t>7,11</w:t>
            </w:r>
          </w:p>
        </w:tc>
      </w:tr>
      <w:tr w:rsidR="005E7EFB" w14:paraId="4CEB93E4" w14:textId="77777777" w:rsidTr="00981331">
        <w:trPr>
          <w:trHeight w:val="315"/>
        </w:trPr>
        <w:tc>
          <w:tcPr>
            <w:tcW w:w="3560" w:type="dxa"/>
            <w:shd w:val="clear" w:color="auto" w:fill="FFCCA6" w:themeFill="accent5" w:themeFillTint="66"/>
          </w:tcPr>
          <w:p w14:paraId="511AD9A0" w14:textId="77777777" w:rsidR="005E7EFB" w:rsidRDefault="005E7EFB" w:rsidP="00981331">
            <w:pPr>
              <w:spacing w:line="240" w:lineRule="auto"/>
              <w:jc w:val="left"/>
              <w:rPr>
                <w:rFonts w:ascii="Times New Roman" w:hAnsi="Times New Roman"/>
                <w:sz w:val="24"/>
                <w:lang w:eastAsia="hr-HR"/>
              </w:rPr>
            </w:pPr>
            <w:r>
              <w:rPr>
                <w:rFonts w:ascii="Times New Roman" w:hAnsi="Times New Roman"/>
                <w:sz w:val="24"/>
                <w:lang w:eastAsia="hr-HR"/>
              </w:rPr>
              <w:t>(milijuna m</w:t>
            </w:r>
            <w:r>
              <w:rPr>
                <w:rFonts w:ascii="Times New Roman" w:hAnsi="Times New Roman"/>
                <w:sz w:val="24"/>
                <w:vertAlign w:val="superscript"/>
                <w:lang w:eastAsia="hr-HR"/>
              </w:rPr>
              <w:t>2</w:t>
            </w:r>
            <w:r>
              <w:rPr>
                <w:rFonts w:ascii="Times New Roman" w:hAnsi="Times New Roman"/>
                <w:sz w:val="24"/>
                <w:lang w:eastAsia="hr-HR"/>
              </w:rPr>
              <w:t>)</w:t>
            </w:r>
          </w:p>
        </w:tc>
        <w:tc>
          <w:tcPr>
            <w:tcW w:w="2300" w:type="dxa"/>
            <w:vMerge/>
            <w:vAlign w:val="center"/>
          </w:tcPr>
          <w:p w14:paraId="0E1BB029" w14:textId="77777777" w:rsidR="005E7EFB" w:rsidRDefault="005E7EFB" w:rsidP="00981331">
            <w:pPr>
              <w:spacing w:line="240" w:lineRule="auto"/>
              <w:jc w:val="left"/>
              <w:rPr>
                <w:rFonts w:ascii="Times New Roman" w:hAnsi="Times New Roman"/>
                <w:sz w:val="24"/>
                <w:lang w:eastAsia="hr-HR"/>
              </w:rPr>
            </w:pPr>
          </w:p>
        </w:tc>
        <w:tc>
          <w:tcPr>
            <w:tcW w:w="2020" w:type="dxa"/>
            <w:vMerge/>
            <w:vAlign w:val="center"/>
          </w:tcPr>
          <w:p w14:paraId="5741D0FC" w14:textId="77777777" w:rsidR="005E7EFB" w:rsidRDefault="005E7EFB" w:rsidP="00981331">
            <w:pPr>
              <w:spacing w:line="240" w:lineRule="auto"/>
              <w:jc w:val="left"/>
              <w:rPr>
                <w:rFonts w:ascii="Times New Roman" w:hAnsi="Times New Roman"/>
                <w:sz w:val="24"/>
                <w:lang w:eastAsia="hr-HR"/>
              </w:rPr>
            </w:pPr>
          </w:p>
        </w:tc>
        <w:tc>
          <w:tcPr>
            <w:tcW w:w="2020" w:type="dxa"/>
            <w:vMerge/>
            <w:vAlign w:val="center"/>
          </w:tcPr>
          <w:p w14:paraId="12FB4750" w14:textId="77777777" w:rsidR="005E7EFB" w:rsidRDefault="005E7EFB" w:rsidP="00981331">
            <w:pPr>
              <w:spacing w:line="240" w:lineRule="auto"/>
              <w:jc w:val="left"/>
              <w:rPr>
                <w:rFonts w:ascii="Times New Roman" w:hAnsi="Times New Roman"/>
                <w:sz w:val="24"/>
                <w:lang w:eastAsia="hr-HR"/>
              </w:rPr>
            </w:pPr>
          </w:p>
        </w:tc>
      </w:tr>
      <w:tr w:rsidR="005E7EFB" w14:paraId="6DB87C39" w14:textId="77777777" w:rsidTr="00981331">
        <w:trPr>
          <w:trHeight w:val="255"/>
        </w:trPr>
        <w:tc>
          <w:tcPr>
            <w:tcW w:w="3560" w:type="dxa"/>
            <w:shd w:val="clear" w:color="auto" w:fill="FFCCA6" w:themeFill="accent5" w:themeFillTint="66"/>
          </w:tcPr>
          <w:p w14:paraId="049564C7" w14:textId="77777777" w:rsidR="005E7EFB" w:rsidRDefault="005E7EFB" w:rsidP="00981331">
            <w:pPr>
              <w:spacing w:line="240" w:lineRule="auto"/>
              <w:jc w:val="left"/>
              <w:rPr>
                <w:rFonts w:ascii="Times New Roman" w:hAnsi="Times New Roman"/>
                <w:sz w:val="24"/>
                <w:lang w:eastAsia="hr-HR"/>
              </w:rPr>
            </w:pPr>
            <w:r>
              <w:rPr>
                <w:rFonts w:ascii="Times New Roman" w:hAnsi="Times New Roman"/>
                <w:sz w:val="24"/>
                <w:lang w:eastAsia="hr-HR"/>
              </w:rPr>
              <w:t>Zamjena demoliranog  - nestambena</w:t>
            </w:r>
          </w:p>
        </w:tc>
        <w:tc>
          <w:tcPr>
            <w:tcW w:w="2300" w:type="dxa"/>
            <w:vMerge w:val="restart"/>
            <w:vAlign w:val="center"/>
          </w:tcPr>
          <w:p w14:paraId="7247DCB0" w14:textId="77777777" w:rsidR="005E7EFB" w:rsidRDefault="005E7EFB" w:rsidP="00981331">
            <w:pPr>
              <w:spacing w:line="240" w:lineRule="auto"/>
              <w:jc w:val="center"/>
              <w:rPr>
                <w:rFonts w:ascii="Times New Roman" w:hAnsi="Times New Roman"/>
                <w:sz w:val="24"/>
                <w:lang w:eastAsia="hr-HR"/>
              </w:rPr>
            </w:pPr>
            <w:r>
              <w:rPr>
                <w:rFonts w:ascii="Times New Roman" w:hAnsi="Times New Roman"/>
                <w:sz w:val="24"/>
                <w:lang w:eastAsia="hr-HR"/>
              </w:rPr>
              <w:t>3,27</w:t>
            </w:r>
          </w:p>
        </w:tc>
        <w:tc>
          <w:tcPr>
            <w:tcW w:w="2020" w:type="dxa"/>
            <w:vMerge w:val="restart"/>
            <w:vAlign w:val="center"/>
          </w:tcPr>
          <w:p w14:paraId="49EA4732" w14:textId="77777777" w:rsidR="005E7EFB" w:rsidRDefault="005E7EFB" w:rsidP="00981331">
            <w:pPr>
              <w:spacing w:line="240" w:lineRule="auto"/>
              <w:jc w:val="center"/>
              <w:rPr>
                <w:rFonts w:ascii="Times New Roman" w:hAnsi="Times New Roman"/>
                <w:sz w:val="24"/>
                <w:lang w:eastAsia="hr-HR"/>
              </w:rPr>
            </w:pPr>
            <w:r>
              <w:rPr>
                <w:rFonts w:ascii="Times New Roman" w:hAnsi="Times New Roman"/>
                <w:sz w:val="24"/>
                <w:lang w:eastAsia="hr-HR"/>
              </w:rPr>
              <w:t>2,49</w:t>
            </w:r>
          </w:p>
        </w:tc>
        <w:tc>
          <w:tcPr>
            <w:tcW w:w="2020" w:type="dxa"/>
            <w:vMerge w:val="restart"/>
            <w:vAlign w:val="center"/>
          </w:tcPr>
          <w:p w14:paraId="3BBA1B5C" w14:textId="77777777" w:rsidR="005E7EFB" w:rsidRDefault="005E7EFB" w:rsidP="00981331">
            <w:pPr>
              <w:spacing w:line="240" w:lineRule="auto"/>
              <w:jc w:val="center"/>
              <w:rPr>
                <w:rFonts w:ascii="Times New Roman" w:hAnsi="Times New Roman"/>
                <w:sz w:val="24"/>
                <w:lang w:eastAsia="hr-HR"/>
              </w:rPr>
            </w:pPr>
            <w:r>
              <w:rPr>
                <w:rFonts w:ascii="Times New Roman" w:hAnsi="Times New Roman"/>
                <w:sz w:val="24"/>
                <w:lang w:eastAsia="hr-HR"/>
              </w:rPr>
              <w:t>1,694</w:t>
            </w:r>
          </w:p>
        </w:tc>
      </w:tr>
      <w:tr w:rsidR="005E7EFB" w14:paraId="31FE0F4B" w14:textId="77777777" w:rsidTr="00981331">
        <w:trPr>
          <w:trHeight w:val="315"/>
        </w:trPr>
        <w:tc>
          <w:tcPr>
            <w:tcW w:w="3560" w:type="dxa"/>
            <w:shd w:val="clear" w:color="auto" w:fill="FFCCA6" w:themeFill="accent5" w:themeFillTint="66"/>
          </w:tcPr>
          <w:p w14:paraId="598294CF" w14:textId="77777777" w:rsidR="005E7EFB" w:rsidRDefault="005E7EFB" w:rsidP="00981331">
            <w:pPr>
              <w:spacing w:line="240" w:lineRule="auto"/>
              <w:jc w:val="left"/>
              <w:rPr>
                <w:rFonts w:ascii="Times New Roman" w:hAnsi="Times New Roman"/>
                <w:sz w:val="24"/>
                <w:lang w:eastAsia="hr-HR"/>
              </w:rPr>
            </w:pPr>
            <w:r>
              <w:rPr>
                <w:rFonts w:ascii="Times New Roman" w:hAnsi="Times New Roman"/>
                <w:sz w:val="24"/>
                <w:lang w:eastAsia="hr-HR"/>
              </w:rPr>
              <w:t>(milijuna m</w:t>
            </w:r>
            <w:r>
              <w:rPr>
                <w:rFonts w:ascii="Times New Roman" w:hAnsi="Times New Roman"/>
                <w:sz w:val="24"/>
                <w:vertAlign w:val="superscript"/>
                <w:lang w:eastAsia="hr-HR"/>
              </w:rPr>
              <w:t>2</w:t>
            </w:r>
            <w:r>
              <w:rPr>
                <w:rFonts w:ascii="Times New Roman" w:hAnsi="Times New Roman"/>
                <w:sz w:val="24"/>
                <w:lang w:eastAsia="hr-HR"/>
              </w:rPr>
              <w:t>)</w:t>
            </w:r>
          </w:p>
        </w:tc>
        <w:tc>
          <w:tcPr>
            <w:tcW w:w="2300" w:type="dxa"/>
            <w:vMerge/>
            <w:vAlign w:val="center"/>
          </w:tcPr>
          <w:p w14:paraId="0193BE04" w14:textId="77777777" w:rsidR="005E7EFB" w:rsidRDefault="005E7EFB" w:rsidP="00981331">
            <w:pPr>
              <w:spacing w:line="240" w:lineRule="auto"/>
              <w:jc w:val="left"/>
              <w:rPr>
                <w:rFonts w:ascii="Times New Roman" w:hAnsi="Times New Roman"/>
                <w:sz w:val="24"/>
                <w:lang w:eastAsia="hr-HR"/>
              </w:rPr>
            </w:pPr>
          </w:p>
        </w:tc>
        <w:tc>
          <w:tcPr>
            <w:tcW w:w="2020" w:type="dxa"/>
            <w:vMerge/>
            <w:vAlign w:val="center"/>
          </w:tcPr>
          <w:p w14:paraId="1BED59C0" w14:textId="77777777" w:rsidR="005E7EFB" w:rsidRDefault="005E7EFB" w:rsidP="00981331">
            <w:pPr>
              <w:spacing w:line="240" w:lineRule="auto"/>
              <w:jc w:val="left"/>
              <w:rPr>
                <w:rFonts w:ascii="Times New Roman" w:hAnsi="Times New Roman"/>
                <w:sz w:val="24"/>
                <w:lang w:eastAsia="hr-HR"/>
              </w:rPr>
            </w:pPr>
          </w:p>
        </w:tc>
        <w:tc>
          <w:tcPr>
            <w:tcW w:w="2020" w:type="dxa"/>
            <w:vMerge/>
            <w:vAlign w:val="center"/>
          </w:tcPr>
          <w:p w14:paraId="7B98DA5D" w14:textId="77777777" w:rsidR="005E7EFB" w:rsidRDefault="005E7EFB" w:rsidP="00981331">
            <w:pPr>
              <w:spacing w:line="240" w:lineRule="auto"/>
              <w:jc w:val="left"/>
              <w:rPr>
                <w:rFonts w:ascii="Times New Roman" w:hAnsi="Times New Roman"/>
                <w:sz w:val="24"/>
                <w:lang w:eastAsia="hr-HR"/>
              </w:rPr>
            </w:pPr>
          </w:p>
        </w:tc>
      </w:tr>
      <w:tr w:rsidR="005E7EFB" w14:paraId="6DC042AF" w14:textId="77777777" w:rsidTr="00981331">
        <w:trPr>
          <w:trHeight w:val="525"/>
        </w:trPr>
        <w:tc>
          <w:tcPr>
            <w:tcW w:w="3560" w:type="dxa"/>
            <w:shd w:val="clear" w:color="auto" w:fill="FFCCA6" w:themeFill="accent5" w:themeFillTint="66"/>
          </w:tcPr>
          <w:p w14:paraId="7A9D88E2" w14:textId="77777777" w:rsidR="005E7EFB" w:rsidRDefault="005E7EFB" w:rsidP="00981331">
            <w:pPr>
              <w:spacing w:line="240" w:lineRule="auto"/>
              <w:jc w:val="left"/>
              <w:rPr>
                <w:rFonts w:ascii="Times New Roman" w:hAnsi="Times New Roman"/>
                <w:sz w:val="24"/>
                <w:lang w:eastAsia="hr-HR"/>
              </w:rPr>
            </w:pPr>
            <w:r>
              <w:rPr>
                <w:rFonts w:ascii="Times New Roman" w:hAnsi="Times New Roman"/>
                <w:sz w:val="24"/>
                <w:lang w:eastAsia="hr-HR"/>
              </w:rPr>
              <w:t>Investicijski trošak napuštanja prostora i premještanja fonda</w:t>
            </w:r>
          </w:p>
        </w:tc>
        <w:tc>
          <w:tcPr>
            <w:tcW w:w="2300" w:type="dxa"/>
            <w:vAlign w:val="center"/>
          </w:tcPr>
          <w:p w14:paraId="089941BD" w14:textId="77777777" w:rsidR="005E7EFB" w:rsidRDefault="005E7EFB" w:rsidP="00981331">
            <w:pPr>
              <w:spacing w:line="240" w:lineRule="auto"/>
              <w:jc w:val="center"/>
              <w:rPr>
                <w:rFonts w:ascii="Times New Roman" w:hAnsi="Times New Roman"/>
                <w:sz w:val="24"/>
                <w:lang w:eastAsia="hr-HR"/>
              </w:rPr>
            </w:pPr>
            <w:r>
              <w:rPr>
                <w:rFonts w:ascii="Times New Roman" w:hAnsi="Times New Roman"/>
                <w:sz w:val="24"/>
                <w:lang w:eastAsia="hr-HR"/>
              </w:rPr>
              <w:t>79,83</w:t>
            </w:r>
          </w:p>
        </w:tc>
        <w:tc>
          <w:tcPr>
            <w:tcW w:w="2020" w:type="dxa"/>
            <w:vAlign w:val="center"/>
          </w:tcPr>
          <w:p w14:paraId="7A7B980B" w14:textId="77777777" w:rsidR="005E7EFB" w:rsidRDefault="005E7EFB" w:rsidP="00981331">
            <w:pPr>
              <w:spacing w:line="240" w:lineRule="auto"/>
              <w:jc w:val="center"/>
              <w:rPr>
                <w:rFonts w:ascii="Times New Roman" w:hAnsi="Times New Roman"/>
                <w:sz w:val="24"/>
                <w:lang w:eastAsia="hr-HR"/>
              </w:rPr>
            </w:pPr>
            <w:r>
              <w:rPr>
                <w:rFonts w:ascii="Times New Roman" w:hAnsi="Times New Roman"/>
                <w:sz w:val="24"/>
                <w:lang w:eastAsia="hr-HR"/>
              </w:rPr>
              <w:t>83,89</w:t>
            </w:r>
          </w:p>
        </w:tc>
        <w:tc>
          <w:tcPr>
            <w:tcW w:w="2020" w:type="dxa"/>
            <w:vAlign w:val="center"/>
          </w:tcPr>
          <w:p w14:paraId="7284DA86" w14:textId="77777777" w:rsidR="005E7EFB" w:rsidRDefault="005E7EFB" w:rsidP="00981331">
            <w:pPr>
              <w:spacing w:line="240" w:lineRule="auto"/>
              <w:jc w:val="center"/>
              <w:rPr>
                <w:rFonts w:ascii="Times New Roman" w:hAnsi="Times New Roman"/>
                <w:sz w:val="24"/>
                <w:lang w:eastAsia="hr-HR"/>
              </w:rPr>
            </w:pPr>
            <w:r>
              <w:rPr>
                <w:rFonts w:ascii="Times New Roman" w:hAnsi="Times New Roman"/>
                <w:sz w:val="24"/>
                <w:lang w:eastAsia="hr-HR"/>
              </w:rPr>
              <w:t>74,71</w:t>
            </w:r>
          </w:p>
        </w:tc>
      </w:tr>
      <w:tr w:rsidR="005E7EFB" w14:paraId="6C2CEC6B" w14:textId="77777777" w:rsidTr="00981331">
        <w:trPr>
          <w:trHeight w:val="270"/>
        </w:trPr>
        <w:tc>
          <w:tcPr>
            <w:tcW w:w="3560" w:type="dxa"/>
            <w:shd w:val="clear" w:color="auto" w:fill="FFCCA6" w:themeFill="accent5" w:themeFillTint="66"/>
          </w:tcPr>
          <w:p w14:paraId="03CB2518" w14:textId="77777777" w:rsidR="005E7EFB" w:rsidRDefault="005E7EFB" w:rsidP="00981331">
            <w:pPr>
              <w:spacing w:line="240" w:lineRule="auto"/>
              <w:jc w:val="left"/>
              <w:rPr>
                <w:rFonts w:ascii="Times New Roman" w:hAnsi="Times New Roman"/>
                <w:sz w:val="24"/>
                <w:lang w:eastAsia="hr-HR"/>
              </w:rPr>
            </w:pPr>
            <w:r>
              <w:rPr>
                <w:rFonts w:ascii="Times New Roman" w:hAnsi="Times New Roman"/>
                <w:sz w:val="24"/>
                <w:lang w:eastAsia="hr-HR"/>
              </w:rPr>
              <w:t>Ukupni investicijski trošak (milijardi kn)</w:t>
            </w:r>
          </w:p>
        </w:tc>
        <w:tc>
          <w:tcPr>
            <w:tcW w:w="6340" w:type="dxa"/>
            <w:gridSpan w:val="3"/>
            <w:vAlign w:val="center"/>
          </w:tcPr>
          <w:p w14:paraId="235AC464" w14:textId="77777777" w:rsidR="005E7EFB" w:rsidRDefault="005E7EFB" w:rsidP="00981331">
            <w:pPr>
              <w:spacing w:line="240" w:lineRule="auto"/>
              <w:jc w:val="center"/>
              <w:rPr>
                <w:rFonts w:ascii="Times New Roman" w:hAnsi="Times New Roman"/>
                <w:b/>
                <w:bCs/>
                <w:sz w:val="24"/>
                <w:lang w:eastAsia="hr-HR"/>
              </w:rPr>
            </w:pPr>
            <w:r>
              <w:rPr>
                <w:rFonts w:ascii="Times New Roman" w:hAnsi="Times New Roman"/>
                <w:b/>
                <w:bCs/>
                <w:sz w:val="24"/>
                <w:lang w:eastAsia="hr-HR"/>
              </w:rPr>
              <w:t>238,42</w:t>
            </w:r>
          </w:p>
        </w:tc>
      </w:tr>
    </w:tbl>
    <w:p w14:paraId="6F96111D" w14:textId="77777777" w:rsidR="005E7EFB" w:rsidRDefault="005E7EFB">
      <w:pPr>
        <w:tabs>
          <w:tab w:val="left" w:pos="431"/>
        </w:tabs>
        <w:spacing w:line="240" w:lineRule="auto"/>
        <w:ind w:left="3"/>
        <w:rPr>
          <w:rFonts w:ascii="Times New Roman" w:hAnsi="Times New Roman"/>
          <w:sz w:val="24"/>
        </w:rPr>
      </w:pPr>
    </w:p>
    <w:p w14:paraId="45D059BF" w14:textId="1276B8A3" w:rsidR="00496804" w:rsidRDefault="0037359D">
      <w:pPr>
        <w:tabs>
          <w:tab w:val="left" w:pos="431"/>
        </w:tabs>
        <w:spacing w:line="240" w:lineRule="auto"/>
        <w:ind w:left="3"/>
        <w:rPr>
          <w:rFonts w:ascii="Times New Roman" w:hAnsi="Times New Roman"/>
          <w:sz w:val="24"/>
        </w:rPr>
      </w:pPr>
      <w:r>
        <w:rPr>
          <w:rFonts w:ascii="Times New Roman" w:hAnsi="Times New Roman"/>
          <w:sz w:val="24"/>
        </w:rPr>
        <w:t>Kružnom obnovom nekorištenih zgrada štedi se energija koja bi u slučaju izgradnje nove zgrade bila utrošena na razgradnju postojeće nekorištene zgrade, zbrinjavanje nastalog otpada, proizvodnju građevnih materijala i izgradnju nove zamjenske zgrade. Stoga, izračun isplativosti projekta kružne obnove nije moguće sagledati isključivo u odnosu troškova obnove i novogradnje, već je potrebno sagledati cjeloživotni utjecaj zgrada na okoliš.</w:t>
      </w:r>
    </w:p>
    <w:p w14:paraId="45D059C0" w14:textId="77777777" w:rsidR="00496804" w:rsidRDefault="00496804">
      <w:pPr>
        <w:spacing w:line="240" w:lineRule="auto"/>
        <w:rPr>
          <w:rFonts w:ascii="Times New Roman" w:hAnsi="Times New Roman"/>
          <w:sz w:val="24"/>
        </w:rPr>
      </w:pPr>
    </w:p>
    <w:p w14:paraId="45D059C1" w14:textId="77777777" w:rsidR="00496804" w:rsidRDefault="0037359D">
      <w:pPr>
        <w:spacing w:line="240" w:lineRule="auto"/>
        <w:rPr>
          <w:rFonts w:ascii="Times New Roman" w:hAnsi="Times New Roman"/>
          <w:sz w:val="24"/>
        </w:rPr>
      </w:pPr>
      <w:r>
        <w:rPr>
          <w:rFonts w:ascii="Times New Roman" w:hAnsi="Times New Roman"/>
          <w:sz w:val="24"/>
        </w:rPr>
        <w:t xml:space="preserve">Prema razdoblju gradnje, Dugoročna strategija navodi kako je ukupni fond zgrada u 2018. godini  204.418.233 m², od čega je 146.924.679 m² stambenih i 57.493.554 m² nestambenih zgrada. </w:t>
      </w:r>
    </w:p>
    <w:p w14:paraId="45D059C2" w14:textId="77777777" w:rsidR="00496804" w:rsidRDefault="00496804">
      <w:pPr>
        <w:spacing w:line="240" w:lineRule="auto"/>
        <w:rPr>
          <w:rFonts w:ascii="Times New Roman" w:hAnsi="Times New Roman"/>
          <w:sz w:val="24"/>
        </w:rPr>
      </w:pPr>
    </w:p>
    <w:p w14:paraId="45D059C3" w14:textId="77777777" w:rsidR="00496804" w:rsidRDefault="0037359D">
      <w:pPr>
        <w:pStyle w:val="Opisslike"/>
        <w:rPr>
          <w:rFonts w:ascii="Times New Roman" w:hAnsi="Times New Roman"/>
          <w:b w:val="0"/>
          <w:bCs w:val="0"/>
          <w:i/>
          <w:iCs/>
          <w:sz w:val="24"/>
          <w:szCs w:val="24"/>
          <w:lang w:eastAsia="hr-HR"/>
        </w:rPr>
      </w:pPr>
      <w:r>
        <w:rPr>
          <w:rFonts w:ascii="Times New Roman" w:hAnsi="Times New Roman"/>
          <w:b w:val="0"/>
          <w:bCs w:val="0"/>
          <w:i/>
          <w:iCs/>
          <w:sz w:val="24"/>
          <w:szCs w:val="24"/>
        </w:rPr>
        <w:t>Tablica 7. Stambeni fond RH prema godini izgradnje (sve zgrade)</w:t>
      </w:r>
      <w:bookmarkStart w:id="57" w:name="_Toc33513427"/>
      <w:r>
        <w:rPr>
          <w:rFonts w:ascii="Times New Roman" w:hAnsi="Times New Roman"/>
          <w:b w:val="0"/>
          <w:bCs w:val="0"/>
          <w:i/>
          <w:iCs/>
          <w:sz w:val="24"/>
          <w:szCs w:val="24"/>
        </w:rPr>
        <w:t xml:space="preserve"> </w:t>
      </w:r>
      <w:bookmarkEnd w:id="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1507"/>
        <w:gridCol w:w="2085"/>
        <w:gridCol w:w="1808"/>
        <w:gridCol w:w="1808"/>
      </w:tblGrid>
      <w:tr w:rsidR="00496804" w14:paraId="45D059C7" w14:textId="77777777">
        <w:trPr>
          <w:trHeight w:val="300"/>
        </w:trPr>
        <w:tc>
          <w:tcPr>
            <w:tcW w:w="2344" w:type="dxa"/>
            <w:vMerge w:val="restart"/>
            <w:shd w:val="clear" w:color="auto" w:fill="FFCCA6" w:themeFill="accent5" w:themeFillTint="66"/>
            <w:noWrap/>
            <w:vAlign w:val="bottom"/>
          </w:tcPr>
          <w:p w14:paraId="45D059C4" w14:textId="77777777" w:rsidR="00496804" w:rsidRDefault="00496804">
            <w:pPr>
              <w:spacing w:line="240" w:lineRule="auto"/>
              <w:jc w:val="left"/>
              <w:rPr>
                <w:rFonts w:ascii="Times New Roman" w:hAnsi="Times New Roman"/>
                <w:sz w:val="24"/>
                <w:lang w:eastAsia="hr-HR"/>
              </w:rPr>
            </w:pPr>
          </w:p>
        </w:tc>
        <w:tc>
          <w:tcPr>
            <w:tcW w:w="3488" w:type="dxa"/>
            <w:gridSpan w:val="2"/>
            <w:shd w:val="clear" w:color="auto" w:fill="FFCCA6" w:themeFill="accent5" w:themeFillTint="66"/>
            <w:noWrap/>
            <w:vAlign w:val="bottom"/>
          </w:tcPr>
          <w:p w14:paraId="45D059C5"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višestambene</w:t>
            </w:r>
          </w:p>
        </w:tc>
        <w:tc>
          <w:tcPr>
            <w:tcW w:w="3512" w:type="dxa"/>
            <w:gridSpan w:val="2"/>
            <w:shd w:val="clear" w:color="auto" w:fill="FFCCA6" w:themeFill="accent5" w:themeFillTint="66"/>
            <w:noWrap/>
            <w:vAlign w:val="bottom"/>
          </w:tcPr>
          <w:p w14:paraId="45D059C6"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obiteljske</w:t>
            </w:r>
          </w:p>
        </w:tc>
      </w:tr>
      <w:tr w:rsidR="00496804" w14:paraId="45D059CD" w14:textId="77777777">
        <w:trPr>
          <w:trHeight w:val="300"/>
        </w:trPr>
        <w:tc>
          <w:tcPr>
            <w:tcW w:w="2344" w:type="dxa"/>
            <w:vMerge/>
            <w:shd w:val="clear" w:color="auto" w:fill="FFCCA6" w:themeFill="accent5" w:themeFillTint="66"/>
            <w:noWrap/>
            <w:vAlign w:val="bottom"/>
          </w:tcPr>
          <w:p w14:paraId="45D059C8" w14:textId="77777777" w:rsidR="00496804" w:rsidRDefault="00496804">
            <w:pPr>
              <w:spacing w:line="240" w:lineRule="auto"/>
              <w:jc w:val="left"/>
              <w:rPr>
                <w:rFonts w:ascii="Times New Roman" w:hAnsi="Times New Roman"/>
                <w:sz w:val="24"/>
                <w:lang w:eastAsia="hr-HR"/>
              </w:rPr>
            </w:pPr>
          </w:p>
        </w:tc>
        <w:tc>
          <w:tcPr>
            <w:tcW w:w="1463" w:type="dxa"/>
            <w:shd w:val="clear" w:color="auto" w:fill="FFCCA6" w:themeFill="accent5" w:themeFillTint="66"/>
            <w:noWrap/>
          </w:tcPr>
          <w:p w14:paraId="45D059C9"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broj zgrada</w:t>
            </w:r>
          </w:p>
        </w:tc>
        <w:tc>
          <w:tcPr>
            <w:tcW w:w="2025" w:type="dxa"/>
            <w:shd w:val="clear" w:color="auto" w:fill="FFCCA6" w:themeFill="accent5" w:themeFillTint="66"/>
            <w:noWrap/>
          </w:tcPr>
          <w:p w14:paraId="45D059CA"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površina</w:t>
            </w:r>
          </w:p>
        </w:tc>
        <w:tc>
          <w:tcPr>
            <w:tcW w:w="1756" w:type="dxa"/>
            <w:shd w:val="clear" w:color="auto" w:fill="FFCCA6" w:themeFill="accent5" w:themeFillTint="66"/>
            <w:noWrap/>
          </w:tcPr>
          <w:p w14:paraId="45D059CB"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broj zgrada</w:t>
            </w:r>
          </w:p>
        </w:tc>
        <w:tc>
          <w:tcPr>
            <w:tcW w:w="1756" w:type="dxa"/>
            <w:shd w:val="clear" w:color="auto" w:fill="FFCCA6" w:themeFill="accent5" w:themeFillTint="66"/>
            <w:noWrap/>
          </w:tcPr>
          <w:p w14:paraId="45D059CC"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površina</w:t>
            </w:r>
          </w:p>
        </w:tc>
      </w:tr>
      <w:tr w:rsidR="00496804" w14:paraId="45D059D3" w14:textId="77777777">
        <w:trPr>
          <w:trHeight w:val="300"/>
        </w:trPr>
        <w:tc>
          <w:tcPr>
            <w:tcW w:w="2344" w:type="dxa"/>
            <w:vMerge/>
            <w:shd w:val="clear" w:color="auto" w:fill="FFCCA6" w:themeFill="accent5" w:themeFillTint="66"/>
            <w:noWrap/>
            <w:vAlign w:val="bottom"/>
          </w:tcPr>
          <w:p w14:paraId="45D059CE" w14:textId="77777777" w:rsidR="00496804" w:rsidRDefault="00496804">
            <w:pPr>
              <w:spacing w:line="240" w:lineRule="auto"/>
              <w:jc w:val="center"/>
              <w:rPr>
                <w:rFonts w:ascii="Times New Roman" w:hAnsi="Times New Roman"/>
                <w:sz w:val="24"/>
                <w:lang w:eastAsia="hr-HR"/>
              </w:rPr>
            </w:pPr>
          </w:p>
        </w:tc>
        <w:tc>
          <w:tcPr>
            <w:tcW w:w="1463" w:type="dxa"/>
            <w:shd w:val="clear" w:color="auto" w:fill="FFCCA6" w:themeFill="accent5" w:themeFillTint="66"/>
            <w:noWrap/>
          </w:tcPr>
          <w:p w14:paraId="45D059CF"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w:t>
            </w:r>
          </w:p>
        </w:tc>
        <w:tc>
          <w:tcPr>
            <w:tcW w:w="2025" w:type="dxa"/>
            <w:shd w:val="clear" w:color="auto" w:fill="FFCCA6" w:themeFill="accent5" w:themeFillTint="66"/>
            <w:noWrap/>
          </w:tcPr>
          <w:p w14:paraId="45D059D0"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m²</w:t>
            </w:r>
          </w:p>
        </w:tc>
        <w:tc>
          <w:tcPr>
            <w:tcW w:w="1756" w:type="dxa"/>
            <w:shd w:val="clear" w:color="auto" w:fill="FFCCA6" w:themeFill="accent5" w:themeFillTint="66"/>
            <w:noWrap/>
          </w:tcPr>
          <w:p w14:paraId="45D059D1"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w:t>
            </w:r>
          </w:p>
        </w:tc>
        <w:tc>
          <w:tcPr>
            <w:tcW w:w="1756" w:type="dxa"/>
            <w:shd w:val="clear" w:color="auto" w:fill="FFCCA6" w:themeFill="accent5" w:themeFillTint="66"/>
            <w:noWrap/>
          </w:tcPr>
          <w:p w14:paraId="45D059D2"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m²</w:t>
            </w:r>
          </w:p>
        </w:tc>
      </w:tr>
      <w:tr w:rsidR="00496804" w14:paraId="45D059D9" w14:textId="77777777">
        <w:trPr>
          <w:trHeight w:val="300"/>
        </w:trPr>
        <w:tc>
          <w:tcPr>
            <w:tcW w:w="2344" w:type="dxa"/>
            <w:shd w:val="clear" w:color="auto" w:fill="FFCCA6" w:themeFill="accent5" w:themeFillTint="66"/>
            <w:noWrap/>
            <w:vAlign w:val="bottom"/>
          </w:tcPr>
          <w:p w14:paraId="45D059D4"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do 1941.</w:t>
            </w:r>
          </w:p>
        </w:tc>
        <w:tc>
          <w:tcPr>
            <w:tcW w:w="1463" w:type="dxa"/>
            <w:noWrap/>
            <w:vAlign w:val="bottom"/>
          </w:tcPr>
          <w:p w14:paraId="45D059D5"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37.201</w:t>
            </w:r>
          </w:p>
        </w:tc>
        <w:tc>
          <w:tcPr>
            <w:tcW w:w="2025" w:type="dxa"/>
            <w:noWrap/>
            <w:vAlign w:val="bottom"/>
          </w:tcPr>
          <w:p w14:paraId="45D059D6"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5.830.983</w:t>
            </w:r>
          </w:p>
        </w:tc>
        <w:tc>
          <w:tcPr>
            <w:tcW w:w="1756" w:type="dxa"/>
            <w:noWrap/>
            <w:vAlign w:val="bottom"/>
          </w:tcPr>
          <w:p w14:paraId="45D059D7"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64.391</w:t>
            </w:r>
          </w:p>
        </w:tc>
        <w:tc>
          <w:tcPr>
            <w:tcW w:w="1756" w:type="dxa"/>
            <w:noWrap/>
            <w:vAlign w:val="bottom"/>
          </w:tcPr>
          <w:p w14:paraId="45D059D8"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10.092.805</w:t>
            </w:r>
          </w:p>
        </w:tc>
      </w:tr>
      <w:tr w:rsidR="00496804" w14:paraId="45D059DF" w14:textId="77777777">
        <w:trPr>
          <w:trHeight w:val="300"/>
        </w:trPr>
        <w:tc>
          <w:tcPr>
            <w:tcW w:w="2344" w:type="dxa"/>
            <w:shd w:val="clear" w:color="auto" w:fill="FFCCA6" w:themeFill="accent5" w:themeFillTint="66"/>
            <w:noWrap/>
            <w:vAlign w:val="bottom"/>
          </w:tcPr>
          <w:p w14:paraId="45D059DA"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1941. - 1970.</w:t>
            </w:r>
          </w:p>
        </w:tc>
        <w:tc>
          <w:tcPr>
            <w:tcW w:w="1463" w:type="dxa"/>
            <w:noWrap/>
            <w:vAlign w:val="bottom"/>
          </w:tcPr>
          <w:p w14:paraId="45D059DB"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85.959</w:t>
            </w:r>
          </w:p>
        </w:tc>
        <w:tc>
          <w:tcPr>
            <w:tcW w:w="2025" w:type="dxa"/>
            <w:noWrap/>
            <w:vAlign w:val="bottom"/>
          </w:tcPr>
          <w:p w14:paraId="45D059DC"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13.473.337</w:t>
            </w:r>
          </w:p>
        </w:tc>
        <w:tc>
          <w:tcPr>
            <w:tcW w:w="1756" w:type="dxa"/>
            <w:noWrap/>
            <w:vAlign w:val="bottom"/>
          </w:tcPr>
          <w:p w14:paraId="45D059DD"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151.507</w:t>
            </w:r>
          </w:p>
        </w:tc>
        <w:tc>
          <w:tcPr>
            <w:tcW w:w="1756" w:type="dxa"/>
            <w:noWrap/>
            <w:vAlign w:val="bottom"/>
          </w:tcPr>
          <w:p w14:paraId="45D059DE"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23.747.572</w:t>
            </w:r>
          </w:p>
        </w:tc>
      </w:tr>
      <w:tr w:rsidR="00496804" w14:paraId="45D059E5" w14:textId="77777777">
        <w:trPr>
          <w:trHeight w:val="300"/>
        </w:trPr>
        <w:tc>
          <w:tcPr>
            <w:tcW w:w="2344" w:type="dxa"/>
            <w:shd w:val="clear" w:color="auto" w:fill="FFCCA6" w:themeFill="accent5" w:themeFillTint="66"/>
            <w:noWrap/>
            <w:vAlign w:val="bottom"/>
          </w:tcPr>
          <w:p w14:paraId="45D059E0"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1971. - 1980.</w:t>
            </w:r>
          </w:p>
        </w:tc>
        <w:tc>
          <w:tcPr>
            <w:tcW w:w="1463" w:type="dxa"/>
            <w:noWrap/>
            <w:vAlign w:val="bottom"/>
          </w:tcPr>
          <w:p w14:paraId="45D059E1"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59.882</w:t>
            </w:r>
          </w:p>
        </w:tc>
        <w:tc>
          <w:tcPr>
            <w:tcW w:w="2025" w:type="dxa"/>
            <w:noWrap/>
            <w:vAlign w:val="bottom"/>
          </w:tcPr>
          <w:p w14:paraId="45D059E2"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10.398.113</w:t>
            </w:r>
          </w:p>
        </w:tc>
        <w:tc>
          <w:tcPr>
            <w:tcW w:w="1756" w:type="dxa"/>
            <w:noWrap/>
            <w:vAlign w:val="bottom"/>
          </w:tcPr>
          <w:p w14:paraId="45D059E3"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93.109</w:t>
            </w:r>
          </w:p>
        </w:tc>
        <w:tc>
          <w:tcPr>
            <w:tcW w:w="1756" w:type="dxa"/>
            <w:noWrap/>
            <w:vAlign w:val="bottom"/>
          </w:tcPr>
          <w:p w14:paraId="45D059E4"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16.167.887</w:t>
            </w:r>
          </w:p>
        </w:tc>
      </w:tr>
      <w:tr w:rsidR="00496804" w14:paraId="45D059EB" w14:textId="77777777">
        <w:trPr>
          <w:trHeight w:val="300"/>
        </w:trPr>
        <w:tc>
          <w:tcPr>
            <w:tcW w:w="2344" w:type="dxa"/>
            <w:shd w:val="clear" w:color="auto" w:fill="FFCCA6" w:themeFill="accent5" w:themeFillTint="66"/>
            <w:noWrap/>
            <w:vAlign w:val="bottom"/>
          </w:tcPr>
          <w:p w14:paraId="45D059E6"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1981. - 1987.</w:t>
            </w:r>
          </w:p>
        </w:tc>
        <w:tc>
          <w:tcPr>
            <w:tcW w:w="1463" w:type="dxa"/>
            <w:noWrap/>
            <w:vAlign w:val="bottom"/>
          </w:tcPr>
          <w:p w14:paraId="45D059E7"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44.434</w:t>
            </w:r>
          </w:p>
        </w:tc>
        <w:tc>
          <w:tcPr>
            <w:tcW w:w="2025" w:type="dxa"/>
            <w:noWrap/>
            <w:vAlign w:val="bottom"/>
          </w:tcPr>
          <w:p w14:paraId="45D059E8"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9.401.527</w:t>
            </w:r>
          </w:p>
        </w:tc>
        <w:tc>
          <w:tcPr>
            <w:tcW w:w="1756" w:type="dxa"/>
            <w:noWrap/>
            <w:vAlign w:val="bottom"/>
          </w:tcPr>
          <w:p w14:paraId="45D059E9"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68.348</w:t>
            </w:r>
          </w:p>
        </w:tc>
        <w:tc>
          <w:tcPr>
            <w:tcW w:w="1756" w:type="dxa"/>
            <w:noWrap/>
            <w:vAlign w:val="bottom"/>
          </w:tcPr>
          <w:p w14:paraId="45D059EA"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14.461.473</w:t>
            </w:r>
          </w:p>
        </w:tc>
      </w:tr>
      <w:tr w:rsidR="00496804" w14:paraId="45D059F1" w14:textId="77777777">
        <w:trPr>
          <w:trHeight w:val="300"/>
        </w:trPr>
        <w:tc>
          <w:tcPr>
            <w:tcW w:w="2344" w:type="dxa"/>
            <w:shd w:val="clear" w:color="auto" w:fill="FFCCA6" w:themeFill="accent5" w:themeFillTint="66"/>
            <w:noWrap/>
            <w:vAlign w:val="bottom"/>
          </w:tcPr>
          <w:p w14:paraId="45D059EC"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1988. - 2005.</w:t>
            </w:r>
          </w:p>
        </w:tc>
        <w:tc>
          <w:tcPr>
            <w:tcW w:w="1463" w:type="dxa"/>
            <w:noWrap/>
            <w:vAlign w:val="bottom"/>
          </w:tcPr>
          <w:p w14:paraId="45D059ED"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38.358</w:t>
            </w:r>
          </w:p>
        </w:tc>
        <w:tc>
          <w:tcPr>
            <w:tcW w:w="2025" w:type="dxa"/>
            <w:noWrap/>
            <w:vAlign w:val="bottom"/>
          </w:tcPr>
          <w:p w14:paraId="45D059EE"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8.177.401</w:t>
            </w:r>
          </w:p>
        </w:tc>
        <w:tc>
          <w:tcPr>
            <w:tcW w:w="1756" w:type="dxa"/>
            <w:noWrap/>
            <w:vAlign w:val="bottom"/>
          </w:tcPr>
          <w:p w14:paraId="45D059EF"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75.615</w:t>
            </w:r>
          </w:p>
        </w:tc>
        <w:tc>
          <w:tcPr>
            <w:tcW w:w="1756" w:type="dxa"/>
            <w:noWrap/>
            <w:vAlign w:val="bottom"/>
          </w:tcPr>
          <w:p w14:paraId="45D059F0"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16.120.249</w:t>
            </w:r>
          </w:p>
        </w:tc>
      </w:tr>
      <w:tr w:rsidR="00496804" w14:paraId="45D059F7" w14:textId="77777777">
        <w:trPr>
          <w:trHeight w:val="300"/>
        </w:trPr>
        <w:tc>
          <w:tcPr>
            <w:tcW w:w="2344" w:type="dxa"/>
            <w:shd w:val="clear" w:color="auto" w:fill="FFCCA6" w:themeFill="accent5" w:themeFillTint="66"/>
            <w:noWrap/>
            <w:vAlign w:val="bottom"/>
          </w:tcPr>
          <w:p w14:paraId="45D059F2"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2006. – 2009.</w:t>
            </w:r>
          </w:p>
        </w:tc>
        <w:tc>
          <w:tcPr>
            <w:tcW w:w="1463" w:type="dxa"/>
            <w:noWrap/>
            <w:vAlign w:val="bottom"/>
          </w:tcPr>
          <w:p w14:paraId="45D059F3"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18.256</w:t>
            </w:r>
          </w:p>
        </w:tc>
        <w:tc>
          <w:tcPr>
            <w:tcW w:w="2025" w:type="dxa"/>
            <w:noWrap/>
            <w:vAlign w:val="bottom"/>
          </w:tcPr>
          <w:p w14:paraId="45D059F4"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6.199.252</w:t>
            </w:r>
          </w:p>
        </w:tc>
        <w:tc>
          <w:tcPr>
            <w:tcW w:w="1756" w:type="dxa"/>
            <w:noWrap/>
            <w:vAlign w:val="bottom"/>
          </w:tcPr>
          <w:p w14:paraId="45D059F5"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13.762</w:t>
            </w:r>
          </w:p>
        </w:tc>
        <w:tc>
          <w:tcPr>
            <w:tcW w:w="1756" w:type="dxa"/>
            <w:noWrap/>
            <w:vAlign w:val="bottom"/>
          </w:tcPr>
          <w:p w14:paraId="45D059F6"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4.673.079</w:t>
            </w:r>
          </w:p>
        </w:tc>
      </w:tr>
      <w:tr w:rsidR="00496804" w14:paraId="45D059FD" w14:textId="77777777">
        <w:trPr>
          <w:trHeight w:val="300"/>
        </w:trPr>
        <w:tc>
          <w:tcPr>
            <w:tcW w:w="2344" w:type="dxa"/>
            <w:shd w:val="clear" w:color="auto" w:fill="FFCCA6" w:themeFill="accent5" w:themeFillTint="66"/>
            <w:noWrap/>
            <w:vAlign w:val="bottom"/>
          </w:tcPr>
          <w:p w14:paraId="45D059F8"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2010. - 2011.</w:t>
            </w:r>
          </w:p>
        </w:tc>
        <w:tc>
          <w:tcPr>
            <w:tcW w:w="1463" w:type="dxa"/>
            <w:noWrap/>
            <w:vAlign w:val="bottom"/>
          </w:tcPr>
          <w:p w14:paraId="45D059F9"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6.600</w:t>
            </w:r>
          </w:p>
        </w:tc>
        <w:tc>
          <w:tcPr>
            <w:tcW w:w="2025" w:type="dxa"/>
            <w:noWrap/>
            <w:vAlign w:val="bottom"/>
          </w:tcPr>
          <w:p w14:paraId="45D059FA"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1.957.449</w:t>
            </w:r>
          </w:p>
        </w:tc>
        <w:tc>
          <w:tcPr>
            <w:tcW w:w="1756" w:type="dxa"/>
            <w:noWrap/>
            <w:vAlign w:val="bottom"/>
          </w:tcPr>
          <w:p w14:paraId="45D059FB"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4.976</w:t>
            </w:r>
          </w:p>
        </w:tc>
        <w:tc>
          <w:tcPr>
            <w:tcW w:w="1756" w:type="dxa"/>
            <w:noWrap/>
            <w:vAlign w:val="bottom"/>
          </w:tcPr>
          <w:p w14:paraId="45D059FC"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1.475.551</w:t>
            </w:r>
          </w:p>
        </w:tc>
      </w:tr>
      <w:tr w:rsidR="00496804" w14:paraId="45D05A03" w14:textId="77777777">
        <w:trPr>
          <w:trHeight w:val="300"/>
        </w:trPr>
        <w:tc>
          <w:tcPr>
            <w:tcW w:w="2344" w:type="dxa"/>
            <w:shd w:val="clear" w:color="auto" w:fill="FFCCA6" w:themeFill="accent5" w:themeFillTint="66"/>
            <w:noWrap/>
            <w:vAlign w:val="bottom"/>
          </w:tcPr>
          <w:p w14:paraId="45D059FE"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2012. - 2018.</w:t>
            </w:r>
          </w:p>
        </w:tc>
        <w:tc>
          <w:tcPr>
            <w:tcW w:w="1463" w:type="dxa"/>
            <w:noWrap/>
            <w:vAlign w:val="bottom"/>
          </w:tcPr>
          <w:p w14:paraId="45D059FF"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5.646</w:t>
            </w:r>
          </w:p>
        </w:tc>
        <w:tc>
          <w:tcPr>
            <w:tcW w:w="2025" w:type="dxa"/>
            <w:noWrap/>
            <w:vAlign w:val="bottom"/>
          </w:tcPr>
          <w:p w14:paraId="45D05A00"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1.674.402</w:t>
            </w:r>
          </w:p>
        </w:tc>
        <w:tc>
          <w:tcPr>
            <w:tcW w:w="1756" w:type="dxa"/>
            <w:noWrap/>
            <w:vAlign w:val="bottom"/>
          </w:tcPr>
          <w:p w14:paraId="45D05A01"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10.365</w:t>
            </w:r>
          </w:p>
        </w:tc>
        <w:tc>
          <w:tcPr>
            <w:tcW w:w="1756" w:type="dxa"/>
            <w:noWrap/>
            <w:vAlign w:val="bottom"/>
          </w:tcPr>
          <w:p w14:paraId="45D05A02"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3.073.599</w:t>
            </w:r>
          </w:p>
        </w:tc>
      </w:tr>
      <w:tr w:rsidR="00496804" w14:paraId="45D05A09" w14:textId="77777777">
        <w:trPr>
          <w:trHeight w:val="300"/>
        </w:trPr>
        <w:tc>
          <w:tcPr>
            <w:tcW w:w="2344" w:type="dxa"/>
            <w:shd w:val="clear" w:color="auto" w:fill="FFCCA6" w:themeFill="accent5" w:themeFillTint="66"/>
            <w:noWrap/>
            <w:vAlign w:val="bottom"/>
          </w:tcPr>
          <w:p w14:paraId="45D05A04" w14:textId="77777777" w:rsidR="00496804" w:rsidRDefault="0037359D">
            <w:pPr>
              <w:spacing w:line="240" w:lineRule="auto"/>
              <w:jc w:val="left"/>
              <w:rPr>
                <w:rFonts w:ascii="Times New Roman" w:hAnsi="Times New Roman"/>
                <w:b/>
                <w:bCs/>
                <w:sz w:val="24"/>
                <w:lang w:eastAsia="hr-HR"/>
              </w:rPr>
            </w:pPr>
            <w:r>
              <w:rPr>
                <w:rFonts w:ascii="Times New Roman" w:hAnsi="Times New Roman"/>
                <w:b/>
                <w:bCs/>
                <w:sz w:val="24"/>
                <w:lang w:eastAsia="hr-HR"/>
              </w:rPr>
              <w:t>ukupno 2018.</w:t>
            </w:r>
          </w:p>
        </w:tc>
        <w:tc>
          <w:tcPr>
            <w:tcW w:w="1463" w:type="dxa"/>
            <w:noWrap/>
            <w:vAlign w:val="bottom"/>
          </w:tcPr>
          <w:p w14:paraId="45D05A05"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296.336</w:t>
            </w:r>
          </w:p>
        </w:tc>
        <w:tc>
          <w:tcPr>
            <w:tcW w:w="2025" w:type="dxa"/>
            <w:noWrap/>
            <w:vAlign w:val="bottom"/>
          </w:tcPr>
          <w:p w14:paraId="45D05A06"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57.112.464</w:t>
            </w:r>
          </w:p>
        </w:tc>
        <w:tc>
          <w:tcPr>
            <w:tcW w:w="1756" w:type="dxa"/>
            <w:noWrap/>
            <w:vAlign w:val="bottom"/>
          </w:tcPr>
          <w:p w14:paraId="45D05A07"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482.073</w:t>
            </w:r>
          </w:p>
        </w:tc>
        <w:tc>
          <w:tcPr>
            <w:tcW w:w="1756" w:type="dxa"/>
            <w:noWrap/>
            <w:vAlign w:val="bottom"/>
          </w:tcPr>
          <w:p w14:paraId="45D05A08" w14:textId="77777777" w:rsidR="00496804" w:rsidRDefault="0037359D">
            <w:pPr>
              <w:spacing w:line="240" w:lineRule="auto"/>
              <w:jc w:val="center"/>
              <w:rPr>
                <w:rFonts w:ascii="Times New Roman" w:hAnsi="Times New Roman"/>
                <w:b/>
                <w:bCs/>
                <w:sz w:val="24"/>
                <w:lang w:eastAsia="hr-HR"/>
              </w:rPr>
            </w:pPr>
            <w:r>
              <w:rPr>
                <w:rFonts w:ascii="Times New Roman" w:hAnsi="Times New Roman"/>
                <w:b/>
                <w:bCs/>
                <w:sz w:val="24"/>
                <w:lang w:eastAsia="hr-HR"/>
              </w:rPr>
              <w:t>89.812.215</w:t>
            </w:r>
          </w:p>
        </w:tc>
      </w:tr>
    </w:tbl>
    <w:p w14:paraId="45D05A0A" w14:textId="77777777" w:rsidR="00496804" w:rsidRDefault="00496804">
      <w:pPr>
        <w:tabs>
          <w:tab w:val="left" w:pos="431"/>
        </w:tabs>
        <w:spacing w:line="240" w:lineRule="auto"/>
        <w:ind w:left="3"/>
        <w:rPr>
          <w:rFonts w:ascii="Times New Roman" w:hAnsi="Times New Roman"/>
          <w:sz w:val="24"/>
          <w:lang w:eastAsia="hr-HR"/>
        </w:rPr>
      </w:pPr>
    </w:p>
    <w:p w14:paraId="45D05A0C" w14:textId="77777777" w:rsidR="00496804" w:rsidRDefault="0037359D">
      <w:pPr>
        <w:pStyle w:val="Opisslike"/>
        <w:rPr>
          <w:rFonts w:ascii="Times New Roman" w:hAnsi="Times New Roman"/>
          <w:b w:val="0"/>
          <w:bCs w:val="0"/>
          <w:i/>
          <w:iCs/>
          <w:sz w:val="24"/>
          <w:szCs w:val="24"/>
          <w:lang w:eastAsia="hr-HR"/>
        </w:rPr>
      </w:pPr>
      <w:r>
        <w:rPr>
          <w:rFonts w:ascii="Times New Roman" w:hAnsi="Times New Roman"/>
          <w:b w:val="0"/>
          <w:bCs w:val="0"/>
          <w:i/>
          <w:iCs/>
          <w:sz w:val="24"/>
          <w:szCs w:val="24"/>
        </w:rPr>
        <w:t>Tablica 8. Nestambeni fond RH prema godini izgradnje</w:t>
      </w:r>
    </w:p>
    <w:tbl>
      <w:tblPr>
        <w:tblStyle w:val="Reetkatablice2"/>
        <w:tblW w:w="5000" w:type="pct"/>
        <w:tblLook w:val="04A0" w:firstRow="1" w:lastRow="0" w:firstColumn="1" w:lastColumn="0" w:noHBand="0" w:noVBand="1"/>
      </w:tblPr>
      <w:tblGrid>
        <w:gridCol w:w="1923"/>
        <w:gridCol w:w="1924"/>
        <w:gridCol w:w="1925"/>
        <w:gridCol w:w="1925"/>
        <w:gridCol w:w="1925"/>
      </w:tblGrid>
      <w:tr w:rsidR="00496804" w14:paraId="45D05A10" w14:textId="77777777">
        <w:trPr>
          <w:trHeight w:val="300"/>
        </w:trPr>
        <w:tc>
          <w:tcPr>
            <w:tcW w:w="1923" w:type="dxa"/>
            <w:vMerge w:val="restart"/>
            <w:shd w:val="clear" w:color="auto" w:fill="FFCCA6" w:themeFill="accent5" w:themeFillTint="66"/>
            <w:noWrap/>
          </w:tcPr>
          <w:p w14:paraId="45D05A0D" w14:textId="77777777" w:rsidR="00496804" w:rsidRDefault="00496804">
            <w:pPr>
              <w:tabs>
                <w:tab w:val="left" w:pos="431"/>
              </w:tabs>
              <w:spacing w:line="240" w:lineRule="auto"/>
              <w:ind w:left="3"/>
              <w:rPr>
                <w:rFonts w:ascii="Times New Roman" w:hAnsi="Times New Roman"/>
                <w:sz w:val="24"/>
                <w:lang w:eastAsia="hr-HR"/>
              </w:rPr>
            </w:pPr>
          </w:p>
        </w:tc>
        <w:tc>
          <w:tcPr>
            <w:tcW w:w="3849" w:type="dxa"/>
            <w:gridSpan w:val="2"/>
            <w:shd w:val="clear" w:color="auto" w:fill="FFCCA6" w:themeFill="accent5" w:themeFillTint="66"/>
            <w:noWrap/>
          </w:tcPr>
          <w:p w14:paraId="45D05A0E"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komercijalne</w:t>
            </w:r>
          </w:p>
        </w:tc>
        <w:tc>
          <w:tcPr>
            <w:tcW w:w="3850" w:type="dxa"/>
            <w:gridSpan w:val="2"/>
            <w:shd w:val="clear" w:color="auto" w:fill="FFCCA6" w:themeFill="accent5" w:themeFillTint="66"/>
            <w:noWrap/>
          </w:tcPr>
          <w:p w14:paraId="45D05A0F"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javne</w:t>
            </w:r>
          </w:p>
        </w:tc>
      </w:tr>
      <w:tr w:rsidR="00496804" w14:paraId="45D05A16" w14:textId="77777777">
        <w:trPr>
          <w:trHeight w:val="300"/>
        </w:trPr>
        <w:tc>
          <w:tcPr>
            <w:tcW w:w="1923" w:type="dxa"/>
            <w:vMerge/>
            <w:shd w:val="clear" w:color="auto" w:fill="FFCCA6" w:themeFill="accent5" w:themeFillTint="66"/>
            <w:noWrap/>
          </w:tcPr>
          <w:p w14:paraId="45D05A11" w14:textId="77777777" w:rsidR="00496804" w:rsidRDefault="00496804">
            <w:pPr>
              <w:tabs>
                <w:tab w:val="left" w:pos="431"/>
              </w:tabs>
              <w:spacing w:line="240" w:lineRule="auto"/>
              <w:ind w:left="3"/>
              <w:rPr>
                <w:rFonts w:ascii="Times New Roman" w:hAnsi="Times New Roman"/>
                <w:sz w:val="24"/>
                <w:lang w:eastAsia="hr-HR"/>
              </w:rPr>
            </w:pPr>
          </w:p>
        </w:tc>
        <w:tc>
          <w:tcPr>
            <w:tcW w:w="1924" w:type="dxa"/>
            <w:shd w:val="clear" w:color="auto" w:fill="FFCCA6" w:themeFill="accent5" w:themeFillTint="66"/>
            <w:noWrap/>
          </w:tcPr>
          <w:p w14:paraId="45D05A12"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broj zgrada</w:t>
            </w:r>
          </w:p>
        </w:tc>
        <w:tc>
          <w:tcPr>
            <w:tcW w:w="1925" w:type="dxa"/>
            <w:shd w:val="clear" w:color="auto" w:fill="FFCCA6" w:themeFill="accent5" w:themeFillTint="66"/>
            <w:noWrap/>
          </w:tcPr>
          <w:p w14:paraId="45D05A13"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površina</w:t>
            </w:r>
          </w:p>
        </w:tc>
        <w:tc>
          <w:tcPr>
            <w:tcW w:w="1925" w:type="dxa"/>
            <w:shd w:val="clear" w:color="auto" w:fill="FFCCA6" w:themeFill="accent5" w:themeFillTint="66"/>
            <w:noWrap/>
          </w:tcPr>
          <w:p w14:paraId="45D05A14"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broja zgrada</w:t>
            </w:r>
          </w:p>
        </w:tc>
        <w:tc>
          <w:tcPr>
            <w:tcW w:w="1925" w:type="dxa"/>
            <w:shd w:val="clear" w:color="auto" w:fill="FFCCA6" w:themeFill="accent5" w:themeFillTint="66"/>
            <w:noWrap/>
          </w:tcPr>
          <w:p w14:paraId="45D05A15"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površina</w:t>
            </w:r>
          </w:p>
        </w:tc>
      </w:tr>
      <w:tr w:rsidR="00496804" w14:paraId="45D05A1C" w14:textId="77777777">
        <w:trPr>
          <w:trHeight w:val="300"/>
        </w:trPr>
        <w:tc>
          <w:tcPr>
            <w:tcW w:w="1923" w:type="dxa"/>
            <w:vMerge/>
            <w:shd w:val="clear" w:color="auto" w:fill="FFCCA6" w:themeFill="accent5" w:themeFillTint="66"/>
            <w:noWrap/>
          </w:tcPr>
          <w:p w14:paraId="45D05A17" w14:textId="77777777" w:rsidR="00496804" w:rsidRDefault="00496804">
            <w:pPr>
              <w:tabs>
                <w:tab w:val="left" w:pos="431"/>
              </w:tabs>
              <w:spacing w:line="240" w:lineRule="auto"/>
              <w:ind w:left="3"/>
              <w:rPr>
                <w:rFonts w:ascii="Times New Roman" w:hAnsi="Times New Roman"/>
                <w:sz w:val="24"/>
                <w:lang w:eastAsia="hr-HR"/>
              </w:rPr>
            </w:pPr>
          </w:p>
        </w:tc>
        <w:tc>
          <w:tcPr>
            <w:tcW w:w="1924" w:type="dxa"/>
            <w:shd w:val="clear" w:color="auto" w:fill="FFCCA6" w:themeFill="accent5" w:themeFillTint="66"/>
            <w:noWrap/>
          </w:tcPr>
          <w:p w14:paraId="45D05A18"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w:t>
            </w:r>
          </w:p>
        </w:tc>
        <w:tc>
          <w:tcPr>
            <w:tcW w:w="1925" w:type="dxa"/>
            <w:shd w:val="clear" w:color="auto" w:fill="FFCCA6" w:themeFill="accent5" w:themeFillTint="66"/>
            <w:noWrap/>
          </w:tcPr>
          <w:p w14:paraId="45D05A19"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m²</w:t>
            </w:r>
          </w:p>
        </w:tc>
        <w:tc>
          <w:tcPr>
            <w:tcW w:w="1925" w:type="dxa"/>
            <w:shd w:val="clear" w:color="auto" w:fill="FFCCA6" w:themeFill="accent5" w:themeFillTint="66"/>
            <w:noWrap/>
          </w:tcPr>
          <w:p w14:paraId="45D05A1A"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w:t>
            </w:r>
          </w:p>
        </w:tc>
        <w:tc>
          <w:tcPr>
            <w:tcW w:w="1925" w:type="dxa"/>
            <w:shd w:val="clear" w:color="auto" w:fill="FFCCA6" w:themeFill="accent5" w:themeFillTint="66"/>
            <w:noWrap/>
          </w:tcPr>
          <w:p w14:paraId="45D05A1B"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m²</w:t>
            </w:r>
          </w:p>
        </w:tc>
      </w:tr>
      <w:tr w:rsidR="00496804" w14:paraId="45D05A22" w14:textId="77777777">
        <w:trPr>
          <w:trHeight w:val="300"/>
        </w:trPr>
        <w:tc>
          <w:tcPr>
            <w:tcW w:w="1923" w:type="dxa"/>
            <w:shd w:val="clear" w:color="auto" w:fill="FFCCA6" w:themeFill="accent5" w:themeFillTint="66"/>
            <w:noWrap/>
          </w:tcPr>
          <w:p w14:paraId="45D05A1D" w14:textId="77777777" w:rsidR="00496804" w:rsidRDefault="0037359D">
            <w:pPr>
              <w:tabs>
                <w:tab w:val="left" w:pos="431"/>
              </w:tabs>
              <w:spacing w:line="240" w:lineRule="auto"/>
              <w:ind w:left="3"/>
              <w:rPr>
                <w:rFonts w:ascii="Times New Roman" w:hAnsi="Times New Roman"/>
                <w:sz w:val="24"/>
                <w:lang w:eastAsia="hr-HR"/>
              </w:rPr>
            </w:pPr>
            <w:r>
              <w:rPr>
                <w:rFonts w:ascii="Times New Roman" w:hAnsi="Times New Roman"/>
                <w:sz w:val="24"/>
                <w:lang w:eastAsia="hr-HR"/>
              </w:rPr>
              <w:t>do 1941.</w:t>
            </w:r>
          </w:p>
        </w:tc>
        <w:tc>
          <w:tcPr>
            <w:tcW w:w="1924" w:type="dxa"/>
            <w:shd w:val="clear" w:color="auto" w:fill="auto"/>
            <w:noWrap/>
          </w:tcPr>
          <w:p w14:paraId="45D05A1E"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2.338</w:t>
            </w:r>
          </w:p>
        </w:tc>
        <w:tc>
          <w:tcPr>
            <w:tcW w:w="1925" w:type="dxa"/>
            <w:shd w:val="clear" w:color="auto" w:fill="auto"/>
            <w:noWrap/>
          </w:tcPr>
          <w:p w14:paraId="45D05A1F"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1.498.159</w:t>
            </w:r>
          </w:p>
        </w:tc>
        <w:tc>
          <w:tcPr>
            <w:tcW w:w="1925" w:type="dxa"/>
            <w:shd w:val="clear" w:color="auto" w:fill="auto"/>
            <w:noWrap/>
          </w:tcPr>
          <w:p w14:paraId="45D05A20"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12.365</w:t>
            </w:r>
          </w:p>
        </w:tc>
        <w:tc>
          <w:tcPr>
            <w:tcW w:w="1925" w:type="dxa"/>
            <w:shd w:val="clear" w:color="auto" w:fill="auto"/>
            <w:noWrap/>
          </w:tcPr>
          <w:p w14:paraId="45D05A21"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1.545.813</w:t>
            </w:r>
          </w:p>
        </w:tc>
      </w:tr>
      <w:tr w:rsidR="00496804" w14:paraId="45D05A28" w14:textId="77777777">
        <w:trPr>
          <w:trHeight w:val="300"/>
        </w:trPr>
        <w:tc>
          <w:tcPr>
            <w:tcW w:w="1923" w:type="dxa"/>
            <w:shd w:val="clear" w:color="auto" w:fill="FFCCA6" w:themeFill="accent5" w:themeFillTint="66"/>
            <w:noWrap/>
          </w:tcPr>
          <w:p w14:paraId="45D05A23" w14:textId="77777777" w:rsidR="00496804" w:rsidRDefault="0037359D">
            <w:pPr>
              <w:tabs>
                <w:tab w:val="left" w:pos="431"/>
              </w:tabs>
              <w:spacing w:line="240" w:lineRule="auto"/>
              <w:ind w:left="3"/>
              <w:rPr>
                <w:rFonts w:ascii="Times New Roman" w:hAnsi="Times New Roman"/>
                <w:sz w:val="24"/>
                <w:lang w:eastAsia="hr-HR"/>
              </w:rPr>
            </w:pPr>
            <w:r>
              <w:rPr>
                <w:rFonts w:ascii="Times New Roman" w:hAnsi="Times New Roman"/>
                <w:sz w:val="24"/>
                <w:lang w:eastAsia="hr-HR"/>
              </w:rPr>
              <w:t>1941. - 1970.</w:t>
            </w:r>
          </w:p>
        </w:tc>
        <w:tc>
          <w:tcPr>
            <w:tcW w:w="1924" w:type="dxa"/>
            <w:noWrap/>
          </w:tcPr>
          <w:p w14:paraId="45D05A24"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12.587</w:t>
            </w:r>
          </w:p>
        </w:tc>
        <w:tc>
          <w:tcPr>
            <w:tcW w:w="1925" w:type="dxa"/>
            <w:noWrap/>
          </w:tcPr>
          <w:p w14:paraId="45D05A25"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8.064.602</w:t>
            </w:r>
          </w:p>
        </w:tc>
        <w:tc>
          <w:tcPr>
            <w:tcW w:w="1925" w:type="dxa"/>
            <w:noWrap/>
          </w:tcPr>
          <w:p w14:paraId="45D05A26"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22.525</w:t>
            </w:r>
          </w:p>
        </w:tc>
        <w:tc>
          <w:tcPr>
            <w:tcW w:w="1925" w:type="dxa"/>
            <w:noWrap/>
          </w:tcPr>
          <w:p w14:paraId="45D05A27"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2.815.845</w:t>
            </w:r>
          </w:p>
        </w:tc>
      </w:tr>
      <w:tr w:rsidR="00496804" w14:paraId="45D05A2E" w14:textId="77777777">
        <w:trPr>
          <w:trHeight w:val="300"/>
        </w:trPr>
        <w:tc>
          <w:tcPr>
            <w:tcW w:w="1923" w:type="dxa"/>
            <w:shd w:val="clear" w:color="auto" w:fill="FFCCA6" w:themeFill="accent5" w:themeFillTint="66"/>
            <w:noWrap/>
          </w:tcPr>
          <w:p w14:paraId="45D05A29" w14:textId="77777777" w:rsidR="00496804" w:rsidRDefault="0037359D">
            <w:pPr>
              <w:tabs>
                <w:tab w:val="left" w:pos="431"/>
              </w:tabs>
              <w:spacing w:line="240" w:lineRule="auto"/>
              <w:ind w:left="3"/>
              <w:rPr>
                <w:rFonts w:ascii="Times New Roman" w:hAnsi="Times New Roman"/>
                <w:sz w:val="24"/>
                <w:lang w:eastAsia="hr-HR"/>
              </w:rPr>
            </w:pPr>
            <w:r>
              <w:rPr>
                <w:rFonts w:ascii="Times New Roman" w:hAnsi="Times New Roman"/>
                <w:sz w:val="24"/>
                <w:lang w:eastAsia="hr-HR"/>
              </w:rPr>
              <w:t>1971. - 1980.</w:t>
            </w:r>
          </w:p>
        </w:tc>
        <w:tc>
          <w:tcPr>
            <w:tcW w:w="1924" w:type="dxa"/>
            <w:noWrap/>
          </w:tcPr>
          <w:p w14:paraId="45D05A2A"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6.733</w:t>
            </w:r>
          </w:p>
        </w:tc>
        <w:tc>
          <w:tcPr>
            <w:tcW w:w="1925" w:type="dxa"/>
            <w:noWrap/>
          </w:tcPr>
          <w:p w14:paraId="45D05A2B"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5.251.934</w:t>
            </w:r>
          </w:p>
        </w:tc>
        <w:tc>
          <w:tcPr>
            <w:tcW w:w="1925" w:type="dxa"/>
            <w:noWrap/>
          </w:tcPr>
          <w:p w14:paraId="45D05A2C"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19.021</w:t>
            </w:r>
          </w:p>
        </w:tc>
        <w:tc>
          <w:tcPr>
            <w:tcW w:w="1925" w:type="dxa"/>
            <w:noWrap/>
          </w:tcPr>
          <w:p w14:paraId="45D05A2D"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1.882.000</w:t>
            </w:r>
          </w:p>
        </w:tc>
      </w:tr>
      <w:tr w:rsidR="00496804" w14:paraId="45D05A34" w14:textId="77777777">
        <w:trPr>
          <w:trHeight w:val="300"/>
        </w:trPr>
        <w:tc>
          <w:tcPr>
            <w:tcW w:w="1923" w:type="dxa"/>
            <w:shd w:val="clear" w:color="auto" w:fill="FFCCA6" w:themeFill="accent5" w:themeFillTint="66"/>
            <w:noWrap/>
          </w:tcPr>
          <w:p w14:paraId="45D05A2F" w14:textId="77777777" w:rsidR="00496804" w:rsidRDefault="0037359D">
            <w:pPr>
              <w:tabs>
                <w:tab w:val="left" w:pos="431"/>
              </w:tabs>
              <w:spacing w:line="240" w:lineRule="auto"/>
              <w:ind w:left="3"/>
              <w:rPr>
                <w:rFonts w:ascii="Times New Roman" w:hAnsi="Times New Roman"/>
                <w:sz w:val="24"/>
                <w:lang w:eastAsia="hr-HR"/>
              </w:rPr>
            </w:pPr>
            <w:r>
              <w:rPr>
                <w:rFonts w:ascii="Times New Roman" w:hAnsi="Times New Roman"/>
                <w:sz w:val="24"/>
                <w:lang w:eastAsia="hr-HR"/>
              </w:rPr>
              <w:t>1981. - 1987.</w:t>
            </w:r>
          </w:p>
        </w:tc>
        <w:tc>
          <w:tcPr>
            <w:tcW w:w="1924" w:type="dxa"/>
            <w:noWrap/>
          </w:tcPr>
          <w:p w14:paraId="45D05A30"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4.323</w:t>
            </w:r>
          </w:p>
        </w:tc>
        <w:tc>
          <w:tcPr>
            <w:tcW w:w="1925" w:type="dxa"/>
            <w:noWrap/>
          </w:tcPr>
          <w:p w14:paraId="45D05A31"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5.108.279</w:t>
            </w:r>
          </w:p>
        </w:tc>
        <w:tc>
          <w:tcPr>
            <w:tcW w:w="1925" w:type="dxa"/>
            <w:noWrap/>
          </w:tcPr>
          <w:p w14:paraId="45D05A32"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10.158</w:t>
            </w:r>
          </w:p>
        </w:tc>
        <w:tc>
          <w:tcPr>
            <w:tcW w:w="1925" w:type="dxa"/>
            <w:noWrap/>
          </w:tcPr>
          <w:p w14:paraId="45D05A33"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2.152.000</w:t>
            </w:r>
          </w:p>
        </w:tc>
      </w:tr>
      <w:tr w:rsidR="00496804" w14:paraId="45D05A3A" w14:textId="77777777">
        <w:trPr>
          <w:trHeight w:val="300"/>
        </w:trPr>
        <w:tc>
          <w:tcPr>
            <w:tcW w:w="1923" w:type="dxa"/>
            <w:shd w:val="clear" w:color="auto" w:fill="FFCCA6" w:themeFill="accent5" w:themeFillTint="66"/>
            <w:noWrap/>
          </w:tcPr>
          <w:p w14:paraId="45D05A35" w14:textId="77777777" w:rsidR="00496804" w:rsidRDefault="0037359D">
            <w:pPr>
              <w:tabs>
                <w:tab w:val="left" w:pos="431"/>
              </w:tabs>
              <w:spacing w:line="240" w:lineRule="auto"/>
              <w:ind w:left="3"/>
              <w:rPr>
                <w:rFonts w:ascii="Times New Roman" w:hAnsi="Times New Roman"/>
                <w:sz w:val="24"/>
                <w:lang w:eastAsia="hr-HR"/>
              </w:rPr>
            </w:pPr>
            <w:r>
              <w:rPr>
                <w:rFonts w:ascii="Times New Roman" w:hAnsi="Times New Roman"/>
                <w:sz w:val="24"/>
                <w:lang w:eastAsia="hr-HR"/>
              </w:rPr>
              <w:t>1988. - 2005.</w:t>
            </w:r>
          </w:p>
        </w:tc>
        <w:tc>
          <w:tcPr>
            <w:tcW w:w="1924" w:type="dxa"/>
            <w:noWrap/>
          </w:tcPr>
          <w:p w14:paraId="45D05A36"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10.596</w:t>
            </w:r>
          </w:p>
        </w:tc>
        <w:tc>
          <w:tcPr>
            <w:tcW w:w="1925" w:type="dxa"/>
            <w:noWrap/>
          </w:tcPr>
          <w:p w14:paraId="45D05A37"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8.107.287</w:t>
            </w:r>
          </w:p>
        </w:tc>
        <w:tc>
          <w:tcPr>
            <w:tcW w:w="1925" w:type="dxa"/>
            <w:noWrap/>
          </w:tcPr>
          <w:p w14:paraId="45D05A38"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11.059</w:t>
            </w:r>
          </w:p>
        </w:tc>
        <w:tc>
          <w:tcPr>
            <w:tcW w:w="1925" w:type="dxa"/>
            <w:noWrap/>
          </w:tcPr>
          <w:p w14:paraId="45D05A39"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2.722.497</w:t>
            </w:r>
          </w:p>
        </w:tc>
      </w:tr>
      <w:tr w:rsidR="00496804" w14:paraId="45D05A40" w14:textId="77777777">
        <w:trPr>
          <w:trHeight w:val="300"/>
        </w:trPr>
        <w:tc>
          <w:tcPr>
            <w:tcW w:w="1923" w:type="dxa"/>
            <w:shd w:val="clear" w:color="auto" w:fill="FFCCA6" w:themeFill="accent5" w:themeFillTint="66"/>
            <w:noWrap/>
          </w:tcPr>
          <w:p w14:paraId="45D05A3B" w14:textId="77777777" w:rsidR="00496804" w:rsidRDefault="0037359D">
            <w:pPr>
              <w:tabs>
                <w:tab w:val="left" w:pos="431"/>
              </w:tabs>
              <w:spacing w:line="240" w:lineRule="auto"/>
              <w:ind w:left="3"/>
              <w:rPr>
                <w:rFonts w:ascii="Times New Roman" w:hAnsi="Times New Roman"/>
                <w:sz w:val="24"/>
                <w:lang w:eastAsia="hr-HR"/>
              </w:rPr>
            </w:pPr>
            <w:r>
              <w:rPr>
                <w:rFonts w:ascii="Times New Roman" w:hAnsi="Times New Roman"/>
                <w:sz w:val="24"/>
                <w:lang w:eastAsia="hr-HR"/>
              </w:rPr>
              <w:t>2006. – 2009.</w:t>
            </w:r>
          </w:p>
        </w:tc>
        <w:tc>
          <w:tcPr>
            <w:tcW w:w="1924" w:type="dxa"/>
            <w:noWrap/>
          </w:tcPr>
          <w:p w14:paraId="45D05A3C"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6.199</w:t>
            </w:r>
          </w:p>
        </w:tc>
        <w:tc>
          <w:tcPr>
            <w:tcW w:w="1925" w:type="dxa"/>
            <w:noWrap/>
          </w:tcPr>
          <w:p w14:paraId="45D05A3D"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6.352.000</w:t>
            </w:r>
          </w:p>
        </w:tc>
        <w:tc>
          <w:tcPr>
            <w:tcW w:w="1925" w:type="dxa"/>
            <w:noWrap/>
          </w:tcPr>
          <w:p w14:paraId="45D05A3E"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3.673</w:t>
            </w:r>
          </w:p>
        </w:tc>
        <w:tc>
          <w:tcPr>
            <w:tcW w:w="1925" w:type="dxa"/>
            <w:noWrap/>
          </w:tcPr>
          <w:p w14:paraId="45D05A3F"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2.073.747</w:t>
            </w:r>
          </w:p>
        </w:tc>
      </w:tr>
      <w:tr w:rsidR="00496804" w14:paraId="45D05A46" w14:textId="77777777">
        <w:trPr>
          <w:trHeight w:val="300"/>
        </w:trPr>
        <w:tc>
          <w:tcPr>
            <w:tcW w:w="1923" w:type="dxa"/>
            <w:shd w:val="clear" w:color="auto" w:fill="FFCCA6" w:themeFill="accent5" w:themeFillTint="66"/>
            <w:noWrap/>
          </w:tcPr>
          <w:p w14:paraId="45D05A41" w14:textId="77777777" w:rsidR="00496804" w:rsidRDefault="0037359D">
            <w:pPr>
              <w:tabs>
                <w:tab w:val="left" w:pos="431"/>
              </w:tabs>
              <w:spacing w:line="240" w:lineRule="auto"/>
              <w:ind w:left="3"/>
              <w:rPr>
                <w:rFonts w:ascii="Times New Roman" w:hAnsi="Times New Roman"/>
                <w:sz w:val="24"/>
                <w:lang w:eastAsia="hr-HR"/>
              </w:rPr>
            </w:pPr>
            <w:r>
              <w:rPr>
                <w:rFonts w:ascii="Times New Roman" w:hAnsi="Times New Roman"/>
                <w:sz w:val="24"/>
                <w:lang w:eastAsia="hr-HR"/>
              </w:rPr>
              <w:t>2010. - 2011.</w:t>
            </w:r>
          </w:p>
        </w:tc>
        <w:tc>
          <w:tcPr>
            <w:tcW w:w="1924" w:type="dxa"/>
            <w:noWrap/>
          </w:tcPr>
          <w:p w14:paraId="45D05A42"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1.952</w:t>
            </w:r>
          </w:p>
        </w:tc>
        <w:tc>
          <w:tcPr>
            <w:tcW w:w="1925" w:type="dxa"/>
            <w:noWrap/>
          </w:tcPr>
          <w:p w14:paraId="45D05A43"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2.158.198</w:t>
            </w:r>
          </w:p>
        </w:tc>
        <w:tc>
          <w:tcPr>
            <w:tcW w:w="1925" w:type="dxa"/>
            <w:noWrap/>
          </w:tcPr>
          <w:p w14:paraId="45D05A44"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1.395</w:t>
            </w:r>
          </w:p>
        </w:tc>
        <w:tc>
          <w:tcPr>
            <w:tcW w:w="1925" w:type="dxa"/>
            <w:noWrap/>
          </w:tcPr>
          <w:p w14:paraId="45D05A45"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hr-HR"/>
              </w:rPr>
              <w:t>610.000</w:t>
            </w:r>
          </w:p>
        </w:tc>
      </w:tr>
      <w:tr w:rsidR="00496804" w14:paraId="45D05A4C" w14:textId="77777777">
        <w:trPr>
          <w:trHeight w:val="300"/>
        </w:trPr>
        <w:tc>
          <w:tcPr>
            <w:tcW w:w="1923" w:type="dxa"/>
            <w:shd w:val="clear" w:color="auto" w:fill="FFCCA6" w:themeFill="accent5" w:themeFillTint="66"/>
            <w:noWrap/>
          </w:tcPr>
          <w:p w14:paraId="45D05A47" w14:textId="77777777" w:rsidR="00496804" w:rsidRDefault="0037359D">
            <w:pPr>
              <w:tabs>
                <w:tab w:val="left" w:pos="431"/>
              </w:tabs>
              <w:spacing w:line="240" w:lineRule="auto"/>
              <w:ind w:left="3"/>
              <w:rPr>
                <w:rFonts w:ascii="Times New Roman" w:hAnsi="Times New Roman"/>
                <w:sz w:val="24"/>
                <w:lang w:eastAsia="hr-HR"/>
              </w:rPr>
            </w:pPr>
            <w:r>
              <w:rPr>
                <w:rFonts w:ascii="Times New Roman" w:hAnsi="Times New Roman"/>
                <w:sz w:val="24"/>
                <w:lang w:eastAsia="de-DE"/>
              </w:rPr>
              <w:t>2012. - 2018.</w:t>
            </w:r>
          </w:p>
        </w:tc>
        <w:tc>
          <w:tcPr>
            <w:tcW w:w="1924" w:type="dxa"/>
            <w:noWrap/>
          </w:tcPr>
          <w:p w14:paraId="45D05A48"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de-DE"/>
              </w:rPr>
              <w:t>6.354</w:t>
            </w:r>
          </w:p>
        </w:tc>
        <w:tc>
          <w:tcPr>
            <w:tcW w:w="1925" w:type="dxa"/>
            <w:noWrap/>
          </w:tcPr>
          <w:p w14:paraId="45D05A49"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de-DE"/>
              </w:rPr>
              <w:t>5.190.616</w:t>
            </w:r>
          </w:p>
        </w:tc>
        <w:tc>
          <w:tcPr>
            <w:tcW w:w="1925" w:type="dxa"/>
            <w:noWrap/>
          </w:tcPr>
          <w:p w14:paraId="45D05A4A"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de-DE"/>
              </w:rPr>
              <w:t>11.392</w:t>
            </w:r>
          </w:p>
        </w:tc>
        <w:tc>
          <w:tcPr>
            <w:tcW w:w="1925" w:type="dxa"/>
            <w:noWrap/>
          </w:tcPr>
          <w:p w14:paraId="45D05A4B" w14:textId="77777777" w:rsidR="00496804" w:rsidRDefault="0037359D">
            <w:pPr>
              <w:tabs>
                <w:tab w:val="left" w:pos="431"/>
              </w:tabs>
              <w:spacing w:line="240" w:lineRule="auto"/>
              <w:ind w:left="3"/>
              <w:jc w:val="center"/>
              <w:rPr>
                <w:rFonts w:ascii="Times New Roman" w:hAnsi="Times New Roman"/>
                <w:sz w:val="24"/>
                <w:lang w:eastAsia="hr-HR"/>
              </w:rPr>
            </w:pPr>
            <w:r>
              <w:rPr>
                <w:rFonts w:ascii="Times New Roman" w:hAnsi="Times New Roman"/>
                <w:sz w:val="24"/>
                <w:lang w:eastAsia="de-DE"/>
              </w:rPr>
              <w:t>1.960.577</w:t>
            </w:r>
          </w:p>
        </w:tc>
      </w:tr>
      <w:tr w:rsidR="00496804" w14:paraId="45D05A52" w14:textId="77777777">
        <w:trPr>
          <w:trHeight w:val="300"/>
        </w:trPr>
        <w:tc>
          <w:tcPr>
            <w:tcW w:w="1923" w:type="dxa"/>
            <w:shd w:val="clear" w:color="auto" w:fill="FFCCA6" w:themeFill="accent5" w:themeFillTint="66"/>
            <w:noWrap/>
          </w:tcPr>
          <w:p w14:paraId="45D05A4D" w14:textId="77777777" w:rsidR="00496804" w:rsidRDefault="0037359D">
            <w:pPr>
              <w:tabs>
                <w:tab w:val="left" w:pos="431"/>
              </w:tabs>
              <w:spacing w:line="240" w:lineRule="auto"/>
              <w:ind w:left="3"/>
              <w:rPr>
                <w:rFonts w:ascii="Times New Roman" w:hAnsi="Times New Roman"/>
                <w:b/>
                <w:bCs/>
                <w:sz w:val="24"/>
                <w:lang w:eastAsia="hr-HR"/>
              </w:rPr>
            </w:pPr>
            <w:r>
              <w:rPr>
                <w:rFonts w:ascii="Times New Roman" w:hAnsi="Times New Roman"/>
                <w:b/>
                <w:bCs/>
                <w:sz w:val="24"/>
                <w:lang w:eastAsia="de-DE"/>
              </w:rPr>
              <w:t>ukupno 2018.</w:t>
            </w:r>
          </w:p>
        </w:tc>
        <w:tc>
          <w:tcPr>
            <w:tcW w:w="1924" w:type="dxa"/>
            <w:noWrap/>
          </w:tcPr>
          <w:p w14:paraId="45D05A4E" w14:textId="77777777" w:rsidR="00496804" w:rsidRDefault="0037359D">
            <w:pPr>
              <w:tabs>
                <w:tab w:val="left" w:pos="431"/>
              </w:tabs>
              <w:spacing w:line="240" w:lineRule="auto"/>
              <w:ind w:left="3"/>
              <w:jc w:val="center"/>
              <w:rPr>
                <w:rFonts w:ascii="Times New Roman" w:hAnsi="Times New Roman"/>
                <w:b/>
                <w:bCs/>
                <w:sz w:val="24"/>
                <w:lang w:eastAsia="hr-HR"/>
              </w:rPr>
            </w:pPr>
            <w:r>
              <w:rPr>
                <w:rFonts w:ascii="Times New Roman" w:hAnsi="Times New Roman"/>
                <w:b/>
                <w:bCs/>
                <w:sz w:val="24"/>
                <w:lang w:eastAsia="de-DE"/>
              </w:rPr>
              <w:t>51.082</w:t>
            </w:r>
          </w:p>
        </w:tc>
        <w:tc>
          <w:tcPr>
            <w:tcW w:w="1925" w:type="dxa"/>
            <w:noWrap/>
          </w:tcPr>
          <w:p w14:paraId="45D05A4F" w14:textId="77777777" w:rsidR="00496804" w:rsidRDefault="0037359D">
            <w:pPr>
              <w:tabs>
                <w:tab w:val="left" w:pos="431"/>
              </w:tabs>
              <w:spacing w:line="240" w:lineRule="auto"/>
              <w:ind w:left="3"/>
              <w:jc w:val="center"/>
              <w:rPr>
                <w:rFonts w:ascii="Times New Roman" w:hAnsi="Times New Roman"/>
                <w:b/>
                <w:bCs/>
                <w:sz w:val="24"/>
                <w:lang w:eastAsia="hr-HR"/>
              </w:rPr>
            </w:pPr>
            <w:r>
              <w:rPr>
                <w:rFonts w:ascii="Times New Roman" w:hAnsi="Times New Roman"/>
                <w:b/>
                <w:bCs/>
                <w:sz w:val="24"/>
                <w:lang w:eastAsia="de-DE"/>
              </w:rPr>
              <w:t>41.731.075</w:t>
            </w:r>
          </w:p>
        </w:tc>
        <w:tc>
          <w:tcPr>
            <w:tcW w:w="1925" w:type="dxa"/>
            <w:noWrap/>
          </w:tcPr>
          <w:p w14:paraId="45D05A50" w14:textId="77777777" w:rsidR="00496804" w:rsidRDefault="0037359D">
            <w:pPr>
              <w:tabs>
                <w:tab w:val="left" w:pos="431"/>
              </w:tabs>
              <w:spacing w:line="240" w:lineRule="auto"/>
              <w:ind w:left="3"/>
              <w:jc w:val="center"/>
              <w:rPr>
                <w:rFonts w:ascii="Times New Roman" w:hAnsi="Times New Roman"/>
                <w:b/>
                <w:bCs/>
                <w:sz w:val="24"/>
                <w:lang w:eastAsia="hr-HR"/>
              </w:rPr>
            </w:pPr>
            <w:r>
              <w:rPr>
                <w:rFonts w:ascii="Times New Roman" w:hAnsi="Times New Roman"/>
                <w:b/>
                <w:bCs/>
                <w:sz w:val="24"/>
                <w:lang w:eastAsia="de-DE"/>
              </w:rPr>
              <w:t>91.588</w:t>
            </w:r>
          </w:p>
        </w:tc>
        <w:tc>
          <w:tcPr>
            <w:tcW w:w="1925" w:type="dxa"/>
            <w:noWrap/>
          </w:tcPr>
          <w:p w14:paraId="45D05A51" w14:textId="77777777" w:rsidR="00496804" w:rsidRDefault="0037359D">
            <w:pPr>
              <w:tabs>
                <w:tab w:val="left" w:pos="431"/>
              </w:tabs>
              <w:spacing w:line="240" w:lineRule="auto"/>
              <w:ind w:left="3"/>
              <w:jc w:val="center"/>
              <w:rPr>
                <w:rFonts w:ascii="Times New Roman" w:hAnsi="Times New Roman"/>
                <w:b/>
                <w:bCs/>
                <w:sz w:val="24"/>
                <w:lang w:eastAsia="hr-HR"/>
              </w:rPr>
            </w:pPr>
            <w:r>
              <w:rPr>
                <w:rFonts w:ascii="Times New Roman" w:hAnsi="Times New Roman"/>
                <w:b/>
                <w:bCs/>
                <w:sz w:val="24"/>
                <w:lang w:eastAsia="de-DE"/>
              </w:rPr>
              <w:t>15.762.479</w:t>
            </w:r>
          </w:p>
        </w:tc>
      </w:tr>
    </w:tbl>
    <w:p w14:paraId="45D05A54" w14:textId="77777777" w:rsidR="00496804" w:rsidRDefault="0037359D">
      <w:pPr>
        <w:tabs>
          <w:tab w:val="left" w:pos="431"/>
        </w:tabs>
        <w:spacing w:line="240" w:lineRule="auto"/>
        <w:ind w:left="3"/>
        <w:rPr>
          <w:rFonts w:ascii="Times New Roman" w:hAnsi="Times New Roman"/>
          <w:sz w:val="24"/>
        </w:rPr>
      </w:pPr>
      <w:r>
        <w:rPr>
          <w:rFonts w:ascii="Times New Roman" w:hAnsi="Times New Roman"/>
          <w:sz w:val="24"/>
        </w:rPr>
        <w:t>Analizom dostupnih podataka iz Dugoročne strategije, slijedi zaključak da sadašnji nacionalni fond zgrada čini 921.079 zgrada, ukupne površine 204.418.233 m</w:t>
      </w:r>
      <w:r>
        <w:rPr>
          <w:rFonts w:ascii="Times New Roman" w:hAnsi="Times New Roman"/>
          <w:sz w:val="24"/>
          <w:vertAlign w:val="superscript"/>
        </w:rPr>
        <w:t>2</w:t>
      </w:r>
      <w:r>
        <w:rPr>
          <w:rFonts w:ascii="Times New Roman" w:hAnsi="Times New Roman"/>
          <w:sz w:val="24"/>
        </w:rPr>
        <w:t>. Od navedenog,</w:t>
      </w:r>
      <w:r>
        <w:rPr>
          <w:rFonts w:ascii="Times New Roman" w:hAnsi="Times New Roman"/>
          <w:b/>
          <w:bCs/>
          <w:sz w:val="24"/>
        </w:rPr>
        <w:t xml:space="preserve"> </w:t>
      </w:r>
      <w:r>
        <w:rPr>
          <w:rFonts w:ascii="Times New Roman" w:hAnsi="Times New Roman"/>
          <w:sz w:val="24"/>
        </w:rPr>
        <w:t>694.881 zgrada ukupne površine 131.892.329 m</w:t>
      </w:r>
      <w:r>
        <w:rPr>
          <w:rFonts w:ascii="Times New Roman" w:hAnsi="Times New Roman"/>
          <w:sz w:val="24"/>
          <w:vertAlign w:val="superscript"/>
        </w:rPr>
        <w:t>2</w:t>
      </w:r>
      <w:r>
        <w:rPr>
          <w:rFonts w:ascii="Times New Roman" w:hAnsi="Times New Roman"/>
          <w:sz w:val="24"/>
        </w:rPr>
        <w:t xml:space="preserve"> su zgrade koje su starije od životnog vijeka većine konstrukcija vanjske ovojnice (30 godina), odnosno izgrađene su prije 1987. godine, što predstavlja 65% ukupne površine fonda. Također, 388.873 zgrade ukupne površine 67.069.116 m</w:t>
      </w:r>
      <w:r>
        <w:rPr>
          <w:rFonts w:ascii="Times New Roman" w:hAnsi="Times New Roman"/>
          <w:sz w:val="24"/>
          <w:vertAlign w:val="superscript"/>
        </w:rPr>
        <w:t>2</w:t>
      </w:r>
      <w:r>
        <w:rPr>
          <w:rFonts w:ascii="Times New Roman" w:hAnsi="Times New Roman"/>
          <w:sz w:val="24"/>
        </w:rPr>
        <w:t xml:space="preserve"> su zgrade koje su premašile ekonomski životni vijek zgrada (50 godina), što predstavlja 33% ukupne površine fonda. Prosječna trajnost konstrukcije zgrade u RH premašuje ekonomski životni vijek zgrada te se može reći da će navedene zgrade biti potencijal za buduće projekte kružnog gospodarenja.</w:t>
      </w:r>
    </w:p>
    <w:p w14:paraId="45D05A55" w14:textId="77777777" w:rsidR="00496804" w:rsidRDefault="00496804">
      <w:pPr>
        <w:tabs>
          <w:tab w:val="left" w:pos="431"/>
        </w:tabs>
        <w:spacing w:line="240" w:lineRule="auto"/>
        <w:ind w:left="3"/>
        <w:rPr>
          <w:rFonts w:ascii="Times New Roman" w:hAnsi="Times New Roman"/>
          <w:sz w:val="24"/>
          <w:lang w:eastAsia="hr-HR"/>
        </w:rPr>
      </w:pPr>
    </w:p>
    <w:p w14:paraId="45D05A56" w14:textId="77777777" w:rsidR="00496804" w:rsidRDefault="0037359D">
      <w:pPr>
        <w:spacing w:line="240" w:lineRule="auto"/>
        <w:rPr>
          <w:rFonts w:ascii="Times New Roman" w:hAnsi="Times New Roman"/>
          <w:sz w:val="24"/>
        </w:rPr>
      </w:pPr>
      <w:bookmarkStart w:id="58" w:name="_Hlk38145017"/>
      <w:r>
        <w:rPr>
          <w:rFonts w:ascii="Times New Roman" w:hAnsi="Times New Roman"/>
          <w:sz w:val="24"/>
        </w:rPr>
        <w:t xml:space="preserve">Temeljem dosadašnjih iskustava u provedbi programa energetske obnove zgrada u RH, mjere javne politike i programi sufinanciranja, sukladno Dugoročnoj strategiji, bit će primarno usmjereni na javne i stambene zgrade (višestambene zgrade i obiteljske kuće), i to one najlošijih karakteristika. S aspekta energetske obnove, najlošija svojstva imaju sve </w:t>
      </w:r>
      <w:bookmarkStart w:id="59" w:name="_Hlk38270546"/>
      <w:r>
        <w:rPr>
          <w:rFonts w:ascii="Times New Roman" w:hAnsi="Times New Roman"/>
          <w:sz w:val="24"/>
        </w:rPr>
        <w:t>zgrade energetskog razreda D ili lošijeg u kontinentalnom dijelu Republike Hrvatske, odnosno C ili lošijeg u primorskoj Hrvatskoj</w:t>
      </w:r>
      <w:bookmarkEnd w:id="59"/>
      <w:r>
        <w:rPr>
          <w:rFonts w:ascii="Times New Roman" w:hAnsi="Times New Roman"/>
          <w:sz w:val="24"/>
        </w:rPr>
        <w:t>. Prema podacima iz baze energetskih certifikata, prema namjenama i klimatskim područjima, u pravilu više od 30% zgrada spada u zgrade s najlošijim svojstvima.</w:t>
      </w:r>
    </w:p>
    <w:p w14:paraId="45D05A57" w14:textId="77777777" w:rsidR="00496804" w:rsidRDefault="00496804">
      <w:pPr>
        <w:spacing w:line="240" w:lineRule="auto"/>
        <w:rPr>
          <w:rFonts w:ascii="Times New Roman" w:hAnsi="Times New Roman"/>
          <w:sz w:val="24"/>
        </w:rPr>
      </w:pPr>
    </w:p>
    <w:p w14:paraId="45D05A58" w14:textId="77777777" w:rsidR="00496804" w:rsidRDefault="0037359D">
      <w:pPr>
        <w:spacing w:line="240" w:lineRule="auto"/>
        <w:rPr>
          <w:rFonts w:ascii="Times New Roman" w:hAnsi="Times New Roman"/>
          <w:sz w:val="24"/>
        </w:rPr>
      </w:pPr>
      <w:r>
        <w:rPr>
          <w:rFonts w:ascii="Times New Roman" w:hAnsi="Times New Roman"/>
          <w:sz w:val="24"/>
        </w:rPr>
        <w:t xml:space="preserve">Zgrade s najlošijim svojstvima u pravilu ne zadovoljavaju minimalne zahtjeve u pogledu mehaničke otpornosti i stabilnosti, zaštite od požara ili zaštite zdravlja. Potencijal energetske obnove tih zgrada ograničen je niskom kvalitetom stanovanja koju pružaju i visokim troškovima povezanim uz neenergetske aspekte obnove zgrada. Zgrade u privatnom vlasništvu, koje možemo svrstati u kategoriju zgrada s najgorim svojstvima, istodobno zadržavaju visok potencijal energetske obnove i ostvarivih ušteda. </w:t>
      </w:r>
    </w:p>
    <w:p w14:paraId="45D05A59" w14:textId="77777777" w:rsidR="00496804" w:rsidRDefault="00496804">
      <w:pPr>
        <w:spacing w:line="240" w:lineRule="auto"/>
        <w:rPr>
          <w:rFonts w:ascii="Times New Roman" w:hAnsi="Times New Roman"/>
          <w:sz w:val="24"/>
        </w:rPr>
      </w:pPr>
    </w:p>
    <w:p w14:paraId="45D05A5A" w14:textId="77777777" w:rsidR="00496804" w:rsidRDefault="0037359D">
      <w:pPr>
        <w:spacing w:line="240" w:lineRule="auto"/>
        <w:rPr>
          <w:rFonts w:ascii="Times New Roman" w:hAnsi="Times New Roman"/>
          <w:sz w:val="24"/>
        </w:rPr>
      </w:pPr>
      <w:r>
        <w:rPr>
          <w:rFonts w:ascii="Times New Roman" w:hAnsi="Times New Roman"/>
          <w:sz w:val="24"/>
        </w:rPr>
        <w:t>Navedeni fond zgrada s najlošijim energetskim svojstvima predstavlja potencijal za buduće projekte kružnog gospodarenja, odnosno energetsku obnovu uz sagledavanje cjeloživotnog utjecaja svojstava zgrada na okoliš.</w:t>
      </w:r>
    </w:p>
    <w:bookmarkEnd w:id="58"/>
    <w:p w14:paraId="45D05A5B" w14:textId="77777777" w:rsidR="00496804" w:rsidRDefault="00496804">
      <w:pPr>
        <w:spacing w:line="240" w:lineRule="auto"/>
        <w:rPr>
          <w:rFonts w:ascii="Times New Roman" w:hAnsi="Times New Roman"/>
          <w:sz w:val="24"/>
        </w:rPr>
      </w:pPr>
    </w:p>
    <w:p w14:paraId="45D05A5C" w14:textId="77777777" w:rsidR="00496804" w:rsidRDefault="0037359D">
      <w:pPr>
        <w:spacing w:line="240" w:lineRule="auto"/>
        <w:jc w:val="left"/>
        <w:rPr>
          <w:rFonts w:ascii="Times New Roman" w:hAnsi="Times New Roman"/>
          <w:sz w:val="24"/>
        </w:rPr>
      </w:pPr>
      <w:r>
        <w:rPr>
          <w:rFonts w:ascii="Times New Roman" w:hAnsi="Times New Roman"/>
          <w:sz w:val="24"/>
        </w:rPr>
        <w:br w:type="page"/>
      </w:r>
    </w:p>
    <w:p w14:paraId="45D05A5D" w14:textId="77777777" w:rsidR="00496804" w:rsidRDefault="0037359D">
      <w:pPr>
        <w:pStyle w:val="Naslov2"/>
        <w:ind w:left="426" w:hanging="426"/>
        <w:rPr>
          <w:rFonts w:ascii="Times New Roman" w:hAnsi="Times New Roman" w:cs="Times New Roman"/>
          <w:color w:val="auto"/>
          <w:sz w:val="24"/>
          <w:szCs w:val="24"/>
        </w:rPr>
      </w:pPr>
      <w:bookmarkStart w:id="60" w:name="_Toc36796170"/>
      <w:bookmarkStart w:id="61" w:name="_Toc36796171"/>
      <w:bookmarkStart w:id="62" w:name="_Toc36629171"/>
      <w:bookmarkStart w:id="63" w:name="_Toc36796181"/>
      <w:bookmarkStart w:id="64" w:name="_Toc36629182"/>
      <w:bookmarkStart w:id="65" w:name="_Toc36629172"/>
      <w:bookmarkStart w:id="66" w:name="_Toc36629170"/>
      <w:bookmarkStart w:id="67" w:name="_Toc36796138"/>
      <w:bookmarkStart w:id="68" w:name="_Toc36629139"/>
      <w:bookmarkStart w:id="69" w:name="_Toc36629138"/>
      <w:bookmarkStart w:id="70" w:name="_Toc36796136"/>
      <w:bookmarkStart w:id="71" w:name="_Toc36796137"/>
      <w:bookmarkStart w:id="72" w:name="_Toc36796164"/>
      <w:bookmarkStart w:id="73" w:name="_Toc36629216"/>
      <w:bookmarkStart w:id="74" w:name="_Toc36796167"/>
      <w:bookmarkStart w:id="75" w:name="_Toc36629168"/>
      <w:bookmarkStart w:id="76" w:name="_Toc36629140"/>
      <w:bookmarkStart w:id="77" w:name="_Toc36796214"/>
      <w:bookmarkStart w:id="78" w:name="_Toc36796139"/>
      <w:bookmarkStart w:id="79" w:name="_Toc36796140"/>
      <w:bookmarkStart w:id="80" w:name="_Toc36796161"/>
      <w:bookmarkStart w:id="81" w:name="_Toc36629162"/>
      <w:bookmarkStart w:id="82" w:name="_Toc36629163"/>
      <w:bookmarkStart w:id="83" w:name="_Toc36796162"/>
      <w:bookmarkStart w:id="84" w:name="_Toc36629164"/>
      <w:bookmarkStart w:id="85" w:name="_Toc36629165"/>
      <w:bookmarkStart w:id="86" w:name="_Toc36796163"/>
      <w:bookmarkStart w:id="87" w:name="_Toc36796168"/>
      <w:bookmarkStart w:id="88" w:name="_Toc36629141"/>
      <w:bookmarkStart w:id="89" w:name="_Toc36796169"/>
      <w:bookmarkStart w:id="90" w:name="_Toc36629215"/>
      <w:bookmarkStart w:id="91" w:name="_Toc36629137"/>
      <w:bookmarkStart w:id="92" w:name="_Toc36629166"/>
      <w:bookmarkStart w:id="93" w:name="_Toc36629167"/>
      <w:bookmarkStart w:id="94" w:name="_Toc36629290"/>
      <w:bookmarkStart w:id="95" w:name="_Toc36796165"/>
      <w:bookmarkStart w:id="96" w:name="_Toc36796354"/>
      <w:bookmarkStart w:id="97" w:name="_Toc36796294"/>
      <w:bookmarkStart w:id="98" w:name="_Toc36629355"/>
      <w:bookmarkStart w:id="99" w:name="_Toc36796284"/>
      <w:bookmarkStart w:id="100" w:name="_Toc36796355"/>
      <w:bookmarkStart w:id="101" w:name="_Toc36629356"/>
      <w:bookmarkStart w:id="102" w:name="_Toc36796166"/>
      <w:bookmarkStart w:id="103" w:name="_Toc36629285"/>
      <w:bookmarkStart w:id="104" w:name="_Toc36796289"/>
      <w:bookmarkStart w:id="105" w:name="_Toc36629295"/>
      <w:bookmarkStart w:id="106" w:name="_Toc36796288"/>
      <w:bookmarkStart w:id="107" w:name="_Toc36629289"/>
      <w:bookmarkStart w:id="108" w:name="_Toc36796287"/>
      <w:bookmarkStart w:id="109" w:name="_Toc36629286"/>
      <w:bookmarkStart w:id="110" w:name="_Toc36629288"/>
      <w:bookmarkStart w:id="111" w:name="_Toc36796286"/>
      <w:bookmarkStart w:id="112" w:name="_Toc36796285"/>
      <w:bookmarkStart w:id="113" w:name="_Toc36629287"/>
      <w:bookmarkStart w:id="114" w:name="_Toc36796215"/>
      <w:bookmarkStart w:id="115" w:name="_Toc36629217"/>
      <w:bookmarkStart w:id="116" w:name="_Toc36796224"/>
      <w:bookmarkStart w:id="117" w:name="_Toc36629225"/>
      <w:bookmarkStart w:id="118" w:name="_Toc36629220"/>
      <w:bookmarkStart w:id="119" w:name="_Toc36796219"/>
      <w:bookmarkStart w:id="120" w:name="_Toc36629219"/>
      <w:bookmarkStart w:id="121" w:name="_Toc36796218"/>
      <w:bookmarkStart w:id="122" w:name="_Toc36629218"/>
      <w:bookmarkStart w:id="123" w:name="_Toc36796217"/>
      <w:bookmarkStart w:id="124" w:name="_Toc36796216"/>
      <w:bookmarkStart w:id="125" w:name="_Toc36629169"/>
      <w:bookmarkStart w:id="126" w:name="_Toc51851633"/>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Pr>
          <w:rFonts w:ascii="Times New Roman" w:hAnsi="Times New Roman" w:cs="Times New Roman"/>
          <w:color w:val="auto"/>
          <w:sz w:val="24"/>
          <w:szCs w:val="24"/>
        </w:rPr>
        <w:lastRenderedPageBreak/>
        <w:t>PRITISCI NA IZGRAĐENI OKOLIŠ</w:t>
      </w:r>
      <w:bookmarkEnd w:id="126"/>
    </w:p>
    <w:p w14:paraId="45D05A5E" w14:textId="77777777" w:rsidR="00496804" w:rsidRDefault="00496804">
      <w:pPr>
        <w:spacing w:line="240" w:lineRule="auto"/>
        <w:rPr>
          <w:rFonts w:ascii="Times New Roman" w:hAnsi="Times New Roman"/>
          <w:sz w:val="24"/>
        </w:rPr>
      </w:pPr>
    </w:p>
    <w:p w14:paraId="45D05A5F"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Direktivom (EU) 2018/844 u člancima 2.a i 7., određeno je da države članice izrađuju dugoročne strategije obnove u kojima će biti dani odgovori na pitanja zaštite od požara i rizika povezanih s pojačanom seizmičkom aktivnošću koji utječu na energetsku obnovu i životni vijek zgrada. </w:t>
      </w:r>
    </w:p>
    <w:p w14:paraId="45D05A60" w14:textId="77777777" w:rsidR="00496804" w:rsidRDefault="00496804">
      <w:pPr>
        <w:pStyle w:val="tekst"/>
        <w:spacing w:line="240" w:lineRule="auto"/>
        <w:rPr>
          <w:rFonts w:ascii="Times New Roman" w:hAnsi="Times New Roman" w:cs="Times New Roman"/>
          <w:sz w:val="24"/>
          <w:szCs w:val="24"/>
        </w:rPr>
      </w:pPr>
    </w:p>
    <w:p w14:paraId="45D05A61" w14:textId="77777777" w:rsidR="00496804" w:rsidRDefault="0037359D">
      <w:pPr>
        <w:spacing w:line="240" w:lineRule="auto"/>
        <w:rPr>
          <w:rFonts w:ascii="Times New Roman" w:hAnsi="Times New Roman"/>
          <w:sz w:val="24"/>
        </w:rPr>
      </w:pPr>
      <w:r>
        <w:rPr>
          <w:rFonts w:ascii="Times New Roman" w:hAnsi="Times New Roman"/>
          <w:sz w:val="24"/>
        </w:rPr>
        <w:t>Člankom 7. Zakona o gradnji propisuje se kako svaka građevina, ovisno o namjeni, mora biti projektirana i izgrađena na način da tijekom svog trajanja ispunjava temeljne zahtjeve za građevinu, te druge zahtjeve, odnosno uvjete propisane ovim Zakonom i posebnim propisima koji utječu na ispunjavanje temeljnog zahtjeva za građevinu ili na drugi način uvjetuju gradnju građevina ili utječu na građevne i druge proizvode koji se ugrađuju u građevinu. Pod temeljnim zahtjevima za građevinu smatraju se: mehanička otpornost i stabilnost, sigurnost u slučaju požara, higijena, zdravlje i okoliš, sigurnost i pristupačnost tijekom uporabe, zaštita od buke, gospodarenje energijom i očuvanje topline i održiva uporaba prirodnih izvora.</w:t>
      </w:r>
    </w:p>
    <w:p w14:paraId="45D05A62" w14:textId="77777777" w:rsidR="00496804" w:rsidRDefault="00496804">
      <w:pPr>
        <w:spacing w:line="240" w:lineRule="auto"/>
        <w:rPr>
          <w:rFonts w:ascii="Times New Roman" w:hAnsi="Times New Roman"/>
          <w:sz w:val="24"/>
        </w:rPr>
      </w:pPr>
    </w:p>
    <w:p w14:paraId="45D05A63" w14:textId="77777777" w:rsidR="00496804" w:rsidRDefault="0037359D">
      <w:pPr>
        <w:spacing w:line="240" w:lineRule="auto"/>
        <w:rPr>
          <w:rFonts w:ascii="Times New Roman" w:hAnsi="Times New Roman"/>
          <w:sz w:val="24"/>
        </w:rPr>
      </w:pPr>
      <w:r>
        <w:rPr>
          <w:rFonts w:ascii="Times New Roman" w:hAnsi="Times New Roman"/>
          <w:sz w:val="24"/>
        </w:rPr>
        <w:t xml:space="preserve">Glavna radna skupina Hrvatske platforme za smanjenje rizika od katastrofa izradila je </w:t>
      </w:r>
      <w:r>
        <w:rPr>
          <w:rFonts w:ascii="Times New Roman" w:hAnsi="Times New Roman"/>
          <w:bCs/>
          <w:sz w:val="24"/>
        </w:rPr>
        <w:t>Procjenu rizika od katastrofa za Republiku Hrvatsku</w:t>
      </w:r>
      <w:r>
        <w:rPr>
          <w:rStyle w:val="Referencafusnote"/>
          <w:rFonts w:ascii="Times New Roman" w:hAnsi="Times New Roman"/>
          <w:bCs/>
          <w:sz w:val="24"/>
        </w:rPr>
        <w:footnoteReference w:id="48"/>
      </w:r>
      <w:r>
        <w:rPr>
          <w:rFonts w:ascii="Times New Roman" w:hAnsi="Times New Roman"/>
          <w:sz w:val="24"/>
        </w:rPr>
        <w:t xml:space="preserve">, dokument koji predstavlja temelj za donošenje Strategije smanjenja rizika od katastrofa, a s ciljem jačanja sposobnosti za upravljanje rizicima. Procjena prepoznaje 15 grupa rizika za RH (bolesti bilja, bolesti životinja, ekstremne temperature, epidemije i pandemije, industrijske nesreće, poplave izazvane izlijevanjem kopnenih vodenih tijela, potres, požari otvorenog tipa, snijeg i led, suša, zaslanjivanje kopna, nuklearne nesreće, radiološke nesreće, klizišta i onečišćenje mora) i jedan složeni rizik – potres i poplava. Kao priprema za odlučivanje o važnosti pojedinih rizika provedeno je vrednovanje rizika, a rezultati vrednovanja razvrstali su rizike u neprihvatljive, tolerirane i prihvatljive. Toleriranim se rizicima smatraju oni koje je potrebno smanjivati u skladu s mogućnostima i uz analizu troškova i koristi na regionalnoj i lokalnoj razini, dok se smanjivanje prihvatljivih rizika ne smatra trenutačnim nacionalnim prioritetom. U skupinu neprihvatljivih rizika svrstani su oni koje je potrebno smanjiti u najkraćem mogućem roku na nacionalnoj razini: potres i požari otvorenog tipa te poplave izazvane izlijevanjem kopnenih vodenih tijela. </w:t>
      </w:r>
    </w:p>
    <w:p w14:paraId="45D05A64" w14:textId="77777777" w:rsidR="00496804" w:rsidRDefault="00496804">
      <w:pPr>
        <w:pStyle w:val="tekst"/>
        <w:spacing w:line="240" w:lineRule="auto"/>
        <w:rPr>
          <w:rFonts w:ascii="Times New Roman" w:hAnsi="Times New Roman" w:cs="Times New Roman"/>
          <w:sz w:val="24"/>
          <w:szCs w:val="24"/>
        </w:rPr>
      </w:pPr>
    </w:p>
    <w:p w14:paraId="45D05A65" w14:textId="77777777" w:rsidR="00496804" w:rsidRDefault="0037359D">
      <w:pPr>
        <w:pStyle w:val="tekst"/>
        <w:spacing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 xml:space="preserve">Katastrofalni događaji kao što su djelovanja potresa, požara i poplava mogu uzrokovati značajna društvena i gospodarska opterećenja u prostoru, ona ostavljaju velike materijalne posljedice u izgrađenom okolišu te znatno utječu na mnoge sektore gospodarstva, lokalna radna mjesta i kvalitetu života. </w:t>
      </w:r>
      <w:bookmarkStart w:id="128" w:name="_Hlk38539970"/>
      <w:r>
        <w:rPr>
          <w:rFonts w:ascii="Times New Roman" w:hAnsi="Times New Roman" w:cs="Times New Roman"/>
          <w:sz w:val="24"/>
          <w:szCs w:val="24"/>
          <w:lang w:eastAsia="en-GB"/>
        </w:rPr>
        <w:t xml:space="preserve">Odgovor na rizike i njihove posljedice moguće je sagledavati s dva aspekta: djelovanje u sadašnjim uvjetima odnosno po djelovanju katastrofalnog događaja ili kroz mjere prevencije za buduće rizične događaje. </w:t>
      </w:r>
    </w:p>
    <w:p w14:paraId="45D05A66" w14:textId="77777777" w:rsidR="00496804" w:rsidRDefault="00496804">
      <w:pPr>
        <w:pStyle w:val="tekst"/>
        <w:spacing w:line="240" w:lineRule="auto"/>
        <w:rPr>
          <w:rFonts w:ascii="Times New Roman" w:hAnsi="Times New Roman" w:cs="Times New Roman"/>
          <w:sz w:val="24"/>
          <w:szCs w:val="24"/>
        </w:rPr>
      </w:pPr>
    </w:p>
    <w:bookmarkEnd w:id="128"/>
    <w:p w14:paraId="09175085" w14:textId="6D42E4DD" w:rsidR="00EB31E4" w:rsidRDefault="0037359D" w:rsidP="00EB31E4">
      <w:pPr>
        <w:spacing w:line="240" w:lineRule="auto"/>
        <w:rPr>
          <w:rFonts w:ascii="Times New Roman" w:hAnsi="Times New Roman"/>
          <w:sz w:val="24"/>
        </w:rPr>
      </w:pPr>
      <w:r>
        <w:rPr>
          <w:rFonts w:ascii="Times New Roman" w:hAnsi="Times New Roman"/>
          <w:sz w:val="24"/>
        </w:rPr>
        <w:t>Katastrofalni događaji nastaju iznenadno i mogu rezultirati različitim oštećenjima zgrada, instalacija i opreme odnosno rušenjem cijele zgrade ili njezinog dijela. Oštećenja zgrada je u određenoj mjeri moguće sanirati, ali u slučajevima katastrofalnih događaja djelovanja su visokog intenziteta i rezultiraju značajnim oštećenjima na zgradama zbog kojih bi moglo postati ekonomski opravdano zgradu ukloniti. Kružno gospodarenje prostorom i zgradama prvenstveno podrazumijeva provođenje mjera prevencije za buduće katastrofalne događaje. Mjere prevencije, na primjer, osiguravaju potrebna ojačanja na postojećim zgradama, podrazumijevaju odgovarajuću primjenu propisa kojima se osiguravaju temeljni zahtjevi za građevinske konstrukcije tijekom projektiranja i gradnje novih zgrada te smanjuju nastanak građevnog otpada u slučaju nastanka katastrofalnog događaja. Prevenciju mogu činiti različite mjere u sustavu prostornog planiranja i gradnje koje, u slučaju da se pokaže potrebnim, može pratiti i izmjena ili dopuna zakonodavnog okvira.</w:t>
      </w:r>
      <w:r w:rsidR="00EB31E4" w:rsidRPr="00EB31E4">
        <w:rPr>
          <w:rFonts w:ascii="Times New Roman" w:hAnsi="Times New Roman"/>
          <w:sz w:val="24"/>
        </w:rPr>
        <w:t xml:space="preserve"> </w:t>
      </w:r>
      <w:r w:rsidR="00EB31E4">
        <w:rPr>
          <w:rFonts w:ascii="Times New Roman" w:hAnsi="Times New Roman"/>
          <w:sz w:val="24"/>
        </w:rPr>
        <w:br w:type="page"/>
      </w:r>
    </w:p>
    <w:p w14:paraId="45D05A6A" w14:textId="77777777" w:rsidR="00496804" w:rsidRDefault="0037359D">
      <w:pPr>
        <w:pStyle w:val="Naslov2"/>
        <w:numPr>
          <w:ilvl w:val="2"/>
          <w:numId w:val="8"/>
        </w:numPr>
        <w:spacing w:line="259" w:lineRule="auto"/>
        <w:ind w:left="709" w:hanging="709"/>
        <w:rPr>
          <w:rFonts w:ascii="Times New Roman" w:hAnsi="Times New Roman" w:cs="Times New Roman"/>
          <w:color w:val="auto"/>
          <w:sz w:val="24"/>
          <w:szCs w:val="24"/>
        </w:rPr>
      </w:pPr>
      <w:bookmarkStart w:id="129" w:name="_Toc51851634"/>
      <w:r>
        <w:rPr>
          <w:rFonts w:ascii="Times New Roman" w:hAnsi="Times New Roman" w:cs="Times New Roman"/>
          <w:color w:val="auto"/>
          <w:sz w:val="24"/>
          <w:szCs w:val="24"/>
        </w:rPr>
        <w:lastRenderedPageBreak/>
        <w:t>POTRES</w:t>
      </w:r>
      <w:bookmarkEnd w:id="129"/>
    </w:p>
    <w:p w14:paraId="45D05A6B" w14:textId="77777777" w:rsidR="00496804" w:rsidRDefault="00496804">
      <w:pPr>
        <w:autoSpaceDE w:val="0"/>
        <w:autoSpaceDN w:val="0"/>
        <w:adjustRightInd w:val="0"/>
        <w:spacing w:line="240" w:lineRule="auto"/>
        <w:jc w:val="left"/>
        <w:rPr>
          <w:rFonts w:ascii="Times New Roman" w:eastAsia="Arial Unicode MS" w:hAnsi="Times New Roman"/>
          <w:sz w:val="24"/>
          <w:lang w:eastAsia="hr-HR"/>
        </w:rPr>
      </w:pPr>
    </w:p>
    <w:p w14:paraId="45D05A6C" w14:textId="77777777" w:rsidR="00496804" w:rsidRDefault="0037359D">
      <w:pPr>
        <w:spacing w:line="240" w:lineRule="auto"/>
        <w:rPr>
          <w:rFonts w:ascii="Times New Roman" w:hAnsi="Times New Roman"/>
          <w:sz w:val="24"/>
        </w:rPr>
      </w:pPr>
      <w:r>
        <w:rPr>
          <w:rFonts w:ascii="Times New Roman" w:hAnsi="Times New Roman"/>
          <w:sz w:val="24"/>
        </w:rPr>
        <w:t xml:space="preserve">Oštećenja ili urušavanja zgrada i drugih građevina rezultiraju ozljedama ili gubicima ljudskih života te potpunim poremećajem gospodarskih i društvenih odnosa u zajednici. Osim zgrada pretežito stambene namjene, veliki dio državnih i javnih ustanova smješten je u zgradama koje su spomenici kulture, odnosno koje su potresno neotporne. Posljedice katastrofalnog potresa osim nepovratnog uništavanja povijesne arhitekture, mogu dovesti i do prekida rada javnih ustanova od izrazitog interesa. </w:t>
      </w:r>
    </w:p>
    <w:p w14:paraId="45D05A6D" w14:textId="77777777" w:rsidR="00496804" w:rsidRDefault="00496804">
      <w:pPr>
        <w:spacing w:line="240" w:lineRule="auto"/>
        <w:rPr>
          <w:rFonts w:ascii="Times New Roman" w:hAnsi="Times New Roman"/>
          <w:sz w:val="24"/>
        </w:rPr>
      </w:pPr>
    </w:p>
    <w:p w14:paraId="45D05A6E" w14:textId="77777777" w:rsidR="00496804" w:rsidRDefault="0037359D">
      <w:pPr>
        <w:spacing w:line="240" w:lineRule="auto"/>
        <w:rPr>
          <w:rFonts w:ascii="Times New Roman" w:hAnsi="Times New Roman"/>
          <w:sz w:val="24"/>
        </w:rPr>
      </w:pPr>
      <w:r>
        <w:rPr>
          <w:rFonts w:ascii="Times New Roman" w:hAnsi="Times New Roman"/>
          <w:sz w:val="24"/>
        </w:rPr>
        <w:t xml:space="preserve">U hrvatskoj povijesti bilo je registrirano više potresa s teškim posljedicama. Većina Hrvatske i većina koncentracije populacije nalazi se u trusno visoko rizičnim područjima, gdje potresi nastaju kao posljedica pomicanja tektonskih ploča. Glavni grad, u kojemu je smješteno više od 20% stanovništva i u kojemu se odvija više od 1/3 gospodarskih djelatnosti, smješten je u jednom od seizmički najaktivnijih područja u RH. </w:t>
      </w:r>
    </w:p>
    <w:p w14:paraId="45D05A6F" w14:textId="77777777" w:rsidR="00496804" w:rsidRDefault="00496804">
      <w:pPr>
        <w:spacing w:line="240" w:lineRule="auto"/>
        <w:rPr>
          <w:rFonts w:ascii="Times New Roman" w:hAnsi="Times New Roman"/>
          <w:sz w:val="24"/>
        </w:rPr>
      </w:pPr>
    </w:p>
    <w:p w14:paraId="45D05A70" w14:textId="77777777" w:rsidR="00496804" w:rsidRDefault="0037359D">
      <w:pPr>
        <w:spacing w:line="240" w:lineRule="auto"/>
        <w:rPr>
          <w:rFonts w:ascii="Times New Roman" w:hAnsi="Times New Roman"/>
          <w:sz w:val="24"/>
        </w:rPr>
      </w:pPr>
      <w:r>
        <w:rPr>
          <w:rFonts w:ascii="Times New Roman" w:hAnsi="Times New Roman"/>
          <w:sz w:val="24"/>
        </w:rPr>
        <w:t xml:space="preserve">Gradnju zgrada u odnosu na konstruktivna rješenja u RH možemo promatrati kroz nekoliko etapa. Ove etape se dijelom mogu promatrati i kroz  prilagodbe građevinske regulative koje su potaknute recentnim katastrofalnim potresima. Tako se mogu izdvojiti razdoblja: do 1920. godine kada na zgradama dominiraju konstruktivni sustavi zidanih konstrukcija, drvene stropne konstrukcije (i eventualno svodovi); razdoblje između dva svjetska rata kada su prisutni i klasični zidani sustavi i armiranobetonske mješovite konstrukcije, razdoblje 1945. do 1964. u kojemu prevladavaju armiranobetonski stropovi polumontažnih tipova ili izvedeni monolitno na licu mjesta, s pretežito zidanim ziđem. Gradnju zgrada do 1964. nije pratilo projektiranje na djelovanje potresa. Nakon 1964. godine zidane se zgrade sustavno grade s horizontalnim i vertikalnim serklažima, a zgrade kolektivnog stanovanja s armiranobetonskim nosivim sustavom. Armiranobetonski sustavi izvode se prema odredbama seizmičkih propisa iz 1964. godine i 1981. godine (nakon potresa u Skoplju i u Crnogorskom primorju), što možemo smatrati modernim načinom izgradnje u smislu tadašnjih znanstvenih (seizmičkih, geotehničkih, geomehaničkih i dr.) spoznaja. Iduće dvije razvojne etape su razdoblja 1982.-1998. i 1998-2012. kada se u procesu razvoja seizmičkih propisa vrijednosti horizontalnih ubrzanja, odnosno odgovarajuće proračunske horizontalne sile, ovisno o promatranoj lokaciji, povećavaju što rezultira sve boljim mehaničkim svojstvima novih zgrada kroz vrijeme. U Gradu Zagrebu preko 50% građevina izgrađeno je do 1982. godine odnosno do stupanja na snagu </w:t>
      </w:r>
      <w:r>
        <w:rPr>
          <w:rFonts w:ascii="Times New Roman" w:hAnsi="Times New Roman"/>
          <w:i/>
          <w:sz w:val="24"/>
        </w:rPr>
        <w:t>Pravilnika o tehničkim normativima za izgradnju objekata u seizmičkim područjima</w:t>
      </w:r>
      <w:r>
        <w:rPr>
          <w:rFonts w:ascii="Times New Roman" w:hAnsi="Times New Roman"/>
          <w:sz w:val="24"/>
        </w:rPr>
        <w:t xml:space="preserve">. Važeći </w:t>
      </w:r>
      <w:r>
        <w:rPr>
          <w:rFonts w:ascii="Times New Roman" w:hAnsi="Times New Roman"/>
          <w:i/>
          <w:sz w:val="24"/>
        </w:rPr>
        <w:t xml:space="preserve">Zakon o gradnji </w:t>
      </w:r>
      <w:r>
        <w:rPr>
          <w:rFonts w:ascii="Times New Roman" w:hAnsi="Times New Roman"/>
          <w:sz w:val="24"/>
        </w:rPr>
        <w:t>u članku 9. uređuje da se mehanička otpornost i stabilnost građevina mora osigurati projektiranjem i gradnjom na način da opterećenja koja na nju mogu djelovati tijekom građenja i uporabe ne mogu dovesti do: rušenja cijele građevine ili nekog njezina dijela, velikih deformacija u stupnju koji nije prihvatljiv, oštećenja na drugim dijelovima građevine, instalacijama ili ugrađenoj opremi kao rezultatu velike deformacije nosive konstrukcije, oštećenja kao rezultat nekog događaja, u mjeri koja je nerazmjerna izvornom uzroku. Projekti uklanjanja građevine podliježu kontroli u odnosu na mehaničku otpornost i stabilnost ako uklanjanje građevine utječe na stabilnost okolnog i drugog zemljišta prilikom izrade i/ili ispunjavanje temeljnih zahtjeva drugih građevina.</w:t>
      </w:r>
    </w:p>
    <w:p w14:paraId="45D05A71" w14:textId="77777777" w:rsidR="00496804" w:rsidRDefault="00496804">
      <w:pPr>
        <w:spacing w:line="240" w:lineRule="auto"/>
        <w:rPr>
          <w:rFonts w:ascii="Times New Roman" w:hAnsi="Times New Roman"/>
          <w:sz w:val="24"/>
        </w:rPr>
      </w:pPr>
    </w:p>
    <w:p w14:paraId="45D05A72" w14:textId="7CFBF0E8" w:rsidR="00496804" w:rsidRDefault="0037359D">
      <w:pPr>
        <w:spacing w:line="240" w:lineRule="auto"/>
        <w:rPr>
          <w:rFonts w:ascii="Times New Roman" w:hAnsi="Times New Roman"/>
          <w:sz w:val="24"/>
        </w:rPr>
      </w:pPr>
      <w:r>
        <w:rPr>
          <w:rFonts w:ascii="Times New Roman" w:hAnsi="Times New Roman"/>
          <w:sz w:val="24"/>
        </w:rPr>
        <w:t>Potres</w:t>
      </w:r>
      <w:r w:rsidR="00E04E99">
        <w:rPr>
          <w:rFonts w:ascii="Times New Roman" w:hAnsi="Times New Roman"/>
          <w:sz w:val="24"/>
        </w:rPr>
        <w:t>i</w:t>
      </w:r>
      <w:r>
        <w:rPr>
          <w:rFonts w:ascii="Times New Roman" w:hAnsi="Times New Roman"/>
          <w:sz w:val="24"/>
        </w:rPr>
        <w:t xml:space="preserve"> od 22. ožujka 2020.  </w:t>
      </w:r>
      <w:r w:rsidR="00E04E99" w:rsidRPr="00E04E99">
        <w:rPr>
          <w:rFonts w:ascii="Times New Roman" w:hAnsi="Times New Roman"/>
          <w:sz w:val="24"/>
        </w:rPr>
        <w:t xml:space="preserve">te 28. i 29. prosinca 2020. </w:t>
      </w:r>
      <w:r>
        <w:rPr>
          <w:rFonts w:ascii="Times New Roman" w:hAnsi="Times New Roman"/>
          <w:sz w:val="24"/>
        </w:rPr>
        <w:t xml:space="preserve">samo </w:t>
      </w:r>
      <w:r w:rsidR="00E04E99">
        <w:rPr>
          <w:rFonts w:ascii="Times New Roman" w:hAnsi="Times New Roman"/>
          <w:sz w:val="24"/>
        </w:rPr>
        <w:t xml:space="preserve">su </w:t>
      </w:r>
      <w:r>
        <w:rPr>
          <w:rFonts w:ascii="Times New Roman" w:hAnsi="Times New Roman"/>
          <w:sz w:val="24"/>
        </w:rPr>
        <w:t xml:space="preserve">dodatna potvrda da </w:t>
      </w:r>
      <w:r w:rsidR="00DB4A2E">
        <w:rPr>
          <w:rFonts w:ascii="Times New Roman" w:hAnsi="Times New Roman"/>
          <w:sz w:val="24"/>
        </w:rPr>
        <w:t xml:space="preserve">je </w:t>
      </w:r>
      <w:r>
        <w:rPr>
          <w:rFonts w:ascii="Times New Roman" w:hAnsi="Times New Roman"/>
          <w:sz w:val="24"/>
        </w:rPr>
        <w:t xml:space="preserve">potrebno </w:t>
      </w:r>
      <w:r w:rsidR="00DB4A2E">
        <w:rPr>
          <w:rFonts w:ascii="Times New Roman" w:hAnsi="Times New Roman"/>
          <w:sz w:val="24"/>
        </w:rPr>
        <w:t xml:space="preserve">sustavno </w:t>
      </w:r>
      <w:r>
        <w:rPr>
          <w:rFonts w:ascii="Times New Roman" w:hAnsi="Times New Roman"/>
          <w:sz w:val="24"/>
        </w:rPr>
        <w:t>se posvetiti otpornosti zgrada na potres, osobito kada se radi o zgradama koje nisu građene u skladu s važećim propisima (razni vidovi nekontroliranih gradnji, rekonstrukcija i adaptacija), poput onih građenih prije 1964. godine.</w:t>
      </w:r>
    </w:p>
    <w:p w14:paraId="45D05A73" w14:textId="77777777" w:rsidR="00496804" w:rsidRDefault="00496804">
      <w:pPr>
        <w:spacing w:line="240" w:lineRule="auto"/>
        <w:rPr>
          <w:rFonts w:ascii="Times New Roman" w:hAnsi="Times New Roman"/>
          <w:sz w:val="24"/>
        </w:rPr>
      </w:pPr>
    </w:p>
    <w:p w14:paraId="45D05A74" w14:textId="77777777" w:rsidR="00496804" w:rsidRDefault="0037359D">
      <w:pPr>
        <w:spacing w:line="240" w:lineRule="auto"/>
        <w:rPr>
          <w:rFonts w:ascii="Times New Roman" w:hAnsi="Times New Roman"/>
          <w:sz w:val="24"/>
        </w:rPr>
      </w:pPr>
      <w:r>
        <w:rPr>
          <w:rFonts w:ascii="Times New Roman" w:hAnsi="Times New Roman"/>
          <w:sz w:val="24"/>
        </w:rPr>
        <w:t xml:space="preserve">Sustavni pristup podrazumijeva definiranje potresne opasnosti seizmičkim mikrozoniranjem, definiranje izloženosti zgrada i procjenjivanje oštetljivosti s obzirom na konstruktivni sustav zgrade, popisivanjem vrsta zgrada s obzirom na njihove građevne značajke i razdoblje gradnje, funkciju, </w:t>
      </w:r>
      <w:r>
        <w:rPr>
          <w:rFonts w:ascii="Times New Roman" w:hAnsi="Times New Roman"/>
          <w:sz w:val="24"/>
        </w:rPr>
        <w:lastRenderedPageBreak/>
        <w:t xml:space="preserve">nastanjenost i ulogu neposredno nakon potresa, izradu detaljnih baza podataka s karakteristikama postojećeg fonda građevina, provođenje procjene oštetljivosti korištenjem izrađene baze podataka i višegodišnjih iskustava stručnjaka o ponašanju građevina u potresu, utvrđivanje rizika za stanovnike i imovinu. </w:t>
      </w:r>
    </w:p>
    <w:p w14:paraId="45D05A75" w14:textId="77777777" w:rsidR="00496804" w:rsidRDefault="00496804">
      <w:pPr>
        <w:spacing w:line="240" w:lineRule="auto"/>
        <w:rPr>
          <w:rFonts w:ascii="Times New Roman" w:hAnsi="Times New Roman"/>
          <w:sz w:val="24"/>
        </w:rPr>
      </w:pPr>
    </w:p>
    <w:p w14:paraId="45D05A76" w14:textId="77777777" w:rsidR="00496804" w:rsidRDefault="0037359D">
      <w:pPr>
        <w:spacing w:line="240" w:lineRule="auto"/>
        <w:rPr>
          <w:rFonts w:ascii="Times New Roman" w:hAnsi="Times New Roman"/>
          <w:sz w:val="24"/>
        </w:rPr>
      </w:pPr>
      <w:r>
        <w:rPr>
          <w:rFonts w:ascii="Times New Roman" w:hAnsi="Times New Roman"/>
          <w:sz w:val="24"/>
        </w:rPr>
        <w:t xml:space="preserve">U provedbi projekata nužno je integrirati primjenu načela kružnog gospodarenja prostorom i zgradama uz odgovarajuće mjere kojima se osiguravaju temeljni zahtjevi za zgrade tijekom projektiranja, gradnje, kao i njihovo očuvanje tijekom uporabe građevine. Rekonstrukcija ili obnova zgrada prema načelima kružnog gospodarenja prostorom i zgradama stoga bi trebala podrazumijevati i primjenu protupotresnih mjera koje podrazumijevaju obnavljanje izvornih karakteristika konstrukcije ili njihovu nadogradnju te smanjenje budućeg seizmičkog odziva. </w:t>
      </w:r>
    </w:p>
    <w:p w14:paraId="45D05A77" w14:textId="77777777" w:rsidR="00496804" w:rsidRDefault="00496804">
      <w:pPr>
        <w:spacing w:line="240" w:lineRule="auto"/>
        <w:rPr>
          <w:rFonts w:ascii="Times New Roman" w:hAnsi="Times New Roman"/>
          <w:sz w:val="24"/>
        </w:rPr>
      </w:pPr>
    </w:p>
    <w:p w14:paraId="45D05A78" w14:textId="77777777" w:rsidR="00496804" w:rsidRDefault="00496804">
      <w:pPr>
        <w:spacing w:line="240" w:lineRule="auto"/>
        <w:rPr>
          <w:rFonts w:ascii="Times New Roman" w:hAnsi="Times New Roman"/>
          <w:sz w:val="24"/>
        </w:rPr>
      </w:pPr>
    </w:p>
    <w:p w14:paraId="45D05A79" w14:textId="77777777" w:rsidR="00496804" w:rsidRDefault="0037359D">
      <w:pPr>
        <w:pStyle w:val="Naslov2"/>
        <w:numPr>
          <w:ilvl w:val="2"/>
          <w:numId w:val="8"/>
        </w:numPr>
        <w:spacing w:line="259" w:lineRule="auto"/>
        <w:ind w:left="709" w:hanging="709"/>
        <w:rPr>
          <w:rFonts w:ascii="Times New Roman" w:hAnsi="Times New Roman" w:cs="Times New Roman"/>
          <w:color w:val="auto"/>
          <w:sz w:val="24"/>
          <w:szCs w:val="24"/>
        </w:rPr>
      </w:pPr>
      <w:bookmarkStart w:id="130" w:name="_Toc51851635"/>
      <w:r>
        <w:rPr>
          <w:rFonts w:ascii="Times New Roman" w:hAnsi="Times New Roman" w:cs="Times New Roman"/>
          <w:color w:val="auto"/>
          <w:sz w:val="24"/>
          <w:szCs w:val="24"/>
        </w:rPr>
        <w:t>POŽAR</w:t>
      </w:r>
      <w:bookmarkEnd w:id="130"/>
    </w:p>
    <w:p w14:paraId="45D05A7A" w14:textId="77777777" w:rsidR="00496804" w:rsidRDefault="00496804">
      <w:pPr>
        <w:spacing w:line="240" w:lineRule="auto"/>
        <w:rPr>
          <w:rFonts w:ascii="Times New Roman" w:hAnsi="Times New Roman"/>
          <w:sz w:val="24"/>
        </w:rPr>
      </w:pPr>
    </w:p>
    <w:p w14:paraId="45D05A7B" w14:textId="77777777" w:rsidR="00496804" w:rsidRDefault="0037359D">
      <w:pPr>
        <w:spacing w:line="240" w:lineRule="auto"/>
        <w:rPr>
          <w:rFonts w:ascii="Times New Roman" w:hAnsi="Times New Roman"/>
          <w:sz w:val="24"/>
        </w:rPr>
      </w:pPr>
      <w:r>
        <w:rPr>
          <w:rFonts w:ascii="Times New Roman" w:hAnsi="Times New Roman"/>
          <w:sz w:val="24"/>
        </w:rPr>
        <w:t>Požar je samopodržavajući proces gorenja koji se nekontrolirano širi u prostoru. Zbog požara mogu nastati ozljede osoba, materijalne štete na građevinama i objektima, kao i utjecaji na okoliš. Ugroza većeg broja ljudi ili imovine može nastati u objektima gdje boravi veći broj ljudi, u prometnim sredstvima, tunelima, tehnološkim postrojenjima i ostalim dijelovima infrastrukture gdje se pojavljuju zapaljive tvari ili u slučajevima velikih šumskih požara.</w:t>
      </w:r>
    </w:p>
    <w:p w14:paraId="45D05A7C" w14:textId="77777777" w:rsidR="00496804" w:rsidRDefault="00496804">
      <w:pPr>
        <w:spacing w:line="240" w:lineRule="auto"/>
        <w:rPr>
          <w:rFonts w:ascii="Times New Roman" w:hAnsi="Times New Roman"/>
          <w:sz w:val="24"/>
        </w:rPr>
      </w:pPr>
    </w:p>
    <w:p w14:paraId="45D05A7D" w14:textId="77777777" w:rsidR="00496804" w:rsidRDefault="0037359D">
      <w:pPr>
        <w:pStyle w:val="tekst"/>
        <w:spacing w:line="240" w:lineRule="auto"/>
        <w:rPr>
          <w:rFonts w:ascii="Times New Roman" w:hAnsi="Times New Roman" w:cs="Times New Roman"/>
          <w:b/>
          <w:bCs/>
          <w:sz w:val="24"/>
          <w:szCs w:val="24"/>
        </w:rPr>
      </w:pPr>
      <w:r>
        <w:rPr>
          <w:rFonts w:ascii="Times New Roman" w:hAnsi="Times New Roman" w:cs="Times New Roman"/>
          <w:sz w:val="24"/>
          <w:szCs w:val="24"/>
        </w:rPr>
        <w:t xml:space="preserve">Kako bi građevine u vrijeme požara ostale sigurne za sve koji u njima borave, Zakon o gradnji je u članku 10. uredio se da građevine moraju projektirati i graditi na način da se u slučaju izbijanja požara osigura nosivost konstrukcije tijekom određenog vremena, spriječi nastanak i širenje požara i dima unutar građevine, kao i na susjedne, omogući da osobe mogu neozlijeđene napustiti građevinu, odnosno da se omogući njihovo spašavanje i zaštita spašavatelja. Otpornost na požar i drugi zahtjevi koje građevina mora zadovoljiti u slučaju požara detaljnije su propisani </w:t>
      </w:r>
      <w:r>
        <w:rPr>
          <w:rFonts w:ascii="Times New Roman" w:hAnsi="Times New Roman" w:cs="Times New Roman"/>
          <w:bCs/>
          <w:sz w:val="24"/>
          <w:szCs w:val="24"/>
        </w:rPr>
        <w:t>Pravilnikom o otpornosti na požar i drugim zahtjevima koje građevine moraju zadovoljiti u slučaju požara</w:t>
      </w:r>
      <w:r>
        <w:rPr>
          <w:rStyle w:val="Referencafusnote"/>
          <w:rFonts w:ascii="Times New Roman" w:hAnsi="Times New Roman" w:cs="Times New Roman"/>
          <w:sz w:val="24"/>
          <w:szCs w:val="24"/>
        </w:rPr>
        <w:footnoteReference w:id="49"/>
      </w:r>
      <w:r>
        <w:rPr>
          <w:rFonts w:ascii="Times New Roman" w:hAnsi="Times New Roman" w:cs="Times New Roman"/>
          <w:bCs/>
          <w:sz w:val="24"/>
          <w:szCs w:val="24"/>
        </w:rPr>
        <w:t>,</w:t>
      </w:r>
      <w:r>
        <w:rPr>
          <w:rFonts w:ascii="Times New Roman" w:hAnsi="Times New Roman" w:cs="Times New Roman"/>
          <w:sz w:val="24"/>
          <w:szCs w:val="24"/>
        </w:rPr>
        <w:t xml:space="preserve"> no odredbe se ne odnose na građevine upisane u Registar kulturnih dobara Republike Hrvatske ili građevine koje se nalaze u kulturno-povijesnoj cjelini upisanoj u taj Registar. Pravilnik o jednostavnim i drugim građevinama i radovima</w:t>
      </w:r>
      <w:r>
        <w:rPr>
          <w:rStyle w:val="Referencafusnote"/>
          <w:rFonts w:ascii="Times New Roman" w:hAnsi="Times New Roman" w:cs="Times New Roman"/>
          <w:sz w:val="24"/>
          <w:szCs w:val="24"/>
        </w:rPr>
        <w:footnoteReference w:id="50"/>
      </w:r>
      <w:r>
        <w:rPr>
          <w:rFonts w:ascii="Times New Roman" w:hAnsi="Times New Roman" w:cs="Times New Roman"/>
          <w:sz w:val="24"/>
          <w:szCs w:val="24"/>
        </w:rPr>
        <w:t xml:space="preserve"> omogućio je izvođenje radova energetske obnove bez građevinske dozvole i glavnog projekta ili prema glavnom projektu bez građevinske dozvole uz uključenje odgovornosti sudionika u procesu gradnje.</w:t>
      </w:r>
    </w:p>
    <w:p w14:paraId="45D05A7E" w14:textId="77777777" w:rsidR="00496804" w:rsidRDefault="00496804">
      <w:pPr>
        <w:spacing w:line="240" w:lineRule="auto"/>
        <w:ind w:left="720" w:hanging="720"/>
        <w:rPr>
          <w:rFonts w:ascii="Times New Roman" w:hAnsi="Times New Roman"/>
          <w:sz w:val="24"/>
        </w:rPr>
      </w:pPr>
    </w:p>
    <w:p w14:paraId="45D05A7F" w14:textId="77777777" w:rsidR="00496804" w:rsidRDefault="0037359D">
      <w:pPr>
        <w:spacing w:line="240" w:lineRule="auto"/>
        <w:rPr>
          <w:rFonts w:ascii="Times New Roman" w:hAnsi="Times New Roman"/>
          <w:sz w:val="24"/>
        </w:rPr>
      </w:pPr>
      <w:r>
        <w:rPr>
          <w:rFonts w:ascii="Times New Roman" w:hAnsi="Times New Roman"/>
          <w:sz w:val="24"/>
        </w:rPr>
        <w:t xml:space="preserve">U smislu Procjene rizika od katastrofa za Republiku Hrvatsku, požari otvorenog tipa prepoznati su kao neprihvatljiv rizik koji je potrebno smanjiti u najkraćem mogućem roku na nacionalnoj razini. Na njihovu pojavu utječu klimatske promjene, a predstavljaju prvenstveno klimatski pritisak na prostor. Zbog svog geografskog položaja, posebice činjenice da RH ulazi u grupu mediteranskih zemalja, naglašena je ugroženost od požara raslinja u ljetnom razdoblju u priobalnom pojasu i na otocima. Ovi požari uglavnom su usmjereni na otvorenom prostoru na površine šumskog, poljoprivrednog i ostalog neobrađenog i zapuštenog zemljišta, a generiraju poremećaje cijelog ekosustava i teško nadoknadive gospodarske štete, velike troškove obnove i druge posredne i neposredne gubitke. Dodatno, oni kontaminiraju zrak na užem prostoru, a uzrokuju i dugoročne štete emisijom ugljikovog dioksida. Mogu ugroziti veći broj ljudi i imovinu kada će biti potrebna </w:t>
      </w:r>
      <w:r>
        <w:rPr>
          <w:rFonts w:ascii="Times New Roman" w:hAnsi="Times New Roman"/>
          <w:sz w:val="24"/>
        </w:rPr>
        <w:lastRenderedPageBreak/>
        <w:t>evakuacija lokalnog stanovništva, turista i imovine i njihovo zbrinjavanje na sigurna mjesta, kao i kritičnu infrastrukturu (pruga, autocesta, distribucija energenata i slično).</w:t>
      </w:r>
    </w:p>
    <w:p w14:paraId="45D05A80" w14:textId="77777777" w:rsidR="00496804" w:rsidRDefault="00496804">
      <w:pPr>
        <w:spacing w:line="240" w:lineRule="auto"/>
        <w:rPr>
          <w:rFonts w:ascii="Times New Roman" w:hAnsi="Times New Roman"/>
          <w:sz w:val="24"/>
        </w:rPr>
      </w:pPr>
    </w:p>
    <w:p w14:paraId="45D05A81" w14:textId="77777777" w:rsidR="00496804" w:rsidRDefault="00496804">
      <w:pPr>
        <w:spacing w:line="240" w:lineRule="auto"/>
        <w:rPr>
          <w:rFonts w:ascii="Times New Roman" w:hAnsi="Times New Roman"/>
          <w:sz w:val="24"/>
        </w:rPr>
      </w:pPr>
    </w:p>
    <w:p w14:paraId="45D05A82" w14:textId="77777777" w:rsidR="00496804" w:rsidRDefault="0037359D">
      <w:pPr>
        <w:pStyle w:val="Naslov2"/>
        <w:numPr>
          <w:ilvl w:val="2"/>
          <w:numId w:val="8"/>
        </w:numPr>
        <w:ind w:left="709" w:hanging="709"/>
        <w:rPr>
          <w:rFonts w:ascii="Times New Roman" w:hAnsi="Times New Roman" w:cs="Times New Roman"/>
          <w:color w:val="auto"/>
          <w:sz w:val="24"/>
          <w:szCs w:val="24"/>
        </w:rPr>
      </w:pPr>
      <w:bookmarkStart w:id="131" w:name="_Toc51851636"/>
      <w:r>
        <w:rPr>
          <w:rFonts w:ascii="Times New Roman" w:hAnsi="Times New Roman" w:cs="Times New Roman"/>
          <w:color w:val="auto"/>
          <w:sz w:val="24"/>
          <w:szCs w:val="24"/>
        </w:rPr>
        <w:t>POPLAVE USLIJED IZLIJEVANJA KOPNENIH VODENIH TIJELA I PODIZANJA RAZINE MORA</w:t>
      </w:r>
      <w:bookmarkEnd w:id="131"/>
    </w:p>
    <w:p w14:paraId="45D05A83" w14:textId="77777777" w:rsidR="00496804" w:rsidRDefault="00496804">
      <w:pPr>
        <w:spacing w:line="240" w:lineRule="auto"/>
        <w:rPr>
          <w:rFonts w:ascii="Times New Roman" w:hAnsi="Times New Roman"/>
          <w:sz w:val="24"/>
        </w:rPr>
      </w:pPr>
    </w:p>
    <w:p w14:paraId="45D05A84" w14:textId="77777777" w:rsidR="00496804" w:rsidRDefault="0037359D">
      <w:pPr>
        <w:spacing w:line="240" w:lineRule="auto"/>
        <w:rPr>
          <w:rFonts w:ascii="Times New Roman" w:hAnsi="Times New Roman"/>
          <w:sz w:val="24"/>
        </w:rPr>
      </w:pPr>
      <w:r>
        <w:rPr>
          <w:rFonts w:ascii="Times New Roman" w:hAnsi="Times New Roman"/>
          <w:sz w:val="24"/>
        </w:rPr>
        <w:t xml:space="preserve">Republika Hrvatska je u znatnoj mjeri izložena pojavi poplava. SPRRH navodi da su prirodnim poplavama posebno ugrožena: porječja velikih rijeka dunavskog slijeva (kao posljedica obilnih padalina ili naglog topljenja snijega), područja uz manje vodotoke (zbog kratkotrajnih intenzivnih kiša, a obično su smještena izvan sustava obrane od poplava), krška polja (zbog obilnih padalina i/ili naglog topljenja snijega u kombinaciji s nedostatnim upojnim kapacitetima prirodnih ponora), ravničarske površine uz unutarnje vode te obalno područje (poplave mora). </w:t>
      </w:r>
    </w:p>
    <w:p w14:paraId="45D05A85" w14:textId="77777777" w:rsidR="00496804" w:rsidRDefault="00496804">
      <w:pPr>
        <w:spacing w:line="240" w:lineRule="auto"/>
        <w:rPr>
          <w:rFonts w:ascii="Times New Roman" w:hAnsi="Times New Roman"/>
          <w:sz w:val="24"/>
        </w:rPr>
      </w:pPr>
    </w:p>
    <w:p w14:paraId="45D05A86" w14:textId="77777777" w:rsidR="00496804" w:rsidRDefault="0037359D">
      <w:pPr>
        <w:spacing w:line="240" w:lineRule="auto"/>
        <w:rPr>
          <w:rFonts w:ascii="Times New Roman" w:hAnsi="Times New Roman"/>
          <w:sz w:val="24"/>
        </w:rPr>
      </w:pPr>
      <w:r>
        <w:rPr>
          <w:rFonts w:ascii="Times New Roman" w:hAnsi="Times New Roman"/>
          <w:sz w:val="24"/>
        </w:rPr>
        <w:t>Utjecaj klimatskih promjena izrazito je vidljiv u obalnim područjima. U priobalnom području je prisutan porast morske razine koji bi, prema procjenama, mogao znatno utjecati na život ljudi i u konačnici potaknuti ekološke migracije. Porast morske razine očekuje se do pola metra idućih stotinu godina, zbog čega bi se površina obalnog pojasa izložena toj pojavi mogla povećati sa 270 km</w:t>
      </w:r>
      <w:r>
        <w:rPr>
          <w:rFonts w:ascii="Times New Roman" w:hAnsi="Times New Roman"/>
          <w:sz w:val="24"/>
          <w:vertAlign w:val="superscript"/>
        </w:rPr>
        <w:t>2</w:t>
      </w:r>
      <w:r>
        <w:rPr>
          <w:rFonts w:ascii="Times New Roman" w:hAnsi="Times New Roman"/>
          <w:sz w:val="24"/>
        </w:rPr>
        <w:t xml:space="preserve"> na 320–360 km</w:t>
      </w:r>
      <w:r>
        <w:rPr>
          <w:rFonts w:ascii="Times New Roman" w:hAnsi="Times New Roman"/>
          <w:sz w:val="24"/>
          <w:vertAlign w:val="superscript"/>
        </w:rPr>
        <w:t>2</w:t>
      </w:r>
      <w:r>
        <w:rPr>
          <w:rFonts w:ascii="Times New Roman" w:hAnsi="Times New Roman"/>
          <w:sz w:val="24"/>
        </w:rPr>
        <w:t>. Ekstremne razine mora najviše pogađaju područja Zadra i Šibenika. Razvoj obalnog pojasa uz more (takozvani „ribbon development“) zahtijeva stalne prilagodbe rastućoj razini mora stoga je potrebno ovaj aspekt imati u vidu prilikom izrade prostornih planova i planiranja nove gradnje. Ovakav pristup će smanjiti investicijska ulaganja i investicijsko održavanje u prostor i zgrade.</w:t>
      </w:r>
    </w:p>
    <w:p w14:paraId="45D05A87" w14:textId="77777777" w:rsidR="00496804" w:rsidRDefault="00496804">
      <w:pPr>
        <w:spacing w:line="240" w:lineRule="auto"/>
        <w:rPr>
          <w:rFonts w:ascii="Times New Roman" w:hAnsi="Times New Roman"/>
          <w:sz w:val="24"/>
        </w:rPr>
      </w:pPr>
    </w:p>
    <w:p w14:paraId="45D05A88" w14:textId="77777777" w:rsidR="00496804" w:rsidRDefault="0037359D">
      <w:pPr>
        <w:spacing w:line="240" w:lineRule="auto"/>
        <w:rPr>
          <w:rFonts w:ascii="Times New Roman" w:hAnsi="Times New Roman"/>
          <w:sz w:val="24"/>
        </w:rPr>
      </w:pPr>
      <w:r>
        <w:rPr>
          <w:rFonts w:ascii="Times New Roman" w:hAnsi="Times New Roman"/>
          <w:sz w:val="24"/>
        </w:rPr>
        <w:t>U urbanim područjima poplave nastaju uslijed kratkotrajnih oborina velikog intenziteta. Zaštitne mjere za ovu vrstu poplava ponajprije se odnose na planiranje sustava odvodnje oborinskih voda u naseljima na lokalnoj razini. Kada se govori o zgradama, moguće posljedice klimatskih promjena potrebno je pratiti već u fazi projektiranja kroz npr. odabir odgovarajućih lokacija za gradnju (izbjegavati gradnju na neprikladnim lokacijama – u zonama plavljenja, na odronima i klizištima), odabir materijala i proizvoda odgovarajućih svojstava kako se isti, uslijed novonastalih promjena, ne bi trebali učestalo mijenjati, pozicioniranje prvog kata zgrade iznad očekivane nadmorske visine poplave. Drugi pristup bio bi omogućavanje ulaska vode u strukturu zgrade bez nastanka štete. Tada je potrebno osigurati kvalitetno temeljenje zgrade, koristeći materijale otporne na poplave u područjima koja će biti pod vodom, štititi mehaničku i komunalnu opremu te koristiti otvore da bi voda tijekom poplave mogla nesmetano proći. Navedene mjere ublažit će negativne posljedice klimatskih promjena, a u konačnici doprinijeti smanjenju nastanka građevnog otpada.</w:t>
      </w:r>
    </w:p>
    <w:p w14:paraId="45D05A89" w14:textId="77777777" w:rsidR="00496804" w:rsidRDefault="00496804">
      <w:pPr>
        <w:spacing w:line="240" w:lineRule="auto"/>
        <w:rPr>
          <w:rFonts w:ascii="Times New Roman" w:hAnsi="Times New Roman"/>
          <w:sz w:val="24"/>
        </w:rPr>
      </w:pPr>
    </w:p>
    <w:p w14:paraId="45D05A8A" w14:textId="77777777" w:rsidR="00496804" w:rsidRDefault="00496804">
      <w:pPr>
        <w:spacing w:line="240" w:lineRule="auto"/>
        <w:rPr>
          <w:rFonts w:ascii="Times New Roman" w:hAnsi="Times New Roman"/>
          <w:sz w:val="24"/>
        </w:rPr>
      </w:pPr>
    </w:p>
    <w:p w14:paraId="45D05A8B" w14:textId="77777777" w:rsidR="00496804" w:rsidRDefault="0037359D">
      <w:pPr>
        <w:pStyle w:val="Naslov2"/>
        <w:ind w:left="426" w:hanging="426"/>
        <w:rPr>
          <w:rFonts w:ascii="Times New Roman" w:hAnsi="Times New Roman" w:cs="Times New Roman"/>
          <w:color w:val="auto"/>
          <w:sz w:val="24"/>
          <w:szCs w:val="24"/>
        </w:rPr>
      </w:pPr>
      <w:bookmarkStart w:id="132" w:name="_Toc27948611"/>
      <w:bookmarkStart w:id="133" w:name="_Toc27856693"/>
      <w:bookmarkStart w:id="134" w:name="_Toc51851637"/>
      <w:r>
        <w:rPr>
          <w:rFonts w:ascii="Times New Roman" w:hAnsi="Times New Roman" w:cs="Times New Roman"/>
          <w:color w:val="auto"/>
          <w:sz w:val="24"/>
          <w:szCs w:val="24"/>
        </w:rPr>
        <w:t>GRAĐEVNI OTPAD</w:t>
      </w:r>
      <w:bookmarkEnd w:id="132"/>
      <w:bookmarkEnd w:id="133"/>
      <w:bookmarkEnd w:id="134"/>
    </w:p>
    <w:p w14:paraId="45D05A8C" w14:textId="77777777" w:rsidR="00496804" w:rsidRDefault="00496804">
      <w:pPr>
        <w:spacing w:line="240" w:lineRule="auto"/>
        <w:rPr>
          <w:rFonts w:ascii="Times New Roman" w:hAnsi="Times New Roman"/>
          <w:sz w:val="24"/>
          <w:lang w:eastAsia="hr-HR"/>
        </w:rPr>
      </w:pPr>
    </w:p>
    <w:p w14:paraId="45D05A8D" w14:textId="77777777" w:rsidR="00496804" w:rsidRDefault="0037359D">
      <w:pPr>
        <w:spacing w:line="240" w:lineRule="auto"/>
        <w:rPr>
          <w:rFonts w:ascii="Times New Roman" w:hAnsi="Times New Roman"/>
          <w:sz w:val="24"/>
        </w:rPr>
      </w:pPr>
      <w:r>
        <w:rPr>
          <w:rFonts w:ascii="Times New Roman" w:hAnsi="Times New Roman"/>
          <w:sz w:val="24"/>
        </w:rPr>
        <w:t xml:space="preserve">U procesu građenja koristi se energija i stvara otpad koji ovisi o korištenim materijalima. Uvažavajući načela kružnog gospodarenja bilo bi poželjno koristiti materijale sa što manjim negativnim utjecajem na okoliš i što manjim zahtjevima prema potrošnji energije. Nadalje, uporabni vijek konstrukcije ovisi o trajnosti upotrijebljenog materijala i mogućnosti njene obnove. Potrebno je detaljno razmotriti postotak konstrukcije koji se može ponovno upotrijebiti, količinu materijala koja se može reciklirati, kakav je utjecaj otpada koji će nastati rušenjem konstrukcije i koji se materijali mogu odlagati. Prema procjenama, približno 90% građevnog otpada i otpada od rušenja moguće je ponovno upotrijebiti, ovisno o vrsti konstrukcije i lokalnom tržištu. Osim za nasipavanje, građevni otpad moguće je upotrijebiti za izradu novih betonskih ili asfaltnih mješavina, što mu daje dodatnu vrijednost. Trenutno je upotreba recikliranog agregata u betonima za konstrukcijske namjene još uvijek </w:t>
      </w:r>
      <w:r>
        <w:rPr>
          <w:rFonts w:ascii="Times New Roman" w:hAnsi="Times New Roman"/>
          <w:sz w:val="24"/>
        </w:rPr>
        <w:lastRenderedPageBreak/>
        <w:t>ograničena zbog nečistoća u recikliranom agregatu, njegove manje gustoće i povećane apsorpcije u usporedbi s agregatima prirodnog porijekla. Najveći problem primjene recikliranog agregata u betonu su onečišćenja u obliku ostataka drva, papira, žbuke, plastike, ulja i dr. te veća apsorpcija od prirodnih agregata zbog ostataka starog cementnog morta na zrnima agregata. Kombiniranjem recikliranog i prirodnog (riječnog ili drobljenog) agregata moguće je postići zadovoljavajuća svojstva betona za mnogobrojne namjene. Mogućnost upotrebe recikliranih materijala u građevnim proizvodima uvelike ovisi u njihovoj sukladnosti zahtjevima definiranima u europskim (i hrvatskim) normama.</w:t>
      </w:r>
    </w:p>
    <w:p w14:paraId="45D05A8E" w14:textId="77777777" w:rsidR="00496804" w:rsidRDefault="00496804">
      <w:pPr>
        <w:spacing w:line="240" w:lineRule="auto"/>
        <w:rPr>
          <w:rFonts w:ascii="Times New Roman" w:hAnsi="Times New Roman"/>
          <w:sz w:val="24"/>
          <w:lang w:eastAsia="hr-HR"/>
        </w:rPr>
      </w:pPr>
    </w:p>
    <w:p w14:paraId="45D05A8F" w14:textId="59D804E6" w:rsidR="00496804" w:rsidRDefault="0037359D">
      <w:pPr>
        <w:spacing w:line="240" w:lineRule="auto"/>
        <w:rPr>
          <w:rFonts w:ascii="Times New Roman" w:hAnsi="Times New Roman"/>
          <w:sz w:val="24"/>
          <w:shd w:val="clear" w:color="auto" w:fill="FFFFFF"/>
        </w:rPr>
      </w:pPr>
      <w:r>
        <w:rPr>
          <w:rFonts w:ascii="Times New Roman" w:hAnsi="Times New Roman"/>
          <w:sz w:val="24"/>
          <w:shd w:val="clear" w:color="auto" w:fill="FFFFFF"/>
        </w:rPr>
        <w:t>Prema Zakonu o održivom gospodarenju otpadom</w:t>
      </w:r>
      <w:r>
        <w:rPr>
          <w:rStyle w:val="Referencafusnote"/>
          <w:rFonts w:ascii="Times New Roman" w:hAnsi="Times New Roman"/>
          <w:sz w:val="24"/>
        </w:rPr>
        <w:footnoteReference w:id="51"/>
      </w:r>
      <w:r>
        <w:rPr>
          <w:rFonts w:ascii="Times New Roman" w:hAnsi="Times New Roman"/>
          <w:sz w:val="24"/>
          <w:shd w:val="clear" w:color="auto" w:fill="FFFFFF"/>
        </w:rPr>
        <w:t>, građevni otpad je</w:t>
      </w:r>
      <w:r w:rsidR="00681B29">
        <w:rPr>
          <w:rFonts w:ascii="Times New Roman" w:hAnsi="Times New Roman"/>
          <w:sz w:val="24"/>
          <w:shd w:val="clear" w:color="auto" w:fill="FFFFFF"/>
        </w:rPr>
        <w:t xml:space="preserve"> </w:t>
      </w:r>
      <w:r w:rsidRPr="00152D49">
        <w:rPr>
          <w:rFonts w:ascii="Times New Roman" w:hAnsi="Times New Roman"/>
          <w:sz w:val="24"/>
          <w:shd w:val="clear" w:color="auto" w:fill="FFFFFF"/>
        </w:rPr>
        <w:t>ona</w:t>
      </w:r>
      <w:r w:rsidR="00152D49" w:rsidRPr="00152D49">
        <w:rPr>
          <w:rFonts w:ascii="Times New Roman" w:hAnsi="Times New Roman"/>
          <w:sz w:val="24"/>
          <w:shd w:val="clear" w:color="auto" w:fill="FFFFFF"/>
        </w:rPr>
        <w:t>j</w:t>
      </w:r>
      <w:r w:rsidRPr="00152D49">
        <w:rPr>
          <w:rFonts w:ascii="Times New Roman" w:hAnsi="Times New Roman"/>
          <w:sz w:val="24"/>
          <w:shd w:val="clear" w:color="auto" w:fill="FFFFFF"/>
        </w:rPr>
        <w:t xml:space="preserve"> koji</w:t>
      </w:r>
      <w:r w:rsidR="008D54DA">
        <w:rPr>
          <w:rFonts w:ascii="Times New Roman" w:hAnsi="Times New Roman"/>
          <w:sz w:val="24"/>
          <w:shd w:val="clear" w:color="auto" w:fill="FFFFFF"/>
        </w:rPr>
        <w:t xml:space="preserve"> </w:t>
      </w:r>
      <w:r>
        <w:rPr>
          <w:rFonts w:ascii="Times New Roman" w:hAnsi="Times New Roman"/>
          <w:sz w:val="24"/>
          <w:shd w:val="clear" w:color="auto" w:fill="FFFFFF"/>
        </w:rPr>
        <w:t>nasta</w:t>
      </w:r>
      <w:r w:rsidRPr="007F3104">
        <w:rPr>
          <w:rFonts w:ascii="Times New Roman" w:hAnsi="Times New Roman"/>
          <w:sz w:val="24"/>
          <w:shd w:val="clear" w:color="auto" w:fill="FFFFFF"/>
        </w:rPr>
        <w:t>ne</w:t>
      </w:r>
      <w:r>
        <w:rPr>
          <w:rFonts w:ascii="Times New Roman" w:hAnsi="Times New Roman"/>
          <w:sz w:val="24"/>
          <w:shd w:val="clear" w:color="auto" w:fill="FFFFFF"/>
        </w:rPr>
        <w:t xml:space="preserve"> prilikom gradnje građevina, rekonstrukcije, uklanjanja i održavanja postojećih građevina te otpad nastao od iskopanog materijala koji se ne može bez prethodne oporabe koristiti za građenje građevine </w:t>
      </w:r>
      <w:r w:rsidRPr="00152D49">
        <w:rPr>
          <w:rFonts w:ascii="Times New Roman" w:hAnsi="Times New Roman"/>
          <w:sz w:val="24"/>
          <w:shd w:val="clear" w:color="auto" w:fill="FFFFFF"/>
        </w:rPr>
        <w:t>radi</w:t>
      </w:r>
      <w:r>
        <w:rPr>
          <w:rFonts w:ascii="Times New Roman" w:hAnsi="Times New Roman"/>
          <w:sz w:val="24"/>
          <w:shd w:val="clear" w:color="auto" w:fill="FFFFFF"/>
        </w:rPr>
        <w:t xml:space="preserve"> čijeg građenja je nastao. Prema načinu nastanka, obuhvaća otpad na gradilištu, otpad od rušenja objekata, otpad nastao kod izgradnje i održavanja prometnica te tlo, kamenje i vegetaciju. Zakon o održivom gospodarenju otpadom propisuje red prvenstva gospodarenja otpadom koji čine: sprječavanje nastanka otpada, priprema za ponovnu uporabu, recikliranje, drugi postupci oporabe (npr. energetska oporaba) i zbrinjavanje otpada. </w:t>
      </w:r>
    </w:p>
    <w:p w14:paraId="45D05A90" w14:textId="77777777" w:rsidR="00496804" w:rsidRDefault="00496804">
      <w:pPr>
        <w:spacing w:line="240" w:lineRule="auto"/>
        <w:rPr>
          <w:rFonts w:ascii="Times New Roman" w:hAnsi="Times New Roman"/>
          <w:sz w:val="24"/>
          <w:shd w:val="clear" w:color="auto" w:fill="FFFFFF"/>
        </w:rPr>
      </w:pPr>
    </w:p>
    <w:p w14:paraId="45D05A91" w14:textId="77777777" w:rsidR="00496804" w:rsidRDefault="0037359D">
      <w:pPr>
        <w:spacing w:line="240" w:lineRule="auto"/>
        <w:rPr>
          <w:rFonts w:ascii="Times New Roman" w:hAnsi="Times New Roman"/>
          <w:sz w:val="24"/>
          <w:shd w:val="clear" w:color="auto" w:fill="FFFFFF"/>
        </w:rPr>
      </w:pPr>
      <w:r>
        <w:rPr>
          <w:rFonts w:ascii="Times New Roman" w:hAnsi="Times New Roman"/>
          <w:sz w:val="24"/>
          <w:shd w:val="clear" w:color="auto" w:fill="FFFFFF"/>
        </w:rPr>
        <w:t xml:space="preserve">Neodgovarajuće gospodarenje građevnim otpadom ne samo da onečišćuje okoliš, već ova kategorija otpada zauzima i veliki volumen na odlagalištima otpada. Prema rezultatima analize stanja i projekcijama o količinama proizvedenog građevnog otpada u RH i količinama koje se predviđaju, ova vrsta otpada obzirom na količine koje nastaju posjeduje visoki potencijal za recikliranje. </w:t>
      </w:r>
    </w:p>
    <w:p w14:paraId="45D05A92" w14:textId="77777777" w:rsidR="00496804" w:rsidRDefault="00496804">
      <w:pPr>
        <w:spacing w:line="240" w:lineRule="auto"/>
        <w:rPr>
          <w:rFonts w:ascii="Times New Roman" w:hAnsi="Times New Roman"/>
          <w:sz w:val="24"/>
          <w:shd w:val="clear" w:color="auto" w:fill="FFFFFF"/>
        </w:rPr>
      </w:pPr>
    </w:p>
    <w:p w14:paraId="45D05A93" w14:textId="77777777" w:rsidR="00496804" w:rsidRDefault="0037359D">
      <w:pPr>
        <w:spacing w:line="240" w:lineRule="auto"/>
        <w:rPr>
          <w:rFonts w:ascii="Times New Roman" w:hAnsi="Times New Roman"/>
          <w:sz w:val="24"/>
        </w:rPr>
      </w:pPr>
      <w:r>
        <w:rPr>
          <w:rFonts w:ascii="Times New Roman" w:hAnsi="Times New Roman"/>
          <w:sz w:val="24"/>
          <w:shd w:val="clear" w:color="auto" w:fill="FFFFFF"/>
        </w:rPr>
        <w:t>Građevni otpad prepoznat je na europskoj razini kao jedan od prioritetnih tokova otpada. Prema službenim podacima HAOP-a za razdoblje 2011. – 2013. godine prijavljene količine proizvedenog otpada iznose manje od 200kg po stanovniku i evidentiran je trend porasta prijavljenih količina u odnosu na prijašnje godine kada su se proizvedene količine kretale ispod navedenih 200kg po stanovniku. Za projekciju količina građevnog otpada korišteno je predviđanje iz Industrijske strategije Republike Hrvatske 2014. – 2020. da će fizički obujam građevinskih radova za ovo razdoblje biti konstantno na razini od 88,9% obujma iz 2008. godine. Ako ovu pretpostavku primijenimo na razdoblje izrade Plana gospodarenja otpadom, dolazimo do ukupne količine proizvedenog građevnog otpada u razdoblju 2016. – 2022. od 32,2 milijuna tona</w:t>
      </w:r>
      <w:r>
        <w:rPr>
          <w:rStyle w:val="Referencafusnote"/>
          <w:rFonts w:ascii="Times New Roman" w:hAnsi="Times New Roman"/>
          <w:sz w:val="24"/>
        </w:rPr>
        <w:t xml:space="preserve"> </w:t>
      </w:r>
      <w:r>
        <w:rPr>
          <w:rStyle w:val="Referencafusnote"/>
          <w:rFonts w:ascii="Times New Roman" w:hAnsi="Times New Roman"/>
          <w:sz w:val="24"/>
        </w:rPr>
        <w:footnoteReference w:id="52"/>
      </w:r>
      <w:r>
        <w:rPr>
          <w:rStyle w:val="Referencafusnote"/>
          <w:rFonts w:ascii="Times New Roman" w:hAnsi="Times New Roman"/>
          <w:sz w:val="24"/>
        </w:rPr>
        <w:t>.</w:t>
      </w:r>
    </w:p>
    <w:p w14:paraId="45D05A94" w14:textId="77777777" w:rsidR="00496804" w:rsidRDefault="00496804">
      <w:pPr>
        <w:spacing w:line="240" w:lineRule="auto"/>
        <w:rPr>
          <w:rFonts w:ascii="Times New Roman" w:hAnsi="Times New Roman"/>
          <w:sz w:val="24"/>
        </w:rPr>
      </w:pPr>
    </w:p>
    <w:p w14:paraId="45D05A95" w14:textId="77777777" w:rsidR="00496804" w:rsidRDefault="0037359D">
      <w:pPr>
        <w:spacing w:line="240" w:lineRule="auto"/>
        <w:rPr>
          <w:rFonts w:ascii="Times New Roman" w:hAnsi="Times New Roman"/>
          <w:sz w:val="24"/>
        </w:rPr>
      </w:pPr>
      <w:r>
        <w:rPr>
          <w:rFonts w:ascii="Times New Roman" w:hAnsi="Times New Roman"/>
          <w:sz w:val="24"/>
        </w:rPr>
        <w:t>Statistički podaci koji prate razvoj građevinskog sektora, broj izdanih građevnih dozvola, predviđenu i izvršenu vrijednost građevnih radova te evidenciju srušene površine dani su u nastavku. Iz tablice se može utvrditi pad trenda izgradnje novih građevina kojih je godišnje u prosjeku 8.132 (1% građevnog fonda RH), koji dovodi do stagnacije rasta građevinskog sektora.</w:t>
      </w:r>
    </w:p>
    <w:p w14:paraId="45D05A96" w14:textId="77777777" w:rsidR="00496804" w:rsidRDefault="0037359D">
      <w:pPr>
        <w:spacing w:line="240" w:lineRule="auto"/>
        <w:jc w:val="left"/>
        <w:rPr>
          <w:rFonts w:ascii="Times New Roman" w:hAnsi="Times New Roman"/>
          <w:b/>
          <w:bCs/>
          <w:sz w:val="24"/>
        </w:rPr>
        <w:sectPr w:rsidR="00496804">
          <w:pgSz w:w="11900" w:h="16840"/>
          <w:pgMar w:top="1701" w:right="1134" w:bottom="1134" w:left="1134" w:header="709" w:footer="289" w:gutter="0"/>
          <w:pgNumType w:start="1"/>
          <w:cols w:space="720"/>
          <w:docGrid w:linePitch="299"/>
        </w:sectPr>
      </w:pPr>
      <w:r>
        <w:rPr>
          <w:rFonts w:ascii="Times New Roman" w:hAnsi="Times New Roman"/>
          <w:b/>
          <w:bCs/>
          <w:sz w:val="24"/>
        </w:rPr>
        <w:br w:type="page"/>
      </w:r>
    </w:p>
    <w:p w14:paraId="45D05A97" w14:textId="77777777" w:rsidR="00496804" w:rsidRDefault="00496804">
      <w:pPr>
        <w:spacing w:line="240" w:lineRule="auto"/>
        <w:jc w:val="left"/>
        <w:rPr>
          <w:rFonts w:ascii="Times New Roman" w:hAnsi="Times New Roman"/>
          <w:b/>
          <w:bCs/>
          <w:sz w:val="24"/>
        </w:rPr>
      </w:pPr>
    </w:p>
    <w:p w14:paraId="45D05A98" w14:textId="77777777" w:rsidR="00496804" w:rsidRDefault="00496804">
      <w:pPr>
        <w:spacing w:line="240" w:lineRule="auto"/>
        <w:rPr>
          <w:rFonts w:ascii="Times New Roman" w:hAnsi="Times New Roman"/>
          <w:b/>
          <w:bCs/>
          <w:sz w:val="24"/>
        </w:rPr>
      </w:pPr>
    </w:p>
    <w:p w14:paraId="45D05A99" w14:textId="77777777" w:rsidR="00496804" w:rsidRDefault="0037359D">
      <w:pPr>
        <w:pStyle w:val="Opisslike"/>
        <w:rPr>
          <w:rFonts w:ascii="Times New Roman" w:hAnsi="Times New Roman"/>
          <w:b w:val="0"/>
          <w:bCs w:val="0"/>
          <w:i/>
          <w:iCs/>
          <w:sz w:val="24"/>
          <w:szCs w:val="24"/>
        </w:rPr>
      </w:pPr>
      <w:r>
        <w:rPr>
          <w:rFonts w:ascii="Times New Roman" w:hAnsi="Times New Roman"/>
          <w:b w:val="0"/>
          <w:bCs w:val="0"/>
          <w:i/>
          <w:iCs/>
          <w:sz w:val="24"/>
          <w:szCs w:val="24"/>
        </w:rPr>
        <w:t>Tablica 9. Statistički podaci za sektor građevinarstvo (F), od 2010. do 2018. godine</w:t>
      </w:r>
      <w:r>
        <w:rPr>
          <w:rStyle w:val="Referencafusnote"/>
          <w:rFonts w:ascii="Times New Roman" w:hAnsi="Times New Roman"/>
          <w:b w:val="0"/>
          <w:bCs w:val="0"/>
          <w:i/>
          <w:iCs/>
          <w:sz w:val="24"/>
          <w:szCs w:val="24"/>
        </w:rPr>
        <w:footnoteReference w:id="53"/>
      </w:r>
    </w:p>
    <w:tbl>
      <w:tblPr>
        <w:tblStyle w:val="Reetkatablice"/>
        <w:tblW w:w="5000" w:type="pct"/>
        <w:jc w:val="center"/>
        <w:tblBorders>
          <w:left w:val="none" w:sz="0" w:space="0" w:color="auto"/>
          <w:right w:val="none" w:sz="0" w:space="0" w:color="auto"/>
          <w:insideV w:val="none" w:sz="0" w:space="0" w:color="auto"/>
        </w:tblBorders>
        <w:tblCellMar>
          <w:left w:w="28" w:type="dxa"/>
          <w:right w:w="28" w:type="dxa"/>
        </w:tblCellMar>
        <w:tblLook w:val="04A0" w:firstRow="1" w:lastRow="0" w:firstColumn="1" w:lastColumn="0" w:noHBand="0" w:noVBand="1"/>
      </w:tblPr>
      <w:tblGrid>
        <w:gridCol w:w="2270"/>
        <w:gridCol w:w="1303"/>
        <w:gridCol w:w="1305"/>
        <w:gridCol w:w="1305"/>
        <w:gridCol w:w="1305"/>
        <w:gridCol w:w="1305"/>
        <w:gridCol w:w="1305"/>
        <w:gridCol w:w="1305"/>
        <w:gridCol w:w="1305"/>
        <w:gridCol w:w="1297"/>
      </w:tblGrid>
      <w:tr w:rsidR="00496804" w14:paraId="45D05AA4" w14:textId="77777777">
        <w:trPr>
          <w:trHeight w:val="236"/>
          <w:jc w:val="center"/>
        </w:trPr>
        <w:tc>
          <w:tcPr>
            <w:tcW w:w="810" w:type="pct"/>
            <w:shd w:val="clear" w:color="auto" w:fill="FFCCA6" w:themeFill="accent5" w:themeFillTint="66"/>
            <w:vAlign w:val="center"/>
          </w:tcPr>
          <w:p w14:paraId="45D05A9A" w14:textId="77777777" w:rsidR="00496804" w:rsidRDefault="0037359D">
            <w:pPr>
              <w:spacing w:line="240" w:lineRule="auto"/>
              <w:jc w:val="left"/>
              <w:rPr>
                <w:rFonts w:ascii="Times New Roman" w:hAnsi="Times New Roman"/>
                <w:b/>
                <w:bCs/>
                <w:sz w:val="24"/>
              </w:rPr>
            </w:pPr>
            <w:r>
              <w:rPr>
                <w:rFonts w:ascii="Times New Roman" w:hAnsi="Times New Roman"/>
                <w:b/>
                <w:bCs/>
                <w:sz w:val="24"/>
              </w:rPr>
              <w:t>Godina</w:t>
            </w:r>
          </w:p>
        </w:tc>
        <w:tc>
          <w:tcPr>
            <w:tcW w:w="465" w:type="pct"/>
            <w:tcBorders>
              <w:bottom w:val="single" w:sz="4" w:space="0" w:color="auto"/>
            </w:tcBorders>
            <w:shd w:val="clear" w:color="auto" w:fill="FFCCA6" w:themeFill="accent5" w:themeFillTint="66"/>
            <w:vAlign w:val="center"/>
          </w:tcPr>
          <w:p w14:paraId="45D05A9B" w14:textId="77777777" w:rsidR="00496804" w:rsidRDefault="0037359D">
            <w:pPr>
              <w:spacing w:line="240" w:lineRule="auto"/>
              <w:jc w:val="right"/>
              <w:rPr>
                <w:rFonts w:ascii="Times New Roman" w:hAnsi="Times New Roman"/>
                <w:b/>
                <w:bCs/>
                <w:sz w:val="24"/>
              </w:rPr>
            </w:pPr>
            <w:r>
              <w:rPr>
                <w:rFonts w:ascii="Times New Roman" w:hAnsi="Times New Roman"/>
                <w:b/>
                <w:bCs/>
                <w:sz w:val="24"/>
              </w:rPr>
              <w:t>2010.</w:t>
            </w:r>
          </w:p>
        </w:tc>
        <w:tc>
          <w:tcPr>
            <w:tcW w:w="466" w:type="pct"/>
            <w:tcBorders>
              <w:bottom w:val="single" w:sz="4" w:space="0" w:color="auto"/>
            </w:tcBorders>
            <w:shd w:val="clear" w:color="auto" w:fill="FFCCA6" w:themeFill="accent5" w:themeFillTint="66"/>
            <w:vAlign w:val="center"/>
          </w:tcPr>
          <w:p w14:paraId="45D05A9C" w14:textId="77777777" w:rsidR="00496804" w:rsidRDefault="0037359D">
            <w:pPr>
              <w:spacing w:line="240" w:lineRule="auto"/>
              <w:jc w:val="right"/>
              <w:rPr>
                <w:rFonts w:ascii="Times New Roman" w:hAnsi="Times New Roman"/>
                <w:b/>
                <w:bCs/>
                <w:sz w:val="24"/>
              </w:rPr>
            </w:pPr>
            <w:r>
              <w:rPr>
                <w:rFonts w:ascii="Times New Roman" w:hAnsi="Times New Roman"/>
                <w:b/>
                <w:bCs/>
                <w:sz w:val="24"/>
              </w:rPr>
              <w:t>2011.</w:t>
            </w:r>
          </w:p>
        </w:tc>
        <w:tc>
          <w:tcPr>
            <w:tcW w:w="466" w:type="pct"/>
            <w:tcBorders>
              <w:bottom w:val="single" w:sz="4" w:space="0" w:color="auto"/>
            </w:tcBorders>
            <w:shd w:val="clear" w:color="auto" w:fill="FFCCA6" w:themeFill="accent5" w:themeFillTint="66"/>
            <w:vAlign w:val="center"/>
          </w:tcPr>
          <w:p w14:paraId="45D05A9D" w14:textId="77777777" w:rsidR="00496804" w:rsidRDefault="0037359D">
            <w:pPr>
              <w:spacing w:line="240" w:lineRule="auto"/>
              <w:jc w:val="right"/>
              <w:rPr>
                <w:rFonts w:ascii="Times New Roman" w:hAnsi="Times New Roman"/>
                <w:b/>
                <w:bCs/>
                <w:sz w:val="24"/>
              </w:rPr>
            </w:pPr>
            <w:r>
              <w:rPr>
                <w:rFonts w:ascii="Times New Roman" w:hAnsi="Times New Roman"/>
                <w:b/>
                <w:bCs/>
                <w:sz w:val="24"/>
              </w:rPr>
              <w:t>2012.</w:t>
            </w:r>
          </w:p>
        </w:tc>
        <w:tc>
          <w:tcPr>
            <w:tcW w:w="466" w:type="pct"/>
            <w:tcBorders>
              <w:bottom w:val="single" w:sz="4" w:space="0" w:color="auto"/>
            </w:tcBorders>
            <w:shd w:val="clear" w:color="auto" w:fill="FFCCA6" w:themeFill="accent5" w:themeFillTint="66"/>
            <w:vAlign w:val="center"/>
          </w:tcPr>
          <w:p w14:paraId="45D05A9E" w14:textId="77777777" w:rsidR="00496804" w:rsidRDefault="0037359D">
            <w:pPr>
              <w:spacing w:line="240" w:lineRule="auto"/>
              <w:jc w:val="right"/>
              <w:rPr>
                <w:rFonts w:ascii="Times New Roman" w:hAnsi="Times New Roman"/>
                <w:b/>
                <w:bCs/>
                <w:sz w:val="24"/>
              </w:rPr>
            </w:pPr>
            <w:r>
              <w:rPr>
                <w:rFonts w:ascii="Times New Roman" w:hAnsi="Times New Roman"/>
                <w:b/>
                <w:bCs/>
                <w:sz w:val="24"/>
              </w:rPr>
              <w:t>2013.</w:t>
            </w:r>
          </w:p>
        </w:tc>
        <w:tc>
          <w:tcPr>
            <w:tcW w:w="466" w:type="pct"/>
            <w:tcBorders>
              <w:bottom w:val="single" w:sz="4" w:space="0" w:color="auto"/>
            </w:tcBorders>
            <w:shd w:val="clear" w:color="auto" w:fill="FFCCA6" w:themeFill="accent5" w:themeFillTint="66"/>
            <w:vAlign w:val="center"/>
          </w:tcPr>
          <w:p w14:paraId="45D05A9F" w14:textId="77777777" w:rsidR="00496804" w:rsidRDefault="0037359D">
            <w:pPr>
              <w:spacing w:line="240" w:lineRule="auto"/>
              <w:jc w:val="right"/>
              <w:rPr>
                <w:rFonts w:ascii="Times New Roman" w:hAnsi="Times New Roman"/>
                <w:b/>
                <w:bCs/>
                <w:sz w:val="24"/>
              </w:rPr>
            </w:pPr>
            <w:r>
              <w:rPr>
                <w:rFonts w:ascii="Times New Roman" w:hAnsi="Times New Roman"/>
                <w:b/>
                <w:bCs/>
                <w:sz w:val="24"/>
              </w:rPr>
              <w:t>2014.</w:t>
            </w:r>
          </w:p>
        </w:tc>
        <w:tc>
          <w:tcPr>
            <w:tcW w:w="466" w:type="pct"/>
            <w:tcBorders>
              <w:bottom w:val="single" w:sz="4" w:space="0" w:color="auto"/>
            </w:tcBorders>
            <w:shd w:val="clear" w:color="auto" w:fill="FFCCA6" w:themeFill="accent5" w:themeFillTint="66"/>
            <w:vAlign w:val="center"/>
          </w:tcPr>
          <w:p w14:paraId="45D05AA0" w14:textId="77777777" w:rsidR="00496804" w:rsidRDefault="0037359D">
            <w:pPr>
              <w:spacing w:line="240" w:lineRule="auto"/>
              <w:jc w:val="right"/>
              <w:rPr>
                <w:rFonts w:ascii="Times New Roman" w:hAnsi="Times New Roman"/>
                <w:b/>
                <w:bCs/>
                <w:sz w:val="24"/>
              </w:rPr>
            </w:pPr>
            <w:r>
              <w:rPr>
                <w:rFonts w:ascii="Times New Roman" w:hAnsi="Times New Roman"/>
                <w:b/>
                <w:bCs/>
                <w:sz w:val="24"/>
              </w:rPr>
              <w:t>2015.</w:t>
            </w:r>
          </w:p>
        </w:tc>
        <w:tc>
          <w:tcPr>
            <w:tcW w:w="466" w:type="pct"/>
            <w:tcBorders>
              <w:bottom w:val="single" w:sz="4" w:space="0" w:color="auto"/>
            </w:tcBorders>
            <w:shd w:val="clear" w:color="auto" w:fill="FFCCA6" w:themeFill="accent5" w:themeFillTint="66"/>
            <w:vAlign w:val="center"/>
          </w:tcPr>
          <w:p w14:paraId="45D05AA1" w14:textId="77777777" w:rsidR="00496804" w:rsidRDefault="0037359D">
            <w:pPr>
              <w:spacing w:line="240" w:lineRule="auto"/>
              <w:jc w:val="right"/>
              <w:rPr>
                <w:rFonts w:ascii="Times New Roman" w:hAnsi="Times New Roman"/>
                <w:b/>
                <w:bCs/>
                <w:sz w:val="24"/>
              </w:rPr>
            </w:pPr>
            <w:r>
              <w:rPr>
                <w:rFonts w:ascii="Times New Roman" w:hAnsi="Times New Roman"/>
                <w:b/>
                <w:bCs/>
                <w:sz w:val="24"/>
              </w:rPr>
              <w:t>2016.</w:t>
            </w:r>
          </w:p>
        </w:tc>
        <w:tc>
          <w:tcPr>
            <w:tcW w:w="466" w:type="pct"/>
            <w:tcBorders>
              <w:bottom w:val="single" w:sz="4" w:space="0" w:color="auto"/>
            </w:tcBorders>
            <w:shd w:val="clear" w:color="auto" w:fill="FFCCA6" w:themeFill="accent5" w:themeFillTint="66"/>
            <w:vAlign w:val="center"/>
          </w:tcPr>
          <w:p w14:paraId="45D05AA2" w14:textId="77777777" w:rsidR="00496804" w:rsidRDefault="0037359D">
            <w:pPr>
              <w:spacing w:line="240" w:lineRule="auto"/>
              <w:jc w:val="right"/>
              <w:rPr>
                <w:rFonts w:ascii="Times New Roman" w:hAnsi="Times New Roman"/>
                <w:b/>
                <w:bCs/>
                <w:sz w:val="24"/>
              </w:rPr>
            </w:pPr>
            <w:r>
              <w:rPr>
                <w:rFonts w:ascii="Times New Roman" w:hAnsi="Times New Roman"/>
                <w:b/>
                <w:bCs/>
                <w:sz w:val="24"/>
              </w:rPr>
              <w:t>2017.</w:t>
            </w:r>
          </w:p>
        </w:tc>
        <w:tc>
          <w:tcPr>
            <w:tcW w:w="466" w:type="pct"/>
            <w:tcBorders>
              <w:bottom w:val="single" w:sz="4" w:space="0" w:color="auto"/>
            </w:tcBorders>
            <w:shd w:val="clear" w:color="auto" w:fill="FFCCA6" w:themeFill="accent5" w:themeFillTint="66"/>
            <w:vAlign w:val="center"/>
          </w:tcPr>
          <w:p w14:paraId="45D05AA3" w14:textId="77777777" w:rsidR="00496804" w:rsidRDefault="0037359D">
            <w:pPr>
              <w:spacing w:line="240" w:lineRule="auto"/>
              <w:jc w:val="right"/>
              <w:rPr>
                <w:rFonts w:ascii="Times New Roman" w:hAnsi="Times New Roman"/>
                <w:b/>
                <w:bCs/>
                <w:sz w:val="24"/>
              </w:rPr>
            </w:pPr>
            <w:r>
              <w:rPr>
                <w:rFonts w:ascii="Times New Roman" w:hAnsi="Times New Roman"/>
                <w:b/>
                <w:bCs/>
                <w:sz w:val="24"/>
              </w:rPr>
              <w:t>2018.</w:t>
            </w:r>
          </w:p>
        </w:tc>
      </w:tr>
      <w:tr w:rsidR="00496804" w14:paraId="45D05AAF" w14:textId="77777777">
        <w:trPr>
          <w:trHeight w:val="463"/>
          <w:jc w:val="center"/>
        </w:trPr>
        <w:tc>
          <w:tcPr>
            <w:tcW w:w="810" w:type="pct"/>
            <w:shd w:val="clear" w:color="auto" w:fill="FFCCA6" w:themeFill="accent5" w:themeFillTint="66"/>
            <w:vAlign w:val="center"/>
          </w:tcPr>
          <w:p w14:paraId="45D05AA5" w14:textId="77777777" w:rsidR="00496804" w:rsidRDefault="0037359D">
            <w:pPr>
              <w:spacing w:line="240" w:lineRule="auto"/>
              <w:jc w:val="left"/>
              <w:rPr>
                <w:rFonts w:ascii="Times New Roman" w:hAnsi="Times New Roman"/>
                <w:sz w:val="24"/>
              </w:rPr>
            </w:pPr>
            <w:r>
              <w:rPr>
                <w:rFonts w:ascii="Times New Roman" w:hAnsi="Times New Roman"/>
                <w:sz w:val="24"/>
              </w:rPr>
              <w:t xml:space="preserve">Br. izdanih građevnih dozvola </w:t>
            </w:r>
          </w:p>
        </w:tc>
        <w:tc>
          <w:tcPr>
            <w:tcW w:w="465" w:type="pct"/>
            <w:shd w:val="clear" w:color="auto" w:fill="auto"/>
            <w:vAlign w:val="center"/>
          </w:tcPr>
          <w:p w14:paraId="45D05AA6"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10.087 </w:t>
            </w:r>
          </w:p>
        </w:tc>
        <w:tc>
          <w:tcPr>
            <w:tcW w:w="466" w:type="pct"/>
            <w:shd w:val="clear" w:color="auto" w:fill="auto"/>
            <w:vAlign w:val="center"/>
          </w:tcPr>
          <w:p w14:paraId="45D05AA7"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9.601 </w:t>
            </w:r>
          </w:p>
        </w:tc>
        <w:tc>
          <w:tcPr>
            <w:tcW w:w="466" w:type="pct"/>
            <w:shd w:val="clear" w:color="auto" w:fill="auto"/>
            <w:vAlign w:val="center"/>
          </w:tcPr>
          <w:p w14:paraId="45D05AA8"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8.330 </w:t>
            </w:r>
          </w:p>
        </w:tc>
        <w:tc>
          <w:tcPr>
            <w:tcW w:w="466" w:type="pct"/>
            <w:shd w:val="clear" w:color="auto" w:fill="auto"/>
            <w:vAlign w:val="center"/>
          </w:tcPr>
          <w:p w14:paraId="45D05AA9"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6.687 </w:t>
            </w:r>
          </w:p>
        </w:tc>
        <w:tc>
          <w:tcPr>
            <w:tcW w:w="466" w:type="pct"/>
            <w:shd w:val="clear" w:color="auto" w:fill="auto"/>
            <w:vAlign w:val="center"/>
          </w:tcPr>
          <w:p w14:paraId="45D05AAA"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6.589 </w:t>
            </w:r>
          </w:p>
        </w:tc>
        <w:tc>
          <w:tcPr>
            <w:tcW w:w="466" w:type="pct"/>
            <w:shd w:val="clear" w:color="auto" w:fill="auto"/>
            <w:vAlign w:val="center"/>
          </w:tcPr>
          <w:p w14:paraId="45D05AAB"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6.328 </w:t>
            </w:r>
          </w:p>
        </w:tc>
        <w:tc>
          <w:tcPr>
            <w:tcW w:w="466" w:type="pct"/>
            <w:shd w:val="clear" w:color="auto" w:fill="auto"/>
            <w:vAlign w:val="center"/>
          </w:tcPr>
          <w:p w14:paraId="45D05AAC"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8018 </w:t>
            </w:r>
          </w:p>
        </w:tc>
        <w:tc>
          <w:tcPr>
            <w:tcW w:w="466" w:type="pct"/>
            <w:shd w:val="clear" w:color="auto" w:fill="auto"/>
            <w:vAlign w:val="center"/>
          </w:tcPr>
          <w:p w14:paraId="45D05AAD"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9.418 </w:t>
            </w:r>
          </w:p>
        </w:tc>
        <w:tc>
          <w:tcPr>
            <w:tcW w:w="466" w:type="pct"/>
            <w:vAlign w:val="center"/>
          </w:tcPr>
          <w:p w14:paraId="45D05AAE" w14:textId="77777777" w:rsidR="00496804" w:rsidRDefault="0037359D">
            <w:pPr>
              <w:spacing w:line="240" w:lineRule="auto"/>
              <w:jc w:val="right"/>
              <w:rPr>
                <w:rFonts w:ascii="Times New Roman" w:hAnsi="Times New Roman"/>
                <w:sz w:val="24"/>
              </w:rPr>
            </w:pPr>
            <w:r>
              <w:rPr>
                <w:rFonts w:ascii="Times New Roman" w:hAnsi="Times New Roman"/>
                <w:sz w:val="24"/>
              </w:rPr>
              <w:t>9 406</w:t>
            </w:r>
          </w:p>
        </w:tc>
      </w:tr>
      <w:tr w:rsidR="00496804" w14:paraId="45D05ABA" w14:textId="77777777">
        <w:trPr>
          <w:trHeight w:val="938"/>
          <w:jc w:val="center"/>
        </w:trPr>
        <w:tc>
          <w:tcPr>
            <w:tcW w:w="810" w:type="pct"/>
            <w:shd w:val="clear" w:color="auto" w:fill="FFCCA6" w:themeFill="accent5" w:themeFillTint="66"/>
            <w:vAlign w:val="center"/>
          </w:tcPr>
          <w:p w14:paraId="45D05AB0" w14:textId="77777777" w:rsidR="00496804" w:rsidRDefault="0037359D">
            <w:pPr>
              <w:spacing w:line="240" w:lineRule="auto"/>
              <w:jc w:val="left"/>
              <w:rPr>
                <w:rFonts w:ascii="Times New Roman" w:hAnsi="Times New Roman"/>
                <w:sz w:val="24"/>
              </w:rPr>
            </w:pPr>
            <w:r>
              <w:rPr>
                <w:rFonts w:ascii="Times New Roman" w:hAnsi="Times New Roman"/>
                <w:sz w:val="24"/>
              </w:rPr>
              <w:t xml:space="preserve">Predviđena vrijednost građevinskih radova, tis. kn </w:t>
            </w:r>
          </w:p>
        </w:tc>
        <w:tc>
          <w:tcPr>
            <w:tcW w:w="465" w:type="pct"/>
            <w:shd w:val="clear" w:color="auto" w:fill="auto"/>
            <w:vAlign w:val="center"/>
          </w:tcPr>
          <w:p w14:paraId="45D05AB1"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296,369.03 </w:t>
            </w:r>
          </w:p>
        </w:tc>
        <w:tc>
          <w:tcPr>
            <w:tcW w:w="466" w:type="pct"/>
            <w:shd w:val="clear" w:color="auto" w:fill="auto"/>
            <w:vAlign w:val="center"/>
          </w:tcPr>
          <w:p w14:paraId="45D05AB2"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24,356.575 </w:t>
            </w:r>
          </w:p>
        </w:tc>
        <w:tc>
          <w:tcPr>
            <w:tcW w:w="466" w:type="pct"/>
            <w:shd w:val="clear" w:color="auto" w:fill="auto"/>
            <w:vAlign w:val="center"/>
          </w:tcPr>
          <w:p w14:paraId="45D05AB3"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21269.258 </w:t>
            </w:r>
          </w:p>
        </w:tc>
        <w:tc>
          <w:tcPr>
            <w:tcW w:w="466" w:type="pct"/>
            <w:shd w:val="clear" w:color="auto" w:fill="auto"/>
            <w:vAlign w:val="center"/>
          </w:tcPr>
          <w:p w14:paraId="45D05AB4"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18,671.984 </w:t>
            </w:r>
          </w:p>
        </w:tc>
        <w:tc>
          <w:tcPr>
            <w:tcW w:w="466" w:type="pct"/>
            <w:shd w:val="clear" w:color="auto" w:fill="auto"/>
            <w:vAlign w:val="center"/>
          </w:tcPr>
          <w:p w14:paraId="45D05AB5"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20,208.464 </w:t>
            </w:r>
          </w:p>
        </w:tc>
        <w:tc>
          <w:tcPr>
            <w:tcW w:w="466" w:type="pct"/>
            <w:shd w:val="clear" w:color="auto" w:fill="auto"/>
            <w:vAlign w:val="center"/>
          </w:tcPr>
          <w:p w14:paraId="45D05AB6"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20,865.728 </w:t>
            </w:r>
          </w:p>
        </w:tc>
        <w:tc>
          <w:tcPr>
            <w:tcW w:w="466" w:type="pct"/>
            <w:shd w:val="clear" w:color="auto" w:fill="auto"/>
            <w:vAlign w:val="center"/>
          </w:tcPr>
          <w:p w14:paraId="45D05AB7"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23,312.687 </w:t>
            </w:r>
          </w:p>
        </w:tc>
        <w:tc>
          <w:tcPr>
            <w:tcW w:w="466" w:type="pct"/>
            <w:shd w:val="clear" w:color="auto" w:fill="auto"/>
            <w:vAlign w:val="center"/>
          </w:tcPr>
          <w:p w14:paraId="45D05AB8"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26,016.434 </w:t>
            </w:r>
          </w:p>
        </w:tc>
        <w:tc>
          <w:tcPr>
            <w:tcW w:w="466" w:type="pct"/>
            <w:vAlign w:val="center"/>
          </w:tcPr>
          <w:p w14:paraId="45D05AB9" w14:textId="77777777" w:rsidR="00496804" w:rsidRDefault="0037359D">
            <w:pPr>
              <w:spacing w:line="240" w:lineRule="auto"/>
              <w:jc w:val="right"/>
              <w:rPr>
                <w:rFonts w:ascii="Times New Roman" w:hAnsi="Times New Roman"/>
                <w:sz w:val="24"/>
              </w:rPr>
            </w:pPr>
            <w:r>
              <w:rPr>
                <w:rFonts w:ascii="Times New Roman" w:hAnsi="Times New Roman"/>
                <w:sz w:val="24"/>
              </w:rPr>
              <w:t>28,428.158</w:t>
            </w:r>
          </w:p>
        </w:tc>
      </w:tr>
      <w:tr w:rsidR="00496804" w14:paraId="45D05AC5" w14:textId="77777777">
        <w:trPr>
          <w:trHeight w:val="949"/>
          <w:jc w:val="center"/>
        </w:trPr>
        <w:tc>
          <w:tcPr>
            <w:tcW w:w="810" w:type="pct"/>
            <w:shd w:val="clear" w:color="auto" w:fill="FFCCA6" w:themeFill="accent5" w:themeFillTint="66"/>
            <w:vAlign w:val="center"/>
          </w:tcPr>
          <w:p w14:paraId="45D05ABB" w14:textId="77777777" w:rsidR="00496804" w:rsidRDefault="0037359D">
            <w:pPr>
              <w:spacing w:line="240" w:lineRule="auto"/>
              <w:jc w:val="left"/>
              <w:rPr>
                <w:rFonts w:ascii="Times New Roman" w:hAnsi="Times New Roman"/>
                <w:sz w:val="24"/>
              </w:rPr>
            </w:pPr>
            <w:r>
              <w:rPr>
                <w:rFonts w:ascii="Times New Roman" w:hAnsi="Times New Roman"/>
                <w:sz w:val="24"/>
              </w:rPr>
              <w:t xml:space="preserve">Vrijednost izvršenih građevinskih radova, tis. kn </w:t>
            </w:r>
          </w:p>
        </w:tc>
        <w:tc>
          <w:tcPr>
            <w:tcW w:w="465" w:type="pct"/>
            <w:shd w:val="clear" w:color="auto" w:fill="auto"/>
            <w:vAlign w:val="center"/>
          </w:tcPr>
          <w:p w14:paraId="45D05ABC"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17,866.247 </w:t>
            </w:r>
          </w:p>
        </w:tc>
        <w:tc>
          <w:tcPr>
            <w:tcW w:w="466" w:type="pct"/>
            <w:shd w:val="clear" w:color="auto" w:fill="auto"/>
            <w:vAlign w:val="center"/>
          </w:tcPr>
          <w:p w14:paraId="45D05ABD"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16,783.675 </w:t>
            </w:r>
          </w:p>
        </w:tc>
        <w:tc>
          <w:tcPr>
            <w:tcW w:w="466" w:type="pct"/>
            <w:shd w:val="clear" w:color="auto" w:fill="auto"/>
            <w:vAlign w:val="center"/>
          </w:tcPr>
          <w:p w14:paraId="45D05ABE"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15,976.215 </w:t>
            </w:r>
          </w:p>
        </w:tc>
        <w:tc>
          <w:tcPr>
            <w:tcW w:w="466" w:type="pct"/>
            <w:shd w:val="clear" w:color="auto" w:fill="auto"/>
            <w:vAlign w:val="center"/>
          </w:tcPr>
          <w:p w14:paraId="45D05ABF"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15,091.225 </w:t>
            </w:r>
          </w:p>
        </w:tc>
        <w:tc>
          <w:tcPr>
            <w:tcW w:w="466" w:type="pct"/>
            <w:shd w:val="clear" w:color="auto" w:fill="auto"/>
            <w:vAlign w:val="center"/>
          </w:tcPr>
          <w:p w14:paraId="45D05AC0"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14,090.716 </w:t>
            </w:r>
          </w:p>
        </w:tc>
        <w:tc>
          <w:tcPr>
            <w:tcW w:w="466" w:type="pct"/>
            <w:shd w:val="clear" w:color="auto" w:fill="auto"/>
            <w:vAlign w:val="center"/>
          </w:tcPr>
          <w:p w14:paraId="45D05AC1"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15,147.581 </w:t>
            </w:r>
          </w:p>
        </w:tc>
        <w:tc>
          <w:tcPr>
            <w:tcW w:w="466" w:type="pct"/>
            <w:shd w:val="clear" w:color="auto" w:fill="auto"/>
            <w:vAlign w:val="center"/>
          </w:tcPr>
          <w:p w14:paraId="45D05AC2"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15,842.907 </w:t>
            </w:r>
          </w:p>
        </w:tc>
        <w:tc>
          <w:tcPr>
            <w:tcW w:w="466" w:type="pct"/>
            <w:shd w:val="clear" w:color="auto" w:fill="auto"/>
            <w:vAlign w:val="center"/>
          </w:tcPr>
          <w:p w14:paraId="45D05AC3"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16,238.980  </w:t>
            </w:r>
          </w:p>
        </w:tc>
        <w:tc>
          <w:tcPr>
            <w:tcW w:w="466" w:type="pct"/>
            <w:vAlign w:val="center"/>
          </w:tcPr>
          <w:p w14:paraId="45D05AC4" w14:textId="77777777" w:rsidR="00496804" w:rsidRDefault="0037359D">
            <w:pPr>
              <w:spacing w:line="240" w:lineRule="auto"/>
              <w:jc w:val="right"/>
              <w:rPr>
                <w:rFonts w:ascii="Times New Roman" w:hAnsi="Times New Roman"/>
                <w:sz w:val="24"/>
              </w:rPr>
            </w:pPr>
            <w:r>
              <w:rPr>
                <w:rFonts w:ascii="Times New Roman" w:hAnsi="Times New Roman"/>
                <w:sz w:val="24"/>
              </w:rPr>
              <w:t>17,699.715</w:t>
            </w:r>
          </w:p>
        </w:tc>
      </w:tr>
      <w:tr w:rsidR="00496804" w14:paraId="45D05AD0" w14:textId="77777777">
        <w:trPr>
          <w:trHeight w:val="938"/>
          <w:jc w:val="center"/>
        </w:trPr>
        <w:tc>
          <w:tcPr>
            <w:tcW w:w="810" w:type="pct"/>
            <w:shd w:val="clear" w:color="auto" w:fill="FFCCA6" w:themeFill="accent5" w:themeFillTint="66"/>
            <w:vAlign w:val="center"/>
          </w:tcPr>
          <w:p w14:paraId="45D05AC6" w14:textId="77777777" w:rsidR="00496804" w:rsidRDefault="0037359D">
            <w:pPr>
              <w:spacing w:line="240" w:lineRule="auto"/>
              <w:jc w:val="left"/>
              <w:rPr>
                <w:rFonts w:ascii="Times New Roman" w:hAnsi="Times New Roman"/>
                <w:sz w:val="24"/>
              </w:rPr>
            </w:pPr>
            <w:r>
              <w:rPr>
                <w:rFonts w:ascii="Times New Roman" w:hAnsi="Times New Roman"/>
                <w:sz w:val="24"/>
              </w:rPr>
              <w:t>Površina zgrade za koju je izdana građev. dozvola (m</w:t>
            </w:r>
            <w:r>
              <w:rPr>
                <w:rFonts w:ascii="Times New Roman" w:hAnsi="Times New Roman"/>
                <w:sz w:val="24"/>
                <w:vertAlign w:val="superscript"/>
              </w:rPr>
              <w:t>2</w:t>
            </w:r>
            <w:r>
              <w:rPr>
                <w:rFonts w:ascii="Times New Roman" w:hAnsi="Times New Roman"/>
                <w:sz w:val="24"/>
              </w:rPr>
              <w:t xml:space="preserve">) </w:t>
            </w:r>
          </w:p>
        </w:tc>
        <w:tc>
          <w:tcPr>
            <w:tcW w:w="465" w:type="pct"/>
            <w:shd w:val="clear" w:color="auto" w:fill="auto"/>
            <w:vAlign w:val="center"/>
          </w:tcPr>
          <w:p w14:paraId="45D05AC7"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3,495.567 </w:t>
            </w:r>
          </w:p>
        </w:tc>
        <w:tc>
          <w:tcPr>
            <w:tcW w:w="466" w:type="pct"/>
            <w:shd w:val="clear" w:color="auto" w:fill="auto"/>
            <w:vAlign w:val="center"/>
          </w:tcPr>
          <w:p w14:paraId="45D05AC8"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2,798.345 </w:t>
            </w:r>
          </w:p>
        </w:tc>
        <w:tc>
          <w:tcPr>
            <w:tcW w:w="466" w:type="pct"/>
            <w:shd w:val="clear" w:color="auto" w:fill="auto"/>
            <w:vAlign w:val="center"/>
          </w:tcPr>
          <w:p w14:paraId="45D05AC9"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2,151.516 </w:t>
            </w:r>
          </w:p>
        </w:tc>
        <w:tc>
          <w:tcPr>
            <w:tcW w:w="466" w:type="pct"/>
            <w:shd w:val="clear" w:color="auto" w:fill="auto"/>
            <w:vAlign w:val="center"/>
          </w:tcPr>
          <w:p w14:paraId="45D05ACA"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1,730.362 </w:t>
            </w:r>
          </w:p>
        </w:tc>
        <w:tc>
          <w:tcPr>
            <w:tcW w:w="466" w:type="pct"/>
            <w:shd w:val="clear" w:color="auto" w:fill="auto"/>
            <w:vAlign w:val="center"/>
          </w:tcPr>
          <w:p w14:paraId="45D05ACB"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1,933.672 </w:t>
            </w:r>
          </w:p>
        </w:tc>
        <w:tc>
          <w:tcPr>
            <w:tcW w:w="466" w:type="pct"/>
            <w:shd w:val="clear" w:color="auto" w:fill="auto"/>
            <w:vAlign w:val="center"/>
          </w:tcPr>
          <w:p w14:paraId="45D05ACC"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2,487.012 </w:t>
            </w:r>
          </w:p>
        </w:tc>
        <w:tc>
          <w:tcPr>
            <w:tcW w:w="466" w:type="pct"/>
            <w:shd w:val="clear" w:color="auto" w:fill="auto"/>
            <w:vAlign w:val="center"/>
          </w:tcPr>
          <w:p w14:paraId="45D05ACD"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2,635.237 </w:t>
            </w:r>
          </w:p>
        </w:tc>
        <w:tc>
          <w:tcPr>
            <w:tcW w:w="466" w:type="pct"/>
            <w:shd w:val="clear" w:color="auto" w:fill="auto"/>
            <w:vAlign w:val="center"/>
          </w:tcPr>
          <w:p w14:paraId="45D05ACE" w14:textId="77777777" w:rsidR="00496804" w:rsidRDefault="0037359D">
            <w:pPr>
              <w:spacing w:line="240" w:lineRule="auto"/>
              <w:jc w:val="right"/>
              <w:rPr>
                <w:rFonts w:ascii="Times New Roman" w:hAnsi="Times New Roman"/>
                <w:sz w:val="24"/>
              </w:rPr>
            </w:pPr>
            <w:r>
              <w:rPr>
                <w:rFonts w:ascii="Times New Roman" w:hAnsi="Times New Roman"/>
                <w:sz w:val="24"/>
              </w:rPr>
              <w:t>2,948.552</w:t>
            </w:r>
          </w:p>
        </w:tc>
        <w:tc>
          <w:tcPr>
            <w:tcW w:w="466" w:type="pct"/>
            <w:vAlign w:val="center"/>
          </w:tcPr>
          <w:p w14:paraId="45D05ACF" w14:textId="77777777" w:rsidR="00496804" w:rsidRDefault="0037359D">
            <w:pPr>
              <w:spacing w:line="240" w:lineRule="auto"/>
              <w:jc w:val="right"/>
              <w:rPr>
                <w:rFonts w:ascii="Times New Roman" w:hAnsi="Times New Roman"/>
                <w:sz w:val="24"/>
              </w:rPr>
            </w:pPr>
            <w:r>
              <w:rPr>
                <w:rFonts w:ascii="Times New Roman" w:hAnsi="Times New Roman"/>
                <w:sz w:val="24"/>
              </w:rPr>
              <w:t>2,660.114</w:t>
            </w:r>
          </w:p>
        </w:tc>
      </w:tr>
      <w:tr w:rsidR="00496804" w14:paraId="45D05ADB" w14:textId="77777777">
        <w:trPr>
          <w:trHeight w:val="463"/>
          <w:jc w:val="center"/>
        </w:trPr>
        <w:tc>
          <w:tcPr>
            <w:tcW w:w="810" w:type="pct"/>
            <w:shd w:val="clear" w:color="auto" w:fill="FFCCA6" w:themeFill="accent5" w:themeFillTint="66"/>
            <w:vAlign w:val="center"/>
          </w:tcPr>
          <w:p w14:paraId="45D05AD1" w14:textId="77777777" w:rsidR="00496804" w:rsidRDefault="0037359D">
            <w:pPr>
              <w:spacing w:line="240" w:lineRule="auto"/>
              <w:jc w:val="left"/>
              <w:rPr>
                <w:rFonts w:ascii="Times New Roman" w:hAnsi="Times New Roman"/>
                <w:b/>
                <w:bCs/>
                <w:sz w:val="24"/>
              </w:rPr>
            </w:pPr>
            <w:r>
              <w:rPr>
                <w:rFonts w:ascii="Times New Roman" w:hAnsi="Times New Roman"/>
                <w:b/>
                <w:bCs/>
                <w:sz w:val="24"/>
              </w:rPr>
              <w:t>Završene zgrade, površina (m</w:t>
            </w:r>
            <w:r>
              <w:rPr>
                <w:rFonts w:ascii="Times New Roman" w:hAnsi="Times New Roman"/>
                <w:b/>
                <w:bCs/>
                <w:sz w:val="24"/>
                <w:vertAlign w:val="superscript"/>
              </w:rPr>
              <w:t>2</w:t>
            </w:r>
            <w:r>
              <w:rPr>
                <w:rFonts w:ascii="Times New Roman" w:hAnsi="Times New Roman"/>
                <w:b/>
                <w:bCs/>
                <w:sz w:val="24"/>
              </w:rPr>
              <w:t>)</w:t>
            </w:r>
          </w:p>
        </w:tc>
        <w:tc>
          <w:tcPr>
            <w:tcW w:w="465" w:type="pct"/>
            <w:shd w:val="clear" w:color="auto" w:fill="auto"/>
            <w:vAlign w:val="center"/>
          </w:tcPr>
          <w:p w14:paraId="45D05AD2" w14:textId="77777777" w:rsidR="00496804" w:rsidRDefault="0037359D">
            <w:pPr>
              <w:spacing w:line="240" w:lineRule="auto"/>
              <w:jc w:val="right"/>
              <w:rPr>
                <w:rFonts w:ascii="Times New Roman" w:hAnsi="Times New Roman"/>
                <w:b/>
                <w:bCs/>
                <w:sz w:val="24"/>
              </w:rPr>
            </w:pPr>
            <w:r>
              <w:rPr>
                <w:rFonts w:ascii="Times New Roman" w:hAnsi="Times New Roman"/>
                <w:b/>
                <w:bCs/>
                <w:sz w:val="24"/>
              </w:rPr>
              <w:t xml:space="preserve">3,352.329 </w:t>
            </w:r>
          </w:p>
        </w:tc>
        <w:tc>
          <w:tcPr>
            <w:tcW w:w="466" w:type="pct"/>
            <w:shd w:val="clear" w:color="auto" w:fill="auto"/>
            <w:vAlign w:val="center"/>
          </w:tcPr>
          <w:p w14:paraId="45D05AD3" w14:textId="77777777" w:rsidR="00496804" w:rsidRDefault="0037359D">
            <w:pPr>
              <w:spacing w:line="240" w:lineRule="auto"/>
              <w:jc w:val="right"/>
              <w:rPr>
                <w:rFonts w:ascii="Times New Roman" w:hAnsi="Times New Roman"/>
                <w:b/>
                <w:bCs/>
                <w:sz w:val="24"/>
              </w:rPr>
            </w:pPr>
            <w:r>
              <w:rPr>
                <w:rFonts w:ascii="Times New Roman" w:hAnsi="Times New Roman"/>
                <w:b/>
                <w:bCs/>
                <w:sz w:val="24"/>
              </w:rPr>
              <w:t xml:space="preserve">2,660.604 </w:t>
            </w:r>
          </w:p>
        </w:tc>
        <w:tc>
          <w:tcPr>
            <w:tcW w:w="466" w:type="pct"/>
            <w:shd w:val="clear" w:color="auto" w:fill="auto"/>
            <w:vAlign w:val="center"/>
          </w:tcPr>
          <w:p w14:paraId="45D05AD4" w14:textId="77777777" w:rsidR="00496804" w:rsidRDefault="0037359D">
            <w:pPr>
              <w:spacing w:line="240" w:lineRule="auto"/>
              <w:jc w:val="right"/>
              <w:rPr>
                <w:rFonts w:ascii="Times New Roman" w:hAnsi="Times New Roman"/>
                <w:b/>
                <w:bCs/>
                <w:sz w:val="24"/>
              </w:rPr>
            </w:pPr>
            <w:r>
              <w:rPr>
                <w:rFonts w:ascii="Times New Roman" w:hAnsi="Times New Roman"/>
                <w:b/>
                <w:bCs/>
                <w:sz w:val="24"/>
              </w:rPr>
              <w:t xml:space="preserve">26,90.013 </w:t>
            </w:r>
          </w:p>
        </w:tc>
        <w:tc>
          <w:tcPr>
            <w:tcW w:w="466" w:type="pct"/>
            <w:shd w:val="clear" w:color="auto" w:fill="auto"/>
            <w:vAlign w:val="center"/>
          </w:tcPr>
          <w:p w14:paraId="45D05AD5" w14:textId="77777777" w:rsidR="00496804" w:rsidRDefault="0037359D">
            <w:pPr>
              <w:spacing w:line="240" w:lineRule="auto"/>
              <w:jc w:val="right"/>
              <w:rPr>
                <w:rFonts w:ascii="Times New Roman" w:hAnsi="Times New Roman"/>
                <w:b/>
                <w:bCs/>
                <w:sz w:val="24"/>
              </w:rPr>
            </w:pPr>
            <w:r>
              <w:rPr>
                <w:rFonts w:ascii="Times New Roman" w:hAnsi="Times New Roman"/>
                <w:b/>
                <w:bCs/>
                <w:sz w:val="24"/>
              </w:rPr>
              <w:t xml:space="preserve">1,943.383 </w:t>
            </w:r>
          </w:p>
        </w:tc>
        <w:tc>
          <w:tcPr>
            <w:tcW w:w="466" w:type="pct"/>
            <w:shd w:val="clear" w:color="auto" w:fill="auto"/>
            <w:vAlign w:val="center"/>
          </w:tcPr>
          <w:p w14:paraId="45D05AD6" w14:textId="77777777" w:rsidR="00496804" w:rsidRDefault="0037359D">
            <w:pPr>
              <w:spacing w:line="240" w:lineRule="auto"/>
              <w:jc w:val="right"/>
              <w:rPr>
                <w:rFonts w:ascii="Times New Roman" w:hAnsi="Times New Roman"/>
                <w:b/>
                <w:bCs/>
                <w:sz w:val="24"/>
              </w:rPr>
            </w:pPr>
            <w:r>
              <w:rPr>
                <w:rFonts w:ascii="Times New Roman" w:hAnsi="Times New Roman"/>
                <w:b/>
                <w:bCs/>
                <w:sz w:val="24"/>
              </w:rPr>
              <w:t xml:space="preserve">1,658.467 </w:t>
            </w:r>
          </w:p>
        </w:tc>
        <w:tc>
          <w:tcPr>
            <w:tcW w:w="466" w:type="pct"/>
            <w:shd w:val="clear" w:color="auto" w:fill="auto"/>
            <w:vAlign w:val="center"/>
          </w:tcPr>
          <w:p w14:paraId="45D05AD7" w14:textId="77777777" w:rsidR="00496804" w:rsidRDefault="0037359D">
            <w:pPr>
              <w:spacing w:line="240" w:lineRule="auto"/>
              <w:jc w:val="right"/>
              <w:rPr>
                <w:rFonts w:ascii="Times New Roman" w:hAnsi="Times New Roman"/>
                <w:b/>
                <w:bCs/>
                <w:sz w:val="24"/>
              </w:rPr>
            </w:pPr>
            <w:r>
              <w:rPr>
                <w:rFonts w:ascii="Times New Roman" w:hAnsi="Times New Roman"/>
                <w:b/>
                <w:bCs/>
                <w:sz w:val="24"/>
              </w:rPr>
              <w:t xml:space="preserve">1,898.127 </w:t>
            </w:r>
          </w:p>
        </w:tc>
        <w:tc>
          <w:tcPr>
            <w:tcW w:w="466" w:type="pct"/>
            <w:shd w:val="clear" w:color="auto" w:fill="auto"/>
            <w:vAlign w:val="center"/>
          </w:tcPr>
          <w:p w14:paraId="45D05AD8" w14:textId="77777777" w:rsidR="00496804" w:rsidRDefault="0037359D">
            <w:pPr>
              <w:spacing w:line="240" w:lineRule="auto"/>
              <w:jc w:val="right"/>
              <w:rPr>
                <w:rFonts w:ascii="Times New Roman" w:hAnsi="Times New Roman"/>
                <w:b/>
                <w:bCs/>
                <w:sz w:val="24"/>
              </w:rPr>
            </w:pPr>
            <w:r>
              <w:rPr>
                <w:rFonts w:ascii="Times New Roman" w:hAnsi="Times New Roman"/>
                <w:b/>
                <w:bCs/>
                <w:sz w:val="24"/>
              </w:rPr>
              <w:t xml:space="preserve">1,832.144 </w:t>
            </w:r>
          </w:p>
        </w:tc>
        <w:tc>
          <w:tcPr>
            <w:tcW w:w="466" w:type="pct"/>
            <w:shd w:val="clear" w:color="auto" w:fill="auto"/>
            <w:vAlign w:val="center"/>
          </w:tcPr>
          <w:p w14:paraId="45D05AD9" w14:textId="77777777" w:rsidR="00496804" w:rsidRDefault="0037359D">
            <w:pPr>
              <w:spacing w:line="240" w:lineRule="auto"/>
              <w:jc w:val="right"/>
              <w:rPr>
                <w:rFonts w:ascii="Times New Roman" w:hAnsi="Times New Roman"/>
                <w:b/>
                <w:bCs/>
                <w:sz w:val="24"/>
              </w:rPr>
            </w:pPr>
            <w:r>
              <w:rPr>
                <w:rFonts w:ascii="Times New Roman" w:hAnsi="Times New Roman"/>
                <w:b/>
                <w:bCs/>
                <w:sz w:val="24"/>
              </w:rPr>
              <w:t>2,029.111</w:t>
            </w:r>
          </w:p>
        </w:tc>
        <w:tc>
          <w:tcPr>
            <w:tcW w:w="466" w:type="pct"/>
            <w:vAlign w:val="center"/>
          </w:tcPr>
          <w:p w14:paraId="45D05ADA" w14:textId="77777777" w:rsidR="00496804" w:rsidRDefault="0037359D">
            <w:pPr>
              <w:spacing w:line="240" w:lineRule="auto"/>
              <w:jc w:val="right"/>
              <w:rPr>
                <w:rFonts w:ascii="Times New Roman" w:hAnsi="Times New Roman"/>
                <w:b/>
                <w:bCs/>
                <w:sz w:val="24"/>
              </w:rPr>
            </w:pPr>
            <w:r>
              <w:rPr>
                <w:rFonts w:ascii="Times New Roman" w:hAnsi="Times New Roman"/>
                <w:b/>
                <w:bCs/>
                <w:sz w:val="24"/>
              </w:rPr>
              <w:t>2 026.821</w:t>
            </w:r>
          </w:p>
        </w:tc>
      </w:tr>
      <w:tr w:rsidR="00496804" w14:paraId="45D05AE6" w14:textId="77777777">
        <w:trPr>
          <w:trHeight w:val="474"/>
          <w:jc w:val="center"/>
        </w:trPr>
        <w:tc>
          <w:tcPr>
            <w:tcW w:w="810" w:type="pct"/>
            <w:shd w:val="clear" w:color="auto" w:fill="FFCCA6" w:themeFill="accent5" w:themeFillTint="66"/>
            <w:vAlign w:val="center"/>
          </w:tcPr>
          <w:p w14:paraId="45D05ADC" w14:textId="77777777" w:rsidR="00496804" w:rsidRDefault="0037359D">
            <w:pPr>
              <w:spacing w:line="240" w:lineRule="auto"/>
              <w:jc w:val="left"/>
              <w:rPr>
                <w:rFonts w:ascii="Times New Roman" w:hAnsi="Times New Roman"/>
                <w:b/>
                <w:bCs/>
                <w:sz w:val="24"/>
              </w:rPr>
            </w:pPr>
            <w:r>
              <w:rPr>
                <w:rFonts w:ascii="Times New Roman" w:hAnsi="Times New Roman"/>
                <w:b/>
                <w:bCs/>
                <w:sz w:val="24"/>
              </w:rPr>
              <w:t>Srušena površina (m</w:t>
            </w:r>
            <w:r>
              <w:rPr>
                <w:rFonts w:ascii="Times New Roman" w:hAnsi="Times New Roman"/>
                <w:b/>
                <w:bCs/>
                <w:sz w:val="24"/>
                <w:vertAlign w:val="superscript"/>
              </w:rPr>
              <w:t>2</w:t>
            </w:r>
            <w:r>
              <w:rPr>
                <w:rFonts w:ascii="Times New Roman" w:hAnsi="Times New Roman"/>
                <w:b/>
                <w:bCs/>
                <w:sz w:val="24"/>
              </w:rPr>
              <w:t>)</w:t>
            </w:r>
          </w:p>
        </w:tc>
        <w:tc>
          <w:tcPr>
            <w:tcW w:w="465" w:type="pct"/>
            <w:shd w:val="clear" w:color="auto" w:fill="auto"/>
            <w:vAlign w:val="center"/>
          </w:tcPr>
          <w:p w14:paraId="45D05ADD" w14:textId="77777777" w:rsidR="00496804" w:rsidRDefault="0037359D">
            <w:pPr>
              <w:spacing w:line="240" w:lineRule="auto"/>
              <w:jc w:val="right"/>
              <w:rPr>
                <w:rFonts w:ascii="Times New Roman" w:hAnsi="Times New Roman"/>
                <w:b/>
                <w:bCs/>
                <w:sz w:val="24"/>
              </w:rPr>
            </w:pPr>
            <w:r>
              <w:rPr>
                <w:rFonts w:ascii="Times New Roman" w:hAnsi="Times New Roman"/>
                <w:b/>
                <w:bCs/>
                <w:sz w:val="24"/>
              </w:rPr>
              <w:t xml:space="preserve">36.568 </w:t>
            </w:r>
          </w:p>
        </w:tc>
        <w:tc>
          <w:tcPr>
            <w:tcW w:w="466" w:type="pct"/>
            <w:shd w:val="clear" w:color="auto" w:fill="auto"/>
            <w:vAlign w:val="center"/>
          </w:tcPr>
          <w:p w14:paraId="45D05ADE" w14:textId="77777777" w:rsidR="00496804" w:rsidRDefault="0037359D">
            <w:pPr>
              <w:spacing w:line="240" w:lineRule="auto"/>
              <w:jc w:val="right"/>
              <w:rPr>
                <w:rFonts w:ascii="Times New Roman" w:hAnsi="Times New Roman"/>
                <w:b/>
                <w:bCs/>
                <w:sz w:val="24"/>
              </w:rPr>
            </w:pPr>
            <w:r>
              <w:rPr>
                <w:rFonts w:ascii="Times New Roman" w:hAnsi="Times New Roman"/>
                <w:b/>
                <w:bCs/>
                <w:sz w:val="24"/>
              </w:rPr>
              <w:t xml:space="preserve">43.346 </w:t>
            </w:r>
          </w:p>
        </w:tc>
        <w:tc>
          <w:tcPr>
            <w:tcW w:w="466" w:type="pct"/>
            <w:shd w:val="clear" w:color="auto" w:fill="auto"/>
            <w:vAlign w:val="center"/>
          </w:tcPr>
          <w:p w14:paraId="45D05ADF" w14:textId="77777777" w:rsidR="00496804" w:rsidRDefault="0037359D">
            <w:pPr>
              <w:spacing w:line="240" w:lineRule="auto"/>
              <w:jc w:val="right"/>
              <w:rPr>
                <w:rFonts w:ascii="Times New Roman" w:hAnsi="Times New Roman"/>
                <w:b/>
                <w:bCs/>
                <w:sz w:val="24"/>
              </w:rPr>
            </w:pPr>
            <w:r>
              <w:rPr>
                <w:rFonts w:ascii="Times New Roman" w:hAnsi="Times New Roman"/>
                <w:b/>
                <w:bCs/>
                <w:sz w:val="24"/>
              </w:rPr>
              <w:t xml:space="preserve">37.322 </w:t>
            </w:r>
          </w:p>
        </w:tc>
        <w:tc>
          <w:tcPr>
            <w:tcW w:w="466" w:type="pct"/>
            <w:shd w:val="clear" w:color="auto" w:fill="auto"/>
            <w:vAlign w:val="center"/>
          </w:tcPr>
          <w:p w14:paraId="45D05AE0" w14:textId="77777777" w:rsidR="00496804" w:rsidRDefault="0037359D">
            <w:pPr>
              <w:spacing w:line="240" w:lineRule="auto"/>
              <w:jc w:val="right"/>
              <w:rPr>
                <w:rFonts w:ascii="Times New Roman" w:hAnsi="Times New Roman"/>
                <w:b/>
                <w:bCs/>
                <w:sz w:val="24"/>
              </w:rPr>
            </w:pPr>
            <w:r>
              <w:rPr>
                <w:rFonts w:ascii="Times New Roman" w:hAnsi="Times New Roman"/>
                <w:b/>
                <w:bCs/>
                <w:sz w:val="24"/>
              </w:rPr>
              <w:t xml:space="preserve">17.860 </w:t>
            </w:r>
          </w:p>
        </w:tc>
        <w:tc>
          <w:tcPr>
            <w:tcW w:w="466" w:type="pct"/>
            <w:shd w:val="clear" w:color="auto" w:fill="auto"/>
            <w:vAlign w:val="center"/>
          </w:tcPr>
          <w:p w14:paraId="45D05AE1" w14:textId="77777777" w:rsidR="00496804" w:rsidRDefault="0037359D">
            <w:pPr>
              <w:spacing w:line="240" w:lineRule="auto"/>
              <w:jc w:val="right"/>
              <w:rPr>
                <w:rFonts w:ascii="Times New Roman" w:hAnsi="Times New Roman"/>
                <w:b/>
                <w:bCs/>
                <w:sz w:val="24"/>
              </w:rPr>
            </w:pPr>
            <w:r>
              <w:rPr>
                <w:rFonts w:ascii="Times New Roman" w:hAnsi="Times New Roman"/>
                <w:b/>
                <w:bCs/>
                <w:sz w:val="24"/>
              </w:rPr>
              <w:t xml:space="preserve">37.404 </w:t>
            </w:r>
          </w:p>
        </w:tc>
        <w:tc>
          <w:tcPr>
            <w:tcW w:w="466" w:type="pct"/>
            <w:shd w:val="clear" w:color="auto" w:fill="auto"/>
            <w:vAlign w:val="center"/>
          </w:tcPr>
          <w:p w14:paraId="45D05AE2" w14:textId="77777777" w:rsidR="00496804" w:rsidRDefault="0037359D">
            <w:pPr>
              <w:spacing w:line="240" w:lineRule="auto"/>
              <w:jc w:val="right"/>
              <w:rPr>
                <w:rFonts w:ascii="Times New Roman" w:hAnsi="Times New Roman"/>
                <w:b/>
                <w:bCs/>
                <w:sz w:val="24"/>
              </w:rPr>
            </w:pPr>
            <w:r>
              <w:rPr>
                <w:rFonts w:ascii="Times New Roman" w:hAnsi="Times New Roman"/>
                <w:b/>
                <w:bCs/>
                <w:sz w:val="24"/>
              </w:rPr>
              <w:t xml:space="preserve">26.757 </w:t>
            </w:r>
          </w:p>
        </w:tc>
        <w:tc>
          <w:tcPr>
            <w:tcW w:w="466" w:type="pct"/>
            <w:shd w:val="clear" w:color="auto" w:fill="auto"/>
            <w:vAlign w:val="center"/>
          </w:tcPr>
          <w:p w14:paraId="45D05AE3" w14:textId="77777777" w:rsidR="00496804" w:rsidRDefault="0037359D">
            <w:pPr>
              <w:spacing w:line="240" w:lineRule="auto"/>
              <w:jc w:val="right"/>
              <w:rPr>
                <w:rFonts w:ascii="Times New Roman" w:hAnsi="Times New Roman"/>
                <w:b/>
                <w:bCs/>
                <w:sz w:val="24"/>
              </w:rPr>
            </w:pPr>
            <w:r>
              <w:rPr>
                <w:rFonts w:ascii="Times New Roman" w:hAnsi="Times New Roman"/>
                <w:b/>
                <w:bCs/>
                <w:sz w:val="24"/>
              </w:rPr>
              <w:t xml:space="preserve">21.502 </w:t>
            </w:r>
          </w:p>
        </w:tc>
        <w:tc>
          <w:tcPr>
            <w:tcW w:w="466" w:type="pct"/>
            <w:shd w:val="clear" w:color="auto" w:fill="auto"/>
            <w:vAlign w:val="center"/>
          </w:tcPr>
          <w:p w14:paraId="45D05AE4" w14:textId="77777777" w:rsidR="00496804" w:rsidRDefault="0037359D">
            <w:pPr>
              <w:spacing w:line="240" w:lineRule="auto"/>
              <w:jc w:val="right"/>
              <w:rPr>
                <w:rFonts w:ascii="Times New Roman" w:hAnsi="Times New Roman"/>
                <w:b/>
                <w:bCs/>
                <w:sz w:val="24"/>
              </w:rPr>
            </w:pPr>
            <w:r>
              <w:rPr>
                <w:rFonts w:ascii="Times New Roman" w:hAnsi="Times New Roman"/>
                <w:b/>
                <w:bCs/>
                <w:sz w:val="24"/>
              </w:rPr>
              <w:t xml:space="preserve">36.293 </w:t>
            </w:r>
          </w:p>
        </w:tc>
        <w:tc>
          <w:tcPr>
            <w:tcW w:w="466" w:type="pct"/>
            <w:vAlign w:val="center"/>
          </w:tcPr>
          <w:p w14:paraId="45D05AE5" w14:textId="77777777" w:rsidR="00496804" w:rsidRDefault="0037359D">
            <w:pPr>
              <w:spacing w:line="240" w:lineRule="auto"/>
              <w:jc w:val="right"/>
              <w:rPr>
                <w:rFonts w:ascii="Times New Roman" w:hAnsi="Times New Roman"/>
                <w:b/>
                <w:bCs/>
                <w:sz w:val="24"/>
              </w:rPr>
            </w:pPr>
            <w:r>
              <w:rPr>
                <w:rFonts w:ascii="Times New Roman" w:hAnsi="Times New Roman"/>
                <w:b/>
                <w:bCs/>
                <w:sz w:val="24"/>
              </w:rPr>
              <w:t>42.976</w:t>
            </w:r>
          </w:p>
        </w:tc>
      </w:tr>
      <w:tr w:rsidR="00496804" w14:paraId="45D05AF1" w14:textId="77777777">
        <w:trPr>
          <w:trHeight w:val="701"/>
          <w:jc w:val="center"/>
        </w:trPr>
        <w:tc>
          <w:tcPr>
            <w:tcW w:w="810" w:type="pct"/>
            <w:shd w:val="clear" w:color="auto" w:fill="FFCCA6" w:themeFill="accent5" w:themeFillTint="66"/>
            <w:vAlign w:val="center"/>
          </w:tcPr>
          <w:p w14:paraId="45D05AE7" w14:textId="77777777" w:rsidR="00496804" w:rsidRDefault="0037359D">
            <w:pPr>
              <w:spacing w:line="240" w:lineRule="auto"/>
              <w:jc w:val="left"/>
              <w:rPr>
                <w:rFonts w:ascii="Times New Roman" w:hAnsi="Times New Roman"/>
                <w:sz w:val="24"/>
              </w:rPr>
            </w:pPr>
            <w:r>
              <w:rPr>
                <w:rFonts w:ascii="Times New Roman" w:hAnsi="Times New Roman"/>
                <w:sz w:val="24"/>
              </w:rPr>
              <w:t xml:space="preserve">Broj registriranih poduzeća u sektoru F </w:t>
            </w:r>
          </w:p>
        </w:tc>
        <w:tc>
          <w:tcPr>
            <w:tcW w:w="465" w:type="pct"/>
            <w:shd w:val="clear" w:color="auto" w:fill="auto"/>
            <w:vAlign w:val="center"/>
          </w:tcPr>
          <w:p w14:paraId="45D05AE8"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24.011 </w:t>
            </w:r>
          </w:p>
        </w:tc>
        <w:tc>
          <w:tcPr>
            <w:tcW w:w="466" w:type="pct"/>
            <w:shd w:val="clear" w:color="auto" w:fill="auto"/>
            <w:vAlign w:val="center"/>
          </w:tcPr>
          <w:p w14:paraId="45D05AE9"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24.675 </w:t>
            </w:r>
          </w:p>
        </w:tc>
        <w:tc>
          <w:tcPr>
            <w:tcW w:w="466" w:type="pct"/>
            <w:shd w:val="clear" w:color="auto" w:fill="auto"/>
            <w:vAlign w:val="center"/>
          </w:tcPr>
          <w:p w14:paraId="45D05AEA"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25.365 </w:t>
            </w:r>
          </w:p>
        </w:tc>
        <w:tc>
          <w:tcPr>
            <w:tcW w:w="466" w:type="pct"/>
            <w:shd w:val="clear" w:color="auto" w:fill="auto"/>
            <w:vAlign w:val="center"/>
          </w:tcPr>
          <w:p w14:paraId="45D05AEB"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23.461 </w:t>
            </w:r>
          </w:p>
        </w:tc>
        <w:tc>
          <w:tcPr>
            <w:tcW w:w="466" w:type="pct"/>
            <w:shd w:val="clear" w:color="auto" w:fill="auto"/>
            <w:vAlign w:val="center"/>
          </w:tcPr>
          <w:p w14:paraId="45D05AEC"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24.589 </w:t>
            </w:r>
          </w:p>
        </w:tc>
        <w:tc>
          <w:tcPr>
            <w:tcW w:w="466" w:type="pct"/>
            <w:shd w:val="clear" w:color="auto" w:fill="auto"/>
            <w:vAlign w:val="center"/>
          </w:tcPr>
          <w:p w14:paraId="45D05AED"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25.873 </w:t>
            </w:r>
          </w:p>
        </w:tc>
        <w:tc>
          <w:tcPr>
            <w:tcW w:w="466" w:type="pct"/>
            <w:shd w:val="clear" w:color="auto" w:fill="auto"/>
            <w:vAlign w:val="center"/>
          </w:tcPr>
          <w:p w14:paraId="45D05AEE"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23,571 </w:t>
            </w:r>
          </w:p>
        </w:tc>
        <w:tc>
          <w:tcPr>
            <w:tcW w:w="466" w:type="pct"/>
            <w:shd w:val="clear" w:color="auto" w:fill="auto"/>
            <w:vAlign w:val="center"/>
          </w:tcPr>
          <w:p w14:paraId="45D05AEF"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22.703 </w:t>
            </w:r>
          </w:p>
        </w:tc>
        <w:tc>
          <w:tcPr>
            <w:tcW w:w="466" w:type="pct"/>
            <w:vAlign w:val="center"/>
          </w:tcPr>
          <w:p w14:paraId="45D05AF0" w14:textId="77777777" w:rsidR="00496804" w:rsidRDefault="0037359D">
            <w:pPr>
              <w:spacing w:line="240" w:lineRule="auto"/>
              <w:jc w:val="right"/>
              <w:rPr>
                <w:rFonts w:ascii="Times New Roman" w:hAnsi="Times New Roman"/>
                <w:sz w:val="24"/>
              </w:rPr>
            </w:pPr>
            <w:r>
              <w:rPr>
                <w:rFonts w:ascii="Times New Roman" w:hAnsi="Times New Roman"/>
                <w:sz w:val="24"/>
              </w:rPr>
              <w:t>23.692</w:t>
            </w:r>
          </w:p>
        </w:tc>
      </w:tr>
      <w:tr w:rsidR="00496804" w14:paraId="45D05AFC" w14:textId="77777777">
        <w:trPr>
          <w:trHeight w:val="711"/>
          <w:jc w:val="center"/>
        </w:trPr>
        <w:tc>
          <w:tcPr>
            <w:tcW w:w="810" w:type="pct"/>
            <w:shd w:val="clear" w:color="auto" w:fill="FFCCA6" w:themeFill="accent5" w:themeFillTint="66"/>
            <w:vAlign w:val="center"/>
          </w:tcPr>
          <w:p w14:paraId="45D05AF2" w14:textId="77777777" w:rsidR="00496804" w:rsidRDefault="0037359D">
            <w:pPr>
              <w:spacing w:line="240" w:lineRule="auto"/>
              <w:jc w:val="left"/>
              <w:rPr>
                <w:rFonts w:ascii="Times New Roman" w:hAnsi="Times New Roman"/>
                <w:sz w:val="24"/>
              </w:rPr>
            </w:pPr>
            <w:r>
              <w:rPr>
                <w:rFonts w:ascii="Times New Roman" w:hAnsi="Times New Roman"/>
                <w:sz w:val="24"/>
              </w:rPr>
              <w:t xml:space="preserve">Broj aktivnih poduzeća u sektoru F </w:t>
            </w:r>
          </w:p>
        </w:tc>
        <w:tc>
          <w:tcPr>
            <w:tcW w:w="465" w:type="pct"/>
            <w:shd w:val="clear" w:color="auto" w:fill="auto"/>
            <w:vAlign w:val="center"/>
          </w:tcPr>
          <w:p w14:paraId="45D05AF3"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15.781 </w:t>
            </w:r>
          </w:p>
        </w:tc>
        <w:tc>
          <w:tcPr>
            <w:tcW w:w="466" w:type="pct"/>
            <w:shd w:val="clear" w:color="auto" w:fill="auto"/>
            <w:vAlign w:val="center"/>
          </w:tcPr>
          <w:p w14:paraId="45D05AF4"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14.784 </w:t>
            </w:r>
          </w:p>
        </w:tc>
        <w:tc>
          <w:tcPr>
            <w:tcW w:w="466" w:type="pct"/>
            <w:shd w:val="clear" w:color="auto" w:fill="auto"/>
            <w:vAlign w:val="center"/>
          </w:tcPr>
          <w:p w14:paraId="45D05AF5"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15.497 </w:t>
            </w:r>
          </w:p>
        </w:tc>
        <w:tc>
          <w:tcPr>
            <w:tcW w:w="466" w:type="pct"/>
            <w:shd w:val="clear" w:color="auto" w:fill="auto"/>
            <w:vAlign w:val="center"/>
          </w:tcPr>
          <w:p w14:paraId="45D05AF6"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16.815 </w:t>
            </w:r>
          </w:p>
        </w:tc>
        <w:tc>
          <w:tcPr>
            <w:tcW w:w="466" w:type="pct"/>
            <w:shd w:val="clear" w:color="auto" w:fill="auto"/>
            <w:vAlign w:val="center"/>
          </w:tcPr>
          <w:p w14:paraId="45D05AF7"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17.947 </w:t>
            </w:r>
          </w:p>
        </w:tc>
        <w:tc>
          <w:tcPr>
            <w:tcW w:w="466" w:type="pct"/>
            <w:shd w:val="clear" w:color="auto" w:fill="auto"/>
            <w:vAlign w:val="center"/>
          </w:tcPr>
          <w:p w14:paraId="45D05AF8"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19.240 </w:t>
            </w:r>
          </w:p>
        </w:tc>
        <w:tc>
          <w:tcPr>
            <w:tcW w:w="466" w:type="pct"/>
            <w:shd w:val="clear" w:color="auto" w:fill="auto"/>
            <w:vAlign w:val="center"/>
          </w:tcPr>
          <w:p w14:paraId="45D05AF9"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1.990 </w:t>
            </w:r>
          </w:p>
        </w:tc>
        <w:tc>
          <w:tcPr>
            <w:tcW w:w="466" w:type="pct"/>
            <w:shd w:val="clear" w:color="auto" w:fill="auto"/>
            <w:vAlign w:val="center"/>
          </w:tcPr>
          <w:p w14:paraId="45D05AFA"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13.555 </w:t>
            </w:r>
          </w:p>
        </w:tc>
        <w:tc>
          <w:tcPr>
            <w:tcW w:w="466" w:type="pct"/>
            <w:vAlign w:val="center"/>
          </w:tcPr>
          <w:p w14:paraId="45D05AFB" w14:textId="77777777" w:rsidR="00496804" w:rsidRDefault="0037359D">
            <w:pPr>
              <w:spacing w:line="240" w:lineRule="auto"/>
              <w:jc w:val="right"/>
              <w:rPr>
                <w:rFonts w:ascii="Times New Roman" w:hAnsi="Times New Roman"/>
                <w:sz w:val="24"/>
              </w:rPr>
            </w:pPr>
            <w:r>
              <w:rPr>
                <w:rFonts w:ascii="Times New Roman" w:hAnsi="Times New Roman"/>
                <w:sz w:val="24"/>
              </w:rPr>
              <w:t>14.607</w:t>
            </w:r>
          </w:p>
        </w:tc>
      </w:tr>
      <w:tr w:rsidR="00496804" w14:paraId="45D05B07" w14:textId="77777777">
        <w:trPr>
          <w:trHeight w:val="463"/>
          <w:jc w:val="center"/>
        </w:trPr>
        <w:tc>
          <w:tcPr>
            <w:tcW w:w="810" w:type="pct"/>
            <w:shd w:val="clear" w:color="auto" w:fill="FFCCA6" w:themeFill="accent5" w:themeFillTint="66"/>
            <w:vAlign w:val="center"/>
          </w:tcPr>
          <w:p w14:paraId="45D05AFD" w14:textId="77777777" w:rsidR="00496804" w:rsidRDefault="0037359D">
            <w:pPr>
              <w:spacing w:line="240" w:lineRule="auto"/>
              <w:jc w:val="left"/>
              <w:rPr>
                <w:rFonts w:ascii="Times New Roman" w:hAnsi="Times New Roman"/>
                <w:sz w:val="24"/>
              </w:rPr>
            </w:pPr>
            <w:r>
              <w:rPr>
                <w:rFonts w:ascii="Times New Roman" w:hAnsi="Times New Roman"/>
                <w:sz w:val="24"/>
              </w:rPr>
              <w:t xml:space="preserve">Broj zaposlenih u sektoru F </w:t>
            </w:r>
          </w:p>
        </w:tc>
        <w:tc>
          <w:tcPr>
            <w:tcW w:w="465" w:type="pct"/>
            <w:shd w:val="clear" w:color="auto" w:fill="auto"/>
            <w:vAlign w:val="center"/>
          </w:tcPr>
          <w:p w14:paraId="45D05AFE"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91.052 </w:t>
            </w:r>
          </w:p>
        </w:tc>
        <w:tc>
          <w:tcPr>
            <w:tcW w:w="466" w:type="pct"/>
            <w:shd w:val="clear" w:color="auto" w:fill="auto"/>
            <w:vAlign w:val="center"/>
          </w:tcPr>
          <w:p w14:paraId="45D05AFF"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83.607 </w:t>
            </w:r>
          </w:p>
        </w:tc>
        <w:tc>
          <w:tcPr>
            <w:tcW w:w="466" w:type="pct"/>
            <w:shd w:val="clear" w:color="auto" w:fill="auto"/>
            <w:vAlign w:val="center"/>
          </w:tcPr>
          <w:p w14:paraId="45D05B00"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78.579 </w:t>
            </w:r>
          </w:p>
        </w:tc>
        <w:tc>
          <w:tcPr>
            <w:tcW w:w="466" w:type="pct"/>
            <w:shd w:val="clear" w:color="auto" w:fill="auto"/>
            <w:vAlign w:val="center"/>
          </w:tcPr>
          <w:p w14:paraId="45D05B01"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73.832 </w:t>
            </w:r>
          </w:p>
        </w:tc>
        <w:tc>
          <w:tcPr>
            <w:tcW w:w="466" w:type="pct"/>
            <w:shd w:val="clear" w:color="auto" w:fill="auto"/>
            <w:vAlign w:val="center"/>
          </w:tcPr>
          <w:p w14:paraId="45D05B02"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72.028 </w:t>
            </w:r>
          </w:p>
        </w:tc>
        <w:tc>
          <w:tcPr>
            <w:tcW w:w="466" w:type="pct"/>
            <w:shd w:val="clear" w:color="auto" w:fill="auto"/>
            <w:vAlign w:val="center"/>
          </w:tcPr>
          <w:p w14:paraId="45D05B03"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68.676 </w:t>
            </w:r>
          </w:p>
        </w:tc>
        <w:tc>
          <w:tcPr>
            <w:tcW w:w="466" w:type="pct"/>
            <w:shd w:val="clear" w:color="auto" w:fill="auto"/>
            <w:vAlign w:val="center"/>
          </w:tcPr>
          <w:p w14:paraId="45D05B04"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68.653 </w:t>
            </w:r>
          </w:p>
        </w:tc>
        <w:tc>
          <w:tcPr>
            <w:tcW w:w="466" w:type="pct"/>
            <w:shd w:val="clear" w:color="auto" w:fill="auto"/>
            <w:vAlign w:val="center"/>
          </w:tcPr>
          <w:p w14:paraId="45D05B05" w14:textId="77777777" w:rsidR="00496804" w:rsidRDefault="0037359D">
            <w:pPr>
              <w:spacing w:line="240" w:lineRule="auto"/>
              <w:jc w:val="right"/>
              <w:rPr>
                <w:rFonts w:ascii="Times New Roman" w:hAnsi="Times New Roman"/>
                <w:sz w:val="24"/>
              </w:rPr>
            </w:pPr>
            <w:r>
              <w:rPr>
                <w:rFonts w:ascii="Times New Roman" w:hAnsi="Times New Roman"/>
                <w:sz w:val="24"/>
              </w:rPr>
              <w:t xml:space="preserve">67.307 </w:t>
            </w:r>
          </w:p>
        </w:tc>
        <w:tc>
          <w:tcPr>
            <w:tcW w:w="466" w:type="pct"/>
            <w:vAlign w:val="center"/>
          </w:tcPr>
          <w:p w14:paraId="45D05B06" w14:textId="77777777" w:rsidR="00496804" w:rsidRDefault="0037359D">
            <w:pPr>
              <w:spacing w:line="240" w:lineRule="auto"/>
              <w:jc w:val="right"/>
              <w:rPr>
                <w:rFonts w:ascii="Times New Roman" w:hAnsi="Times New Roman"/>
                <w:sz w:val="24"/>
              </w:rPr>
            </w:pPr>
            <w:r>
              <w:rPr>
                <w:rFonts w:ascii="Times New Roman" w:hAnsi="Times New Roman"/>
                <w:sz w:val="24"/>
              </w:rPr>
              <w:t>76.632</w:t>
            </w:r>
          </w:p>
        </w:tc>
      </w:tr>
    </w:tbl>
    <w:p w14:paraId="45D05B08" w14:textId="77777777" w:rsidR="00496804" w:rsidRDefault="00496804">
      <w:pPr>
        <w:spacing w:line="240" w:lineRule="auto"/>
        <w:rPr>
          <w:rFonts w:ascii="Times New Roman" w:hAnsi="Times New Roman"/>
          <w:sz w:val="24"/>
        </w:rPr>
      </w:pPr>
    </w:p>
    <w:p w14:paraId="45D05B09" w14:textId="77777777" w:rsidR="00496804" w:rsidRDefault="00496804">
      <w:pPr>
        <w:spacing w:line="240" w:lineRule="auto"/>
        <w:rPr>
          <w:rFonts w:ascii="Times New Roman" w:hAnsi="Times New Roman"/>
          <w:sz w:val="24"/>
        </w:rPr>
        <w:sectPr w:rsidR="00496804">
          <w:pgSz w:w="16840" w:h="11900" w:orient="landscape"/>
          <w:pgMar w:top="1134" w:right="1701" w:bottom="1134" w:left="1134" w:header="709" w:footer="289" w:gutter="0"/>
          <w:cols w:space="720"/>
          <w:docGrid w:linePitch="299"/>
        </w:sectPr>
      </w:pPr>
    </w:p>
    <w:p w14:paraId="45D05B0A" w14:textId="77777777" w:rsidR="00496804" w:rsidRDefault="00496804">
      <w:pPr>
        <w:spacing w:line="240" w:lineRule="auto"/>
        <w:rPr>
          <w:rFonts w:ascii="Times New Roman" w:hAnsi="Times New Roman"/>
          <w:sz w:val="24"/>
        </w:rPr>
      </w:pPr>
    </w:p>
    <w:p w14:paraId="45D05B0B" w14:textId="77777777" w:rsidR="00496804" w:rsidRDefault="0037359D">
      <w:pPr>
        <w:spacing w:line="240" w:lineRule="auto"/>
        <w:rPr>
          <w:rFonts w:ascii="Times New Roman" w:hAnsi="Times New Roman"/>
          <w:sz w:val="24"/>
        </w:rPr>
      </w:pPr>
      <w:r>
        <w:rPr>
          <w:rFonts w:ascii="Times New Roman" w:hAnsi="Times New Roman"/>
          <w:noProof/>
          <w:sz w:val="24"/>
          <w:lang w:eastAsia="hr-HR"/>
        </w:rPr>
        <w:drawing>
          <wp:inline distT="0" distB="0" distL="0" distR="0" wp14:anchorId="45D061FD" wp14:editId="45D061FE">
            <wp:extent cx="5711825" cy="2671445"/>
            <wp:effectExtent l="0" t="0" r="3175" b="14605"/>
            <wp:docPr id="13" name="Grafikon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5D05B0C" w14:textId="77777777" w:rsidR="00496804" w:rsidRDefault="00496804">
      <w:pPr>
        <w:spacing w:line="240" w:lineRule="auto"/>
        <w:rPr>
          <w:rFonts w:ascii="Times New Roman" w:hAnsi="Times New Roman"/>
          <w:sz w:val="24"/>
        </w:rPr>
      </w:pPr>
    </w:p>
    <w:p w14:paraId="45D05B0D" w14:textId="77777777" w:rsidR="00496804" w:rsidRDefault="0037359D">
      <w:pPr>
        <w:pStyle w:val="Opisslike"/>
        <w:rPr>
          <w:rFonts w:ascii="Times New Roman" w:hAnsi="Times New Roman"/>
          <w:b w:val="0"/>
          <w:bCs w:val="0"/>
          <w:i/>
          <w:iCs/>
          <w:sz w:val="24"/>
          <w:szCs w:val="24"/>
        </w:rPr>
      </w:pPr>
      <w:r>
        <w:rPr>
          <w:rFonts w:ascii="Times New Roman" w:hAnsi="Times New Roman"/>
          <w:b w:val="0"/>
          <w:bCs w:val="0"/>
          <w:i/>
          <w:iCs/>
          <w:sz w:val="24"/>
          <w:szCs w:val="24"/>
        </w:rPr>
        <w:t>Slika 3 Završene zgrade, površina (m</w:t>
      </w:r>
      <w:r>
        <w:rPr>
          <w:rFonts w:ascii="Times New Roman" w:hAnsi="Times New Roman"/>
          <w:b w:val="0"/>
          <w:bCs w:val="0"/>
          <w:i/>
          <w:iCs/>
          <w:sz w:val="24"/>
          <w:szCs w:val="24"/>
          <w:vertAlign w:val="superscript"/>
        </w:rPr>
        <w:t>2</w:t>
      </w:r>
      <w:r>
        <w:rPr>
          <w:rFonts w:ascii="Times New Roman" w:hAnsi="Times New Roman"/>
          <w:b w:val="0"/>
          <w:bCs w:val="0"/>
          <w:i/>
          <w:iCs/>
          <w:sz w:val="24"/>
          <w:szCs w:val="24"/>
        </w:rPr>
        <w:t>) i uklonjena površina (m</w:t>
      </w:r>
      <w:r>
        <w:rPr>
          <w:rFonts w:ascii="Times New Roman" w:hAnsi="Times New Roman"/>
          <w:b w:val="0"/>
          <w:bCs w:val="0"/>
          <w:i/>
          <w:iCs/>
          <w:sz w:val="24"/>
          <w:szCs w:val="24"/>
          <w:vertAlign w:val="superscript"/>
        </w:rPr>
        <w:t>2</w:t>
      </w:r>
      <w:r>
        <w:rPr>
          <w:rFonts w:ascii="Times New Roman" w:hAnsi="Times New Roman"/>
          <w:b w:val="0"/>
          <w:bCs w:val="0"/>
          <w:i/>
          <w:iCs/>
          <w:sz w:val="24"/>
          <w:szCs w:val="24"/>
        </w:rPr>
        <w:t>)</w:t>
      </w:r>
    </w:p>
    <w:p w14:paraId="45D05B0E" w14:textId="77777777" w:rsidR="00496804" w:rsidRDefault="00496804">
      <w:pPr>
        <w:spacing w:line="240" w:lineRule="auto"/>
        <w:rPr>
          <w:rFonts w:ascii="Times New Roman" w:hAnsi="Times New Roman"/>
          <w:sz w:val="24"/>
        </w:rPr>
      </w:pPr>
    </w:p>
    <w:p w14:paraId="45D05B0F" w14:textId="77777777" w:rsidR="00496804" w:rsidRDefault="00496804">
      <w:pPr>
        <w:spacing w:line="240" w:lineRule="auto"/>
        <w:rPr>
          <w:rFonts w:ascii="Times New Roman" w:hAnsi="Times New Roman"/>
          <w:sz w:val="24"/>
        </w:rPr>
      </w:pPr>
    </w:p>
    <w:p w14:paraId="45D05B10" w14:textId="77777777" w:rsidR="00496804" w:rsidRDefault="0037359D">
      <w:pPr>
        <w:spacing w:line="240" w:lineRule="auto"/>
        <w:rPr>
          <w:rFonts w:ascii="Times New Roman" w:hAnsi="Times New Roman"/>
          <w:sz w:val="24"/>
        </w:rPr>
      </w:pPr>
      <w:r>
        <w:rPr>
          <w:rFonts w:ascii="Times New Roman" w:hAnsi="Times New Roman"/>
          <w:sz w:val="24"/>
        </w:rPr>
        <w:t>Tablica ukazuje na značajnu površinu uklonjenih prostora i zgrada koja u prosjeku iznosi približno 33.000 m</w:t>
      </w:r>
      <w:r>
        <w:rPr>
          <w:rFonts w:ascii="Times New Roman" w:hAnsi="Times New Roman"/>
          <w:sz w:val="24"/>
          <w:vertAlign w:val="superscript"/>
        </w:rPr>
        <w:t>2</w:t>
      </w:r>
      <w:r>
        <w:rPr>
          <w:rFonts w:ascii="Times New Roman" w:hAnsi="Times New Roman"/>
          <w:sz w:val="24"/>
        </w:rPr>
        <w:t xml:space="preserve">. Osim kod rušenja, značajni građevni otpad nastaje prilikom adaptacija i rekonstrukcija. Ukupna količina nastalog građevnog otpada u 2017. godini procijenjena je na 1.225.263 tona. </w:t>
      </w:r>
    </w:p>
    <w:p w14:paraId="45D05B11" w14:textId="77777777" w:rsidR="00496804" w:rsidRDefault="00496804">
      <w:pPr>
        <w:spacing w:line="240" w:lineRule="auto"/>
        <w:rPr>
          <w:rFonts w:ascii="Times New Roman" w:hAnsi="Times New Roman"/>
          <w:sz w:val="24"/>
        </w:rPr>
      </w:pPr>
    </w:p>
    <w:p w14:paraId="173CCC2A" w14:textId="4F40DB32" w:rsidR="00064990" w:rsidRPr="00064990" w:rsidRDefault="0037359D" w:rsidP="00064990">
      <w:pPr>
        <w:spacing w:line="240" w:lineRule="auto"/>
        <w:rPr>
          <w:rFonts w:ascii="Times New Roman" w:hAnsi="Times New Roman"/>
          <w:sz w:val="24"/>
        </w:rPr>
      </w:pPr>
      <w:r>
        <w:rPr>
          <w:rFonts w:ascii="Times New Roman" w:hAnsi="Times New Roman"/>
          <w:sz w:val="24"/>
        </w:rPr>
        <w:t xml:space="preserve">U dokumentu Pregled podataka o gospodarenju građevnim otpadom u </w:t>
      </w:r>
      <w:r w:rsidR="007E65DB">
        <w:rPr>
          <w:rFonts w:ascii="Times New Roman" w:hAnsi="Times New Roman"/>
          <w:sz w:val="24"/>
        </w:rPr>
        <w:t>2019</w:t>
      </w:r>
      <w:r>
        <w:rPr>
          <w:rFonts w:ascii="Times New Roman" w:hAnsi="Times New Roman"/>
          <w:sz w:val="24"/>
        </w:rPr>
        <w:t>. godini</w:t>
      </w:r>
      <w:r>
        <w:rPr>
          <w:rStyle w:val="Referencafusnote"/>
          <w:rFonts w:ascii="Times New Roman" w:hAnsi="Times New Roman"/>
          <w:sz w:val="24"/>
        </w:rPr>
        <w:footnoteReference w:id="54"/>
      </w:r>
      <w:r>
        <w:rPr>
          <w:rFonts w:ascii="Times New Roman" w:hAnsi="Times New Roman"/>
          <w:sz w:val="24"/>
        </w:rPr>
        <w:t xml:space="preserve"> navodi se: </w:t>
      </w:r>
      <w:r w:rsidR="00064990">
        <w:rPr>
          <w:rFonts w:ascii="Times New Roman" w:hAnsi="Times New Roman"/>
          <w:sz w:val="24"/>
        </w:rPr>
        <w:t>„</w:t>
      </w:r>
      <w:r w:rsidR="00064990" w:rsidRPr="00064990">
        <w:rPr>
          <w:rFonts w:ascii="Times New Roman" w:hAnsi="Times New Roman"/>
          <w:sz w:val="24"/>
        </w:rPr>
        <w:t>Najveći udio u građevnom otpadu čini zemlja, kamenje i otpad od jaružanja (45,5%) te miješani građevni otpad i otpad od rušenja objekata (19,1%). Slijede beton, cigle, crijep/pločice i keramika (16,1%), metali i njihove legure (13,0%) te ostale vrste otpada zastupljene s manje od 7 %.</w:t>
      </w:r>
    </w:p>
    <w:p w14:paraId="12712F44" w14:textId="77777777" w:rsidR="00064990" w:rsidRPr="00064990" w:rsidRDefault="00064990" w:rsidP="00064990">
      <w:pPr>
        <w:spacing w:line="240" w:lineRule="auto"/>
        <w:rPr>
          <w:rFonts w:ascii="Times New Roman" w:hAnsi="Times New Roman"/>
          <w:sz w:val="24"/>
        </w:rPr>
      </w:pPr>
      <w:r w:rsidRPr="00064990">
        <w:rPr>
          <w:rFonts w:ascii="Times New Roman" w:hAnsi="Times New Roman"/>
          <w:sz w:val="24"/>
        </w:rPr>
        <w:t>Mineralni neopasni građevni otpad (ne uključujući iskope KB 17 05 04) ima veliki potencijal za ponovnu uporabu i recikliranje. Čini udio od 40,3% u ukupno nastalom građevnom otpadu.</w:t>
      </w:r>
    </w:p>
    <w:p w14:paraId="45D05B12" w14:textId="692FCD27" w:rsidR="00496804" w:rsidRDefault="00064990" w:rsidP="00064990">
      <w:pPr>
        <w:spacing w:line="240" w:lineRule="auto"/>
        <w:rPr>
          <w:rFonts w:ascii="Times New Roman" w:hAnsi="Times New Roman"/>
          <w:sz w:val="24"/>
        </w:rPr>
      </w:pPr>
      <w:r w:rsidRPr="00064990">
        <w:rPr>
          <w:rFonts w:ascii="Times New Roman" w:hAnsi="Times New Roman"/>
          <w:sz w:val="24"/>
        </w:rPr>
        <w:t>Procjenjuje se da opasni otpad u građevnom otpadu čini udio od 1,9% (26.006,8 t).</w:t>
      </w:r>
      <w:r>
        <w:rPr>
          <w:rFonts w:ascii="Times New Roman" w:hAnsi="Times New Roman"/>
          <w:sz w:val="24"/>
        </w:rPr>
        <w:t>“</w:t>
      </w:r>
      <w:r w:rsidRPr="00064990" w:rsidDel="00064990">
        <w:rPr>
          <w:rFonts w:ascii="Times New Roman" w:hAnsi="Times New Roman"/>
          <w:sz w:val="24"/>
        </w:rPr>
        <w:t xml:space="preserve"> </w:t>
      </w:r>
      <w:r w:rsidR="0037359D">
        <w:rPr>
          <w:rFonts w:ascii="Times New Roman" w:hAnsi="Times New Roman"/>
          <w:sz w:val="24"/>
        </w:rPr>
        <w:t>Upravo se za tu kategoriju otpada može uočiti problem neprijavljivanja podataka u pojedinim županijama.</w:t>
      </w:r>
    </w:p>
    <w:p w14:paraId="45D05B13" w14:textId="77777777" w:rsidR="00496804" w:rsidRDefault="00496804">
      <w:pPr>
        <w:spacing w:line="240" w:lineRule="auto"/>
        <w:rPr>
          <w:rFonts w:ascii="Times New Roman" w:hAnsi="Times New Roman"/>
          <w:sz w:val="24"/>
        </w:rPr>
      </w:pPr>
    </w:p>
    <w:p w14:paraId="45D05B14" w14:textId="7FAB2F7A" w:rsidR="00496804" w:rsidRDefault="0037359D">
      <w:pPr>
        <w:spacing w:line="240" w:lineRule="auto"/>
        <w:rPr>
          <w:rFonts w:ascii="Times New Roman" w:hAnsi="Times New Roman"/>
          <w:sz w:val="24"/>
        </w:rPr>
      </w:pPr>
      <w:r>
        <w:rPr>
          <w:rFonts w:ascii="Times New Roman" w:hAnsi="Times New Roman"/>
          <w:sz w:val="24"/>
        </w:rPr>
        <w:t xml:space="preserve">Ukupna količina obrađenog, oporabljenog ili zbrinutog građevnog otpada </w:t>
      </w:r>
      <w:r w:rsidR="00A16F1A">
        <w:rPr>
          <w:rFonts w:ascii="Times New Roman" w:hAnsi="Times New Roman"/>
          <w:sz w:val="24"/>
        </w:rPr>
        <w:t xml:space="preserve">na području RH </w:t>
      </w:r>
      <w:r>
        <w:rPr>
          <w:rFonts w:ascii="Times New Roman" w:hAnsi="Times New Roman"/>
          <w:sz w:val="24"/>
        </w:rPr>
        <w:t xml:space="preserve">koja je prijavljena u Registar onečišćavanja okoliša (ROO) za </w:t>
      </w:r>
      <w:r w:rsidR="00907C6B" w:rsidRPr="00D26A00">
        <w:rPr>
          <w:rFonts w:ascii="Times New Roman" w:hAnsi="Times New Roman"/>
          <w:sz w:val="24"/>
        </w:rPr>
        <w:t>2019</w:t>
      </w:r>
      <w:r w:rsidRPr="00D26A00">
        <w:rPr>
          <w:rFonts w:ascii="Times New Roman" w:hAnsi="Times New Roman"/>
          <w:sz w:val="24"/>
        </w:rPr>
        <w:t>. godinu iznosila je</w:t>
      </w:r>
      <w:r w:rsidR="00D26A00">
        <w:rPr>
          <w:rFonts w:ascii="Times New Roman" w:hAnsi="Times New Roman"/>
          <w:sz w:val="24"/>
        </w:rPr>
        <w:t xml:space="preserve"> </w:t>
      </w:r>
      <w:r w:rsidR="00A16F1A">
        <w:rPr>
          <w:rFonts w:ascii="Times New Roman" w:hAnsi="Times New Roman"/>
          <w:sz w:val="24"/>
        </w:rPr>
        <w:t>1</w:t>
      </w:r>
      <w:r w:rsidR="00D26A00" w:rsidRPr="00D26A00">
        <w:rPr>
          <w:rFonts w:ascii="Times New Roman" w:hAnsi="Times New Roman"/>
          <w:sz w:val="24"/>
        </w:rPr>
        <w:t>.</w:t>
      </w:r>
      <w:r w:rsidR="00A16F1A">
        <w:rPr>
          <w:rFonts w:ascii="Times New Roman" w:hAnsi="Times New Roman"/>
          <w:sz w:val="24"/>
        </w:rPr>
        <w:t>076.662</w:t>
      </w:r>
      <w:r w:rsidR="00D26A00" w:rsidRPr="00D26A00">
        <w:rPr>
          <w:rFonts w:ascii="Times New Roman" w:hAnsi="Times New Roman"/>
          <w:sz w:val="24"/>
        </w:rPr>
        <w:t>,</w:t>
      </w:r>
      <w:r w:rsidR="00A16F1A">
        <w:rPr>
          <w:rFonts w:ascii="Times New Roman" w:hAnsi="Times New Roman"/>
          <w:sz w:val="24"/>
        </w:rPr>
        <w:t>0</w:t>
      </w:r>
      <w:r w:rsidRPr="00D26A00">
        <w:rPr>
          <w:rFonts w:ascii="Times New Roman" w:hAnsi="Times New Roman"/>
          <w:sz w:val="24"/>
        </w:rPr>
        <w:t>t. Za</w:t>
      </w:r>
      <w:r>
        <w:rPr>
          <w:rFonts w:ascii="Times New Roman" w:hAnsi="Times New Roman"/>
          <w:sz w:val="24"/>
        </w:rPr>
        <w:t xml:space="preserve"> razliku od nastalog otpada, podaci o gospodarenju građevnim otpadom nisu temeljeni na procjenama, već isključivo na prijavama obveznika.</w:t>
      </w:r>
    </w:p>
    <w:p w14:paraId="45D05B15" w14:textId="77777777" w:rsidR="00496804" w:rsidRDefault="00496804">
      <w:pPr>
        <w:spacing w:line="240" w:lineRule="auto"/>
        <w:jc w:val="left"/>
        <w:rPr>
          <w:rFonts w:ascii="Times New Roman" w:hAnsi="Times New Roman"/>
          <w:sz w:val="24"/>
        </w:rPr>
      </w:pPr>
    </w:p>
    <w:p w14:paraId="45D05B16" w14:textId="77777777" w:rsidR="00496804" w:rsidRDefault="00496804">
      <w:pPr>
        <w:spacing w:line="240" w:lineRule="auto"/>
        <w:jc w:val="left"/>
        <w:rPr>
          <w:rFonts w:ascii="Times New Roman" w:hAnsi="Times New Roman"/>
          <w:sz w:val="24"/>
        </w:rPr>
      </w:pPr>
    </w:p>
    <w:p w14:paraId="45D05B17" w14:textId="4AFE0D5A" w:rsidR="00496804" w:rsidRDefault="0037359D">
      <w:pPr>
        <w:pStyle w:val="Opisslike"/>
        <w:rPr>
          <w:rFonts w:ascii="Times New Roman" w:hAnsi="Times New Roman"/>
          <w:b w:val="0"/>
          <w:bCs w:val="0"/>
          <w:i/>
          <w:iCs/>
          <w:sz w:val="24"/>
          <w:szCs w:val="24"/>
        </w:rPr>
      </w:pPr>
      <w:r>
        <w:rPr>
          <w:rFonts w:ascii="Times New Roman" w:hAnsi="Times New Roman"/>
          <w:b w:val="0"/>
          <w:bCs w:val="0"/>
          <w:i/>
          <w:iCs/>
          <w:sz w:val="24"/>
          <w:szCs w:val="24"/>
        </w:rPr>
        <w:t xml:space="preserve">Tablica 10. Gospodarenje građevnim otpadom u </w:t>
      </w:r>
      <w:r w:rsidR="00E65A44">
        <w:rPr>
          <w:rFonts w:ascii="Times New Roman" w:hAnsi="Times New Roman"/>
          <w:b w:val="0"/>
          <w:bCs w:val="0"/>
          <w:i/>
          <w:iCs/>
          <w:sz w:val="24"/>
          <w:szCs w:val="24"/>
        </w:rPr>
        <w:t>2019</w:t>
      </w:r>
      <w:r>
        <w:rPr>
          <w:rFonts w:ascii="Times New Roman" w:hAnsi="Times New Roman"/>
          <w:b w:val="0"/>
          <w:bCs w:val="0"/>
          <w:i/>
          <w:iCs/>
          <w:sz w:val="24"/>
          <w:szCs w:val="24"/>
        </w:rPr>
        <w:t xml:space="preserve">., prema postupcima obrade, HAOP </w:t>
      </w:r>
      <w:r w:rsidR="00E65A44">
        <w:rPr>
          <w:rFonts w:ascii="Times New Roman" w:hAnsi="Times New Roman"/>
          <w:b w:val="0"/>
          <w:bCs w:val="0"/>
          <w:i/>
          <w:iCs/>
          <w:sz w:val="24"/>
          <w:szCs w:val="24"/>
        </w:rPr>
        <w:t>2020</w:t>
      </w:r>
      <w:r>
        <w:rPr>
          <w:rFonts w:ascii="Times New Roman" w:hAnsi="Times New Roman"/>
          <w:b w:val="0"/>
          <w:bCs w:val="0"/>
          <w:i/>
          <w:iCs/>
          <w:sz w:val="24"/>
          <w:szCs w:val="24"/>
        </w:rPr>
        <w:t>.</w:t>
      </w:r>
    </w:p>
    <w:tbl>
      <w:tblPr>
        <w:tblStyle w:val="Reetkatablice"/>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377"/>
        <w:gridCol w:w="1651"/>
        <w:gridCol w:w="1651"/>
        <w:gridCol w:w="1651"/>
        <w:gridCol w:w="1651"/>
        <w:gridCol w:w="1651"/>
      </w:tblGrid>
      <w:tr w:rsidR="008513B3" w14:paraId="45D05B23" w14:textId="77777777">
        <w:tc>
          <w:tcPr>
            <w:tcW w:w="715" w:type="pct"/>
            <w:shd w:val="clear" w:color="auto" w:fill="FFCCA6" w:themeFill="accent5" w:themeFillTint="66"/>
            <w:vAlign w:val="center"/>
          </w:tcPr>
          <w:p w14:paraId="45D05B18" w14:textId="77777777" w:rsidR="00496804" w:rsidRDefault="00496804">
            <w:pPr>
              <w:spacing w:line="240" w:lineRule="auto"/>
              <w:jc w:val="left"/>
              <w:rPr>
                <w:rFonts w:ascii="Times New Roman" w:hAnsi="Times New Roman"/>
                <w:b/>
                <w:bCs/>
                <w:sz w:val="24"/>
              </w:rPr>
            </w:pPr>
          </w:p>
        </w:tc>
        <w:tc>
          <w:tcPr>
            <w:tcW w:w="857" w:type="pct"/>
            <w:shd w:val="clear" w:color="auto" w:fill="FFCCA6" w:themeFill="accent5" w:themeFillTint="66"/>
            <w:vAlign w:val="center"/>
          </w:tcPr>
          <w:p w14:paraId="45D05B19" w14:textId="77777777" w:rsidR="00496804" w:rsidRDefault="0037359D">
            <w:pPr>
              <w:spacing w:line="240" w:lineRule="auto"/>
              <w:jc w:val="center"/>
              <w:rPr>
                <w:rFonts w:ascii="Times New Roman" w:hAnsi="Times New Roman"/>
                <w:b/>
                <w:bCs/>
                <w:sz w:val="24"/>
              </w:rPr>
            </w:pPr>
            <w:r>
              <w:rPr>
                <w:rFonts w:ascii="Times New Roman" w:hAnsi="Times New Roman"/>
                <w:b/>
                <w:bCs/>
                <w:sz w:val="24"/>
              </w:rPr>
              <w:t>Svi R postupci</w:t>
            </w:r>
          </w:p>
          <w:p w14:paraId="45D05B1A" w14:textId="77777777" w:rsidR="00496804" w:rsidRDefault="0037359D">
            <w:pPr>
              <w:spacing w:line="240" w:lineRule="auto"/>
              <w:jc w:val="center"/>
              <w:rPr>
                <w:rFonts w:ascii="Times New Roman" w:hAnsi="Times New Roman"/>
                <w:b/>
                <w:bCs/>
                <w:sz w:val="24"/>
              </w:rPr>
            </w:pPr>
            <w:r>
              <w:rPr>
                <w:rFonts w:ascii="Times New Roman" w:hAnsi="Times New Roman"/>
                <w:b/>
                <w:bCs/>
                <w:sz w:val="24"/>
              </w:rPr>
              <w:t>(t)</w:t>
            </w:r>
          </w:p>
        </w:tc>
        <w:tc>
          <w:tcPr>
            <w:tcW w:w="857" w:type="pct"/>
            <w:shd w:val="clear" w:color="auto" w:fill="FFCCA6" w:themeFill="accent5" w:themeFillTint="66"/>
            <w:vAlign w:val="center"/>
          </w:tcPr>
          <w:p w14:paraId="45D05B1B" w14:textId="77777777" w:rsidR="00496804" w:rsidRDefault="0037359D">
            <w:pPr>
              <w:spacing w:line="240" w:lineRule="auto"/>
              <w:jc w:val="center"/>
              <w:rPr>
                <w:rFonts w:ascii="Times New Roman" w:hAnsi="Times New Roman"/>
                <w:b/>
                <w:bCs/>
                <w:sz w:val="24"/>
              </w:rPr>
            </w:pPr>
            <w:r>
              <w:rPr>
                <w:rFonts w:ascii="Times New Roman" w:hAnsi="Times New Roman"/>
                <w:b/>
                <w:bCs/>
                <w:sz w:val="24"/>
              </w:rPr>
              <w:t>Nasipavanje</w:t>
            </w:r>
          </w:p>
          <w:p w14:paraId="45D05B1C" w14:textId="77777777" w:rsidR="00496804" w:rsidRDefault="0037359D">
            <w:pPr>
              <w:spacing w:line="240" w:lineRule="auto"/>
              <w:jc w:val="center"/>
              <w:rPr>
                <w:rFonts w:ascii="Times New Roman" w:hAnsi="Times New Roman"/>
                <w:b/>
                <w:bCs/>
                <w:sz w:val="24"/>
              </w:rPr>
            </w:pPr>
            <w:r>
              <w:rPr>
                <w:rFonts w:ascii="Times New Roman" w:hAnsi="Times New Roman"/>
                <w:b/>
                <w:bCs/>
                <w:sz w:val="24"/>
              </w:rPr>
              <w:t xml:space="preserve"> (t)</w:t>
            </w:r>
          </w:p>
        </w:tc>
        <w:tc>
          <w:tcPr>
            <w:tcW w:w="857" w:type="pct"/>
            <w:shd w:val="clear" w:color="auto" w:fill="FFCCA6" w:themeFill="accent5" w:themeFillTint="66"/>
            <w:vAlign w:val="center"/>
          </w:tcPr>
          <w:p w14:paraId="45D05B1D" w14:textId="77777777" w:rsidR="00496804" w:rsidRDefault="0037359D">
            <w:pPr>
              <w:spacing w:line="240" w:lineRule="auto"/>
              <w:jc w:val="center"/>
              <w:rPr>
                <w:rFonts w:ascii="Times New Roman" w:hAnsi="Times New Roman"/>
                <w:b/>
                <w:bCs/>
                <w:sz w:val="24"/>
              </w:rPr>
            </w:pPr>
            <w:r>
              <w:rPr>
                <w:rFonts w:ascii="Times New Roman" w:hAnsi="Times New Roman"/>
                <w:b/>
                <w:bCs/>
                <w:sz w:val="24"/>
              </w:rPr>
              <w:t>Svi D postupci</w:t>
            </w:r>
          </w:p>
          <w:p w14:paraId="45D05B1E" w14:textId="77777777" w:rsidR="00496804" w:rsidRDefault="0037359D">
            <w:pPr>
              <w:spacing w:line="240" w:lineRule="auto"/>
              <w:jc w:val="center"/>
              <w:rPr>
                <w:rFonts w:ascii="Times New Roman" w:hAnsi="Times New Roman"/>
                <w:b/>
                <w:bCs/>
                <w:sz w:val="24"/>
              </w:rPr>
            </w:pPr>
            <w:r>
              <w:rPr>
                <w:rFonts w:ascii="Times New Roman" w:hAnsi="Times New Roman"/>
                <w:b/>
                <w:bCs/>
                <w:sz w:val="24"/>
              </w:rPr>
              <w:t xml:space="preserve"> (t)</w:t>
            </w:r>
          </w:p>
        </w:tc>
        <w:tc>
          <w:tcPr>
            <w:tcW w:w="857" w:type="pct"/>
            <w:shd w:val="clear" w:color="auto" w:fill="FFCCA6" w:themeFill="accent5" w:themeFillTint="66"/>
            <w:vAlign w:val="center"/>
          </w:tcPr>
          <w:p w14:paraId="45D05B1F" w14:textId="77777777" w:rsidR="00496804" w:rsidRDefault="0037359D">
            <w:pPr>
              <w:spacing w:line="240" w:lineRule="auto"/>
              <w:jc w:val="center"/>
              <w:rPr>
                <w:rFonts w:ascii="Times New Roman" w:hAnsi="Times New Roman"/>
                <w:b/>
                <w:bCs/>
                <w:sz w:val="24"/>
              </w:rPr>
            </w:pPr>
            <w:r>
              <w:rPr>
                <w:rFonts w:ascii="Times New Roman" w:hAnsi="Times New Roman"/>
                <w:b/>
                <w:bCs/>
                <w:sz w:val="24"/>
              </w:rPr>
              <w:t xml:space="preserve">PU/PP postupci </w:t>
            </w:r>
          </w:p>
          <w:p w14:paraId="45D05B20" w14:textId="77777777" w:rsidR="00496804" w:rsidRDefault="0037359D">
            <w:pPr>
              <w:spacing w:line="240" w:lineRule="auto"/>
              <w:jc w:val="center"/>
              <w:rPr>
                <w:rFonts w:ascii="Times New Roman" w:hAnsi="Times New Roman"/>
                <w:b/>
                <w:bCs/>
                <w:sz w:val="24"/>
              </w:rPr>
            </w:pPr>
            <w:r>
              <w:rPr>
                <w:rFonts w:ascii="Times New Roman" w:hAnsi="Times New Roman"/>
                <w:b/>
                <w:bCs/>
                <w:sz w:val="24"/>
              </w:rPr>
              <w:t>(t)</w:t>
            </w:r>
          </w:p>
        </w:tc>
        <w:tc>
          <w:tcPr>
            <w:tcW w:w="857" w:type="pct"/>
            <w:shd w:val="clear" w:color="auto" w:fill="FFCCA6" w:themeFill="accent5" w:themeFillTint="66"/>
            <w:vAlign w:val="center"/>
          </w:tcPr>
          <w:p w14:paraId="45D05B21" w14:textId="77777777" w:rsidR="00496804" w:rsidRDefault="0037359D">
            <w:pPr>
              <w:spacing w:line="240" w:lineRule="auto"/>
              <w:jc w:val="center"/>
              <w:rPr>
                <w:rFonts w:ascii="Times New Roman" w:hAnsi="Times New Roman"/>
                <w:b/>
                <w:bCs/>
                <w:sz w:val="24"/>
              </w:rPr>
            </w:pPr>
            <w:r>
              <w:rPr>
                <w:rFonts w:ascii="Times New Roman" w:hAnsi="Times New Roman"/>
                <w:b/>
                <w:bCs/>
                <w:sz w:val="24"/>
              </w:rPr>
              <w:t>Ukupno obrada</w:t>
            </w:r>
          </w:p>
          <w:p w14:paraId="45D05B22" w14:textId="77777777" w:rsidR="00496804" w:rsidRDefault="0037359D">
            <w:pPr>
              <w:spacing w:line="240" w:lineRule="auto"/>
              <w:jc w:val="center"/>
              <w:rPr>
                <w:rFonts w:ascii="Times New Roman" w:hAnsi="Times New Roman"/>
                <w:b/>
                <w:bCs/>
                <w:sz w:val="24"/>
              </w:rPr>
            </w:pPr>
            <w:r>
              <w:rPr>
                <w:rFonts w:ascii="Times New Roman" w:hAnsi="Times New Roman"/>
                <w:b/>
                <w:bCs/>
                <w:sz w:val="24"/>
              </w:rPr>
              <w:t>(t)</w:t>
            </w:r>
          </w:p>
        </w:tc>
      </w:tr>
      <w:tr w:rsidR="008513B3" w14:paraId="45D05B2A" w14:textId="77777777">
        <w:tc>
          <w:tcPr>
            <w:tcW w:w="715" w:type="pct"/>
            <w:shd w:val="clear" w:color="auto" w:fill="FFCCA6" w:themeFill="accent5" w:themeFillTint="66"/>
          </w:tcPr>
          <w:p w14:paraId="45D05B24" w14:textId="77777777" w:rsidR="00496804" w:rsidRDefault="0037359D">
            <w:pPr>
              <w:spacing w:line="240" w:lineRule="auto"/>
              <w:rPr>
                <w:rFonts w:ascii="Times New Roman" w:hAnsi="Times New Roman"/>
                <w:sz w:val="24"/>
              </w:rPr>
            </w:pPr>
            <w:r>
              <w:rPr>
                <w:rFonts w:ascii="Times New Roman" w:hAnsi="Times New Roman"/>
                <w:sz w:val="24"/>
              </w:rPr>
              <w:t>UKUPNO</w:t>
            </w:r>
          </w:p>
        </w:tc>
        <w:tc>
          <w:tcPr>
            <w:tcW w:w="857" w:type="pct"/>
            <w:shd w:val="clear" w:color="auto" w:fill="auto"/>
            <w:vAlign w:val="bottom"/>
          </w:tcPr>
          <w:p w14:paraId="45D05B25" w14:textId="0F5325F1" w:rsidR="00496804" w:rsidRDefault="002F1112">
            <w:pPr>
              <w:spacing w:line="240" w:lineRule="auto"/>
              <w:jc w:val="right"/>
              <w:rPr>
                <w:rFonts w:ascii="Times New Roman" w:hAnsi="Times New Roman"/>
                <w:sz w:val="24"/>
              </w:rPr>
            </w:pPr>
            <w:r>
              <w:rPr>
                <w:rFonts w:ascii="Times New Roman" w:hAnsi="Times New Roman"/>
                <w:sz w:val="24"/>
              </w:rPr>
              <w:t>598.768,9</w:t>
            </w:r>
            <w:r w:rsidR="0037359D">
              <w:rPr>
                <w:rFonts w:ascii="Times New Roman" w:hAnsi="Times New Roman"/>
                <w:sz w:val="24"/>
              </w:rPr>
              <w:t xml:space="preserve"> </w:t>
            </w:r>
          </w:p>
        </w:tc>
        <w:tc>
          <w:tcPr>
            <w:tcW w:w="857" w:type="pct"/>
            <w:shd w:val="clear" w:color="auto" w:fill="auto"/>
            <w:vAlign w:val="bottom"/>
          </w:tcPr>
          <w:p w14:paraId="45D05B26" w14:textId="03E345C7" w:rsidR="00496804" w:rsidRDefault="00FD6B9D">
            <w:pPr>
              <w:spacing w:line="240" w:lineRule="auto"/>
              <w:jc w:val="right"/>
              <w:rPr>
                <w:rFonts w:ascii="Times New Roman" w:hAnsi="Times New Roman"/>
                <w:sz w:val="24"/>
              </w:rPr>
            </w:pPr>
            <w:r>
              <w:rPr>
                <w:rFonts w:ascii="Times New Roman" w:hAnsi="Times New Roman"/>
                <w:sz w:val="24"/>
              </w:rPr>
              <w:t>164.764,4</w:t>
            </w:r>
            <w:r w:rsidR="0037359D">
              <w:rPr>
                <w:rFonts w:ascii="Times New Roman" w:hAnsi="Times New Roman"/>
                <w:sz w:val="24"/>
              </w:rPr>
              <w:t xml:space="preserve"> </w:t>
            </w:r>
          </w:p>
        </w:tc>
        <w:tc>
          <w:tcPr>
            <w:tcW w:w="857" w:type="pct"/>
            <w:shd w:val="clear" w:color="auto" w:fill="auto"/>
            <w:vAlign w:val="bottom"/>
          </w:tcPr>
          <w:p w14:paraId="45D05B27" w14:textId="40F891C0" w:rsidR="00496804" w:rsidRDefault="00FD6B9D">
            <w:pPr>
              <w:spacing w:line="240" w:lineRule="auto"/>
              <w:jc w:val="right"/>
              <w:rPr>
                <w:rFonts w:ascii="Times New Roman" w:hAnsi="Times New Roman"/>
                <w:sz w:val="24"/>
              </w:rPr>
            </w:pPr>
            <w:r>
              <w:rPr>
                <w:rFonts w:ascii="Times New Roman" w:hAnsi="Times New Roman"/>
                <w:sz w:val="24"/>
              </w:rPr>
              <w:t>312.168,9</w:t>
            </w:r>
            <w:r w:rsidR="0037359D">
              <w:rPr>
                <w:rFonts w:ascii="Times New Roman" w:hAnsi="Times New Roman"/>
                <w:sz w:val="24"/>
              </w:rPr>
              <w:t xml:space="preserve"> </w:t>
            </w:r>
          </w:p>
        </w:tc>
        <w:tc>
          <w:tcPr>
            <w:tcW w:w="857" w:type="pct"/>
            <w:shd w:val="clear" w:color="auto" w:fill="auto"/>
            <w:vAlign w:val="bottom"/>
          </w:tcPr>
          <w:p w14:paraId="45D05B28" w14:textId="1AFC3DE8" w:rsidR="00496804" w:rsidRDefault="008513B3">
            <w:pPr>
              <w:spacing w:line="240" w:lineRule="auto"/>
              <w:jc w:val="right"/>
              <w:rPr>
                <w:rFonts w:ascii="Times New Roman" w:hAnsi="Times New Roman"/>
                <w:sz w:val="24"/>
              </w:rPr>
            </w:pPr>
            <w:r>
              <w:rPr>
                <w:rFonts w:ascii="Times New Roman" w:hAnsi="Times New Roman"/>
                <w:sz w:val="24"/>
              </w:rPr>
              <w:t>959,8</w:t>
            </w:r>
            <w:r w:rsidR="0037359D">
              <w:rPr>
                <w:rFonts w:ascii="Times New Roman" w:hAnsi="Times New Roman"/>
                <w:sz w:val="24"/>
              </w:rPr>
              <w:t xml:space="preserve"> </w:t>
            </w:r>
          </w:p>
        </w:tc>
        <w:tc>
          <w:tcPr>
            <w:tcW w:w="857" w:type="pct"/>
            <w:shd w:val="clear" w:color="auto" w:fill="auto"/>
            <w:vAlign w:val="bottom"/>
          </w:tcPr>
          <w:p w14:paraId="45D05B29" w14:textId="59DFA7E0" w:rsidR="00496804" w:rsidRDefault="00E74D6B">
            <w:pPr>
              <w:spacing w:line="240" w:lineRule="auto"/>
              <w:jc w:val="right"/>
              <w:rPr>
                <w:rFonts w:ascii="Times New Roman" w:hAnsi="Times New Roman"/>
                <w:sz w:val="24"/>
              </w:rPr>
            </w:pPr>
            <w:r>
              <w:rPr>
                <w:rFonts w:ascii="Times New Roman" w:hAnsi="Times New Roman"/>
                <w:sz w:val="24"/>
              </w:rPr>
              <w:t>1.076.662</w:t>
            </w:r>
            <w:r w:rsidR="0037359D">
              <w:rPr>
                <w:rFonts w:ascii="Times New Roman" w:hAnsi="Times New Roman"/>
                <w:sz w:val="24"/>
              </w:rPr>
              <w:t xml:space="preserve"> </w:t>
            </w:r>
          </w:p>
        </w:tc>
      </w:tr>
    </w:tbl>
    <w:p w14:paraId="45D05B2B" w14:textId="77777777" w:rsidR="00496804" w:rsidRDefault="00496804">
      <w:pPr>
        <w:spacing w:line="240" w:lineRule="auto"/>
        <w:jc w:val="left"/>
        <w:rPr>
          <w:rFonts w:ascii="Times New Roman" w:hAnsi="Times New Roman"/>
          <w:sz w:val="24"/>
        </w:rPr>
      </w:pPr>
    </w:p>
    <w:p w14:paraId="45D05B2D" w14:textId="3B9DDB24" w:rsidR="00496804" w:rsidRDefault="0018559B" w:rsidP="005E7EFB">
      <w:pPr>
        <w:autoSpaceDE w:val="0"/>
        <w:autoSpaceDN w:val="0"/>
        <w:adjustRightInd w:val="0"/>
        <w:spacing w:line="240" w:lineRule="auto"/>
        <w:rPr>
          <w:rFonts w:ascii="Times New Roman" w:hAnsi="Times New Roman"/>
          <w:sz w:val="24"/>
        </w:rPr>
      </w:pPr>
      <w:r w:rsidRPr="0018559B">
        <w:rPr>
          <w:rFonts w:ascii="Times New Roman" w:hAnsi="Times New Roman"/>
          <w:sz w:val="24"/>
        </w:rPr>
        <w:t xml:space="preserve">Postupcima oporabe R (isključujući nasipavanje) obrađeno je 55,6% (598.768,9 t) građevnog otpada. Razmatrajući pojedine postupke oporabe R, najveće količine oporabljene su postupkom R5 </w:t>
      </w:r>
      <w:r w:rsidRPr="0018559B">
        <w:rPr>
          <w:rFonts w:ascii="Times New Roman" w:hAnsi="Times New Roman"/>
          <w:sz w:val="24"/>
        </w:rPr>
        <w:lastRenderedPageBreak/>
        <w:t>(</w:t>
      </w:r>
      <w:r w:rsidR="00F615F1">
        <w:rPr>
          <w:rFonts w:ascii="Times New Roman" w:hAnsi="Times New Roman"/>
          <w:sz w:val="24"/>
        </w:rPr>
        <w:t>r</w:t>
      </w:r>
      <w:r w:rsidR="00F615F1" w:rsidRPr="00F615F1">
        <w:rPr>
          <w:rFonts w:ascii="Times New Roman" w:hAnsi="Times New Roman"/>
          <w:sz w:val="24"/>
        </w:rPr>
        <w:t>ecikliranje/obnavljanje drugih otpadnih anorganskih materijala</w:t>
      </w:r>
      <w:r w:rsidR="00F615F1">
        <w:rPr>
          <w:rFonts w:ascii="Times New Roman" w:hAnsi="Times New Roman"/>
          <w:sz w:val="24"/>
        </w:rPr>
        <w:t>,</w:t>
      </w:r>
      <w:r w:rsidR="00F615F1" w:rsidRPr="00F615F1">
        <w:rPr>
          <w:rFonts w:ascii="Times New Roman" w:hAnsi="Times New Roman"/>
          <w:sz w:val="24"/>
        </w:rPr>
        <w:t xml:space="preserve"> </w:t>
      </w:r>
      <w:r w:rsidRPr="0018559B">
        <w:rPr>
          <w:rFonts w:ascii="Times New Roman" w:hAnsi="Times New Roman"/>
          <w:sz w:val="24"/>
        </w:rPr>
        <w:t>63,3%, 379.209,5 t) koji podrazumijeva recikliranje anorganskih materijala (npr. obrada mineralnog otpada na drobilici), no, pretpostavlja se da se pod ovim postupkom prijavljuju i određene količine otpada koje su finalno korištene u svrhu nasipavanja. Zatim slijede postupci R4 (</w:t>
      </w:r>
      <w:r w:rsidR="003C2A09">
        <w:rPr>
          <w:rFonts w:ascii="Times New Roman" w:hAnsi="Times New Roman"/>
          <w:sz w:val="24"/>
        </w:rPr>
        <w:t>r</w:t>
      </w:r>
      <w:r w:rsidR="003C2A09" w:rsidRPr="003C2A09">
        <w:rPr>
          <w:rFonts w:ascii="Times New Roman" w:hAnsi="Times New Roman"/>
          <w:sz w:val="24"/>
        </w:rPr>
        <w:t>ecikliranje/obnavljanje otpadnih metala i spojeva metala</w:t>
      </w:r>
      <w:r w:rsidR="003C2A09">
        <w:rPr>
          <w:rFonts w:ascii="Times New Roman" w:hAnsi="Times New Roman"/>
          <w:sz w:val="24"/>
        </w:rPr>
        <w:t>,</w:t>
      </w:r>
      <w:r w:rsidR="003C2A09" w:rsidRPr="003C2A09">
        <w:rPr>
          <w:rFonts w:ascii="Times New Roman" w:hAnsi="Times New Roman"/>
          <w:sz w:val="24"/>
        </w:rPr>
        <w:t xml:space="preserve"> </w:t>
      </w:r>
      <w:r w:rsidRPr="0018559B">
        <w:rPr>
          <w:rFonts w:ascii="Times New Roman" w:hAnsi="Times New Roman"/>
          <w:sz w:val="24"/>
        </w:rPr>
        <w:t>19,4%, 116.301,6 t) koji podrazumijeva recikliranje metala, te postupak R12 (</w:t>
      </w:r>
      <w:r w:rsidR="00B9750F">
        <w:rPr>
          <w:rFonts w:ascii="Times New Roman" w:hAnsi="Times New Roman"/>
          <w:sz w:val="24"/>
        </w:rPr>
        <w:t>r</w:t>
      </w:r>
      <w:r w:rsidR="00B9750F" w:rsidRPr="00B9750F">
        <w:rPr>
          <w:rFonts w:ascii="Times New Roman" w:hAnsi="Times New Roman"/>
          <w:sz w:val="24"/>
        </w:rPr>
        <w:t>azmjena otpada radi primjene bilo kojeg od postupaka oporabe navedenim pod R 1 – R 11</w:t>
      </w:r>
      <w:r w:rsidR="00B9750F">
        <w:rPr>
          <w:rFonts w:ascii="Times New Roman" w:hAnsi="Times New Roman"/>
          <w:sz w:val="24"/>
        </w:rPr>
        <w:t>,</w:t>
      </w:r>
      <w:r w:rsidR="00B9750F" w:rsidRPr="00B9750F">
        <w:rPr>
          <w:rFonts w:ascii="Times New Roman" w:hAnsi="Times New Roman"/>
          <w:sz w:val="24"/>
        </w:rPr>
        <w:t xml:space="preserve"> </w:t>
      </w:r>
      <w:r w:rsidRPr="0018559B">
        <w:rPr>
          <w:rFonts w:ascii="Times New Roman" w:hAnsi="Times New Roman"/>
          <w:sz w:val="24"/>
        </w:rPr>
        <w:t>16,7%, 99.824,53 t) kojim se otpad priprema za postupak oporabe.</w:t>
      </w:r>
      <w:r w:rsidR="00DA5A9A">
        <w:rPr>
          <w:rFonts w:ascii="Times New Roman" w:hAnsi="Times New Roman"/>
          <w:sz w:val="24"/>
        </w:rPr>
        <w:t xml:space="preserve"> </w:t>
      </w:r>
      <w:r w:rsidR="00DA5A9A" w:rsidRPr="00DA5A9A">
        <w:rPr>
          <w:rFonts w:ascii="Times New Roman" w:hAnsi="Times New Roman"/>
          <w:sz w:val="24"/>
        </w:rPr>
        <w:t>Količine građevnog otpada iskorištene za nasipavanje, koje se smatra posebnom vrstom oporabe, čine 15% (164.764,4 t) u ukupno obrađenom građevnom otpadu.</w:t>
      </w:r>
      <w:r w:rsidR="00DA5A9A">
        <w:rPr>
          <w:rFonts w:ascii="Times New Roman" w:hAnsi="Times New Roman"/>
          <w:sz w:val="24"/>
        </w:rPr>
        <w:t xml:space="preserve"> </w:t>
      </w:r>
      <w:r w:rsidR="00DA5A9A" w:rsidRPr="00DA5A9A">
        <w:rPr>
          <w:rFonts w:ascii="Times New Roman" w:hAnsi="Times New Roman"/>
          <w:sz w:val="24"/>
        </w:rPr>
        <w:t>Postupcima zbrinjavanja D obrađeno je 29% (312.168,9 t) građevnog otpada.</w:t>
      </w:r>
      <w:r w:rsidR="00DA5A9A">
        <w:rPr>
          <w:rFonts w:ascii="Times New Roman" w:hAnsi="Times New Roman"/>
          <w:sz w:val="24"/>
        </w:rPr>
        <w:t xml:space="preserve"> </w:t>
      </w:r>
      <w:r w:rsidR="00DA5A9A" w:rsidRPr="00DA5A9A">
        <w:rPr>
          <w:rFonts w:ascii="Times New Roman" w:hAnsi="Times New Roman"/>
          <w:sz w:val="24"/>
        </w:rPr>
        <w:t>Razmatrajući pojedine postupke D, prevladavajući udio od 96,5% (301.109,7 t) ima konačni postupak D1 - zbrinjavanja otpada na odlagalištu.</w:t>
      </w:r>
      <w:r w:rsidR="00641BF1" w:rsidRPr="00641BF1">
        <w:t xml:space="preserve"> </w:t>
      </w:r>
      <w:r w:rsidR="00641BF1" w:rsidRPr="00641BF1">
        <w:rPr>
          <w:rFonts w:ascii="Times New Roman" w:hAnsi="Times New Roman"/>
          <w:sz w:val="24"/>
        </w:rPr>
        <w:t xml:space="preserve">Mineralni neopasni građevni otpad čini udio od 33,9% u prijavljenom obrađenom otpadu (364.487,9 t). </w:t>
      </w:r>
      <w:r w:rsidR="00641BF1">
        <w:rPr>
          <w:rFonts w:ascii="Times New Roman" w:hAnsi="Times New Roman"/>
          <w:sz w:val="24"/>
        </w:rPr>
        <w:t xml:space="preserve"> </w:t>
      </w:r>
      <w:r w:rsidR="00DA5A9A" w:rsidRPr="00DA5A9A">
        <w:rPr>
          <w:rFonts w:ascii="Times New Roman" w:hAnsi="Times New Roman"/>
          <w:sz w:val="24"/>
        </w:rPr>
        <w:cr/>
      </w:r>
    </w:p>
    <w:p w14:paraId="45D05B2E" w14:textId="77777777" w:rsidR="00496804" w:rsidRDefault="0037359D">
      <w:pPr>
        <w:spacing w:line="240" w:lineRule="auto"/>
        <w:rPr>
          <w:rFonts w:ascii="Times New Roman" w:hAnsi="Times New Roman"/>
          <w:bCs/>
          <w:sz w:val="24"/>
        </w:rPr>
      </w:pPr>
      <w:r>
        <w:rPr>
          <w:rFonts w:ascii="Times New Roman" w:hAnsi="Times New Roman"/>
          <w:bCs/>
          <w:sz w:val="24"/>
        </w:rPr>
        <w:t xml:space="preserve">Prema izračunu (koji ne obuhvaća sve vrste građevnog otpada) određenom u </w:t>
      </w:r>
      <w:bookmarkStart w:id="136" w:name="_Hlk51316168"/>
      <w:r>
        <w:rPr>
          <w:rFonts w:ascii="Times New Roman" w:hAnsi="Times New Roman"/>
          <w:bCs/>
          <w:sz w:val="24"/>
        </w:rPr>
        <w:t>Izvješću Komisije Europskom parlamentu, Vijeću i Europskom gospodarskom i socijalnom odboru regija o provedbi zakonodavstva EU-a o otpadu u razdoblju 2010. – 2012. Provedba Direktive 2008/98/EZ o otpadu, Direktive 86/278/EEZ o mulju iz otpadnih voda, Direktive 1999/31/EZ o odlagalištima otpada, Direktive 94/62/EZ o ambalaži i ambalažnom otpadu, Direktive 2002/96/EZ o otpadnoj električnoj i elektroničkoj opremi (OEEO) i Direktive 2006/66/EZ o baterijama i akumulatorima (COM(2017) 88 final) od 27.2.2017. godine</w:t>
      </w:r>
      <w:bookmarkEnd w:id="136"/>
      <w:r>
        <w:rPr>
          <w:rStyle w:val="Referencafusnote"/>
          <w:rFonts w:ascii="Times New Roman" w:hAnsi="Times New Roman"/>
          <w:bCs/>
          <w:sz w:val="24"/>
        </w:rPr>
        <w:footnoteReference w:id="55"/>
      </w:r>
      <w:r>
        <w:rPr>
          <w:rFonts w:ascii="Times New Roman" w:hAnsi="Times New Roman"/>
          <w:bCs/>
          <w:sz w:val="24"/>
        </w:rPr>
        <w:t>,, stopa oporabe građevnog otpada za 2017. godinu iznosi 52,57%. Ukoliko bi se razmatrale sve vrste građevnog otpada i svi postupci kojima je obrađen građevni otpad, stopa oporabe građevnog otpada bila bi niža.</w:t>
      </w:r>
    </w:p>
    <w:p w14:paraId="45D05B2F" w14:textId="77777777" w:rsidR="00496804" w:rsidRDefault="00496804">
      <w:pPr>
        <w:spacing w:line="240" w:lineRule="auto"/>
        <w:rPr>
          <w:rFonts w:ascii="Times New Roman" w:hAnsi="Times New Roman"/>
          <w:sz w:val="24"/>
        </w:rPr>
      </w:pPr>
    </w:p>
    <w:p w14:paraId="45D05B30" w14:textId="77777777" w:rsidR="00496804" w:rsidRDefault="0037359D">
      <w:pPr>
        <w:tabs>
          <w:tab w:val="left" w:pos="1232"/>
        </w:tabs>
        <w:spacing w:line="240" w:lineRule="auto"/>
        <w:rPr>
          <w:rFonts w:ascii="Times New Roman" w:hAnsi="Times New Roman"/>
          <w:bCs/>
          <w:sz w:val="24"/>
        </w:rPr>
      </w:pPr>
      <w:r>
        <w:rPr>
          <w:rFonts w:ascii="Times New Roman" w:hAnsi="Times New Roman"/>
          <w:bCs/>
          <w:sz w:val="24"/>
        </w:rPr>
        <w:t xml:space="preserve">Sukladno </w:t>
      </w:r>
      <w:bookmarkStart w:id="137" w:name="_Hlk51317653"/>
      <w:r>
        <w:rPr>
          <w:rFonts w:ascii="Times New Roman" w:hAnsi="Times New Roman"/>
          <w:bCs/>
          <w:sz w:val="24"/>
        </w:rPr>
        <w:t>Direktivi 2008/98/EZ Europskog parlamenta i Vijeća od 19. studenoga 2008. o otpadu i stavljanju izvan snage određenih direktiva (Tekst značajan za EGP) (SL L 312/3 22.11.2008.)</w:t>
      </w:r>
      <w:bookmarkEnd w:id="137"/>
      <w:r>
        <w:rPr>
          <w:rStyle w:val="Referencafusnote"/>
          <w:rFonts w:ascii="Times New Roman" w:hAnsi="Times New Roman"/>
          <w:bCs/>
          <w:sz w:val="24"/>
        </w:rPr>
        <w:footnoteReference w:id="56"/>
      </w:r>
      <w:r>
        <w:rPr>
          <w:rFonts w:ascii="Times New Roman" w:hAnsi="Times New Roman"/>
          <w:bCs/>
          <w:sz w:val="24"/>
        </w:rPr>
        <w:t>, ciljana stopa oporabe građevnog otpada do 2020. godine iznosi 70% mase ukupno proizvedenog otpada, evidentna je nužnost dodatnih mjera za rješavanje problema proizvodnje i oporabe građevnog otpada kako bi se ostvarila mogućnost uspješnijeg gospodarenja istim, odnosno pružila prilika da se otpad pretvori u resurs.</w:t>
      </w:r>
    </w:p>
    <w:p w14:paraId="45D05B31" w14:textId="77777777" w:rsidR="00496804" w:rsidRDefault="00496804">
      <w:pPr>
        <w:spacing w:line="240" w:lineRule="auto"/>
        <w:rPr>
          <w:rFonts w:ascii="Times New Roman" w:hAnsi="Times New Roman"/>
          <w:b/>
          <w:bCs/>
          <w:sz w:val="24"/>
        </w:rPr>
      </w:pPr>
    </w:p>
    <w:p w14:paraId="45D05B32"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Imajući u vidu navedeno, za sprječavanje nastanka otpada i povećanje postotka oporabe građevnog otpada potrebno je:</w:t>
      </w:r>
    </w:p>
    <w:p w14:paraId="45D05B33" w14:textId="77777777" w:rsidR="00496804" w:rsidRDefault="0037359D">
      <w:pPr>
        <w:pStyle w:val="Odlomakpopisa"/>
        <w:numPr>
          <w:ilvl w:val="0"/>
          <w:numId w:val="10"/>
        </w:numPr>
        <w:autoSpaceDE w:val="0"/>
        <w:autoSpaceDN w:val="0"/>
        <w:adjustRightInd w:val="0"/>
        <w:spacing w:line="240" w:lineRule="auto"/>
        <w:ind w:left="426" w:hanging="284"/>
        <w:jc w:val="left"/>
        <w:rPr>
          <w:rFonts w:ascii="Times New Roman" w:eastAsia="Times New Roman" w:hAnsi="Times New Roman" w:cs="Times New Roman"/>
          <w:b w:val="0"/>
          <w:sz w:val="24"/>
          <w:lang w:eastAsia="en-GB"/>
        </w:rPr>
      </w:pPr>
      <w:r>
        <w:rPr>
          <w:rFonts w:ascii="Times New Roman" w:eastAsia="Times New Roman" w:hAnsi="Times New Roman" w:cs="Times New Roman"/>
          <w:b w:val="0"/>
          <w:sz w:val="24"/>
          <w:lang w:eastAsia="en-GB"/>
        </w:rPr>
        <w:t>u fazi planiranja:</w:t>
      </w:r>
    </w:p>
    <w:p w14:paraId="45D05B34" w14:textId="77777777" w:rsidR="00496804" w:rsidRDefault="0037359D">
      <w:pPr>
        <w:pStyle w:val="Odlomakpopisa"/>
        <w:numPr>
          <w:ilvl w:val="0"/>
          <w:numId w:val="11"/>
        </w:numPr>
        <w:autoSpaceDE w:val="0"/>
        <w:autoSpaceDN w:val="0"/>
        <w:adjustRightInd w:val="0"/>
        <w:spacing w:line="240" w:lineRule="auto"/>
        <w:ind w:left="426" w:firstLine="0"/>
        <w:jc w:val="left"/>
        <w:rPr>
          <w:rFonts w:ascii="Times New Roman" w:hAnsi="Times New Roman" w:cs="Times New Roman"/>
          <w:b w:val="0"/>
          <w:sz w:val="24"/>
        </w:rPr>
      </w:pPr>
      <w:r>
        <w:rPr>
          <w:rFonts w:ascii="Times New Roman" w:hAnsi="Times New Roman" w:cs="Times New Roman"/>
          <w:b w:val="0"/>
          <w:sz w:val="24"/>
        </w:rPr>
        <w:t>planirati građevine sa što dužim vijekom trajanja</w:t>
      </w:r>
    </w:p>
    <w:p w14:paraId="45D05B35" w14:textId="77777777" w:rsidR="00496804" w:rsidRDefault="0037359D">
      <w:pPr>
        <w:pStyle w:val="Odlomakpopisa"/>
        <w:numPr>
          <w:ilvl w:val="0"/>
          <w:numId w:val="11"/>
        </w:numPr>
        <w:autoSpaceDE w:val="0"/>
        <w:autoSpaceDN w:val="0"/>
        <w:adjustRightInd w:val="0"/>
        <w:spacing w:line="240" w:lineRule="auto"/>
        <w:ind w:left="426" w:firstLine="0"/>
        <w:jc w:val="left"/>
        <w:rPr>
          <w:rFonts w:ascii="Times New Roman" w:hAnsi="Times New Roman" w:cs="Times New Roman"/>
          <w:b w:val="0"/>
          <w:sz w:val="24"/>
        </w:rPr>
      </w:pPr>
      <w:r>
        <w:rPr>
          <w:rFonts w:ascii="Times New Roman" w:hAnsi="Times New Roman" w:cs="Times New Roman"/>
          <w:b w:val="0"/>
          <w:sz w:val="24"/>
        </w:rPr>
        <w:t>obratiti pažnju na čitav životni vijek ugrađenih materijala</w:t>
      </w:r>
    </w:p>
    <w:p w14:paraId="45D05B36" w14:textId="77777777" w:rsidR="00496804" w:rsidRDefault="0037359D">
      <w:pPr>
        <w:pStyle w:val="Odlomakpopisa"/>
        <w:numPr>
          <w:ilvl w:val="0"/>
          <w:numId w:val="11"/>
        </w:numPr>
        <w:autoSpaceDE w:val="0"/>
        <w:autoSpaceDN w:val="0"/>
        <w:adjustRightInd w:val="0"/>
        <w:spacing w:line="240" w:lineRule="auto"/>
        <w:ind w:left="709" w:hanging="283"/>
        <w:rPr>
          <w:rFonts w:ascii="Times New Roman" w:hAnsi="Times New Roman" w:cs="Times New Roman"/>
          <w:b w:val="0"/>
          <w:sz w:val="24"/>
        </w:rPr>
      </w:pPr>
      <w:r>
        <w:rPr>
          <w:rFonts w:ascii="Times New Roman" w:hAnsi="Times New Roman" w:cs="Times New Roman"/>
          <w:b w:val="0"/>
          <w:sz w:val="24"/>
        </w:rPr>
        <w:t>omogućiti jednostavno odvajanje dijelova građevine s kratkim životnim vijekom radi olakšavanja odvajanja otpada</w:t>
      </w:r>
    </w:p>
    <w:p w14:paraId="45D05B37" w14:textId="77777777" w:rsidR="00496804" w:rsidRDefault="0037359D">
      <w:pPr>
        <w:pStyle w:val="Odlomakpopisa"/>
        <w:numPr>
          <w:ilvl w:val="0"/>
          <w:numId w:val="11"/>
        </w:numPr>
        <w:autoSpaceDE w:val="0"/>
        <w:autoSpaceDN w:val="0"/>
        <w:adjustRightInd w:val="0"/>
        <w:spacing w:line="240" w:lineRule="auto"/>
        <w:ind w:left="426" w:firstLine="0"/>
        <w:jc w:val="left"/>
        <w:rPr>
          <w:rFonts w:ascii="Times New Roman" w:hAnsi="Times New Roman" w:cs="Times New Roman"/>
          <w:b w:val="0"/>
          <w:sz w:val="24"/>
        </w:rPr>
      </w:pPr>
      <w:r>
        <w:rPr>
          <w:rFonts w:ascii="Times New Roman" w:hAnsi="Times New Roman" w:cs="Times New Roman"/>
          <w:b w:val="0"/>
          <w:sz w:val="24"/>
        </w:rPr>
        <w:t>izrađivati projekte rušenja</w:t>
      </w:r>
    </w:p>
    <w:p w14:paraId="45D05B38" w14:textId="77777777" w:rsidR="00496804" w:rsidRDefault="0037359D">
      <w:pPr>
        <w:pStyle w:val="Odlomakpopisa"/>
        <w:numPr>
          <w:ilvl w:val="0"/>
          <w:numId w:val="10"/>
        </w:numPr>
        <w:autoSpaceDE w:val="0"/>
        <w:autoSpaceDN w:val="0"/>
        <w:adjustRightInd w:val="0"/>
        <w:spacing w:line="240" w:lineRule="auto"/>
        <w:ind w:left="426" w:hanging="284"/>
        <w:jc w:val="left"/>
        <w:rPr>
          <w:rFonts w:ascii="Times New Roman" w:eastAsia="Times New Roman" w:hAnsi="Times New Roman" w:cs="Times New Roman"/>
          <w:b w:val="0"/>
          <w:sz w:val="24"/>
          <w:lang w:eastAsia="en-GB"/>
        </w:rPr>
      </w:pPr>
      <w:r>
        <w:rPr>
          <w:rFonts w:ascii="Times New Roman" w:eastAsia="Times New Roman" w:hAnsi="Times New Roman" w:cs="Times New Roman"/>
          <w:b w:val="0"/>
          <w:sz w:val="24"/>
          <w:lang w:eastAsia="en-GB"/>
        </w:rPr>
        <w:t>kod planiranja gradilišta:</w:t>
      </w:r>
    </w:p>
    <w:p w14:paraId="45D05B39" w14:textId="77777777" w:rsidR="00496804" w:rsidRDefault="0037359D">
      <w:pPr>
        <w:pStyle w:val="Odlomakpopisa"/>
        <w:numPr>
          <w:ilvl w:val="0"/>
          <w:numId w:val="11"/>
        </w:numPr>
        <w:autoSpaceDE w:val="0"/>
        <w:autoSpaceDN w:val="0"/>
        <w:adjustRightInd w:val="0"/>
        <w:spacing w:line="240" w:lineRule="auto"/>
        <w:ind w:left="426" w:firstLine="0"/>
        <w:jc w:val="left"/>
        <w:rPr>
          <w:rFonts w:ascii="Times New Roman" w:hAnsi="Times New Roman" w:cs="Times New Roman"/>
          <w:b w:val="0"/>
          <w:sz w:val="24"/>
        </w:rPr>
      </w:pPr>
      <w:r>
        <w:rPr>
          <w:rFonts w:ascii="Times New Roman" w:hAnsi="Times New Roman" w:cs="Times New Roman"/>
          <w:b w:val="0"/>
          <w:sz w:val="24"/>
        </w:rPr>
        <w:t>koordinirati sve tvrtke koje rade na jednom gradilištu</w:t>
      </w:r>
    </w:p>
    <w:p w14:paraId="45D05B3A" w14:textId="77777777" w:rsidR="00496804" w:rsidRDefault="0037359D">
      <w:pPr>
        <w:pStyle w:val="Odlomakpopisa"/>
        <w:numPr>
          <w:ilvl w:val="0"/>
          <w:numId w:val="11"/>
        </w:numPr>
        <w:autoSpaceDE w:val="0"/>
        <w:autoSpaceDN w:val="0"/>
        <w:adjustRightInd w:val="0"/>
        <w:spacing w:line="240" w:lineRule="auto"/>
        <w:ind w:left="426" w:firstLine="0"/>
        <w:jc w:val="left"/>
        <w:rPr>
          <w:rFonts w:ascii="Times New Roman" w:hAnsi="Times New Roman" w:cs="Times New Roman"/>
          <w:b w:val="0"/>
          <w:sz w:val="24"/>
        </w:rPr>
      </w:pPr>
      <w:r>
        <w:rPr>
          <w:rFonts w:ascii="Times New Roman" w:hAnsi="Times New Roman" w:cs="Times New Roman"/>
          <w:b w:val="0"/>
          <w:sz w:val="24"/>
        </w:rPr>
        <w:t>organizirati odvajanje na licu mjesta</w:t>
      </w:r>
    </w:p>
    <w:p w14:paraId="45D05B3B" w14:textId="31ECB56B" w:rsidR="00496804" w:rsidRDefault="0037359D">
      <w:pPr>
        <w:pStyle w:val="Odlomakpopisa"/>
        <w:numPr>
          <w:ilvl w:val="0"/>
          <w:numId w:val="11"/>
        </w:numPr>
        <w:autoSpaceDE w:val="0"/>
        <w:autoSpaceDN w:val="0"/>
        <w:adjustRightInd w:val="0"/>
        <w:spacing w:line="240" w:lineRule="auto"/>
        <w:ind w:left="426" w:firstLine="0"/>
        <w:jc w:val="left"/>
        <w:rPr>
          <w:rFonts w:ascii="Times New Roman" w:hAnsi="Times New Roman" w:cs="Times New Roman"/>
          <w:b w:val="0"/>
          <w:sz w:val="24"/>
        </w:rPr>
      </w:pPr>
      <w:r>
        <w:rPr>
          <w:rFonts w:ascii="Times New Roman" w:hAnsi="Times New Roman" w:cs="Times New Roman"/>
          <w:b w:val="0"/>
          <w:sz w:val="24"/>
        </w:rPr>
        <w:t>dogovoriti oporabu iskoristivih materijala</w:t>
      </w:r>
    </w:p>
    <w:p w14:paraId="45D05B3C" w14:textId="77777777" w:rsidR="00496804" w:rsidRDefault="0037359D">
      <w:pPr>
        <w:pStyle w:val="Odlomakpopisa"/>
        <w:numPr>
          <w:ilvl w:val="0"/>
          <w:numId w:val="10"/>
        </w:numPr>
        <w:autoSpaceDE w:val="0"/>
        <w:autoSpaceDN w:val="0"/>
        <w:adjustRightInd w:val="0"/>
        <w:spacing w:line="240" w:lineRule="auto"/>
        <w:ind w:left="426" w:hanging="284"/>
        <w:jc w:val="left"/>
        <w:rPr>
          <w:rFonts w:ascii="Times New Roman" w:eastAsia="Times New Roman" w:hAnsi="Times New Roman" w:cs="Times New Roman"/>
          <w:b w:val="0"/>
          <w:sz w:val="24"/>
          <w:lang w:eastAsia="en-GB"/>
        </w:rPr>
      </w:pPr>
      <w:r>
        <w:rPr>
          <w:rFonts w:ascii="Times New Roman" w:eastAsia="Times New Roman" w:hAnsi="Times New Roman" w:cs="Times New Roman"/>
          <w:b w:val="0"/>
          <w:sz w:val="24"/>
          <w:lang w:eastAsia="en-GB"/>
        </w:rPr>
        <w:t>kod odabira građevnih materijala:</w:t>
      </w:r>
    </w:p>
    <w:p w14:paraId="45D05B3D" w14:textId="77777777" w:rsidR="00496804" w:rsidRDefault="0037359D">
      <w:pPr>
        <w:pStyle w:val="Odlomakpopisa"/>
        <w:numPr>
          <w:ilvl w:val="0"/>
          <w:numId w:val="11"/>
        </w:numPr>
        <w:autoSpaceDE w:val="0"/>
        <w:autoSpaceDN w:val="0"/>
        <w:adjustRightInd w:val="0"/>
        <w:spacing w:line="240" w:lineRule="auto"/>
        <w:ind w:left="426" w:firstLine="0"/>
        <w:jc w:val="left"/>
        <w:rPr>
          <w:rFonts w:ascii="Times New Roman" w:hAnsi="Times New Roman" w:cs="Times New Roman"/>
          <w:b w:val="0"/>
          <w:sz w:val="24"/>
        </w:rPr>
      </w:pPr>
      <w:r>
        <w:rPr>
          <w:rFonts w:ascii="Times New Roman" w:hAnsi="Times New Roman" w:cs="Times New Roman"/>
          <w:b w:val="0"/>
          <w:sz w:val="24"/>
        </w:rPr>
        <w:t>voditi računa o ekonomičnosti i oporabljivosti istih</w:t>
      </w:r>
    </w:p>
    <w:p w14:paraId="45D05B3E" w14:textId="77777777" w:rsidR="00496804" w:rsidRDefault="0037359D">
      <w:pPr>
        <w:pStyle w:val="Odlomakpopisa"/>
        <w:numPr>
          <w:ilvl w:val="0"/>
          <w:numId w:val="11"/>
        </w:numPr>
        <w:autoSpaceDE w:val="0"/>
        <w:autoSpaceDN w:val="0"/>
        <w:adjustRightInd w:val="0"/>
        <w:spacing w:line="240" w:lineRule="auto"/>
        <w:ind w:left="426" w:firstLine="0"/>
        <w:jc w:val="left"/>
        <w:rPr>
          <w:rFonts w:ascii="Times New Roman" w:hAnsi="Times New Roman" w:cs="Times New Roman"/>
          <w:b w:val="0"/>
          <w:sz w:val="24"/>
        </w:rPr>
      </w:pPr>
      <w:r>
        <w:rPr>
          <w:rFonts w:ascii="Times New Roman" w:hAnsi="Times New Roman" w:cs="Times New Roman"/>
          <w:b w:val="0"/>
          <w:sz w:val="24"/>
        </w:rPr>
        <w:t>koristiti u najmanjoj mogućoj mjeri mješavine organskih i anorganskih materijala</w:t>
      </w:r>
    </w:p>
    <w:p w14:paraId="45D05B3F" w14:textId="77777777" w:rsidR="00496804" w:rsidRDefault="0037359D">
      <w:pPr>
        <w:pStyle w:val="Odlomakpopisa"/>
        <w:numPr>
          <w:ilvl w:val="0"/>
          <w:numId w:val="11"/>
        </w:numPr>
        <w:autoSpaceDE w:val="0"/>
        <w:autoSpaceDN w:val="0"/>
        <w:adjustRightInd w:val="0"/>
        <w:spacing w:line="240" w:lineRule="auto"/>
        <w:ind w:left="426" w:firstLine="0"/>
        <w:jc w:val="left"/>
        <w:rPr>
          <w:rFonts w:ascii="Times New Roman" w:hAnsi="Times New Roman" w:cs="Times New Roman"/>
          <w:b w:val="0"/>
          <w:sz w:val="24"/>
        </w:rPr>
      </w:pPr>
      <w:r>
        <w:rPr>
          <w:rFonts w:ascii="Times New Roman" w:hAnsi="Times New Roman" w:cs="Times New Roman"/>
          <w:b w:val="0"/>
          <w:sz w:val="24"/>
        </w:rPr>
        <w:t>što manje koristiti kompozite</w:t>
      </w:r>
    </w:p>
    <w:p w14:paraId="45D05B40" w14:textId="77777777" w:rsidR="00496804" w:rsidRDefault="0037359D">
      <w:pPr>
        <w:pStyle w:val="Odlomakpopisa"/>
        <w:numPr>
          <w:ilvl w:val="0"/>
          <w:numId w:val="11"/>
        </w:numPr>
        <w:autoSpaceDE w:val="0"/>
        <w:autoSpaceDN w:val="0"/>
        <w:adjustRightInd w:val="0"/>
        <w:spacing w:line="240" w:lineRule="auto"/>
        <w:ind w:left="426" w:firstLine="0"/>
        <w:jc w:val="left"/>
        <w:rPr>
          <w:rFonts w:ascii="Times New Roman" w:hAnsi="Times New Roman" w:cs="Times New Roman"/>
          <w:b w:val="0"/>
          <w:sz w:val="24"/>
        </w:rPr>
      </w:pPr>
      <w:r>
        <w:rPr>
          <w:rFonts w:ascii="Times New Roman" w:hAnsi="Times New Roman" w:cs="Times New Roman"/>
          <w:b w:val="0"/>
          <w:sz w:val="24"/>
        </w:rPr>
        <w:t>koristiti reciklirani materijal.</w:t>
      </w:r>
    </w:p>
    <w:p w14:paraId="45D05B41" w14:textId="77777777" w:rsidR="00496804" w:rsidRDefault="00496804">
      <w:pPr>
        <w:spacing w:line="240" w:lineRule="auto"/>
        <w:rPr>
          <w:rFonts w:ascii="Times New Roman" w:hAnsi="Times New Roman"/>
          <w:sz w:val="24"/>
        </w:rPr>
      </w:pPr>
    </w:p>
    <w:p w14:paraId="45D05B42" w14:textId="77777777" w:rsidR="00496804" w:rsidRDefault="0037359D">
      <w:pPr>
        <w:spacing w:line="240" w:lineRule="auto"/>
        <w:rPr>
          <w:rFonts w:ascii="Times New Roman" w:hAnsi="Times New Roman"/>
          <w:sz w:val="24"/>
        </w:rPr>
      </w:pPr>
      <w:r>
        <w:rPr>
          <w:rFonts w:ascii="Times New Roman" w:hAnsi="Times New Roman"/>
          <w:sz w:val="24"/>
        </w:rPr>
        <w:t xml:space="preserve">Sprečavanje nastanka građevnog otpada moguće je i kružnom obnovom zgrada. Na taj način materijali konstrukcije zgrade se ponovno upotrebljavaju u istu svrhu za koju su bili zamišljeni, u količini koja je ekvivalentna volumenu nerazgrađene konstrukcije zgrade. </w:t>
      </w:r>
    </w:p>
    <w:p w14:paraId="45D05B43" w14:textId="77777777" w:rsidR="00496804" w:rsidRDefault="00496804">
      <w:pPr>
        <w:spacing w:line="240" w:lineRule="auto"/>
        <w:rPr>
          <w:rFonts w:ascii="Times New Roman" w:hAnsi="Times New Roman"/>
          <w:sz w:val="24"/>
        </w:rPr>
      </w:pPr>
    </w:p>
    <w:p w14:paraId="45D05B44" w14:textId="77777777" w:rsidR="00496804" w:rsidRDefault="0037359D">
      <w:pPr>
        <w:spacing w:line="240" w:lineRule="auto"/>
        <w:rPr>
          <w:rFonts w:ascii="Times New Roman" w:hAnsi="Times New Roman"/>
          <w:sz w:val="24"/>
        </w:rPr>
      </w:pPr>
      <w:r>
        <w:rPr>
          <w:rFonts w:ascii="Times New Roman" w:hAnsi="Times New Roman"/>
          <w:sz w:val="24"/>
        </w:rPr>
        <w:t>Istovremeno, postojeći otpad se može tretirati jednim od postupaka: priprema za ponovnu uporabu, recikliranje, drugi postupci oporabe (npr. energetska oporaba) ili zbrinjavanje otpada.</w:t>
      </w:r>
      <w:r>
        <w:rPr>
          <w:rFonts w:ascii="Times New Roman" w:hAnsi="Times New Roman"/>
          <w:sz w:val="24"/>
          <w:shd w:val="clear" w:color="auto" w:fill="FFFFFF"/>
        </w:rPr>
        <w:t xml:space="preserve"> Kako najveća količina građevnog otpada nastaje rušenjem starih građevina te imajući u vidu red prvenstva gospodarenja otpadom, rušenje bi trebalo organizirati na način da se što je moguće više spriječi nastajanje građevnog otpada, da se što je moguće više dijelova istih pripremi za ponovnu uporabu odnosno za recikliranje, obzirom da je najmanje poželjan način gospodarenja građevnim otpadom zbrinjavanje na odlagalištima otpada.</w:t>
      </w:r>
    </w:p>
    <w:p w14:paraId="45D05B45" w14:textId="77777777" w:rsidR="00496804" w:rsidRDefault="00496804">
      <w:pPr>
        <w:spacing w:line="240" w:lineRule="auto"/>
        <w:rPr>
          <w:rFonts w:ascii="Times New Roman" w:hAnsi="Times New Roman"/>
          <w:b/>
          <w:bCs/>
          <w:sz w:val="24"/>
        </w:rPr>
      </w:pPr>
    </w:p>
    <w:p w14:paraId="45D05B46" w14:textId="77777777" w:rsidR="00496804" w:rsidRDefault="00496804">
      <w:pPr>
        <w:spacing w:line="240" w:lineRule="auto"/>
        <w:rPr>
          <w:rFonts w:ascii="Times New Roman" w:hAnsi="Times New Roman"/>
          <w:sz w:val="24"/>
        </w:rPr>
      </w:pPr>
    </w:p>
    <w:p w14:paraId="45D05B47" w14:textId="77777777" w:rsidR="00496804" w:rsidRDefault="0037359D">
      <w:pPr>
        <w:pStyle w:val="Naslov2"/>
        <w:ind w:left="426" w:hanging="426"/>
        <w:rPr>
          <w:rFonts w:ascii="Times New Roman" w:hAnsi="Times New Roman" w:cs="Times New Roman"/>
          <w:color w:val="auto"/>
          <w:sz w:val="24"/>
          <w:szCs w:val="24"/>
        </w:rPr>
      </w:pPr>
      <w:bookmarkStart w:id="138" w:name="_Toc51851638"/>
      <w:r>
        <w:rPr>
          <w:rFonts w:ascii="Times New Roman" w:hAnsi="Times New Roman" w:cs="Times New Roman"/>
          <w:color w:val="auto"/>
          <w:sz w:val="24"/>
          <w:szCs w:val="24"/>
        </w:rPr>
        <w:t>PREGLED STANJA NA REGIONALNOJ I LOKALNOJ RAZINI</w:t>
      </w:r>
      <w:bookmarkEnd w:id="138"/>
    </w:p>
    <w:p w14:paraId="45D05B48" w14:textId="77777777" w:rsidR="00496804" w:rsidRDefault="00496804">
      <w:pPr>
        <w:spacing w:line="240" w:lineRule="auto"/>
        <w:rPr>
          <w:rFonts w:ascii="Times New Roman" w:hAnsi="Times New Roman"/>
          <w:sz w:val="24"/>
        </w:rPr>
      </w:pPr>
    </w:p>
    <w:p w14:paraId="45D05B49" w14:textId="77777777" w:rsidR="00496804" w:rsidRDefault="0037359D">
      <w:pPr>
        <w:pStyle w:val="Naslov3"/>
        <w:rPr>
          <w:rFonts w:ascii="Times New Roman" w:eastAsia="Times New Roman" w:hAnsi="Times New Roman" w:cs="Times New Roman"/>
          <w:bCs w:val="0"/>
          <w:color w:val="auto"/>
          <w:spacing w:val="0"/>
          <w:sz w:val="24"/>
          <w:szCs w:val="24"/>
          <w:lang w:eastAsia="en-GB"/>
        </w:rPr>
      </w:pPr>
      <w:bookmarkStart w:id="139" w:name="_Toc51851639"/>
      <w:r>
        <w:rPr>
          <w:rFonts w:ascii="Times New Roman" w:eastAsia="Times New Roman" w:hAnsi="Times New Roman" w:cs="Times New Roman"/>
          <w:bCs w:val="0"/>
          <w:color w:val="auto"/>
          <w:spacing w:val="0"/>
          <w:sz w:val="24"/>
          <w:szCs w:val="24"/>
          <w:lang w:eastAsia="en-GB"/>
        </w:rPr>
        <w:t>Anketno istraživanje</w:t>
      </w:r>
      <w:bookmarkEnd w:id="139"/>
    </w:p>
    <w:p w14:paraId="45D05B4A" w14:textId="77777777" w:rsidR="00496804" w:rsidRDefault="0037359D">
      <w:pPr>
        <w:spacing w:line="240" w:lineRule="auto"/>
        <w:rPr>
          <w:rFonts w:ascii="Times New Roman" w:hAnsi="Times New Roman"/>
          <w:bCs/>
          <w:sz w:val="24"/>
        </w:rPr>
      </w:pPr>
      <w:r>
        <w:rPr>
          <w:rFonts w:ascii="Times New Roman" w:hAnsi="Times New Roman"/>
          <w:bCs/>
          <w:sz w:val="24"/>
        </w:rPr>
        <w:t>Anketno istraživanje putem online upitnika koje se provodilo tijekom studenog i prosinca 2019. godine bilo je namijenjeno jedinicama lokalne samouprave, županijskim zavodima za prostorno uređenje i drugim nadležnim upravnim i komunalnim organizacijama  radi uvida u postojeće stanje i planove razvoja kružnog gospodarenja prostorom i zgradama za razdoblje od 2020. do 2027. godine. Upitniku je pristupilo ukupno 157 pristupnika</w:t>
      </w:r>
      <w:r>
        <w:rPr>
          <w:rFonts w:ascii="Times New Roman" w:hAnsi="Times New Roman"/>
          <w:sz w:val="24"/>
          <w:shd w:val="clear" w:color="auto" w:fill="FFFFFF"/>
        </w:rPr>
        <w:t xml:space="preserve"> različitih funkcija i područja djelovanja u upravi pojedinih JLP(R)S</w:t>
      </w:r>
      <w:r>
        <w:rPr>
          <w:rFonts w:ascii="Times New Roman" w:hAnsi="Times New Roman"/>
          <w:bCs/>
          <w:sz w:val="24"/>
        </w:rPr>
        <w:t xml:space="preserve">, predstavnici 3 županije, 53 grada i 81 općine. </w:t>
      </w:r>
    </w:p>
    <w:p w14:paraId="45D05B4B" w14:textId="77777777" w:rsidR="00496804" w:rsidRDefault="0037359D">
      <w:pPr>
        <w:spacing w:line="240" w:lineRule="auto"/>
        <w:rPr>
          <w:rFonts w:ascii="Times New Roman" w:hAnsi="Times New Roman"/>
          <w:bCs/>
          <w:sz w:val="24"/>
        </w:rPr>
      </w:pPr>
      <w:r>
        <w:rPr>
          <w:rFonts w:ascii="Times New Roman" w:hAnsi="Times New Roman"/>
          <w:bCs/>
          <w:sz w:val="24"/>
        </w:rPr>
        <w:t xml:space="preserve">Prema informiranosti, potrebama i postojećim podacima, dobiveni rezultati su okvirni za donošenje zaključaka o trenutnom stanju o potrebama razvoja kružnog gospodarenja prostorom i zgradama u RH. </w:t>
      </w:r>
    </w:p>
    <w:p w14:paraId="45D05BC4" w14:textId="77777777" w:rsidR="00496804" w:rsidRDefault="00496804">
      <w:pPr>
        <w:spacing w:line="240" w:lineRule="auto"/>
        <w:rPr>
          <w:rFonts w:ascii="Times New Roman" w:hAnsi="Times New Roman"/>
          <w:spacing w:val="20"/>
          <w:sz w:val="24"/>
        </w:rPr>
      </w:pPr>
    </w:p>
    <w:p w14:paraId="45D05BC6" w14:textId="529509CB" w:rsidR="00496804" w:rsidRDefault="0037359D">
      <w:pPr>
        <w:spacing w:line="240" w:lineRule="auto"/>
        <w:rPr>
          <w:rFonts w:ascii="Times New Roman" w:hAnsi="Times New Roman"/>
          <w:sz w:val="24"/>
        </w:rPr>
      </w:pPr>
      <w:r>
        <w:rPr>
          <w:rFonts w:ascii="Times New Roman" w:hAnsi="Times New Roman"/>
          <w:sz w:val="24"/>
        </w:rPr>
        <w:t>U sklopu odgovora</w:t>
      </w:r>
      <w:r w:rsidR="00371305">
        <w:rPr>
          <w:rFonts w:ascii="Times New Roman" w:hAnsi="Times New Roman"/>
          <w:sz w:val="24"/>
        </w:rPr>
        <w:t xml:space="preserve"> na anketni upitnik</w:t>
      </w:r>
      <w:r>
        <w:rPr>
          <w:rFonts w:ascii="Times New Roman" w:hAnsi="Times New Roman"/>
          <w:sz w:val="24"/>
        </w:rPr>
        <w:t xml:space="preserve">, 64,33% ispitanika je </w:t>
      </w:r>
      <w:r>
        <w:rPr>
          <w:rFonts w:ascii="Times New Roman" w:hAnsi="Times New Roman"/>
          <w:bCs/>
          <w:sz w:val="24"/>
        </w:rPr>
        <w:t>nave</w:t>
      </w:r>
      <w:r w:rsidR="00A65470">
        <w:rPr>
          <w:rFonts w:ascii="Times New Roman" w:hAnsi="Times New Roman"/>
          <w:bCs/>
          <w:sz w:val="24"/>
        </w:rPr>
        <w:t>l</w:t>
      </w:r>
      <w:r>
        <w:rPr>
          <w:rFonts w:ascii="Times New Roman" w:hAnsi="Times New Roman"/>
          <w:bCs/>
          <w:sz w:val="24"/>
        </w:rPr>
        <w:t>o sadržaje koji nedostaju unutar JLS,</w:t>
      </w:r>
      <w:r>
        <w:rPr>
          <w:rFonts w:ascii="Times New Roman" w:hAnsi="Times New Roman"/>
          <w:sz w:val="24"/>
        </w:rPr>
        <w:t xml:space="preserve"> a mogli bi se realizirati po modelu kružnog gospodarenja prostorom i zgradama. Prema namjeni navedeni su:</w:t>
      </w:r>
    </w:p>
    <w:p w14:paraId="45D05BC7" w14:textId="77777777" w:rsidR="00496804" w:rsidRDefault="0037359D">
      <w:pPr>
        <w:pStyle w:val="Odlomakpopisa"/>
        <w:numPr>
          <w:ilvl w:val="0"/>
          <w:numId w:val="12"/>
        </w:numPr>
        <w:spacing w:line="240" w:lineRule="auto"/>
        <w:ind w:left="426" w:hanging="284"/>
        <w:rPr>
          <w:rFonts w:ascii="Times New Roman" w:hAnsi="Times New Roman" w:cs="Times New Roman"/>
          <w:b w:val="0"/>
          <w:bCs/>
          <w:sz w:val="24"/>
        </w:rPr>
      </w:pPr>
      <w:bookmarkStart w:id="140" w:name="_Hlk38141697"/>
      <w:r>
        <w:rPr>
          <w:rFonts w:ascii="Times New Roman" w:hAnsi="Times New Roman" w:cs="Times New Roman"/>
          <w:b w:val="0"/>
          <w:sz w:val="24"/>
        </w:rPr>
        <w:t>javni i društveni sadržaji:</w:t>
      </w:r>
      <w:r>
        <w:rPr>
          <w:rFonts w:ascii="Times New Roman" w:hAnsi="Times New Roman" w:cs="Times New Roman"/>
          <w:b w:val="0"/>
          <w:bCs/>
          <w:sz w:val="24"/>
        </w:rPr>
        <w:t xml:space="preserve"> administrativni sadržaji, ambulanta, centar za mlade, centar udruga, depo muzeja, dom za starije i nemoćne, društveni centar, edukacijski centar, galerija, glazbene vježbaonice, interpretacijski centar, istraživački institut, kino, knjižnica, koncertna dvorana, konferencijska dvorana, kulturni centar, kulturno-informativni centar, multifunkcionalna dvorana, multimedijalni sadržaji, muzej, obrazovno-edukacijski sadržaji, polivalentna dvorana, prostori za udruge, škola, vatrogasni dom, zgrada uprave</w:t>
      </w:r>
    </w:p>
    <w:p w14:paraId="45D05BC8" w14:textId="77777777" w:rsidR="00496804" w:rsidRDefault="0037359D">
      <w:pPr>
        <w:pStyle w:val="Odlomakpopisa"/>
        <w:numPr>
          <w:ilvl w:val="0"/>
          <w:numId w:val="12"/>
        </w:numPr>
        <w:spacing w:line="240" w:lineRule="auto"/>
        <w:ind w:left="426" w:hanging="284"/>
        <w:rPr>
          <w:rFonts w:ascii="Times New Roman" w:hAnsi="Times New Roman" w:cs="Times New Roman"/>
          <w:b w:val="0"/>
          <w:sz w:val="24"/>
        </w:rPr>
      </w:pPr>
      <w:r>
        <w:rPr>
          <w:rFonts w:ascii="Times New Roman" w:hAnsi="Times New Roman" w:cs="Times New Roman"/>
          <w:b w:val="0"/>
          <w:sz w:val="24"/>
        </w:rPr>
        <w:t>ugostiteljsko-turistički sadržaji:</w:t>
      </w:r>
      <w:r>
        <w:rPr>
          <w:rFonts w:ascii="Times New Roman" w:hAnsi="Times New Roman" w:cs="Times New Roman"/>
          <w:sz w:val="24"/>
        </w:rPr>
        <w:t xml:space="preserve"> </w:t>
      </w:r>
      <w:r>
        <w:rPr>
          <w:rFonts w:ascii="Times New Roman" w:hAnsi="Times New Roman" w:cs="Times New Roman"/>
          <w:b w:val="0"/>
          <w:sz w:val="24"/>
        </w:rPr>
        <w:t>aquapark, centar zdravstvenog turizma, hotel, kamp, kušaonica, planinarski dom, restoran, turistički sadržaji, turističko-sportski centar, ugostiteljski sadržaji</w:t>
      </w:r>
    </w:p>
    <w:p w14:paraId="45D05BC9" w14:textId="77777777" w:rsidR="00496804" w:rsidRDefault="0037359D">
      <w:pPr>
        <w:pStyle w:val="Odlomakpopisa"/>
        <w:numPr>
          <w:ilvl w:val="0"/>
          <w:numId w:val="12"/>
        </w:numPr>
        <w:spacing w:line="240" w:lineRule="auto"/>
        <w:ind w:left="426" w:hanging="284"/>
        <w:rPr>
          <w:rFonts w:ascii="Times New Roman" w:hAnsi="Times New Roman" w:cs="Times New Roman"/>
          <w:b w:val="0"/>
          <w:sz w:val="24"/>
        </w:rPr>
      </w:pPr>
      <w:r>
        <w:rPr>
          <w:rFonts w:ascii="Times New Roman" w:hAnsi="Times New Roman" w:cs="Times New Roman"/>
          <w:b w:val="0"/>
          <w:sz w:val="24"/>
        </w:rPr>
        <w:t>gospodarski sadržaji:</w:t>
      </w:r>
      <w:r>
        <w:rPr>
          <w:rFonts w:ascii="Times New Roman" w:hAnsi="Times New Roman" w:cs="Times New Roman"/>
          <w:b w:val="0"/>
          <w:bCs/>
          <w:sz w:val="24"/>
        </w:rPr>
        <w:t xml:space="preserve"> </w:t>
      </w:r>
      <w:r>
        <w:rPr>
          <w:rFonts w:ascii="Times New Roman" w:hAnsi="Times New Roman" w:cs="Times New Roman"/>
          <w:b w:val="0"/>
          <w:sz w:val="24"/>
        </w:rPr>
        <w:t>centar kompetencije, co-working centar, gradska tržnica, obrti, poduzetnički inkubator, poslovni prostori, razvojni centar, sajamski sadržaji, smještajni kapaciteti, trgovine</w:t>
      </w:r>
    </w:p>
    <w:p w14:paraId="45D05BCA" w14:textId="77777777" w:rsidR="00496804" w:rsidRDefault="0037359D">
      <w:pPr>
        <w:pStyle w:val="Odlomakpopisa"/>
        <w:numPr>
          <w:ilvl w:val="0"/>
          <w:numId w:val="12"/>
        </w:numPr>
        <w:spacing w:line="240" w:lineRule="auto"/>
        <w:ind w:left="426" w:hanging="284"/>
        <w:rPr>
          <w:rFonts w:ascii="Times New Roman" w:hAnsi="Times New Roman" w:cs="Times New Roman"/>
          <w:bCs/>
          <w:sz w:val="24"/>
        </w:rPr>
      </w:pPr>
      <w:r>
        <w:rPr>
          <w:rFonts w:ascii="Times New Roman" w:hAnsi="Times New Roman" w:cs="Times New Roman"/>
          <w:b w:val="0"/>
          <w:sz w:val="24"/>
        </w:rPr>
        <w:t>sportski i rekreacijski sadržaji:</w:t>
      </w:r>
      <w:r>
        <w:rPr>
          <w:rFonts w:ascii="Times New Roman" w:hAnsi="Times New Roman" w:cs="Times New Roman"/>
          <w:sz w:val="24"/>
        </w:rPr>
        <w:t xml:space="preserve"> </w:t>
      </w:r>
      <w:r>
        <w:rPr>
          <w:rFonts w:ascii="Times New Roman" w:hAnsi="Times New Roman" w:cs="Times New Roman"/>
          <w:b w:val="0"/>
          <w:sz w:val="24"/>
        </w:rPr>
        <w:t>bazen, ledena dvorana, plesna dvorana, sportski centar, sportska dvorana, sportski sadržaji, tematski park, teretana, vježbalište</w:t>
      </w:r>
    </w:p>
    <w:p w14:paraId="45D05BCB" w14:textId="77777777" w:rsidR="00496804" w:rsidRDefault="0037359D">
      <w:pPr>
        <w:pStyle w:val="Odlomakpopisa"/>
        <w:numPr>
          <w:ilvl w:val="0"/>
          <w:numId w:val="12"/>
        </w:numPr>
        <w:spacing w:line="240" w:lineRule="auto"/>
        <w:ind w:left="426" w:hanging="284"/>
        <w:rPr>
          <w:rFonts w:ascii="Times New Roman" w:hAnsi="Times New Roman" w:cs="Times New Roman"/>
          <w:b w:val="0"/>
          <w:bCs/>
          <w:sz w:val="24"/>
        </w:rPr>
      </w:pPr>
      <w:r>
        <w:rPr>
          <w:rFonts w:ascii="Times New Roman" w:hAnsi="Times New Roman" w:cs="Times New Roman"/>
          <w:b w:val="0"/>
          <w:sz w:val="24"/>
        </w:rPr>
        <w:t xml:space="preserve">sadržaji javnog zelenila </w:t>
      </w:r>
      <w:r>
        <w:rPr>
          <w:rFonts w:ascii="Times New Roman" w:hAnsi="Times New Roman" w:cs="Times New Roman"/>
          <w:b w:val="0"/>
          <w:bCs/>
          <w:sz w:val="24"/>
        </w:rPr>
        <w:t>dječje igralište, hortikulturno uređenje, park</w:t>
      </w:r>
    </w:p>
    <w:p w14:paraId="45D05BCC" w14:textId="77777777" w:rsidR="00496804" w:rsidRDefault="0037359D">
      <w:pPr>
        <w:pStyle w:val="Odlomakpopisa"/>
        <w:numPr>
          <w:ilvl w:val="0"/>
          <w:numId w:val="12"/>
        </w:numPr>
        <w:spacing w:line="240" w:lineRule="auto"/>
        <w:ind w:left="426" w:hanging="284"/>
        <w:rPr>
          <w:rFonts w:ascii="Times New Roman" w:hAnsi="Times New Roman" w:cs="Times New Roman"/>
          <w:b w:val="0"/>
          <w:bCs/>
          <w:sz w:val="24"/>
        </w:rPr>
      </w:pPr>
      <w:r>
        <w:rPr>
          <w:rFonts w:ascii="Times New Roman" w:hAnsi="Times New Roman" w:cs="Times New Roman"/>
          <w:b w:val="0"/>
          <w:sz w:val="24"/>
        </w:rPr>
        <w:t xml:space="preserve">stambeni sadržaji </w:t>
      </w:r>
      <w:r>
        <w:rPr>
          <w:rFonts w:ascii="Times New Roman" w:hAnsi="Times New Roman" w:cs="Times New Roman"/>
          <w:b w:val="0"/>
          <w:bCs/>
          <w:sz w:val="24"/>
        </w:rPr>
        <w:t>stambene jedinice</w:t>
      </w:r>
    </w:p>
    <w:p w14:paraId="45D05BCD" w14:textId="77777777" w:rsidR="00496804" w:rsidRDefault="0037359D">
      <w:pPr>
        <w:pStyle w:val="Odlomakpopisa"/>
        <w:numPr>
          <w:ilvl w:val="0"/>
          <w:numId w:val="12"/>
        </w:numPr>
        <w:spacing w:line="240" w:lineRule="auto"/>
        <w:ind w:left="426" w:hanging="284"/>
        <w:rPr>
          <w:rFonts w:ascii="Times New Roman" w:hAnsi="Times New Roman" w:cs="Times New Roman"/>
          <w:b w:val="0"/>
          <w:sz w:val="24"/>
        </w:rPr>
      </w:pPr>
      <w:r>
        <w:rPr>
          <w:rFonts w:ascii="Times New Roman" w:hAnsi="Times New Roman" w:cs="Times New Roman"/>
          <w:b w:val="0"/>
          <w:sz w:val="24"/>
        </w:rPr>
        <w:lastRenderedPageBreak/>
        <w:t>infrastrukturni sadržaji,</w:t>
      </w:r>
      <w:r>
        <w:rPr>
          <w:rFonts w:ascii="Times New Roman" w:hAnsi="Times New Roman" w:cs="Times New Roman"/>
          <w:b w:val="0"/>
          <w:bCs/>
          <w:sz w:val="24"/>
        </w:rPr>
        <w:t xml:space="preserve"> reciklažno dvorište.</w:t>
      </w:r>
    </w:p>
    <w:bookmarkEnd w:id="140"/>
    <w:p w14:paraId="45D05BD0" w14:textId="77777777" w:rsidR="00496804" w:rsidRDefault="0037359D">
      <w:pPr>
        <w:spacing w:line="240" w:lineRule="auto"/>
        <w:rPr>
          <w:rFonts w:ascii="Times New Roman" w:hAnsi="Times New Roman"/>
          <w:bCs/>
          <w:sz w:val="24"/>
        </w:rPr>
      </w:pPr>
      <w:r>
        <w:rPr>
          <w:rFonts w:ascii="Times New Roman" w:hAnsi="Times New Roman"/>
          <w:bCs/>
          <w:noProof/>
          <w:sz w:val="24"/>
          <w:lang w:eastAsia="hr-HR"/>
        </w:rPr>
        <w:drawing>
          <wp:inline distT="0" distB="0" distL="0" distR="0" wp14:anchorId="45D06213" wp14:editId="7E4663A1">
            <wp:extent cx="5178056" cy="310746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rotWithShape="1">
                    <a:blip r:embed="rId33" cstate="print"/>
                    <a:srcRect t="8887" r="19058" b="2011"/>
                    <a:stretch/>
                  </pic:blipFill>
                  <pic:spPr bwMode="auto">
                    <a:xfrm>
                      <a:off x="0" y="0"/>
                      <a:ext cx="5204406" cy="3123279"/>
                    </a:xfrm>
                    <a:prstGeom prst="rect">
                      <a:avLst/>
                    </a:prstGeom>
                    <a:ln>
                      <a:noFill/>
                    </a:ln>
                    <a:extLst>
                      <a:ext uri="{53640926-AAD7-44D8-BBD7-CCE9431645EC}">
                        <a14:shadowObscured xmlns:a14="http://schemas.microsoft.com/office/drawing/2010/main"/>
                      </a:ext>
                    </a:extLst>
                  </pic:spPr>
                </pic:pic>
              </a:graphicData>
            </a:graphic>
          </wp:inline>
        </w:drawing>
      </w:r>
    </w:p>
    <w:p w14:paraId="45D05BD1" w14:textId="77777777" w:rsidR="00496804" w:rsidRDefault="0037359D">
      <w:pPr>
        <w:pStyle w:val="Opisslike"/>
        <w:rPr>
          <w:rFonts w:ascii="Times New Roman" w:hAnsi="Times New Roman"/>
          <w:b w:val="0"/>
          <w:bCs w:val="0"/>
          <w:i/>
          <w:iCs/>
          <w:sz w:val="24"/>
          <w:szCs w:val="24"/>
        </w:rPr>
      </w:pPr>
      <w:r>
        <w:rPr>
          <w:rFonts w:ascii="Times New Roman" w:hAnsi="Times New Roman"/>
          <w:b w:val="0"/>
          <w:bCs w:val="0"/>
          <w:i/>
          <w:iCs/>
          <w:sz w:val="24"/>
          <w:szCs w:val="24"/>
        </w:rPr>
        <w:t>Slika 4. Pitanje br. 10 – Pregled predloženih sadržaja prema namjeni</w:t>
      </w:r>
    </w:p>
    <w:p w14:paraId="45D05BD2" w14:textId="77777777" w:rsidR="00496804" w:rsidRDefault="00496804">
      <w:pPr>
        <w:spacing w:line="240" w:lineRule="auto"/>
        <w:rPr>
          <w:rFonts w:ascii="Times New Roman" w:hAnsi="Times New Roman"/>
          <w:bCs/>
          <w:sz w:val="24"/>
        </w:rPr>
      </w:pPr>
    </w:p>
    <w:p w14:paraId="45D05BD3" w14:textId="47A9E394" w:rsidR="00496804" w:rsidRDefault="0037359D">
      <w:pPr>
        <w:spacing w:line="240" w:lineRule="auto"/>
        <w:rPr>
          <w:rFonts w:ascii="Times New Roman" w:hAnsi="Times New Roman"/>
          <w:sz w:val="24"/>
        </w:rPr>
      </w:pPr>
      <w:r>
        <w:rPr>
          <w:rFonts w:ascii="Times New Roman" w:hAnsi="Times New Roman"/>
          <w:sz w:val="24"/>
        </w:rPr>
        <w:t>Većinu navedenih sadržaja moguće je realizirati u postojećim nekorištenim prostorima i zgradama, što bi dovelo do pozitivnog trenda ponovnog korištenja prostora i zgrada. Veliki broj navedenih prostora i zgrada nalazi se u državnom vlasništvu. Kao primjer iznosimo podatak da je dana 31. 12.2018. godine na upravljanju Ministarstvu prostornoga uređenja, graditeljstva i državne imovine bilo 543 neperspektivne nekretnine građenih za vojnu namjenu. Strategija upravljanja državnom imovinom za razdoblje 2019. – 2025.</w:t>
      </w:r>
      <w:r>
        <w:rPr>
          <w:rStyle w:val="Referencafusnote"/>
          <w:rFonts w:ascii="Times New Roman" w:hAnsi="Times New Roman"/>
          <w:sz w:val="24"/>
        </w:rPr>
        <w:footnoteReference w:id="57"/>
      </w:r>
      <w:r>
        <w:rPr>
          <w:rFonts w:ascii="Times New Roman" w:hAnsi="Times New Roman"/>
          <w:sz w:val="24"/>
        </w:rPr>
        <w:t xml:space="preserve"> navedene nekretnine navodi kao moguće pokretače razvoja lokalne i područne (regionalne) samouprave, s naglaskom na model raspolaganja darovanjem jedinicama lokalne i područne samouprave te dodjelom na uporabu u svrhu provedbe gospodarskih, socijalnih, kulturnih, društvenih, sportsko-rekreacijskih i drugih javnih projekata jedinica lokalne i područne samouprave. Ovaj razvojni potencijal državne imovine mogao bi biti usmjeren prema strateškim razvojnim prioritetima kao što je kružno gospodarenje prostorom i zgradama.</w:t>
      </w:r>
    </w:p>
    <w:p w14:paraId="45D05BD4" w14:textId="77777777" w:rsidR="00496804" w:rsidRDefault="00496804">
      <w:pPr>
        <w:spacing w:line="240" w:lineRule="auto"/>
        <w:rPr>
          <w:rFonts w:ascii="Times New Roman" w:hAnsi="Times New Roman"/>
          <w:bCs/>
          <w:sz w:val="24"/>
        </w:rPr>
      </w:pPr>
    </w:p>
    <w:p w14:paraId="45D05BD5" w14:textId="77777777" w:rsidR="00496804" w:rsidRDefault="0037359D">
      <w:pPr>
        <w:pStyle w:val="Opisslike"/>
        <w:rPr>
          <w:rFonts w:ascii="Times New Roman" w:hAnsi="Times New Roman"/>
          <w:b w:val="0"/>
          <w:bCs w:val="0"/>
          <w:i/>
          <w:iCs/>
          <w:sz w:val="24"/>
          <w:szCs w:val="24"/>
        </w:rPr>
      </w:pPr>
      <w:r>
        <w:rPr>
          <w:rFonts w:ascii="Times New Roman" w:hAnsi="Times New Roman"/>
          <w:b w:val="0"/>
          <w:bCs w:val="0"/>
          <w:i/>
          <w:iCs/>
          <w:sz w:val="24"/>
          <w:szCs w:val="24"/>
        </w:rPr>
        <w:t>Tablica 11. Okvirna prostorno – financijska procjena na osnovu odgovora br. 10</w:t>
      </w:r>
    </w:p>
    <w:tbl>
      <w:tblPr>
        <w:tblStyle w:val="Reetkatablice"/>
        <w:tblW w:w="9747" w:type="dxa"/>
        <w:tblBorders>
          <w:left w:val="none" w:sz="0" w:space="0" w:color="auto"/>
          <w:right w:val="none" w:sz="0" w:space="0" w:color="auto"/>
          <w:insideV w:val="none" w:sz="0" w:space="0" w:color="auto"/>
        </w:tblBorders>
        <w:tblLook w:val="04A0" w:firstRow="1" w:lastRow="0" w:firstColumn="1" w:lastColumn="0" w:noHBand="0" w:noVBand="1"/>
      </w:tblPr>
      <w:tblGrid>
        <w:gridCol w:w="1696"/>
        <w:gridCol w:w="709"/>
        <w:gridCol w:w="2126"/>
        <w:gridCol w:w="1276"/>
        <w:gridCol w:w="2126"/>
        <w:gridCol w:w="1814"/>
      </w:tblGrid>
      <w:tr w:rsidR="00496804" w14:paraId="45D05BE0" w14:textId="77777777">
        <w:trPr>
          <w:trHeight w:val="323"/>
        </w:trPr>
        <w:tc>
          <w:tcPr>
            <w:tcW w:w="1696" w:type="dxa"/>
            <w:shd w:val="clear" w:color="auto" w:fill="FFCCA6" w:themeFill="accent5" w:themeFillTint="66"/>
          </w:tcPr>
          <w:p w14:paraId="45D05BD6" w14:textId="77777777" w:rsidR="00496804" w:rsidRDefault="0037359D">
            <w:pPr>
              <w:spacing w:line="240" w:lineRule="auto"/>
              <w:rPr>
                <w:rFonts w:ascii="Times New Roman" w:hAnsi="Times New Roman"/>
                <w:b/>
                <w:sz w:val="24"/>
              </w:rPr>
            </w:pPr>
            <w:r>
              <w:rPr>
                <w:rFonts w:ascii="Times New Roman" w:hAnsi="Times New Roman"/>
                <w:b/>
                <w:sz w:val="24"/>
              </w:rPr>
              <w:t>Sadržaji</w:t>
            </w:r>
          </w:p>
        </w:tc>
        <w:tc>
          <w:tcPr>
            <w:tcW w:w="709" w:type="dxa"/>
            <w:shd w:val="clear" w:color="auto" w:fill="FFCCA6" w:themeFill="accent5" w:themeFillTint="66"/>
          </w:tcPr>
          <w:p w14:paraId="45D05BD7" w14:textId="77777777" w:rsidR="00496804" w:rsidRDefault="0037359D">
            <w:pPr>
              <w:spacing w:line="240" w:lineRule="auto"/>
              <w:jc w:val="center"/>
              <w:rPr>
                <w:rFonts w:ascii="Times New Roman" w:hAnsi="Times New Roman"/>
                <w:b/>
                <w:sz w:val="24"/>
              </w:rPr>
            </w:pPr>
            <w:r>
              <w:rPr>
                <w:rFonts w:ascii="Times New Roman" w:hAnsi="Times New Roman"/>
                <w:b/>
                <w:sz w:val="24"/>
              </w:rPr>
              <w:t>Broj</w:t>
            </w:r>
          </w:p>
        </w:tc>
        <w:tc>
          <w:tcPr>
            <w:tcW w:w="2126" w:type="dxa"/>
            <w:shd w:val="clear" w:color="auto" w:fill="FFCCA6" w:themeFill="accent5" w:themeFillTint="66"/>
          </w:tcPr>
          <w:p w14:paraId="45D05BD8" w14:textId="77777777" w:rsidR="00496804" w:rsidRDefault="0037359D">
            <w:pPr>
              <w:spacing w:line="240" w:lineRule="auto"/>
              <w:jc w:val="center"/>
              <w:rPr>
                <w:rFonts w:ascii="Times New Roman" w:hAnsi="Times New Roman"/>
                <w:b/>
                <w:sz w:val="24"/>
              </w:rPr>
            </w:pPr>
            <w:r>
              <w:rPr>
                <w:rFonts w:ascii="Times New Roman" w:hAnsi="Times New Roman"/>
                <w:b/>
                <w:sz w:val="24"/>
              </w:rPr>
              <w:t xml:space="preserve">Jedinična površina  </w:t>
            </w:r>
          </w:p>
          <w:p w14:paraId="45D05BD9" w14:textId="77777777" w:rsidR="00496804" w:rsidRDefault="0037359D">
            <w:pPr>
              <w:spacing w:line="240" w:lineRule="auto"/>
              <w:jc w:val="center"/>
              <w:rPr>
                <w:rFonts w:ascii="Times New Roman" w:hAnsi="Times New Roman"/>
                <w:b/>
                <w:sz w:val="24"/>
              </w:rPr>
            </w:pPr>
            <w:r>
              <w:rPr>
                <w:rFonts w:ascii="Times New Roman" w:hAnsi="Times New Roman"/>
                <w:b/>
                <w:sz w:val="24"/>
              </w:rPr>
              <w:t>(m</w:t>
            </w:r>
            <w:r>
              <w:rPr>
                <w:rFonts w:ascii="Times New Roman" w:hAnsi="Times New Roman"/>
                <w:b/>
                <w:sz w:val="24"/>
                <w:vertAlign w:val="superscript"/>
              </w:rPr>
              <w:t>2</w:t>
            </w:r>
            <w:r>
              <w:rPr>
                <w:rFonts w:ascii="Times New Roman" w:hAnsi="Times New Roman"/>
                <w:b/>
                <w:sz w:val="24"/>
              </w:rPr>
              <w:t>)</w:t>
            </w:r>
          </w:p>
        </w:tc>
        <w:tc>
          <w:tcPr>
            <w:tcW w:w="1276" w:type="dxa"/>
            <w:shd w:val="clear" w:color="auto" w:fill="FFCCA6" w:themeFill="accent5" w:themeFillTint="66"/>
          </w:tcPr>
          <w:p w14:paraId="45D05BDA" w14:textId="77777777" w:rsidR="00496804" w:rsidRDefault="0037359D">
            <w:pPr>
              <w:spacing w:line="240" w:lineRule="auto"/>
              <w:jc w:val="center"/>
              <w:rPr>
                <w:rFonts w:ascii="Times New Roman" w:hAnsi="Times New Roman"/>
                <w:b/>
                <w:sz w:val="24"/>
              </w:rPr>
            </w:pPr>
            <w:r>
              <w:rPr>
                <w:rFonts w:ascii="Times New Roman" w:hAnsi="Times New Roman"/>
                <w:b/>
                <w:sz w:val="24"/>
              </w:rPr>
              <w:t>Jedinična cijena</w:t>
            </w:r>
          </w:p>
          <w:p w14:paraId="45D05BDB" w14:textId="77777777" w:rsidR="00496804" w:rsidRDefault="0037359D">
            <w:pPr>
              <w:spacing w:line="240" w:lineRule="auto"/>
              <w:jc w:val="center"/>
              <w:rPr>
                <w:rFonts w:ascii="Times New Roman" w:hAnsi="Times New Roman"/>
                <w:b/>
                <w:sz w:val="24"/>
              </w:rPr>
            </w:pPr>
            <w:r>
              <w:rPr>
                <w:rFonts w:ascii="Times New Roman" w:hAnsi="Times New Roman"/>
                <w:b/>
                <w:sz w:val="24"/>
              </w:rPr>
              <w:t>(kn / m</w:t>
            </w:r>
            <w:r>
              <w:rPr>
                <w:rFonts w:ascii="Times New Roman" w:hAnsi="Times New Roman"/>
                <w:b/>
                <w:sz w:val="24"/>
                <w:vertAlign w:val="superscript"/>
              </w:rPr>
              <w:t>2</w:t>
            </w:r>
            <w:r>
              <w:rPr>
                <w:rFonts w:ascii="Times New Roman" w:hAnsi="Times New Roman"/>
                <w:b/>
                <w:sz w:val="24"/>
              </w:rPr>
              <w:t>)</w:t>
            </w:r>
          </w:p>
        </w:tc>
        <w:tc>
          <w:tcPr>
            <w:tcW w:w="2126" w:type="dxa"/>
            <w:shd w:val="clear" w:color="auto" w:fill="FFCCA6" w:themeFill="accent5" w:themeFillTint="66"/>
          </w:tcPr>
          <w:p w14:paraId="45D05BDC" w14:textId="77777777" w:rsidR="00496804" w:rsidRDefault="0037359D">
            <w:pPr>
              <w:spacing w:line="240" w:lineRule="auto"/>
              <w:jc w:val="center"/>
              <w:rPr>
                <w:rFonts w:ascii="Times New Roman" w:hAnsi="Times New Roman"/>
                <w:b/>
                <w:sz w:val="24"/>
              </w:rPr>
            </w:pPr>
            <w:r>
              <w:rPr>
                <w:rFonts w:ascii="Times New Roman" w:hAnsi="Times New Roman"/>
                <w:b/>
                <w:sz w:val="24"/>
              </w:rPr>
              <w:t xml:space="preserve">Površina </w:t>
            </w:r>
          </w:p>
          <w:p w14:paraId="45D05BDD" w14:textId="77777777" w:rsidR="00496804" w:rsidRDefault="0037359D">
            <w:pPr>
              <w:spacing w:line="240" w:lineRule="auto"/>
              <w:jc w:val="center"/>
              <w:rPr>
                <w:rFonts w:ascii="Times New Roman" w:hAnsi="Times New Roman"/>
                <w:b/>
                <w:sz w:val="24"/>
              </w:rPr>
            </w:pPr>
            <w:r>
              <w:rPr>
                <w:rFonts w:ascii="Times New Roman" w:hAnsi="Times New Roman"/>
                <w:b/>
                <w:sz w:val="24"/>
              </w:rPr>
              <w:t>(m</w:t>
            </w:r>
            <w:r>
              <w:rPr>
                <w:rFonts w:ascii="Times New Roman" w:hAnsi="Times New Roman"/>
                <w:b/>
                <w:sz w:val="24"/>
                <w:vertAlign w:val="superscript"/>
              </w:rPr>
              <w:t>2</w:t>
            </w:r>
            <w:r>
              <w:rPr>
                <w:rFonts w:ascii="Times New Roman" w:hAnsi="Times New Roman"/>
                <w:b/>
                <w:sz w:val="24"/>
              </w:rPr>
              <w:t>)</w:t>
            </w:r>
          </w:p>
        </w:tc>
        <w:tc>
          <w:tcPr>
            <w:tcW w:w="1814" w:type="dxa"/>
            <w:shd w:val="clear" w:color="auto" w:fill="FFCCA6" w:themeFill="accent5" w:themeFillTint="66"/>
          </w:tcPr>
          <w:p w14:paraId="45D05BDE" w14:textId="77777777" w:rsidR="00496804" w:rsidRDefault="0037359D">
            <w:pPr>
              <w:spacing w:line="240" w:lineRule="auto"/>
              <w:jc w:val="center"/>
              <w:rPr>
                <w:rFonts w:ascii="Times New Roman" w:hAnsi="Times New Roman"/>
                <w:b/>
                <w:sz w:val="24"/>
              </w:rPr>
            </w:pPr>
            <w:r>
              <w:rPr>
                <w:rFonts w:ascii="Times New Roman" w:hAnsi="Times New Roman"/>
                <w:b/>
                <w:sz w:val="24"/>
              </w:rPr>
              <w:t xml:space="preserve">Investicija  </w:t>
            </w:r>
          </w:p>
          <w:p w14:paraId="45D05BDF" w14:textId="77777777" w:rsidR="00496804" w:rsidRDefault="0037359D">
            <w:pPr>
              <w:spacing w:line="240" w:lineRule="auto"/>
              <w:jc w:val="center"/>
              <w:rPr>
                <w:rFonts w:ascii="Times New Roman" w:hAnsi="Times New Roman"/>
                <w:b/>
                <w:sz w:val="24"/>
              </w:rPr>
            </w:pPr>
            <w:r>
              <w:rPr>
                <w:rFonts w:ascii="Times New Roman" w:hAnsi="Times New Roman"/>
                <w:b/>
                <w:sz w:val="24"/>
              </w:rPr>
              <w:t>(000 kn)</w:t>
            </w:r>
          </w:p>
        </w:tc>
      </w:tr>
      <w:tr w:rsidR="00496804" w14:paraId="45D05BE7" w14:textId="77777777">
        <w:trPr>
          <w:trHeight w:val="171"/>
        </w:trPr>
        <w:tc>
          <w:tcPr>
            <w:tcW w:w="1696" w:type="dxa"/>
            <w:shd w:val="clear" w:color="auto" w:fill="FFCCA6" w:themeFill="accent5" w:themeFillTint="66"/>
          </w:tcPr>
          <w:p w14:paraId="45D05BE1" w14:textId="77777777" w:rsidR="00496804" w:rsidRDefault="0037359D">
            <w:pPr>
              <w:spacing w:line="240" w:lineRule="auto"/>
              <w:jc w:val="left"/>
              <w:rPr>
                <w:rFonts w:ascii="Times New Roman" w:hAnsi="Times New Roman"/>
                <w:bCs/>
                <w:sz w:val="24"/>
              </w:rPr>
            </w:pPr>
            <w:r>
              <w:rPr>
                <w:rFonts w:ascii="Times New Roman" w:hAnsi="Times New Roman"/>
                <w:bCs/>
                <w:sz w:val="24"/>
              </w:rPr>
              <w:t xml:space="preserve">javni i društveni </w:t>
            </w:r>
          </w:p>
        </w:tc>
        <w:tc>
          <w:tcPr>
            <w:tcW w:w="709" w:type="dxa"/>
          </w:tcPr>
          <w:p w14:paraId="45D05BE2" w14:textId="77777777" w:rsidR="00496804" w:rsidRDefault="0037359D">
            <w:pPr>
              <w:spacing w:line="240" w:lineRule="auto"/>
              <w:jc w:val="right"/>
              <w:rPr>
                <w:rFonts w:ascii="Times New Roman" w:hAnsi="Times New Roman"/>
                <w:bCs/>
                <w:sz w:val="24"/>
              </w:rPr>
            </w:pPr>
            <w:r>
              <w:rPr>
                <w:rFonts w:ascii="Times New Roman" w:hAnsi="Times New Roman"/>
                <w:bCs/>
                <w:sz w:val="24"/>
              </w:rPr>
              <w:t>38</w:t>
            </w:r>
          </w:p>
        </w:tc>
        <w:tc>
          <w:tcPr>
            <w:tcW w:w="2126" w:type="dxa"/>
          </w:tcPr>
          <w:p w14:paraId="45D05BE3" w14:textId="77777777" w:rsidR="00496804" w:rsidRDefault="0037359D">
            <w:pPr>
              <w:spacing w:line="240" w:lineRule="auto"/>
              <w:jc w:val="center"/>
              <w:rPr>
                <w:rFonts w:ascii="Times New Roman" w:hAnsi="Times New Roman"/>
                <w:bCs/>
                <w:sz w:val="24"/>
              </w:rPr>
            </w:pPr>
            <w:r>
              <w:rPr>
                <w:rFonts w:ascii="Times New Roman" w:hAnsi="Times New Roman"/>
                <w:bCs/>
                <w:sz w:val="24"/>
              </w:rPr>
              <w:t>2.000</w:t>
            </w:r>
          </w:p>
        </w:tc>
        <w:tc>
          <w:tcPr>
            <w:tcW w:w="1276" w:type="dxa"/>
          </w:tcPr>
          <w:p w14:paraId="45D05BE4" w14:textId="77777777" w:rsidR="00496804" w:rsidRDefault="0037359D">
            <w:pPr>
              <w:spacing w:line="240" w:lineRule="auto"/>
              <w:jc w:val="center"/>
              <w:rPr>
                <w:rFonts w:ascii="Times New Roman" w:hAnsi="Times New Roman"/>
                <w:bCs/>
                <w:sz w:val="24"/>
              </w:rPr>
            </w:pPr>
            <w:r>
              <w:rPr>
                <w:rFonts w:ascii="Times New Roman" w:hAnsi="Times New Roman"/>
                <w:bCs/>
                <w:sz w:val="24"/>
              </w:rPr>
              <w:t>7.000</w:t>
            </w:r>
          </w:p>
        </w:tc>
        <w:tc>
          <w:tcPr>
            <w:tcW w:w="2126" w:type="dxa"/>
          </w:tcPr>
          <w:p w14:paraId="45D05BE5" w14:textId="77777777" w:rsidR="00496804" w:rsidRDefault="0037359D">
            <w:pPr>
              <w:spacing w:line="240" w:lineRule="auto"/>
              <w:jc w:val="center"/>
              <w:rPr>
                <w:rFonts w:ascii="Times New Roman" w:hAnsi="Times New Roman"/>
                <w:bCs/>
                <w:sz w:val="24"/>
              </w:rPr>
            </w:pPr>
            <w:r>
              <w:rPr>
                <w:rFonts w:ascii="Times New Roman" w:hAnsi="Times New Roman"/>
                <w:bCs/>
                <w:sz w:val="24"/>
              </w:rPr>
              <w:t>76.000</w:t>
            </w:r>
          </w:p>
        </w:tc>
        <w:tc>
          <w:tcPr>
            <w:tcW w:w="1814" w:type="dxa"/>
          </w:tcPr>
          <w:p w14:paraId="45D05BE6" w14:textId="77777777" w:rsidR="00496804" w:rsidRDefault="0037359D">
            <w:pPr>
              <w:spacing w:line="240" w:lineRule="auto"/>
              <w:jc w:val="center"/>
              <w:rPr>
                <w:rFonts w:ascii="Times New Roman" w:hAnsi="Times New Roman"/>
                <w:sz w:val="24"/>
              </w:rPr>
            </w:pPr>
            <w:r>
              <w:rPr>
                <w:rFonts w:ascii="Times New Roman" w:hAnsi="Times New Roman"/>
                <w:sz w:val="24"/>
              </w:rPr>
              <w:t>532.000</w:t>
            </w:r>
          </w:p>
        </w:tc>
      </w:tr>
      <w:tr w:rsidR="00496804" w14:paraId="45D05BEE" w14:textId="77777777">
        <w:trPr>
          <w:trHeight w:val="218"/>
        </w:trPr>
        <w:tc>
          <w:tcPr>
            <w:tcW w:w="1696" w:type="dxa"/>
            <w:shd w:val="clear" w:color="auto" w:fill="FFCCA6" w:themeFill="accent5" w:themeFillTint="66"/>
          </w:tcPr>
          <w:p w14:paraId="45D05BE8" w14:textId="77777777" w:rsidR="00496804" w:rsidRDefault="0037359D">
            <w:pPr>
              <w:spacing w:line="240" w:lineRule="auto"/>
              <w:jc w:val="left"/>
              <w:rPr>
                <w:rFonts w:ascii="Times New Roman" w:hAnsi="Times New Roman"/>
                <w:bCs/>
                <w:sz w:val="24"/>
              </w:rPr>
            </w:pPr>
            <w:r>
              <w:rPr>
                <w:rFonts w:ascii="Times New Roman" w:hAnsi="Times New Roman"/>
                <w:bCs/>
                <w:sz w:val="24"/>
              </w:rPr>
              <w:t xml:space="preserve">ugostiteljsko-turistički </w:t>
            </w:r>
          </w:p>
        </w:tc>
        <w:tc>
          <w:tcPr>
            <w:tcW w:w="709" w:type="dxa"/>
          </w:tcPr>
          <w:p w14:paraId="45D05BE9" w14:textId="77777777" w:rsidR="00496804" w:rsidRDefault="0037359D">
            <w:pPr>
              <w:spacing w:line="240" w:lineRule="auto"/>
              <w:jc w:val="right"/>
              <w:rPr>
                <w:rFonts w:ascii="Times New Roman" w:hAnsi="Times New Roman"/>
                <w:bCs/>
                <w:sz w:val="24"/>
              </w:rPr>
            </w:pPr>
            <w:r>
              <w:rPr>
                <w:rFonts w:ascii="Times New Roman" w:hAnsi="Times New Roman"/>
                <w:bCs/>
                <w:sz w:val="24"/>
              </w:rPr>
              <w:t>12</w:t>
            </w:r>
          </w:p>
        </w:tc>
        <w:tc>
          <w:tcPr>
            <w:tcW w:w="2126" w:type="dxa"/>
          </w:tcPr>
          <w:p w14:paraId="45D05BEA" w14:textId="77777777" w:rsidR="00496804" w:rsidRDefault="0037359D">
            <w:pPr>
              <w:spacing w:line="240" w:lineRule="auto"/>
              <w:jc w:val="center"/>
              <w:rPr>
                <w:rFonts w:ascii="Times New Roman" w:hAnsi="Times New Roman"/>
                <w:bCs/>
                <w:sz w:val="24"/>
              </w:rPr>
            </w:pPr>
            <w:r>
              <w:rPr>
                <w:rFonts w:ascii="Times New Roman" w:hAnsi="Times New Roman"/>
                <w:bCs/>
                <w:sz w:val="24"/>
              </w:rPr>
              <w:t>400</w:t>
            </w:r>
          </w:p>
        </w:tc>
        <w:tc>
          <w:tcPr>
            <w:tcW w:w="1276" w:type="dxa"/>
          </w:tcPr>
          <w:p w14:paraId="45D05BEB" w14:textId="77777777" w:rsidR="00496804" w:rsidRDefault="0037359D">
            <w:pPr>
              <w:spacing w:line="240" w:lineRule="auto"/>
              <w:jc w:val="center"/>
              <w:rPr>
                <w:rFonts w:ascii="Times New Roman" w:hAnsi="Times New Roman"/>
                <w:bCs/>
                <w:sz w:val="24"/>
              </w:rPr>
            </w:pPr>
            <w:r>
              <w:rPr>
                <w:rFonts w:ascii="Times New Roman" w:hAnsi="Times New Roman"/>
                <w:bCs/>
                <w:sz w:val="24"/>
              </w:rPr>
              <w:t>8.000</w:t>
            </w:r>
          </w:p>
        </w:tc>
        <w:tc>
          <w:tcPr>
            <w:tcW w:w="2126" w:type="dxa"/>
          </w:tcPr>
          <w:p w14:paraId="45D05BEC" w14:textId="77777777" w:rsidR="00496804" w:rsidRDefault="0037359D">
            <w:pPr>
              <w:spacing w:line="240" w:lineRule="auto"/>
              <w:jc w:val="center"/>
              <w:rPr>
                <w:rFonts w:ascii="Times New Roman" w:hAnsi="Times New Roman"/>
                <w:bCs/>
                <w:sz w:val="24"/>
              </w:rPr>
            </w:pPr>
            <w:r>
              <w:rPr>
                <w:rFonts w:ascii="Times New Roman" w:hAnsi="Times New Roman"/>
                <w:bCs/>
                <w:sz w:val="24"/>
              </w:rPr>
              <w:t>4.800</w:t>
            </w:r>
          </w:p>
        </w:tc>
        <w:tc>
          <w:tcPr>
            <w:tcW w:w="1814" w:type="dxa"/>
          </w:tcPr>
          <w:p w14:paraId="45D05BED" w14:textId="77777777" w:rsidR="00496804" w:rsidRDefault="0037359D">
            <w:pPr>
              <w:spacing w:line="240" w:lineRule="auto"/>
              <w:jc w:val="center"/>
              <w:rPr>
                <w:rFonts w:ascii="Times New Roman" w:hAnsi="Times New Roman"/>
                <w:sz w:val="24"/>
              </w:rPr>
            </w:pPr>
            <w:r>
              <w:rPr>
                <w:rFonts w:ascii="Times New Roman" w:hAnsi="Times New Roman"/>
                <w:sz w:val="24"/>
              </w:rPr>
              <w:t>38.400</w:t>
            </w:r>
          </w:p>
        </w:tc>
      </w:tr>
      <w:tr w:rsidR="00496804" w14:paraId="45D05BF5" w14:textId="77777777">
        <w:trPr>
          <w:trHeight w:val="250"/>
        </w:trPr>
        <w:tc>
          <w:tcPr>
            <w:tcW w:w="1696" w:type="dxa"/>
            <w:shd w:val="clear" w:color="auto" w:fill="FFCCA6" w:themeFill="accent5" w:themeFillTint="66"/>
          </w:tcPr>
          <w:p w14:paraId="45D05BEF" w14:textId="77777777" w:rsidR="00496804" w:rsidRDefault="0037359D">
            <w:pPr>
              <w:spacing w:line="240" w:lineRule="auto"/>
              <w:jc w:val="left"/>
              <w:rPr>
                <w:rFonts w:ascii="Times New Roman" w:hAnsi="Times New Roman"/>
                <w:bCs/>
                <w:sz w:val="24"/>
              </w:rPr>
            </w:pPr>
            <w:r>
              <w:rPr>
                <w:rFonts w:ascii="Times New Roman" w:hAnsi="Times New Roman"/>
                <w:bCs/>
                <w:sz w:val="24"/>
              </w:rPr>
              <w:t xml:space="preserve">gospodarski </w:t>
            </w:r>
          </w:p>
        </w:tc>
        <w:tc>
          <w:tcPr>
            <w:tcW w:w="709" w:type="dxa"/>
          </w:tcPr>
          <w:p w14:paraId="45D05BF0" w14:textId="77777777" w:rsidR="00496804" w:rsidRDefault="0037359D">
            <w:pPr>
              <w:spacing w:line="240" w:lineRule="auto"/>
              <w:jc w:val="right"/>
              <w:rPr>
                <w:rFonts w:ascii="Times New Roman" w:hAnsi="Times New Roman"/>
                <w:bCs/>
                <w:sz w:val="24"/>
              </w:rPr>
            </w:pPr>
            <w:r>
              <w:rPr>
                <w:rFonts w:ascii="Times New Roman" w:hAnsi="Times New Roman"/>
                <w:bCs/>
                <w:sz w:val="24"/>
              </w:rPr>
              <w:t>11</w:t>
            </w:r>
          </w:p>
        </w:tc>
        <w:tc>
          <w:tcPr>
            <w:tcW w:w="2126" w:type="dxa"/>
          </w:tcPr>
          <w:p w14:paraId="45D05BF1" w14:textId="77777777" w:rsidR="00496804" w:rsidRDefault="0037359D">
            <w:pPr>
              <w:spacing w:line="240" w:lineRule="auto"/>
              <w:jc w:val="center"/>
              <w:rPr>
                <w:rFonts w:ascii="Times New Roman" w:hAnsi="Times New Roman"/>
                <w:bCs/>
                <w:sz w:val="24"/>
              </w:rPr>
            </w:pPr>
            <w:r>
              <w:rPr>
                <w:rFonts w:ascii="Times New Roman" w:hAnsi="Times New Roman"/>
                <w:bCs/>
                <w:sz w:val="24"/>
              </w:rPr>
              <w:t>2.000</w:t>
            </w:r>
          </w:p>
        </w:tc>
        <w:tc>
          <w:tcPr>
            <w:tcW w:w="1276" w:type="dxa"/>
          </w:tcPr>
          <w:p w14:paraId="45D05BF2" w14:textId="77777777" w:rsidR="00496804" w:rsidRDefault="0037359D">
            <w:pPr>
              <w:spacing w:line="240" w:lineRule="auto"/>
              <w:jc w:val="center"/>
              <w:rPr>
                <w:rFonts w:ascii="Times New Roman" w:hAnsi="Times New Roman"/>
                <w:bCs/>
                <w:sz w:val="24"/>
              </w:rPr>
            </w:pPr>
            <w:r>
              <w:rPr>
                <w:rFonts w:ascii="Times New Roman" w:hAnsi="Times New Roman"/>
                <w:bCs/>
                <w:sz w:val="24"/>
              </w:rPr>
              <w:t>6.000</w:t>
            </w:r>
          </w:p>
        </w:tc>
        <w:tc>
          <w:tcPr>
            <w:tcW w:w="2126" w:type="dxa"/>
          </w:tcPr>
          <w:p w14:paraId="45D05BF3" w14:textId="77777777" w:rsidR="00496804" w:rsidRDefault="0037359D">
            <w:pPr>
              <w:spacing w:line="240" w:lineRule="auto"/>
              <w:jc w:val="center"/>
              <w:rPr>
                <w:rFonts w:ascii="Times New Roman" w:hAnsi="Times New Roman"/>
                <w:bCs/>
                <w:sz w:val="24"/>
              </w:rPr>
            </w:pPr>
            <w:r>
              <w:rPr>
                <w:rFonts w:ascii="Times New Roman" w:hAnsi="Times New Roman"/>
                <w:bCs/>
                <w:sz w:val="24"/>
              </w:rPr>
              <w:t>22.000</w:t>
            </w:r>
          </w:p>
        </w:tc>
        <w:tc>
          <w:tcPr>
            <w:tcW w:w="1814" w:type="dxa"/>
          </w:tcPr>
          <w:p w14:paraId="45D05BF4" w14:textId="77777777" w:rsidR="00496804" w:rsidRDefault="0037359D">
            <w:pPr>
              <w:spacing w:line="240" w:lineRule="auto"/>
              <w:jc w:val="center"/>
              <w:rPr>
                <w:rFonts w:ascii="Times New Roman" w:hAnsi="Times New Roman"/>
                <w:sz w:val="24"/>
              </w:rPr>
            </w:pPr>
            <w:r>
              <w:rPr>
                <w:rFonts w:ascii="Times New Roman" w:hAnsi="Times New Roman"/>
                <w:sz w:val="24"/>
              </w:rPr>
              <w:t>132.000</w:t>
            </w:r>
          </w:p>
        </w:tc>
      </w:tr>
      <w:tr w:rsidR="00496804" w14:paraId="45D05BFC" w14:textId="77777777">
        <w:trPr>
          <w:trHeight w:val="139"/>
        </w:trPr>
        <w:tc>
          <w:tcPr>
            <w:tcW w:w="1696" w:type="dxa"/>
            <w:shd w:val="clear" w:color="auto" w:fill="FFCCA6" w:themeFill="accent5" w:themeFillTint="66"/>
          </w:tcPr>
          <w:p w14:paraId="45D05BF6" w14:textId="77777777" w:rsidR="00496804" w:rsidRDefault="0037359D">
            <w:pPr>
              <w:spacing w:line="240" w:lineRule="auto"/>
              <w:jc w:val="left"/>
              <w:rPr>
                <w:rFonts w:ascii="Times New Roman" w:hAnsi="Times New Roman"/>
                <w:bCs/>
                <w:sz w:val="24"/>
              </w:rPr>
            </w:pPr>
            <w:r>
              <w:rPr>
                <w:rFonts w:ascii="Times New Roman" w:hAnsi="Times New Roman"/>
                <w:bCs/>
                <w:sz w:val="24"/>
              </w:rPr>
              <w:t>sportski i rekreacijski</w:t>
            </w:r>
          </w:p>
        </w:tc>
        <w:tc>
          <w:tcPr>
            <w:tcW w:w="709" w:type="dxa"/>
          </w:tcPr>
          <w:p w14:paraId="45D05BF7" w14:textId="77777777" w:rsidR="00496804" w:rsidRDefault="0037359D">
            <w:pPr>
              <w:spacing w:line="240" w:lineRule="auto"/>
              <w:jc w:val="right"/>
              <w:rPr>
                <w:rFonts w:ascii="Times New Roman" w:hAnsi="Times New Roman"/>
                <w:bCs/>
                <w:sz w:val="24"/>
              </w:rPr>
            </w:pPr>
            <w:r>
              <w:rPr>
                <w:rFonts w:ascii="Times New Roman" w:hAnsi="Times New Roman"/>
                <w:bCs/>
                <w:sz w:val="24"/>
              </w:rPr>
              <w:t>9</w:t>
            </w:r>
          </w:p>
        </w:tc>
        <w:tc>
          <w:tcPr>
            <w:tcW w:w="2126" w:type="dxa"/>
          </w:tcPr>
          <w:p w14:paraId="45D05BF8" w14:textId="77777777" w:rsidR="00496804" w:rsidRDefault="0037359D">
            <w:pPr>
              <w:spacing w:line="240" w:lineRule="auto"/>
              <w:jc w:val="center"/>
              <w:rPr>
                <w:rFonts w:ascii="Times New Roman" w:hAnsi="Times New Roman"/>
                <w:bCs/>
                <w:sz w:val="24"/>
              </w:rPr>
            </w:pPr>
            <w:r>
              <w:rPr>
                <w:rFonts w:ascii="Times New Roman" w:hAnsi="Times New Roman"/>
                <w:bCs/>
                <w:sz w:val="24"/>
              </w:rPr>
              <w:t>3.000</w:t>
            </w:r>
          </w:p>
        </w:tc>
        <w:tc>
          <w:tcPr>
            <w:tcW w:w="1276" w:type="dxa"/>
          </w:tcPr>
          <w:p w14:paraId="45D05BF9" w14:textId="77777777" w:rsidR="00496804" w:rsidRDefault="0037359D">
            <w:pPr>
              <w:spacing w:line="240" w:lineRule="auto"/>
              <w:jc w:val="center"/>
              <w:rPr>
                <w:rFonts w:ascii="Times New Roman" w:hAnsi="Times New Roman"/>
                <w:bCs/>
                <w:sz w:val="24"/>
              </w:rPr>
            </w:pPr>
            <w:r>
              <w:rPr>
                <w:rFonts w:ascii="Times New Roman" w:hAnsi="Times New Roman"/>
                <w:bCs/>
                <w:sz w:val="24"/>
              </w:rPr>
              <w:t>9.000</w:t>
            </w:r>
          </w:p>
        </w:tc>
        <w:tc>
          <w:tcPr>
            <w:tcW w:w="2126" w:type="dxa"/>
          </w:tcPr>
          <w:p w14:paraId="45D05BFA" w14:textId="77777777" w:rsidR="00496804" w:rsidRDefault="0037359D">
            <w:pPr>
              <w:spacing w:line="240" w:lineRule="auto"/>
              <w:jc w:val="center"/>
              <w:rPr>
                <w:rFonts w:ascii="Times New Roman" w:hAnsi="Times New Roman"/>
                <w:bCs/>
                <w:sz w:val="24"/>
              </w:rPr>
            </w:pPr>
            <w:r>
              <w:rPr>
                <w:rFonts w:ascii="Times New Roman" w:hAnsi="Times New Roman"/>
                <w:bCs/>
                <w:sz w:val="24"/>
              </w:rPr>
              <w:t>27.000</w:t>
            </w:r>
          </w:p>
        </w:tc>
        <w:tc>
          <w:tcPr>
            <w:tcW w:w="1814" w:type="dxa"/>
          </w:tcPr>
          <w:p w14:paraId="45D05BFB" w14:textId="77777777" w:rsidR="00496804" w:rsidRDefault="0037359D">
            <w:pPr>
              <w:spacing w:line="240" w:lineRule="auto"/>
              <w:jc w:val="center"/>
              <w:rPr>
                <w:rFonts w:ascii="Times New Roman" w:hAnsi="Times New Roman"/>
                <w:sz w:val="24"/>
              </w:rPr>
            </w:pPr>
            <w:r>
              <w:rPr>
                <w:rFonts w:ascii="Times New Roman" w:hAnsi="Times New Roman"/>
                <w:sz w:val="24"/>
              </w:rPr>
              <w:t>243.000</w:t>
            </w:r>
          </w:p>
        </w:tc>
      </w:tr>
      <w:tr w:rsidR="00496804" w14:paraId="45D05C03" w14:textId="77777777">
        <w:trPr>
          <w:trHeight w:val="186"/>
        </w:trPr>
        <w:tc>
          <w:tcPr>
            <w:tcW w:w="1696" w:type="dxa"/>
            <w:shd w:val="clear" w:color="auto" w:fill="FFCCA6" w:themeFill="accent5" w:themeFillTint="66"/>
          </w:tcPr>
          <w:p w14:paraId="45D05BFD" w14:textId="77777777" w:rsidR="00496804" w:rsidRDefault="0037359D">
            <w:pPr>
              <w:spacing w:line="240" w:lineRule="auto"/>
              <w:jc w:val="left"/>
              <w:rPr>
                <w:rFonts w:ascii="Times New Roman" w:hAnsi="Times New Roman"/>
                <w:bCs/>
                <w:sz w:val="24"/>
              </w:rPr>
            </w:pPr>
            <w:r>
              <w:rPr>
                <w:rFonts w:ascii="Times New Roman" w:hAnsi="Times New Roman"/>
                <w:bCs/>
                <w:sz w:val="24"/>
              </w:rPr>
              <w:lastRenderedPageBreak/>
              <w:t>javno zelenilo</w:t>
            </w:r>
          </w:p>
        </w:tc>
        <w:tc>
          <w:tcPr>
            <w:tcW w:w="709" w:type="dxa"/>
          </w:tcPr>
          <w:p w14:paraId="45D05BFE" w14:textId="77777777" w:rsidR="00496804" w:rsidRDefault="0037359D">
            <w:pPr>
              <w:spacing w:line="240" w:lineRule="auto"/>
              <w:jc w:val="right"/>
              <w:rPr>
                <w:rFonts w:ascii="Times New Roman" w:hAnsi="Times New Roman"/>
                <w:bCs/>
                <w:sz w:val="24"/>
              </w:rPr>
            </w:pPr>
            <w:r>
              <w:rPr>
                <w:rFonts w:ascii="Times New Roman" w:hAnsi="Times New Roman"/>
                <w:bCs/>
                <w:sz w:val="24"/>
              </w:rPr>
              <w:t>3</w:t>
            </w:r>
          </w:p>
        </w:tc>
        <w:tc>
          <w:tcPr>
            <w:tcW w:w="2126" w:type="dxa"/>
          </w:tcPr>
          <w:p w14:paraId="45D05BFF" w14:textId="77777777" w:rsidR="00496804" w:rsidRDefault="0037359D">
            <w:pPr>
              <w:spacing w:line="240" w:lineRule="auto"/>
              <w:jc w:val="center"/>
              <w:rPr>
                <w:rFonts w:ascii="Times New Roman" w:hAnsi="Times New Roman"/>
                <w:bCs/>
                <w:sz w:val="24"/>
              </w:rPr>
            </w:pPr>
            <w:r>
              <w:rPr>
                <w:rFonts w:ascii="Times New Roman" w:hAnsi="Times New Roman"/>
                <w:bCs/>
                <w:sz w:val="24"/>
              </w:rPr>
              <w:t>5.000</w:t>
            </w:r>
          </w:p>
        </w:tc>
        <w:tc>
          <w:tcPr>
            <w:tcW w:w="1276" w:type="dxa"/>
          </w:tcPr>
          <w:p w14:paraId="45D05C00" w14:textId="77777777" w:rsidR="00496804" w:rsidRDefault="0037359D">
            <w:pPr>
              <w:spacing w:line="240" w:lineRule="auto"/>
              <w:jc w:val="center"/>
              <w:rPr>
                <w:rFonts w:ascii="Times New Roman" w:hAnsi="Times New Roman"/>
                <w:bCs/>
                <w:sz w:val="24"/>
              </w:rPr>
            </w:pPr>
            <w:r>
              <w:rPr>
                <w:rFonts w:ascii="Times New Roman" w:hAnsi="Times New Roman"/>
                <w:bCs/>
                <w:sz w:val="24"/>
              </w:rPr>
              <w:t>1.500</w:t>
            </w:r>
          </w:p>
        </w:tc>
        <w:tc>
          <w:tcPr>
            <w:tcW w:w="2126" w:type="dxa"/>
          </w:tcPr>
          <w:p w14:paraId="45D05C01" w14:textId="77777777" w:rsidR="00496804" w:rsidRDefault="0037359D">
            <w:pPr>
              <w:spacing w:line="240" w:lineRule="auto"/>
              <w:jc w:val="center"/>
              <w:rPr>
                <w:rFonts w:ascii="Times New Roman" w:hAnsi="Times New Roman"/>
                <w:bCs/>
                <w:sz w:val="24"/>
              </w:rPr>
            </w:pPr>
            <w:r>
              <w:rPr>
                <w:rFonts w:ascii="Times New Roman" w:hAnsi="Times New Roman"/>
                <w:bCs/>
                <w:sz w:val="24"/>
              </w:rPr>
              <w:t>15.000</w:t>
            </w:r>
          </w:p>
        </w:tc>
        <w:tc>
          <w:tcPr>
            <w:tcW w:w="1814" w:type="dxa"/>
          </w:tcPr>
          <w:p w14:paraId="45D05C02" w14:textId="77777777" w:rsidR="00496804" w:rsidRDefault="0037359D">
            <w:pPr>
              <w:spacing w:line="240" w:lineRule="auto"/>
              <w:jc w:val="center"/>
              <w:rPr>
                <w:rFonts w:ascii="Times New Roman" w:hAnsi="Times New Roman"/>
                <w:sz w:val="24"/>
              </w:rPr>
            </w:pPr>
            <w:r>
              <w:rPr>
                <w:rFonts w:ascii="Times New Roman" w:hAnsi="Times New Roman"/>
                <w:sz w:val="24"/>
              </w:rPr>
              <w:t>22.500</w:t>
            </w:r>
          </w:p>
        </w:tc>
      </w:tr>
      <w:tr w:rsidR="00496804" w14:paraId="45D05C0A" w14:textId="77777777">
        <w:trPr>
          <w:trHeight w:val="203"/>
        </w:trPr>
        <w:tc>
          <w:tcPr>
            <w:tcW w:w="1696" w:type="dxa"/>
            <w:shd w:val="clear" w:color="auto" w:fill="FFCCA6" w:themeFill="accent5" w:themeFillTint="66"/>
          </w:tcPr>
          <w:p w14:paraId="45D05C04" w14:textId="77777777" w:rsidR="00496804" w:rsidRDefault="0037359D">
            <w:pPr>
              <w:spacing w:line="240" w:lineRule="auto"/>
              <w:jc w:val="left"/>
              <w:rPr>
                <w:rFonts w:ascii="Times New Roman" w:hAnsi="Times New Roman"/>
                <w:bCs/>
                <w:sz w:val="24"/>
              </w:rPr>
            </w:pPr>
            <w:r>
              <w:rPr>
                <w:rFonts w:ascii="Times New Roman" w:hAnsi="Times New Roman"/>
                <w:bCs/>
                <w:sz w:val="24"/>
              </w:rPr>
              <w:t xml:space="preserve">stambeni </w:t>
            </w:r>
          </w:p>
        </w:tc>
        <w:tc>
          <w:tcPr>
            <w:tcW w:w="709" w:type="dxa"/>
          </w:tcPr>
          <w:p w14:paraId="45D05C05" w14:textId="77777777" w:rsidR="00496804" w:rsidRDefault="0037359D">
            <w:pPr>
              <w:spacing w:line="240" w:lineRule="auto"/>
              <w:jc w:val="right"/>
              <w:rPr>
                <w:rFonts w:ascii="Times New Roman" w:hAnsi="Times New Roman"/>
                <w:bCs/>
                <w:sz w:val="24"/>
              </w:rPr>
            </w:pPr>
            <w:r>
              <w:rPr>
                <w:rFonts w:ascii="Times New Roman" w:hAnsi="Times New Roman"/>
                <w:bCs/>
                <w:sz w:val="24"/>
              </w:rPr>
              <w:t>1</w:t>
            </w:r>
          </w:p>
        </w:tc>
        <w:tc>
          <w:tcPr>
            <w:tcW w:w="2126" w:type="dxa"/>
          </w:tcPr>
          <w:p w14:paraId="45D05C06" w14:textId="77777777" w:rsidR="00496804" w:rsidRDefault="0037359D">
            <w:pPr>
              <w:spacing w:line="240" w:lineRule="auto"/>
              <w:jc w:val="center"/>
              <w:rPr>
                <w:rFonts w:ascii="Times New Roman" w:hAnsi="Times New Roman"/>
                <w:bCs/>
                <w:sz w:val="24"/>
              </w:rPr>
            </w:pPr>
            <w:r>
              <w:rPr>
                <w:rFonts w:ascii="Times New Roman" w:hAnsi="Times New Roman"/>
                <w:bCs/>
                <w:sz w:val="24"/>
              </w:rPr>
              <w:t>3.000</w:t>
            </w:r>
          </w:p>
        </w:tc>
        <w:tc>
          <w:tcPr>
            <w:tcW w:w="1276" w:type="dxa"/>
          </w:tcPr>
          <w:p w14:paraId="45D05C07" w14:textId="77777777" w:rsidR="00496804" w:rsidRDefault="0037359D">
            <w:pPr>
              <w:spacing w:line="240" w:lineRule="auto"/>
              <w:jc w:val="center"/>
              <w:rPr>
                <w:rFonts w:ascii="Times New Roman" w:hAnsi="Times New Roman"/>
                <w:bCs/>
                <w:sz w:val="24"/>
              </w:rPr>
            </w:pPr>
            <w:r>
              <w:rPr>
                <w:rFonts w:ascii="Times New Roman" w:hAnsi="Times New Roman"/>
                <w:bCs/>
                <w:sz w:val="24"/>
              </w:rPr>
              <w:t>6.000</w:t>
            </w:r>
          </w:p>
        </w:tc>
        <w:tc>
          <w:tcPr>
            <w:tcW w:w="2126" w:type="dxa"/>
          </w:tcPr>
          <w:p w14:paraId="45D05C08" w14:textId="77777777" w:rsidR="00496804" w:rsidRDefault="0037359D">
            <w:pPr>
              <w:spacing w:line="240" w:lineRule="auto"/>
              <w:jc w:val="center"/>
              <w:rPr>
                <w:rFonts w:ascii="Times New Roman" w:hAnsi="Times New Roman"/>
                <w:bCs/>
                <w:sz w:val="24"/>
              </w:rPr>
            </w:pPr>
            <w:r>
              <w:rPr>
                <w:rFonts w:ascii="Times New Roman" w:hAnsi="Times New Roman"/>
                <w:bCs/>
                <w:sz w:val="24"/>
              </w:rPr>
              <w:t>3.000</w:t>
            </w:r>
          </w:p>
        </w:tc>
        <w:tc>
          <w:tcPr>
            <w:tcW w:w="1814" w:type="dxa"/>
          </w:tcPr>
          <w:p w14:paraId="45D05C09" w14:textId="77777777" w:rsidR="00496804" w:rsidRDefault="0037359D">
            <w:pPr>
              <w:spacing w:line="240" w:lineRule="auto"/>
              <w:jc w:val="center"/>
              <w:rPr>
                <w:rFonts w:ascii="Times New Roman" w:hAnsi="Times New Roman"/>
                <w:sz w:val="24"/>
              </w:rPr>
            </w:pPr>
            <w:r>
              <w:rPr>
                <w:rFonts w:ascii="Times New Roman" w:hAnsi="Times New Roman"/>
                <w:sz w:val="24"/>
              </w:rPr>
              <w:t>18.000</w:t>
            </w:r>
          </w:p>
        </w:tc>
      </w:tr>
      <w:tr w:rsidR="00496804" w14:paraId="45D05C11" w14:textId="77777777">
        <w:trPr>
          <w:trHeight w:val="250"/>
        </w:trPr>
        <w:tc>
          <w:tcPr>
            <w:tcW w:w="1696" w:type="dxa"/>
            <w:shd w:val="clear" w:color="auto" w:fill="FFCCA6" w:themeFill="accent5" w:themeFillTint="66"/>
          </w:tcPr>
          <w:p w14:paraId="45D05C0B" w14:textId="77777777" w:rsidR="00496804" w:rsidRDefault="0037359D">
            <w:pPr>
              <w:spacing w:line="240" w:lineRule="auto"/>
              <w:jc w:val="left"/>
              <w:rPr>
                <w:rFonts w:ascii="Times New Roman" w:hAnsi="Times New Roman"/>
                <w:bCs/>
                <w:sz w:val="24"/>
              </w:rPr>
            </w:pPr>
            <w:r>
              <w:rPr>
                <w:rFonts w:ascii="Times New Roman" w:hAnsi="Times New Roman"/>
                <w:bCs/>
                <w:sz w:val="24"/>
              </w:rPr>
              <w:t xml:space="preserve">infrastrukturni </w:t>
            </w:r>
          </w:p>
        </w:tc>
        <w:tc>
          <w:tcPr>
            <w:tcW w:w="709" w:type="dxa"/>
          </w:tcPr>
          <w:p w14:paraId="45D05C0C" w14:textId="77777777" w:rsidR="00496804" w:rsidRDefault="0037359D">
            <w:pPr>
              <w:spacing w:line="240" w:lineRule="auto"/>
              <w:jc w:val="right"/>
              <w:rPr>
                <w:rFonts w:ascii="Times New Roman" w:hAnsi="Times New Roman"/>
                <w:bCs/>
                <w:sz w:val="24"/>
              </w:rPr>
            </w:pPr>
            <w:r>
              <w:rPr>
                <w:rFonts w:ascii="Times New Roman" w:hAnsi="Times New Roman"/>
                <w:bCs/>
                <w:sz w:val="24"/>
              </w:rPr>
              <w:t>1</w:t>
            </w:r>
          </w:p>
        </w:tc>
        <w:tc>
          <w:tcPr>
            <w:tcW w:w="2126" w:type="dxa"/>
          </w:tcPr>
          <w:p w14:paraId="45D05C0D" w14:textId="77777777" w:rsidR="00496804" w:rsidRDefault="0037359D">
            <w:pPr>
              <w:spacing w:line="240" w:lineRule="auto"/>
              <w:jc w:val="center"/>
              <w:rPr>
                <w:rFonts w:ascii="Times New Roman" w:hAnsi="Times New Roman"/>
                <w:bCs/>
                <w:sz w:val="24"/>
              </w:rPr>
            </w:pPr>
            <w:r>
              <w:rPr>
                <w:rFonts w:ascii="Times New Roman" w:hAnsi="Times New Roman"/>
                <w:bCs/>
                <w:sz w:val="24"/>
              </w:rPr>
              <w:t>2.000</w:t>
            </w:r>
          </w:p>
        </w:tc>
        <w:tc>
          <w:tcPr>
            <w:tcW w:w="1276" w:type="dxa"/>
          </w:tcPr>
          <w:p w14:paraId="45D05C0E" w14:textId="77777777" w:rsidR="00496804" w:rsidRDefault="0037359D">
            <w:pPr>
              <w:spacing w:line="240" w:lineRule="auto"/>
              <w:jc w:val="center"/>
              <w:rPr>
                <w:rFonts w:ascii="Times New Roman" w:hAnsi="Times New Roman"/>
                <w:bCs/>
                <w:sz w:val="24"/>
              </w:rPr>
            </w:pPr>
            <w:r>
              <w:rPr>
                <w:rFonts w:ascii="Times New Roman" w:hAnsi="Times New Roman"/>
                <w:bCs/>
                <w:sz w:val="24"/>
              </w:rPr>
              <w:t>1.000</w:t>
            </w:r>
          </w:p>
        </w:tc>
        <w:tc>
          <w:tcPr>
            <w:tcW w:w="2126" w:type="dxa"/>
          </w:tcPr>
          <w:p w14:paraId="45D05C0F" w14:textId="77777777" w:rsidR="00496804" w:rsidRDefault="0037359D">
            <w:pPr>
              <w:spacing w:line="240" w:lineRule="auto"/>
              <w:jc w:val="center"/>
              <w:rPr>
                <w:rFonts w:ascii="Times New Roman" w:hAnsi="Times New Roman"/>
                <w:bCs/>
                <w:sz w:val="24"/>
              </w:rPr>
            </w:pPr>
            <w:r>
              <w:rPr>
                <w:rFonts w:ascii="Times New Roman" w:hAnsi="Times New Roman"/>
                <w:bCs/>
                <w:sz w:val="24"/>
              </w:rPr>
              <w:t>2.000</w:t>
            </w:r>
          </w:p>
        </w:tc>
        <w:tc>
          <w:tcPr>
            <w:tcW w:w="1814" w:type="dxa"/>
          </w:tcPr>
          <w:p w14:paraId="45D05C10" w14:textId="77777777" w:rsidR="00496804" w:rsidRDefault="0037359D">
            <w:pPr>
              <w:spacing w:line="240" w:lineRule="auto"/>
              <w:jc w:val="center"/>
              <w:rPr>
                <w:rFonts w:ascii="Times New Roman" w:hAnsi="Times New Roman"/>
                <w:sz w:val="24"/>
              </w:rPr>
            </w:pPr>
            <w:r>
              <w:rPr>
                <w:rFonts w:ascii="Times New Roman" w:hAnsi="Times New Roman"/>
                <w:sz w:val="24"/>
              </w:rPr>
              <w:t>2.000</w:t>
            </w:r>
          </w:p>
        </w:tc>
      </w:tr>
      <w:tr w:rsidR="00496804" w14:paraId="45D05C18" w14:textId="77777777">
        <w:trPr>
          <w:trHeight w:val="125"/>
        </w:trPr>
        <w:tc>
          <w:tcPr>
            <w:tcW w:w="1696" w:type="dxa"/>
            <w:shd w:val="clear" w:color="auto" w:fill="FFCCA6" w:themeFill="accent5" w:themeFillTint="66"/>
          </w:tcPr>
          <w:p w14:paraId="45D05C12" w14:textId="77777777" w:rsidR="00496804" w:rsidRDefault="0037359D">
            <w:pPr>
              <w:spacing w:line="240" w:lineRule="auto"/>
              <w:rPr>
                <w:rFonts w:ascii="Times New Roman" w:hAnsi="Times New Roman"/>
                <w:b/>
                <w:sz w:val="24"/>
              </w:rPr>
            </w:pPr>
            <w:r>
              <w:rPr>
                <w:rFonts w:ascii="Times New Roman" w:hAnsi="Times New Roman"/>
                <w:b/>
                <w:sz w:val="24"/>
              </w:rPr>
              <w:t>UKUPNO</w:t>
            </w:r>
          </w:p>
        </w:tc>
        <w:tc>
          <w:tcPr>
            <w:tcW w:w="709" w:type="dxa"/>
          </w:tcPr>
          <w:p w14:paraId="45D05C13" w14:textId="77777777" w:rsidR="00496804" w:rsidRDefault="0037359D">
            <w:pPr>
              <w:spacing w:line="240" w:lineRule="auto"/>
              <w:jc w:val="right"/>
              <w:rPr>
                <w:rFonts w:ascii="Times New Roman" w:hAnsi="Times New Roman"/>
                <w:b/>
                <w:sz w:val="24"/>
              </w:rPr>
            </w:pPr>
            <w:r>
              <w:rPr>
                <w:rFonts w:ascii="Times New Roman" w:hAnsi="Times New Roman"/>
                <w:b/>
                <w:sz w:val="24"/>
              </w:rPr>
              <w:t>75</w:t>
            </w:r>
          </w:p>
        </w:tc>
        <w:tc>
          <w:tcPr>
            <w:tcW w:w="2126" w:type="dxa"/>
          </w:tcPr>
          <w:p w14:paraId="45D05C14" w14:textId="77777777" w:rsidR="00496804" w:rsidRDefault="00496804">
            <w:pPr>
              <w:spacing w:line="240" w:lineRule="auto"/>
              <w:jc w:val="center"/>
              <w:rPr>
                <w:rFonts w:ascii="Times New Roman" w:hAnsi="Times New Roman"/>
                <w:b/>
                <w:sz w:val="24"/>
              </w:rPr>
            </w:pPr>
          </w:p>
        </w:tc>
        <w:tc>
          <w:tcPr>
            <w:tcW w:w="1276" w:type="dxa"/>
          </w:tcPr>
          <w:p w14:paraId="45D05C15" w14:textId="77777777" w:rsidR="00496804" w:rsidRDefault="00496804">
            <w:pPr>
              <w:spacing w:line="240" w:lineRule="auto"/>
              <w:jc w:val="center"/>
              <w:rPr>
                <w:rFonts w:ascii="Times New Roman" w:hAnsi="Times New Roman"/>
                <w:b/>
                <w:sz w:val="24"/>
              </w:rPr>
            </w:pPr>
          </w:p>
        </w:tc>
        <w:tc>
          <w:tcPr>
            <w:tcW w:w="2126" w:type="dxa"/>
          </w:tcPr>
          <w:p w14:paraId="45D05C16" w14:textId="77777777" w:rsidR="00496804" w:rsidRDefault="0037359D">
            <w:pPr>
              <w:spacing w:line="240" w:lineRule="auto"/>
              <w:jc w:val="center"/>
              <w:rPr>
                <w:rFonts w:ascii="Times New Roman" w:hAnsi="Times New Roman"/>
                <w:b/>
                <w:sz w:val="24"/>
              </w:rPr>
            </w:pPr>
            <w:r>
              <w:rPr>
                <w:rFonts w:ascii="Times New Roman" w:hAnsi="Times New Roman"/>
                <w:b/>
                <w:sz w:val="24"/>
              </w:rPr>
              <w:t>149.800</w:t>
            </w:r>
          </w:p>
        </w:tc>
        <w:tc>
          <w:tcPr>
            <w:tcW w:w="1814" w:type="dxa"/>
          </w:tcPr>
          <w:p w14:paraId="45D05C17" w14:textId="77777777" w:rsidR="00496804" w:rsidRDefault="0037359D">
            <w:pPr>
              <w:spacing w:line="240" w:lineRule="auto"/>
              <w:jc w:val="center"/>
              <w:rPr>
                <w:rFonts w:ascii="Times New Roman" w:hAnsi="Times New Roman"/>
                <w:b/>
                <w:bCs/>
                <w:sz w:val="24"/>
              </w:rPr>
            </w:pPr>
            <w:r>
              <w:rPr>
                <w:rFonts w:ascii="Times New Roman" w:hAnsi="Times New Roman"/>
                <w:b/>
                <w:bCs/>
                <w:sz w:val="24"/>
              </w:rPr>
              <w:t>987.900</w:t>
            </w:r>
          </w:p>
        </w:tc>
      </w:tr>
    </w:tbl>
    <w:p w14:paraId="45D05C1A" w14:textId="77777777" w:rsidR="00496804" w:rsidRDefault="0037359D">
      <w:pPr>
        <w:spacing w:line="240" w:lineRule="auto"/>
        <w:rPr>
          <w:rFonts w:ascii="Times New Roman" w:hAnsi="Times New Roman"/>
          <w:sz w:val="24"/>
        </w:rPr>
      </w:pPr>
      <w:r>
        <w:rPr>
          <w:rFonts w:ascii="Times New Roman" w:hAnsi="Times New Roman"/>
          <w:sz w:val="24"/>
        </w:rPr>
        <w:t>Temeljem anketnog uzorka koji se sastoji od 61 grada i 81 općine, kojima pripada 1.531.362 stanovnika RH, što predstavlja 35,74% od ukupnog broja stanovništva (4.284.889) RH prema popisu stanovništva iz 2011. godine. Ukoliko se potreba za dodatnim sadržajem, temeljem anketnog uzorka od 35,74% stanovništva RH proporcionalno projicira na puni broj stanovništva;  149.800 m</w:t>
      </w:r>
      <w:r>
        <w:rPr>
          <w:rFonts w:ascii="Times New Roman" w:hAnsi="Times New Roman"/>
          <w:sz w:val="24"/>
          <w:vertAlign w:val="superscript"/>
        </w:rPr>
        <w:t>2</w:t>
      </w:r>
      <w:r>
        <w:rPr>
          <w:rFonts w:ascii="Times New Roman" w:hAnsi="Times New Roman"/>
          <w:sz w:val="24"/>
        </w:rPr>
        <w:t xml:space="preserve"> x 1/0,3574= 419.153 m</w:t>
      </w:r>
      <w:r>
        <w:rPr>
          <w:rFonts w:ascii="Times New Roman" w:hAnsi="Times New Roman"/>
          <w:sz w:val="24"/>
          <w:vertAlign w:val="superscript"/>
        </w:rPr>
        <w:t>2</w:t>
      </w:r>
      <w:r>
        <w:rPr>
          <w:rFonts w:ascii="Times New Roman" w:hAnsi="Times New Roman"/>
          <w:sz w:val="24"/>
        </w:rPr>
        <w:t xml:space="preserve">, može se izvesti zaključak da na prostoru RH postoji potreba </w:t>
      </w:r>
      <w:r>
        <w:rPr>
          <w:rFonts w:ascii="Times New Roman" w:hAnsi="Times New Roman"/>
          <w:bCs/>
          <w:sz w:val="24"/>
        </w:rPr>
        <w:t>za 419.153 m</w:t>
      </w:r>
      <w:r>
        <w:rPr>
          <w:rFonts w:ascii="Times New Roman" w:hAnsi="Times New Roman"/>
          <w:bCs/>
          <w:sz w:val="24"/>
          <w:vertAlign w:val="superscript"/>
        </w:rPr>
        <w:t>2</w:t>
      </w:r>
      <w:r>
        <w:rPr>
          <w:rFonts w:ascii="Times New Roman" w:hAnsi="Times New Roman"/>
          <w:sz w:val="24"/>
          <w:vertAlign w:val="superscript"/>
        </w:rPr>
        <w:t xml:space="preserve"> </w:t>
      </w:r>
      <w:r>
        <w:rPr>
          <w:rFonts w:ascii="Times New Roman" w:hAnsi="Times New Roman"/>
          <w:sz w:val="24"/>
        </w:rPr>
        <w:t xml:space="preserve">raznih sadržaja, ukupne investicijske vrijednosti </w:t>
      </w:r>
      <w:r>
        <w:rPr>
          <w:rFonts w:ascii="Times New Roman" w:hAnsi="Times New Roman"/>
          <w:bCs/>
          <w:sz w:val="24"/>
        </w:rPr>
        <w:t>2.764.233.300 kn</w:t>
      </w:r>
      <w:r>
        <w:rPr>
          <w:rFonts w:ascii="Times New Roman" w:hAnsi="Times New Roman"/>
          <w:sz w:val="24"/>
        </w:rPr>
        <w:t xml:space="preserve">  koji bi se mogli ostvariti revitalizacijom nekorištenih postojećih prostora i zgrada (izračunato temeljem srednje cijena troškova građevinskih radova koja iznosi 6.594 kn/m</w:t>
      </w:r>
      <w:r>
        <w:rPr>
          <w:rFonts w:ascii="Times New Roman" w:hAnsi="Times New Roman"/>
          <w:sz w:val="24"/>
          <w:vertAlign w:val="superscript"/>
        </w:rPr>
        <w:t>2</w:t>
      </w:r>
      <w:r>
        <w:rPr>
          <w:rFonts w:ascii="Times New Roman" w:hAnsi="Times New Roman"/>
          <w:sz w:val="24"/>
        </w:rPr>
        <w:t>).</w:t>
      </w:r>
    </w:p>
    <w:p w14:paraId="45D05C1B" w14:textId="77777777" w:rsidR="00496804" w:rsidRDefault="00496804">
      <w:pPr>
        <w:spacing w:line="240" w:lineRule="auto"/>
        <w:rPr>
          <w:rFonts w:ascii="Times New Roman" w:hAnsi="Times New Roman"/>
          <w:sz w:val="24"/>
        </w:rPr>
      </w:pPr>
    </w:p>
    <w:p w14:paraId="45D05C1C" w14:textId="77777777" w:rsidR="00496804" w:rsidRDefault="0037359D">
      <w:pPr>
        <w:spacing w:line="240" w:lineRule="auto"/>
        <w:rPr>
          <w:rFonts w:ascii="Times New Roman" w:hAnsi="Times New Roman"/>
          <w:sz w:val="24"/>
        </w:rPr>
      </w:pPr>
      <w:r>
        <w:rPr>
          <w:rFonts w:ascii="Times New Roman" w:hAnsi="Times New Roman"/>
          <w:sz w:val="24"/>
        </w:rPr>
        <w:t>Zaključci anketnog upitnika su:</w:t>
      </w:r>
    </w:p>
    <w:p w14:paraId="45D05C1D" w14:textId="77777777" w:rsidR="00496804" w:rsidRDefault="0037359D">
      <w:pPr>
        <w:pStyle w:val="Odlomakpopisa"/>
        <w:numPr>
          <w:ilvl w:val="0"/>
          <w:numId w:val="13"/>
        </w:numPr>
        <w:spacing w:line="240" w:lineRule="auto"/>
        <w:ind w:left="426" w:hanging="284"/>
        <w:rPr>
          <w:rFonts w:ascii="Times New Roman" w:hAnsi="Times New Roman" w:cs="Times New Roman"/>
          <w:b w:val="0"/>
          <w:bCs/>
          <w:sz w:val="24"/>
        </w:rPr>
      </w:pPr>
      <w:r>
        <w:rPr>
          <w:rFonts w:ascii="Times New Roman" w:hAnsi="Times New Roman" w:cs="Times New Roman"/>
          <w:b w:val="0"/>
          <w:bCs/>
          <w:sz w:val="24"/>
        </w:rPr>
        <w:t>upoznatost ispitanika s temom kružnog gospodarstva je na srednjoj razini</w:t>
      </w:r>
    </w:p>
    <w:p w14:paraId="45D05C1E" w14:textId="77777777" w:rsidR="00496804" w:rsidRDefault="0037359D">
      <w:pPr>
        <w:pStyle w:val="Odlomakpopisa"/>
        <w:numPr>
          <w:ilvl w:val="0"/>
          <w:numId w:val="13"/>
        </w:numPr>
        <w:spacing w:line="240" w:lineRule="auto"/>
        <w:ind w:left="426" w:hanging="284"/>
        <w:rPr>
          <w:rFonts w:ascii="Times New Roman" w:hAnsi="Times New Roman" w:cs="Times New Roman"/>
          <w:b w:val="0"/>
          <w:bCs/>
          <w:sz w:val="24"/>
        </w:rPr>
      </w:pPr>
      <w:r>
        <w:rPr>
          <w:rFonts w:ascii="Times New Roman" w:hAnsi="Times New Roman" w:cs="Times New Roman"/>
          <w:b w:val="0"/>
          <w:bCs/>
          <w:sz w:val="24"/>
        </w:rPr>
        <w:t>mogućnost primjene i interes za kružno gospodarenje je pozitivno ocijenjen</w:t>
      </w:r>
    </w:p>
    <w:p w14:paraId="45D05C1F" w14:textId="77777777" w:rsidR="00496804" w:rsidRDefault="0037359D">
      <w:pPr>
        <w:pStyle w:val="Odlomakpopisa"/>
        <w:numPr>
          <w:ilvl w:val="0"/>
          <w:numId w:val="13"/>
        </w:numPr>
        <w:spacing w:line="240" w:lineRule="auto"/>
        <w:ind w:left="426" w:hanging="284"/>
        <w:rPr>
          <w:rFonts w:ascii="Times New Roman" w:hAnsi="Times New Roman" w:cs="Times New Roman"/>
          <w:b w:val="0"/>
          <w:bCs/>
          <w:sz w:val="24"/>
        </w:rPr>
      </w:pPr>
      <w:r>
        <w:rPr>
          <w:rFonts w:ascii="Times New Roman" w:hAnsi="Times New Roman" w:cs="Times New Roman"/>
          <w:b w:val="0"/>
          <w:bCs/>
          <w:sz w:val="24"/>
        </w:rPr>
        <w:t>poznat je mali broj aktualnih projekata (28) vezanih na temu kružnog gospodarstva</w:t>
      </w:r>
    </w:p>
    <w:p w14:paraId="45D05C20" w14:textId="77777777" w:rsidR="00496804" w:rsidRDefault="0037359D">
      <w:pPr>
        <w:pStyle w:val="Odlomakpopisa"/>
        <w:numPr>
          <w:ilvl w:val="0"/>
          <w:numId w:val="13"/>
        </w:numPr>
        <w:spacing w:line="240" w:lineRule="auto"/>
        <w:ind w:left="426" w:hanging="284"/>
        <w:rPr>
          <w:rFonts w:ascii="Times New Roman" w:hAnsi="Times New Roman" w:cs="Times New Roman"/>
          <w:b w:val="0"/>
          <w:bCs/>
          <w:sz w:val="24"/>
        </w:rPr>
      </w:pPr>
      <w:r>
        <w:rPr>
          <w:rFonts w:ascii="Times New Roman" w:hAnsi="Times New Roman" w:cs="Times New Roman"/>
          <w:b w:val="0"/>
          <w:bCs/>
          <w:sz w:val="24"/>
        </w:rPr>
        <w:t>interes za uključivanje u provedbu ovog Programa je značajan (73,24%)</w:t>
      </w:r>
    </w:p>
    <w:p w14:paraId="45D05C21" w14:textId="77777777" w:rsidR="00496804" w:rsidRDefault="0037359D">
      <w:pPr>
        <w:pStyle w:val="Odlomakpopisa"/>
        <w:numPr>
          <w:ilvl w:val="0"/>
          <w:numId w:val="13"/>
        </w:numPr>
        <w:spacing w:line="240" w:lineRule="auto"/>
        <w:ind w:left="426" w:hanging="284"/>
        <w:rPr>
          <w:rFonts w:ascii="Times New Roman" w:hAnsi="Times New Roman" w:cs="Times New Roman"/>
          <w:b w:val="0"/>
          <w:bCs/>
          <w:sz w:val="24"/>
        </w:rPr>
      </w:pPr>
      <w:r>
        <w:rPr>
          <w:rFonts w:ascii="Times New Roman" w:hAnsi="Times New Roman" w:cs="Times New Roman"/>
          <w:b w:val="0"/>
          <w:bCs/>
          <w:sz w:val="24"/>
        </w:rPr>
        <w:t>postoji veliki broj sadržaja koji nedostaju, a mogli bi se ostvariti unutar postojećih napuštenih građevina po ovom Programu (okvirna procjena 419.153 m</w:t>
      </w:r>
      <w:r>
        <w:rPr>
          <w:rFonts w:ascii="Times New Roman" w:hAnsi="Times New Roman" w:cs="Times New Roman"/>
          <w:b w:val="0"/>
          <w:bCs/>
          <w:sz w:val="24"/>
          <w:vertAlign w:val="superscript"/>
        </w:rPr>
        <w:t>2</w:t>
      </w:r>
      <w:r>
        <w:rPr>
          <w:rFonts w:ascii="Times New Roman" w:hAnsi="Times New Roman" w:cs="Times New Roman"/>
          <w:b w:val="0"/>
          <w:bCs/>
          <w:sz w:val="24"/>
        </w:rPr>
        <w:t>).</w:t>
      </w:r>
    </w:p>
    <w:p w14:paraId="45D05C22" w14:textId="77777777" w:rsidR="00496804" w:rsidRDefault="00496804">
      <w:pPr>
        <w:spacing w:line="240" w:lineRule="auto"/>
        <w:rPr>
          <w:rFonts w:ascii="Times New Roman" w:hAnsi="Times New Roman"/>
          <w:bCs/>
          <w:sz w:val="24"/>
        </w:rPr>
      </w:pPr>
    </w:p>
    <w:p w14:paraId="45D05C23" w14:textId="77777777" w:rsidR="00496804" w:rsidRDefault="0037359D">
      <w:pPr>
        <w:spacing w:line="240" w:lineRule="auto"/>
        <w:rPr>
          <w:rFonts w:ascii="Times New Roman" w:hAnsi="Times New Roman"/>
          <w:bCs/>
          <w:sz w:val="24"/>
        </w:rPr>
      </w:pPr>
      <w:r>
        <w:rPr>
          <w:rFonts w:ascii="Times New Roman" w:hAnsi="Times New Roman"/>
          <w:bCs/>
          <w:sz w:val="24"/>
        </w:rPr>
        <w:t xml:space="preserve">Anketni upitnik je ukazao na značajan interes i mogućnosti primjene kružnog gospodarenja prostorom i zgradama od strane JLS-a, ali i na njihovu nedovoljnu upućenost u tematiku kružnog gospodarenja. </w:t>
      </w:r>
    </w:p>
    <w:p w14:paraId="45D05C24" w14:textId="77777777" w:rsidR="00496804" w:rsidRDefault="00496804">
      <w:pPr>
        <w:spacing w:line="240" w:lineRule="auto"/>
        <w:rPr>
          <w:rFonts w:ascii="Times New Roman" w:hAnsi="Times New Roman"/>
          <w:bCs/>
          <w:sz w:val="24"/>
        </w:rPr>
      </w:pPr>
    </w:p>
    <w:p w14:paraId="45D05C25" w14:textId="77777777" w:rsidR="00496804" w:rsidRDefault="0037359D">
      <w:pPr>
        <w:spacing w:line="240" w:lineRule="auto"/>
        <w:rPr>
          <w:rFonts w:ascii="Times New Roman" w:hAnsi="Times New Roman"/>
          <w:bCs/>
          <w:sz w:val="24"/>
        </w:rPr>
      </w:pPr>
      <w:r>
        <w:rPr>
          <w:rFonts w:ascii="Times New Roman" w:hAnsi="Times New Roman"/>
          <w:bCs/>
          <w:sz w:val="24"/>
        </w:rPr>
        <w:t>Kako bi se osiguralo što kvalitetnije provođenje</w:t>
      </w:r>
      <w:r>
        <w:rPr>
          <w:rFonts w:ascii="Times New Roman" w:hAnsi="Times New Roman"/>
          <w:bCs/>
          <w:i/>
          <w:sz w:val="24"/>
        </w:rPr>
        <w:t xml:space="preserve"> </w:t>
      </w:r>
      <w:r>
        <w:rPr>
          <w:rFonts w:ascii="Times New Roman" w:hAnsi="Times New Roman"/>
          <w:bCs/>
          <w:sz w:val="24"/>
        </w:rPr>
        <w:t xml:space="preserve">Programa razvoja KG, potrebno je provesti dodatnu edukaciju svih dionika, organizirati niz radionica s dionicima u svrhu prepoznavanja mogućnosti, potencijala i prepreka kružnog gospodarenja. Temeljem navedenih aktivnosti mogu se pokrenuti izrade studija izvedivosti za pojedine lokacije (Pilot projekti) koje će uzeti u obzir društveno-ekonomsku korist projekta. Javno i transparentno planiranje, provedba i praćenje provedbe pilot projekata te njihova promocija imat će veliki značaj za popularizaciju teme kružnog gospodarenja prostorom i zgradama u </w:t>
      </w:r>
      <w:r>
        <w:rPr>
          <w:rFonts w:ascii="Times New Roman" w:hAnsi="Times New Roman"/>
          <w:sz w:val="24"/>
        </w:rPr>
        <w:t>RH</w:t>
      </w:r>
      <w:r>
        <w:rPr>
          <w:rFonts w:ascii="Times New Roman" w:hAnsi="Times New Roman"/>
          <w:bCs/>
          <w:sz w:val="24"/>
        </w:rPr>
        <w:t>.</w:t>
      </w:r>
    </w:p>
    <w:p w14:paraId="45D05C26" w14:textId="77777777" w:rsidR="00496804" w:rsidRDefault="00496804">
      <w:pPr>
        <w:spacing w:line="240" w:lineRule="auto"/>
        <w:rPr>
          <w:rFonts w:ascii="Times New Roman" w:hAnsi="Times New Roman"/>
          <w:bCs/>
          <w:sz w:val="24"/>
        </w:rPr>
      </w:pPr>
    </w:p>
    <w:p w14:paraId="45D05C27" w14:textId="77777777" w:rsidR="00496804" w:rsidRDefault="0037359D">
      <w:pPr>
        <w:pStyle w:val="Naslov3"/>
        <w:rPr>
          <w:rFonts w:ascii="Times New Roman" w:eastAsia="Times New Roman" w:hAnsi="Times New Roman" w:cs="Times New Roman"/>
          <w:bCs w:val="0"/>
          <w:color w:val="auto"/>
          <w:spacing w:val="0"/>
          <w:sz w:val="24"/>
          <w:szCs w:val="24"/>
          <w:lang w:eastAsia="en-GB"/>
        </w:rPr>
      </w:pPr>
      <w:bookmarkStart w:id="141" w:name="_Toc51851640"/>
      <w:r>
        <w:rPr>
          <w:rFonts w:ascii="Times New Roman" w:eastAsia="Times New Roman" w:hAnsi="Times New Roman" w:cs="Times New Roman"/>
          <w:bCs w:val="0"/>
          <w:color w:val="auto"/>
          <w:spacing w:val="0"/>
          <w:sz w:val="24"/>
          <w:szCs w:val="24"/>
          <w:lang w:eastAsia="en-GB"/>
        </w:rPr>
        <w:t>Interdisciplinarna radionica</w:t>
      </w:r>
      <w:bookmarkEnd w:id="141"/>
    </w:p>
    <w:p w14:paraId="45D05C28" w14:textId="77777777" w:rsidR="00496804" w:rsidRDefault="00496804">
      <w:pPr>
        <w:spacing w:line="240" w:lineRule="auto"/>
        <w:rPr>
          <w:rFonts w:ascii="Times New Roman" w:hAnsi="Times New Roman"/>
          <w:sz w:val="24"/>
          <w:lang w:eastAsia="hr-HR"/>
        </w:rPr>
      </w:pPr>
    </w:p>
    <w:p w14:paraId="45D05C29" w14:textId="77777777" w:rsidR="00496804" w:rsidRDefault="0037359D">
      <w:pPr>
        <w:spacing w:line="240" w:lineRule="auto"/>
        <w:rPr>
          <w:rFonts w:ascii="Times New Roman" w:hAnsi="Times New Roman"/>
          <w:bCs/>
          <w:sz w:val="24"/>
        </w:rPr>
      </w:pPr>
      <w:bookmarkStart w:id="142" w:name="_Hlk30762623"/>
      <w:r>
        <w:rPr>
          <w:rFonts w:ascii="Times New Roman" w:hAnsi="Times New Roman"/>
          <w:bCs/>
          <w:sz w:val="24"/>
        </w:rPr>
        <w:t xml:space="preserve">Kako bi se potaknula razmjena podataka, iskustava te potakla daljnja suradnja između dionika, u studenom 2019. godine je održana interdisciplinarna radionica na kojoj su sudjelovali predstavnici JLP(R)S-a, javnog i privatnog sektora, akademske zajednice, investitori, developeri, </w:t>
      </w:r>
      <w:r>
        <w:rPr>
          <w:rFonts w:ascii="Times New Roman" w:hAnsi="Times New Roman"/>
          <w:sz w:val="24"/>
        </w:rPr>
        <w:t>poduzeća iz energetskog sektora, energetske učinkovitosti i zelene gradnje, izvođači i proizvođači opreme i materijala, bankarske, financijske i konzultantske institucije</w:t>
      </w:r>
      <w:r>
        <w:rPr>
          <w:rFonts w:ascii="Times New Roman" w:hAnsi="Times New Roman"/>
          <w:bCs/>
          <w:sz w:val="24"/>
        </w:rPr>
        <w:t xml:space="preserve">. U stručnoj raspravi izneseni su sljedeći zaključci: </w:t>
      </w:r>
    </w:p>
    <w:bookmarkEnd w:id="142"/>
    <w:p w14:paraId="45D05C2A" w14:textId="77777777" w:rsidR="00496804" w:rsidRDefault="0037359D">
      <w:pPr>
        <w:pStyle w:val="Odlomakpopisa"/>
        <w:numPr>
          <w:ilvl w:val="0"/>
          <w:numId w:val="14"/>
        </w:numPr>
        <w:spacing w:line="240" w:lineRule="auto"/>
        <w:ind w:left="426" w:hanging="284"/>
        <w:rPr>
          <w:rFonts w:ascii="Times New Roman" w:hAnsi="Times New Roman" w:cs="Times New Roman"/>
          <w:b w:val="0"/>
          <w:sz w:val="24"/>
        </w:rPr>
      </w:pPr>
      <w:r>
        <w:rPr>
          <w:rFonts w:ascii="Times New Roman" w:hAnsi="Times New Roman" w:cs="Times New Roman"/>
          <w:b w:val="0"/>
          <w:sz w:val="24"/>
        </w:rPr>
        <w:t>postoji velika mogućnost primjene kružnog gospodarenja prostorom i zgradama, gotovo svaki grad ima značajne kapacitete napuštenih prostora i zgrada, a također i potrebe za novim sadržajima (pogotovo kod većih gradova)</w:t>
      </w:r>
    </w:p>
    <w:p w14:paraId="45D05C2B" w14:textId="77777777" w:rsidR="00496804" w:rsidRDefault="0037359D">
      <w:pPr>
        <w:pStyle w:val="Odlomakpopisa"/>
        <w:numPr>
          <w:ilvl w:val="0"/>
          <w:numId w:val="14"/>
        </w:numPr>
        <w:spacing w:line="240" w:lineRule="auto"/>
        <w:ind w:left="426" w:hanging="284"/>
        <w:rPr>
          <w:rFonts w:ascii="Times New Roman" w:hAnsi="Times New Roman" w:cs="Times New Roman"/>
          <w:b w:val="0"/>
          <w:sz w:val="24"/>
        </w:rPr>
      </w:pPr>
      <w:r>
        <w:rPr>
          <w:rFonts w:ascii="Times New Roman" w:hAnsi="Times New Roman" w:cs="Times New Roman"/>
          <w:b w:val="0"/>
          <w:sz w:val="24"/>
        </w:rPr>
        <w:t>neriješeni imovinsko-pravni odnosi mogu biti prepreka u realizaciji, potrebno je definirati interese i mehanizme koji omogućuju njihovo razrješavanje</w:t>
      </w:r>
    </w:p>
    <w:p w14:paraId="45D05C2C" w14:textId="77777777" w:rsidR="00496804" w:rsidRDefault="0037359D">
      <w:pPr>
        <w:pStyle w:val="Odlomakpopisa"/>
        <w:numPr>
          <w:ilvl w:val="0"/>
          <w:numId w:val="14"/>
        </w:numPr>
        <w:spacing w:line="240" w:lineRule="auto"/>
        <w:ind w:left="426" w:hanging="284"/>
        <w:rPr>
          <w:rFonts w:ascii="Times New Roman" w:hAnsi="Times New Roman" w:cs="Times New Roman"/>
          <w:b w:val="0"/>
          <w:sz w:val="24"/>
        </w:rPr>
      </w:pPr>
      <w:r>
        <w:rPr>
          <w:rFonts w:ascii="Times New Roman" w:hAnsi="Times New Roman" w:cs="Times New Roman"/>
          <w:b w:val="0"/>
          <w:sz w:val="24"/>
        </w:rPr>
        <w:t>potkapacitiranost tijela JLP(R)S otežava pravovremenu provedbu novih "poticaja i programa"</w:t>
      </w:r>
    </w:p>
    <w:p w14:paraId="45D05C2D" w14:textId="77777777" w:rsidR="00496804" w:rsidRDefault="0037359D">
      <w:pPr>
        <w:pStyle w:val="Odlomakpopisa"/>
        <w:numPr>
          <w:ilvl w:val="0"/>
          <w:numId w:val="14"/>
        </w:numPr>
        <w:spacing w:line="240" w:lineRule="auto"/>
        <w:ind w:left="426" w:hanging="284"/>
        <w:rPr>
          <w:rFonts w:ascii="Times New Roman" w:hAnsi="Times New Roman" w:cs="Times New Roman"/>
          <w:b w:val="0"/>
          <w:sz w:val="24"/>
        </w:rPr>
      </w:pPr>
      <w:r>
        <w:rPr>
          <w:rFonts w:ascii="Times New Roman" w:hAnsi="Times New Roman" w:cs="Times New Roman"/>
          <w:b w:val="0"/>
          <w:sz w:val="24"/>
        </w:rPr>
        <w:t>nedovoljno razvijena regionalna i lokalna mreža gospodarenja otpadom</w:t>
      </w:r>
    </w:p>
    <w:p w14:paraId="45D05C2E" w14:textId="77777777" w:rsidR="00496804" w:rsidRDefault="0037359D">
      <w:pPr>
        <w:pStyle w:val="Odlomakpopisa"/>
        <w:numPr>
          <w:ilvl w:val="0"/>
          <w:numId w:val="14"/>
        </w:numPr>
        <w:spacing w:line="240" w:lineRule="auto"/>
        <w:ind w:left="426" w:hanging="284"/>
        <w:rPr>
          <w:rFonts w:ascii="Times New Roman" w:hAnsi="Times New Roman" w:cs="Times New Roman"/>
          <w:b w:val="0"/>
          <w:sz w:val="24"/>
        </w:rPr>
      </w:pPr>
      <w:r>
        <w:rPr>
          <w:rFonts w:ascii="Times New Roman" w:hAnsi="Times New Roman" w:cs="Times New Roman"/>
          <w:b w:val="0"/>
          <w:sz w:val="24"/>
        </w:rPr>
        <w:lastRenderedPageBreak/>
        <w:t>nedovoljna uključenost privatnog sektora</w:t>
      </w:r>
    </w:p>
    <w:p w14:paraId="45D05C2F" w14:textId="77777777" w:rsidR="00496804" w:rsidRDefault="0037359D">
      <w:pPr>
        <w:pStyle w:val="Odlomakpopisa"/>
        <w:numPr>
          <w:ilvl w:val="0"/>
          <w:numId w:val="14"/>
        </w:numPr>
        <w:spacing w:line="240" w:lineRule="auto"/>
        <w:ind w:left="426" w:hanging="284"/>
        <w:rPr>
          <w:rFonts w:ascii="Times New Roman" w:hAnsi="Times New Roman" w:cs="Times New Roman"/>
          <w:b w:val="0"/>
          <w:sz w:val="24"/>
        </w:rPr>
      </w:pPr>
      <w:r>
        <w:rPr>
          <w:rFonts w:ascii="Times New Roman" w:hAnsi="Times New Roman" w:cs="Times New Roman"/>
          <w:b w:val="0"/>
          <w:sz w:val="24"/>
        </w:rPr>
        <w:t>u manjim gradovima i općinama postoji nedostatak kvalitetnih udruga građana koje bi bile uključene.</w:t>
      </w:r>
    </w:p>
    <w:p w14:paraId="45D05C30" w14:textId="77777777" w:rsidR="00496804" w:rsidRDefault="00496804">
      <w:pPr>
        <w:spacing w:line="240" w:lineRule="auto"/>
        <w:rPr>
          <w:rFonts w:ascii="Times New Roman" w:hAnsi="Times New Roman"/>
          <w:bCs/>
          <w:sz w:val="24"/>
        </w:rPr>
      </w:pPr>
    </w:p>
    <w:p w14:paraId="45D05C31" w14:textId="77777777" w:rsidR="00496804" w:rsidRDefault="0037359D">
      <w:pPr>
        <w:spacing w:line="240" w:lineRule="auto"/>
        <w:rPr>
          <w:rFonts w:ascii="Times New Roman" w:hAnsi="Times New Roman"/>
          <w:bCs/>
          <w:sz w:val="24"/>
        </w:rPr>
      </w:pPr>
      <w:r>
        <w:rPr>
          <w:rFonts w:ascii="Times New Roman" w:hAnsi="Times New Roman"/>
          <w:bCs/>
          <w:sz w:val="24"/>
        </w:rPr>
        <w:t>Navedeni zaključci donekle potvrđuju zaključke anketnog upitnika, a dodatno skreću pozornost na tematiku imovinsko-pravnih odnosa, nedovoljnu uključenost privatnog sektora i udruga građana. Od navedenih zaključaka posebno se naglašava važnost uključivanja privatnog sektora. Intenzivna uloga privatnog sektora u kružnom gospodarenju prostorom i zgradama osigurava ekonomsku održivost projekta. U svrhu poticaja uključivanja privatnog sektora u kružno gospodarenje prostorom i zgradama bilo bi korisno osmisliti dodatne gospodarske mjere i poticaje. Privatni sektor se može uključiti u cijelom nizu različitih uloga unutar kružnog gospodarenja prostorom i zgradama, u ulozi voditelja projekata, izvođača građevnih radova, investitora, planiranja, proizvodnje građevnih materijala i proizvoda, u ulozi gospodarenja građevnim otpadom i njegovom oporabom.</w:t>
      </w:r>
    </w:p>
    <w:p w14:paraId="45D05C32" w14:textId="77777777" w:rsidR="00496804" w:rsidRDefault="00496804">
      <w:pPr>
        <w:spacing w:line="240" w:lineRule="auto"/>
        <w:rPr>
          <w:rFonts w:ascii="Times New Roman" w:hAnsi="Times New Roman"/>
          <w:bCs/>
          <w:sz w:val="24"/>
        </w:rPr>
      </w:pPr>
    </w:p>
    <w:p w14:paraId="45D05C33" w14:textId="77777777" w:rsidR="00496804" w:rsidRDefault="0037359D">
      <w:pPr>
        <w:pStyle w:val="Naslov2"/>
        <w:ind w:left="426" w:hanging="426"/>
        <w:rPr>
          <w:rFonts w:ascii="Times New Roman" w:hAnsi="Times New Roman" w:cs="Times New Roman"/>
          <w:color w:val="auto"/>
          <w:sz w:val="24"/>
          <w:szCs w:val="24"/>
        </w:rPr>
      </w:pPr>
      <w:bookmarkStart w:id="143" w:name="_Toc51851641"/>
      <w:r>
        <w:rPr>
          <w:rFonts w:ascii="Times New Roman" w:hAnsi="Times New Roman" w:cs="Times New Roman"/>
          <w:color w:val="auto"/>
          <w:sz w:val="24"/>
          <w:szCs w:val="24"/>
        </w:rPr>
        <w:t>PREGLED ELEMENATA DRŽAVNIH POTPORA</w:t>
      </w:r>
      <w:bookmarkEnd w:id="143"/>
      <w:r>
        <w:rPr>
          <w:rFonts w:ascii="Times New Roman" w:hAnsi="Times New Roman" w:cs="Times New Roman"/>
          <w:color w:val="auto"/>
          <w:sz w:val="24"/>
          <w:szCs w:val="24"/>
        </w:rPr>
        <w:t xml:space="preserve"> </w:t>
      </w:r>
    </w:p>
    <w:p w14:paraId="45D05C34" w14:textId="77777777" w:rsidR="00496804" w:rsidRDefault="00496804">
      <w:pPr>
        <w:spacing w:line="240" w:lineRule="auto"/>
        <w:rPr>
          <w:rFonts w:ascii="Times New Roman" w:hAnsi="Times New Roman"/>
          <w:bCs/>
          <w:sz w:val="24"/>
        </w:rPr>
      </w:pPr>
    </w:p>
    <w:p w14:paraId="45D05C35" w14:textId="77777777" w:rsidR="00496804" w:rsidRDefault="0037359D">
      <w:pPr>
        <w:spacing w:after="240" w:line="240" w:lineRule="auto"/>
        <w:rPr>
          <w:rFonts w:ascii="Times New Roman" w:hAnsi="Times New Roman"/>
          <w:bCs/>
          <w:sz w:val="24"/>
        </w:rPr>
      </w:pPr>
      <w:r>
        <w:rPr>
          <w:rFonts w:ascii="Times New Roman" w:hAnsi="Times New Roman"/>
          <w:bCs/>
          <w:sz w:val="24"/>
        </w:rPr>
        <w:t>Projekte kružnog gospodarenja prostorom i zgradama potrebno je sagledati u odnosu na elemente državnih potpora i potpora male vrijednosti (de minimis potpora).</w:t>
      </w:r>
    </w:p>
    <w:p w14:paraId="45D05C36" w14:textId="77777777" w:rsidR="00496804" w:rsidRDefault="0037359D">
      <w:pPr>
        <w:spacing w:line="240" w:lineRule="auto"/>
        <w:rPr>
          <w:rFonts w:ascii="Times New Roman" w:hAnsi="Times New Roman"/>
          <w:bCs/>
          <w:sz w:val="24"/>
        </w:rPr>
      </w:pPr>
      <w:r>
        <w:rPr>
          <w:rFonts w:ascii="Times New Roman" w:hAnsi="Times New Roman"/>
          <w:bCs/>
          <w:sz w:val="24"/>
        </w:rPr>
        <w:t>U skladu sa člankom 107. stavak 1. Ugovora o funkcioniranju Europske unije (UFEU), svaka potpora koju daje država članica ili koja je dana putem državnih sredstava u bilo kojem obliku koji narušava ili prijeti narušavanjem tržišnog natjecanja stavljajući u povoljniji položaj određene poduzetnike ili proizvodnju određenih roba, nespojiva je sa zajedničkim tržištem ukoliko utječe na trgovinu između država članica. Dakle, mjerom koja sadrži državnu potporu u smislu gore navedene odredbe UFEU, smatra se mjera koja kumulativno ispunjava sljedeće kriterije:</w:t>
      </w:r>
    </w:p>
    <w:p w14:paraId="45D05C37" w14:textId="77777777" w:rsidR="00496804" w:rsidRDefault="0037359D">
      <w:pPr>
        <w:pStyle w:val="Odlomakpopisa"/>
        <w:numPr>
          <w:ilvl w:val="0"/>
          <w:numId w:val="15"/>
        </w:numPr>
        <w:spacing w:line="240" w:lineRule="auto"/>
        <w:ind w:left="426" w:hanging="284"/>
        <w:rPr>
          <w:rFonts w:ascii="Times New Roman" w:hAnsi="Times New Roman" w:cs="Times New Roman"/>
          <w:b w:val="0"/>
          <w:sz w:val="24"/>
        </w:rPr>
      </w:pPr>
      <w:r>
        <w:rPr>
          <w:rFonts w:ascii="Times New Roman" w:hAnsi="Times New Roman" w:cs="Times New Roman"/>
          <w:b w:val="0"/>
          <w:sz w:val="24"/>
        </w:rPr>
        <w:t>mjera se financira iz državnih sredstava ili se ta sredstva mogu pripisati državi. Pod državnim sredstvima smatraju se, kako sredstva iz državnog proračuna države članice, tako i ona iz EU fondova, proračuna jedinica lokalne i regionalne samouprave, državnih agencija ili državnih trgovačkih društava koja raspolažu državnim sredstvima; za postojanje državne potpore nije važan organizacijski ili pravni oblik korisnika, nego je važna priroda i način obavljanja određene aktivnosti</w:t>
      </w:r>
    </w:p>
    <w:p w14:paraId="45D05C38" w14:textId="77777777" w:rsidR="00496804" w:rsidRDefault="0037359D">
      <w:pPr>
        <w:pStyle w:val="Odlomakpopisa"/>
        <w:numPr>
          <w:ilvl w:val="0"/>
          <w:numId w:val="15"/>
        </w:numPr>
        <w:spacing w:line="240" w:lineRule="auto"/>
        <w:ind w:left="426" w:hanging="284"/>
        <w:rPr>
          <w:rFonts w:ascii="Times New Roman" w:hAnsi="Times New Roman" w:cs="Times New Roman"/>
          <w:b w:val="0"/>
          <w:sz w:val="24"/>
        </w:rPr>
      </w:pPr>
      <w:r>
        <w:rPr>
          <w:rFonts w:ascii="Times New Roman" w:hAnsi="Times New Roman" w:cs="Times New Roman"/>
          <w:b w:val="0"/>
          <w:sz w:val="24"/>
        </w:rPr>
        <w:t>mjera pruža ekonomsku prednost određenom proizvodu, poduzetniku, sektoru ili regiji, koju oni ne bi ostvarili u normalnim tržišnim uvjetima; ovdje se ocjenjuje učinak mjere na poduzetnika, a ne svrha i cilj državne intervencije. Relevantan je jedino učinak mjere na poduzetnika, a ne uzrok ili cilj intervencije države. Prednost je prisutna kad god se financijska situacija poduzetnika poboljša kao rezultat intervencije države u uvjetima koji se razlikuju od uobičajenih tržišnih uvjeta. Da bi se to procijenilo, financijsku situaciju poduzetnika nakon uvođenja mjere treba usporediti s financijskom situacijom u kojoj bi bio da mjera nije poduzeta</w:t>
      </w:r>
    </w:p>
    <w:p w14:paraId="45D05C39" w14:textId="77777777" w:rsidR="00496804" w:rsidRDefault="0037359D">
      <w:pPr>
        <w:pStyle w:val="Odlomakpopisa"/>
        <w:numPr>
          <w:ilvl w:val="0"/>
          <w:numId w:val="15"/>
        </w:numPr>
        <w:spacing w:line="240" w:lineRule="auto"/>
        <w:ind w:left="426" w:hanging="284"/>
        <w:rPr>
          <w:rFonts w:ascii="Times New Roman" w:hAnsi="Times New Roman" w:cs="Times New Roman"/>
          <w:b w:val="0"/>
          <w:sz w:val="24"/>
        </w:rPr>
      </w:pPr>
      <w:r>
        <w:rPr>
          <w:rFonts w:ascii="Times New Roman" w:hAnsi="Times New Roman" w:cs="Times New Roman"/>
          <w:b w:val="0"/>
          <w:sz w:val="24"/>
        </w:rPr>
        <w:t>mjera je selektivna jer narušava ravnotežu između primatelja državne potpore i njegove konkurencije. Selektivnost je element koji upućuje da se radi o državnoj potpori, a ne o općoj mjeri ekonomske politike koja se primjenjuje na sve poduzetnike u svim ekonomskim sektorima u određenoj državi članici</w:t>
      </w:r>
    </w:p>
    <w:p w14:paraId="45D05C3A" w14:textId="77777777" w:rsidR="00496804" w:rsidRDefault="0037359D">
      <w:pPr>
        <w:pStyle w:val="Odlomakpopisa"/>
        <w:numPr>
          <w:ilvl w:val="0"/>
          <w:numId w:val="15"/>
        </w:numPr>
        <w:spacing w:after="240" w:line="240" w:lineRule="auto"/>
        <w:ind w:left="426" w:hanging="284"/>
        <w:rPr>
          <w:rFonts w:ascii="Times New Roman" w:hAnsi="Times New Roman" w:cs="Times New Roman"/>
          <w:b w:val="0"/>
          <w:sz w:val="24"/>
        </w:rPr>
      </w:pPr>
      <w:r>
        <w:rPr>
          <w:rFonts w:ascii="Times New Roman" w:hAnsi="Times New Roman" w:cs="Times New Roman"/>
          <w:b w:val="0"/>
          <w:sz w:val="24"/>
        </w:rPr>
        <w:t>mjera narušava tržišno natjecanje i utječe na trgovinu među državama članicama - narušavanje konkurencije i utjecaj transfera državnih sredstava ispunjeno je ako korisnik poticaja obavlja ekonomsku aktivnost i to na tržištu (određenih proizvoda i usluga) na kojem već postoji trgovina ili je izvjesno da je moguća trgovina između država članica.</w:t>
      </w:r>
    </w:p>
    <w:p w14:paraId="45D05C3B" w14:textId="77777777" w:rsidR="00496804" w:rsidRDefault="0037359D">
      <w:pPr>
        <w:spacing w:after="240" w:line="240" w:lineRule="auto"/>
        <w:rPr>
          <w:rFonts w:ascii="Times New Roman" w:hAnsi="Times New Roman"/>
          <w:bCs/>
          <w:sz w:val="24"/>
        </w:rPr>
      </w:pPr>
      <w:r>
        <w:rPr>
          <w:rFonts w:ascii="Times New Roman" w:hAnsi="Times New Roman"/>
          <w:bCs/>
          <w:sz w:val="24"/>
        </w:rPr>
        <w:t xml:space="preserve">Za potrebe provedbe energetske obnove zgrada sufinancirane sredstvima Europskog fonda za regionalni razvoj (EFRR) u financijskom razdoblju 2014-2020, Energetski institut Hrvoje Požar (EIHP) izradio je Konačnu analizu postupaka dodjele sredstava ESI fondova za energetsku obnovu </w:t>
      </w:r>
      <w:r>
        <w:rPr>
          <w:rFonts w:ascii="Times New Roman" w:hAnsi="Times New Roman"/>
          <w:bCs/>
          <w:sz w:val="24"/>
        </w:rPr>
        <w:lastRenderedPageBreak/>
        <w:t>javnih i stambenih zgrada u odnosu na državne potpore i potpore male vrijednosti (kolovoz 2017.). Analiza EIHP donijela je zaključke za energetsku obnovu zgrada, koji se mogu primijeniti i na projekte kružnog gospodarenja prostorom i zgradama.</w:t>
      </w:r>
    </w:p>
    <w:p w14:paraId="45D05C3C" w14:textId="77777777" w:rsidR="00496804" w:rsidRDefault="0037359D">
      <w:pPr>
        <w:spacing w:after="240" w:line="240" w:lineRule="auto"/>
        <w:rPr>
          <w:rFonts w:ascii="Times New Roman" w:hAnsi="Times New Roman"/>
          <w:bCs/>
          <w:sz w:val="24"/>
        </w:rPr>
      </w:pPr>
      <w:r>
        <w:rPr>
          <w:rFonts w:ascii="Times New Roman" w:hAnsi="Times New Roman"/>
          <w:bCs/>
          <w:sz w:val="24"/>
        </w:rPr>
        <w:t>Državna potpora se uvijek odnosi na poduzetnika i na obavljanje gospodarske aktivnosti (economic activity) jer ako se ne radi o gospodarskoj aktivnosti, tada nema državne potpore. Gospodarska aktivnost definira se kao prodaja roba i usluga na mjerodavnom (odnosi se na zemljopisno područje i na proizvode) tržištu uz napomenu da se prodajom ne mora uvijek ostvariti i dobit.</w:t>
      </w:r>
    </w:p>
    <w:p w14:paraId="45D05C3D" w14:textId="77777777" w:rsidR="00496804" w:rsidRDefault="0037359D">
      <w:pPr>
        <w:spacing w:line="240" w:lineRule="auto"/>
        <w:rPr>
          <w:rFonts w:ascii="Times New Roman" w:hAnsi="Times New Roman"/>
          <w:bCs/>
          <w:sz w:val="24"/>
        </w:rPr>
      </w:pPr>
      <w:r>
        <w:rPr>
          <w:rFonts w:ascii="Times New Roman" w:hAnsi="Times New Roman"/>
          <w:bCs/>
          <w:sz w:val="24"/>
        </w:rPr>
        <w:t>Mogu se odrediti tri vrste entiteta, za koje se s velikom sigurnošću može utvrditi da se radi o korisniku državne potpore (točka „a“) ili da postoji mala vjerojatnost da se radi o korisniku državne potpore (točke „b“ i „c“):</w:t>
      </w:r>
    </w:p>
    <w:p w14:paraId="45D05C3E" w14:textId="77777777" w:rsidR="00496804" w:rsidRDefault="0037359D">
      <w:pPr>
        <w:pStyle w:val="Odlomakpopisa"/>
        <w:numPr>
          <w:ilvl w:val="0"/>
          <w:numId w:val="16"/>
        </w:numPr>
        <w:spacing w:line="240" w:lineRule="auto"/>
        <w:ind w:left="426" w:hanging="284"/>
        <w:rPr>
          <w:rFonts w:ascii="Times New Roman" w:hAnsi="Times New Roman" w:cs="Times New Roman"/>
          <w:b w:val="0"/>
          <w:bCs/>
          <w:sz w:val="24"/>
        </w:rPr>
      </w:pPr>
      <w:r>
        <w:rPr>
          <w:rFonts w:ascii="Times New Roman" w:hAnsi="Times New Roman" w:cs="Times New Roman"/>
          <w:b w:val="0"/>
          <w:bCs/>
          <w:sz w:val="24"/>
        </w:rPr>
        <w:t>poduzetnik osnovan po Zakonu o trgovačkim društvima ili fizička osoba - obrtnik</w:t>
      </w:r>
    </w:p>
    <w:p w14:paraId="45D05C3F" w14:textId="77777777" w:rsidR="00496804" w:rsidRDefault="0037359D">
      <w:pPr>
        <w:pStyle w:val="Odlomakpopisa"/>
        <w:numPr>
          <w:ilvl w:val="0"/>
          <w:numId w:val="16"/>
        </w:numPr>
        <w:spacing w:line="240" w:lineRule="auto"/>
        <w:ind w:left="426" w:hanging="284"/>
        <w:rPr>
          <w:rFonts w:ascii="Times New Roman" w:hAnsi="Times New Roman" w:cs="Times New Roman"/>
          <w:b w:val="0"/>
          <w:bCs/>
          <w:sz w:val="24"/>
        </w:rPr>
      </w:pPr>
      <w:r>
        <w:rPr>
          <w:rFonts w:ascii="Times New Roman" w:hAnsi="Times New Roman" w:cs="Times New Roman"/>
          <w:b w:val="0"/>
          <w:bCs/>
          <w:sz w:val="24"/>
        </w:rPr>
        <w:t>pravna osoba koja nije osnovana radi stjecanja dobiti - obično se radi o raznim zdravstvenim, socijalnim i kulturnim djelatnostima, kao što su ustanove, fondacije, udruženja, javne bolnice, organizacije financirane iz proračuna itd.</w:t>
      </w:r>
    </w:p>
    <w:p w14:paraId="45D05C40" w14:textId="77777777" w:rsidR="00496804" w:rsidRDefault="0037359D">
      <w:pPr>
        <w:pStyle w:val="Odlomakpopisa"/>
        <w:numPr>
          <w:ilvl w:val="0"/>
          <w:numId w:val="16"/>
        </w:numPr>
        <w:spacing w:after="240" w:line="240" w:lineRule="auto"/>
        <w:ind w:left="426" w:hanging="284"/>
        <w:rPr>
          <w:rFonts w:ascii="Times New Roman" w:hAnsi="Times New Roman" w:cs="Times New Roman"/>
          <w:b w:val="0"/>
          <w:bCs/>
          <w:sz w:val="24"/>
        </w:rPr>
      </w:pPr>
      <w:r>
        <w:rPr>
          <w:rFonts w:ascii="Times New Roman" w:hAnsi="Times New Roman" w:cs="Times New Roman"/>
          <w:b w:val="0"/>
          <w:bCs/>
          <w:sz w:val="24"/>
        </w:rPr>
        <w:t>javna državna i lokalna tijela.</w:t>
      </w:r>
    </w:p>
    <w:p w14:paraId="45D05C41" w14:textId="397FBF5C" w:rsidR="00496804" w:rsidRDefault="0037359D">
      <w:pPr>
        <w:spacing w:after="240" w:line="240" w:lineRule="auto"/>
        <w:rPr>
          <w:rFonts w:ascii="Times New Roman" w:hAnsi="Times New Roman"/>
          <w:bCs/>
          <w:sz w:val="24"/>
        </w:rPr>
      </w:pPr>
      <w:r>
        <w:rPr>
          <w:rFonts w:ascii="Times New Roman" w:hAnsi="Times New Roman"/>
          <w:bCs/>
          <w:sz w:val="24"/>
        </w:rPr>
        <w:t xml:space="preserve">Ukoliko neki entitet obavlja i gospodarske i negospodarske aktivnosti, tada se kao poduzetnik smatra onaj dio entiteta koji obavlja gospodarske aktivnosti. Kada se radi o gospodarskim aktivnostima koje se mogu smatrati pomoćnim aktivnostima tada se općenito uzima u obzir da takve aktivnosti moraju ostati ograničene i da ne prelaze 20% od ukupnih infrastrukturnih kapaciteta koji se uobičajeno definiraju kao prostorni (površina zgrade u </w:t>
      </w:r>
      <w:r>
        <w:rPr>
          <w:rFonts w:ascii="Times New Roman" w:hAnsi="Times New Roman"/>
          <w:sz w:val="24"/>
        </w:rPr>
        <w:t>m</w:t>
      </w:r>
      <w:r>
        <w:rPr>
          <w:rFonts w:ascii="Times New Roman" w:hAnsi="Times New Roman"/>
          <w:sz w:val="24"/>
          <w:vertAlign w:val="superscript"/>
        </w:rPr>
        <w:t>2</w:t>
      </w:r>
      <w:r>
        <w:rPr>
          <w:rFonts w:ascii="Times New Roman" w:hAnsi="Times New Roman"/>
          <w:bCs/>
          <w:sz w:val="24"/>
        </w:rPr>
        <w:t>) i vremenski</w:t>
      </w:r>
      <w:r>
        <w:rPr>
          <w:rFonts w:ascii="Times New Roman" w:hAnsi="Times New Roman"/>
          <w:sz w:val="24"/>
        </w:rPr>
        <w:t xml:space="preserve"> </w:t>
      </w:r>
      <w:r>
        <w:rPr>
          <w:rFonts w:ascii="Times New Roman" w:hAnsi="Times New Roman"/>
          <w:bCs/>
          <w:sz w:val="24"/>
        </w:rPr>
        <w:t>(godišnje korištenje prostora) kapacitet, ali isto tako i na bazi ostvarenog prihoda koji proizlazi iz obavljanja gospodarskih aktivnosti u odnosu na ukupne prihode/pokriće rashoda iz ne-gospodarskih aktivnosti. Također, za takve pomoćne aktivnosti treba biti vidljivo da one proizlaze iz obavljanja negospodarske aktivnosti.</w:t>
      </w:r>
    </w:p>
    <w:p w14:paraId="45D05C42" w14:textId="48512D60" w:rsidR="00496804" w:rsidRDefault="0037359D">
      <w:pPr>
        <w:spacing w:line="240" w:lineRule="auto"/>
        <w:rPr>
          <w:rFonts w:ascii="Times New Roman" w:hAnsi="Times New Roman"/>
          <w:bCs/>
          <w:sz w:val="24"/>
        </w:rPr>
      </w:pPr>
      <w:r>
        <w:rPr>
          <w:rFonts w:ascii="Times New Roman" w:hAnsi="Times New Roman"/>
          <w:bCs/>
          <w:sz w:val="24"/>
        </w:rPr>
        <w:t>Ustanove pod točkom „b“ s obzirom na svoje negospodarske aktivnosti, u većini slučajeva, ne mogu se smatrati poduzetnicima, a samim time dodijeljena bespovratna sredstva ne predstavljaju državnu potporu.</w:t>
      </w:r>
    </w:p>
    <w:p w14:paraId="45D05C43" w14:textId="77777777" w:rsidR="00496804" w:rsidRDefault="0037359D">
      <w:pPr>
        <w:spacing w:after="240" w:line="240" w:lineRule="auto"/>
        <w:rPr>
          <w:rFonts w:ascii="Times New Roman" w:hAnsi="Times New Roman"/>
          <w:bCs/>
          <w:sz w:val="24"/>
        </w:rPr>
      </w:pPr>
      <w:r>
        <w:rPr>
          <w:rFonts w:ascii="Times New Roman" w:hAnsi="Times New Roman"/>
          <w:bCs/>
          <w:sz w:val="24"/>
        </w:rPr>
        <w:t>Javna državna i lokalna tijela ne smatraju se poduzetnicima obzirom da ne obavljaju gospodarsku aktivnost.</w:t>
      </w:r>
    </w:p>
    <w:p w14:paraId="45D05C44" w14:textId="77777777" w:rsidR="00496804" w:rsidRDefault="0037359D">
      <w:pPr>
        <w:spacing w:after="240" w:line="240" w:lineRule="auto"/>
        <w:rPr>
          <w:rFonts w:ascii="Times New Roman" w:hAnsi="Times New Roman"/>
          <w:bCs/>
          <w:sz w:val="24"/>
        </w:rPr>
      </w:pPr>
      <w:r>
        <w:rPr>
          <w:rFonts w:ascii="Times New Roman" w:hAnsi="Times New Roman"/>
          <w:bCs/>
          <w:sz w:val="24"/>
        </w:rPr>
        <w:t>Preporuke analize EIHP vezane uz državne potpore su da se kod izrade budućih poziva za energetsku obnovu, kako javnih tako i stambenih zgrada, što veći broj zgrada klasificira kao one u čije javno financiranje energetske obnove nisu uključene državne potpore. Situacija će biti čista kod potpuno javnih zgrada u javnoj funkciji te potpuno stambenih zgrada kod kojih su svi suvlasnici stanari – fizičke osobe. Nažalost, veliki je broj zgrada u kojima situacija nije tako izvjesna, već postoje raznolike kombinacije miješanog vlasništva i miješane namjene koje kompliciraju laku i jednostavnu klasifikaciju zgrada.</w:t>
      </w:r>
    </w:p>
    <w:p w14:paraId="45D05C45" w14:textId="77777777" w:rsidR="00496804" w:rsidRDefault="0037359D">
      <w:pPr>
        <w:spacing w:line="240" w:lineRule="auto"/>
        <w:rPr>
          <w:rFonts w:ascii="Times New Roman" w:hAnsi="Times New Roman"/>
          <w:bCs/>
          <w:sz w:val="24"/>
        </w:rPr>
      </w:pPr>
      <w:r>
        <w:rPr>
          <w:rFonts w:ascii="Times New Roman" w:hAnsi="Times New Roman"/>
          <w:bCs/>
          <w:sz w:val="24"/>
        </w:rPr>
        <w:t>Glavne odrednice koje je potrebno primijeniti sukladno analizi EIHP za energetsku obnovu zgrada, a koje su primjenjive i na kružno gospodarenje prostorom i zgradama:</w:t>
      </w:r>
    </w:p>
    <w:p w14:paraId="45D05C46" w14:textId="6D46A107" w:rsidR="00496804" w:rsidRDefault="0037359D">
      <w:pPr>
        <w:pStyle w:val="Odlomakpopisa"/>
        <w:numPr>
          <w:ilvl w:val="0"/>
          <w:numId w:val="17"/>
        </w:numPr>
        <w:spacing w:line="240" w:lineRule="auto"/>
        <w:ind w:left="426" w:hanging="284"/>
        <w:rPr>
          <w:rFonts w:ascii="Times New Roman" w:hAnsi="Times New Roman" w:cs="Times New Roman"/>
          <w:b w:val="0"/>
          <w:sz w:val="24"/>
        </w:rPr>
      </w:pPr>
      <w:r>
        <w:rPr>
          <w:rFonts w:ascii="Times New Roman" w:hAnsi="Times New Roman" w:cs="Times New Roman"/>
          <w:b w:val="0"/>
          <w:sz w:val="24"/>
        </w:rPr>
        <w:t>Temeljno je utvrditi namjenu zgrade: ako je temeljna namjena zgrade negospodarska u svojoj prirodi, zgrada bi načelno trebala biti prihvatljiva za javno financiranje energetske obnove. Namjena zgrade utvrđuje se kao pretežita ukoliko na nju otpada 80% korisne površine zgrade. Ovaj kriterij bi uvijek morao biti ispunjen.</w:t>
      </w:r>
    </w:p>
    <w:p w14:paraId="45D05C47" w14:textId="77777777" w:rsidR="00496804" w:rsidRDefault="0037359D">
      <w:pPr>
        <w:pStyle w:val="Odlomakpopisa"/>
        <w:numPr>
          <w:ilvl w:val="0"/>
          <w:numId w:val="17"/>
        </w:numPr>
        <w:spacing w:line="240" w:lineRule="auto"/>
        <w:ind w:left="426" w:hanging="284"/>
        <w:rPr>
          <w:rFonts w:ascii="Times New Roman" w:hAnsi="Times New Roman" w:cs="Times New Roman"/>
          <w:b w:val="0"/>
          <w:sz w:val="24"/>
        </w:rPr>
      </w:pPr>
      <w:r>
        <w:rPr>
          <w:rFonts w:ascii="Times New Roman" w:hAnsi="Times New Roman" w:cs="Times New Roman"/>
          <w:b w:val="0"/>
          <w:sz w:val="24"/>
        </w:rPr>
        <w:t>Zgrada u vlasništvu javnog sektora u kojima se obavlja neka javna zadaća (javna uprava, znanost, obrazovanje, kultura) je prihvatljiva za energetsku obnovu bez postojanja državne potpore.</w:t>
      </w:r>
    </w:p>
    <w:p w14:paraId="45D05C48" w14:textId="77777777" w:rsidR="00496804" w:rsidRDefault="0037359D">
      <w:pPr>
        <w:pStyle w:val="Odlomakpopisa"/>
        <w:numPr>
          <w:ilvl w:val="0"/>
          <w:numId w:val="17"/>
        </w:numPr>
        <w:spacing w:line="240" w:lineRule="auto"/>
        <w:ind w:left="426" w:hanging="284"/>
        <w:rPr>
          <w:rFonts w:ascii="Times New Roman" w:hAnsi="Times New Roman" w:cs="Times New Roman"/>
          <w:b w:val="0"/>
          <w:sz w:val="24"/>
        </w:rPr>
      </w:pPr>
      <w:r>
        <w:rPr>
          <w:rFonts w:ascii="Times New Roman" w:hAnsi="Times New Roman" w:cs="Times New Roman"/>
          <w:b w:val="0"/>
          <w:sz w:val="24"/>
        </w:rPr>
        <w:lastRenderedPageBreak/>
        <w:t>Obnova zgrade u vlasništvu javnog sektora koja se energetski obnavlja sukladno ESCO modelu, u slučaju da je ESCO tvrtka primatelj bespovratnih sredstava iz EU fondova, neće se raditi o državnoj potpori ako se cjelokupna dobivena sredstva prenesu na javnu zgradu koja se obnavlja.</w:t>
      </w:r>
    </w:p>
    <w:p w14:paraId="45D05C49" w14:textId="77777777" w:rsidR="00496804" w:rsidRDefault="0037359D">
      <w:pPr>
        <w:pStyle w:val="Odlomakpopisa"/>
        <w:numPr>
          <w:ilvl w:val="0"/>
          <w:numId w:val="17"/>
        </w:numPr>
        <w:spacing w:line="240" w:lineRule="auto"/>
        <w:ind w:left="426" w:hanging="284"/>
        <w:rPr>
          <w:rFonts w:ascii="Times New Roman" w:hAnsi="Times New Roman" w:cs="Times New Roman"/>
          <w:b w:val="0"/>
          <w:sz w:val="24"/>
        </w:rPr>
      </w:pPr>
      <w:r>
        <w:rPr>
          <w:rFonts w:ascii="Times New Roman" w:hAnsi="Times New Roman" w:cs="Times New Roman"/>
          <w:b w:val="0"/>
          <w:sz w:val="24"/>
        </w:rPr>
        <w:t>Ukoliko u takvoj zgradi javni sektor ipak obavlja neku gospodarsku aktivnost, takva gospodarska aktivnost neće odmah dovesti do statusa javnog tijela kao poduzetnika i nužnosti primjena propisa o državnim potporama ako je riječ o:</w:t>
      </w:r>
    </w:p>
    <w:p w14:paraId="45D05C4A" w14:textId="77777777" w:rsidR="00496804" w:rsidRDefault="0037359D">
      <w:pPr>
        <w:pStyle w:val="Odlomakpopisa"/>
        <w:numPr>
          <w:ilvl w:val="0"/>
          <w:numId w:val="18"/>
        </w:numPr>
        <w:spacing w:line="240" w:lineRule="auto"/>
        <w:ind w:left="709" w:hanging="283"/>
        <w:rPr>
          <w:rFonts w:ascii="Times New Roman" w:hAnsi="Times New Roman" w:cs="Times New Roman"/>
          <w:b w:val="0"/>
          <w:sz w:val="24"/>
        </w:rPr>
      </w:pPr>
      <w:r>
        <w:rPr>
          <w:rFonts w:ascii="Times New Roman" w:hAnsi="Times New Roman" w:cs="Times New Roman"/>
          <w:b w:val="0"/>
          <w:sz w:val="24"/>
        </w:rPr>
        <w:t>pomoćnoj gospodarskoj aktivnosti koja proizlazi iz temeljne ne-gospodarske aktivnosti (moguće je do 20% vremenskog ili prostornog kapaciteta zgrade)</w:t>
      </w:r>
    </w:p>
    <w:p w14:paraId="45D05C4B" w14:textId="77777777" w:rsidR="00496804" w:rsidRDefault="0037359D">
      <w:pPr>
        <w:pStyle w:val="Odlomakpopisa"/>
        <w:numPr>
          <w:ilvl w:val="0"/>
          <w:numId w:val="18"/>
        </w:numPr>
        <w:spacing w:line="240" w:lineRule="auto"/>
        <w:ind w:left="709" w:hanging="283"/>
        <w:rPr>
          <w:rFonts w:ascii="Times New Roman" w:hAnsi="Times New Roman" w:cs="Times New Roman"/>
          <w:b w:val="0"/>
          <w:sz w:val="24"/>
        </w:rPr>
      </w:pPr>
      <w:r>
        <w:rPr>
          <w:rFonts w:ascii="Times New Roman" w:hAnsi="Times New Roman" w:cs="Times New Roman"/>
          <w:b w:val="0"/>
          <w:sz w:val="24"/>
        </w:rPr>
        <w:t>pravoj (zasebnoj) gospodarskoj aktivnosti koja ne proizlazi iz ne-gospodarske aktivnosti, moguće je takvu aktivnost izvršavati do 10% vremenskog ili prostornog kapaciteta zgrade, a da ne bude ugrožena temeljna ne-gospodarska dimenzija aktivnosti.</w:t>
      </w:r>
    </w:p>
    <w:p w14:paraId="45D05C4C" w14:textId="77777777" w:rsidR="00496804" w:rsidRDefault="0037359D">
      <w:pPr>
        <w:pStyle w:val="Odlomakpopisa"/>
        <w:numPr>
          <w:ilvl w:val="0"/>
          <w:numId w:val="17"/>
        </w:numPr>
        <w:spacing w:line="240" w:lineRule="auto"/>
        <w:ind w:left="426" w:hanging="284"/>
        <w:rPr>
          <w:rFonts w:ascii="Times New Roman" w:hAnsi="Times New Roman" w:cs="Times New Roman"/>
          <w:b w:val="0"/>
          <w:sz w:val="24"/>
        </w:rPr>
      </w:pPr>
      <w:r>
        <w:rPr>
          <w:rFonts w:ascii="Times New Roman" w:hAnsi="Times New Roman" w:cs="Times New Roman"/>
          <w:b w:val="0"/>
          <w:sz w:val="24"/>
        </w:rPr>
        <w:t>Ukoliko se radi o uobičajenim dodatnim sadržajima (kao što su restorani za korisnike zgrade, trgovina u javnoj bolnici ili plaćeni parking, što jesu gospodarske aktivnosti) unutar javnih zgrada koje se gotovo isključivo upotrebljavaju za ne-gospodarske djelatnosti, neće se raditi o državnoj potpori jer nema učinka na trgovinu među državama članicama. Javno financiranje uobičajenih dodatnih sadržaja u okviru ne-gospodarskih kulturnih djelatnosti i djelatnosti očuvanja baštine (primjerice, trgovina, kafić ili garderoba koja se plaća u muzeju) obično također nema učinka na trgovinu među državama članicama. Dakle, ovdje se radi o gospodarskoj aktivnosti i postoji poduzetnik, ali obzirom na izostanak utjecaja na trgovinu između država članica, ne radi se o državnoj potpori.</w:t>
      </w:r>
    </w:p>
    <w:p w14:paraId="45D05C4D" w14:textId="77777777" w:rsidR="00496804" w:rsidRDefault="0037359D">
      <w:pPr>
        <w:pStyle w:val="Odlomakpopisa"/>
        <w:numPr>
          <w:ilvl w:val="0"/>
          <w:numId w:val="17"/>
        </w:numPr>
        <w:spacing w:line="240" w:lineRule="auto"/>
        <w:ind w:left="426" w:hanging="284"/>
        <w:rPr>
          <w:rFonts w:ascii="Times New Roman" w:hAnsi="Times New Roman" w:cs="Times New Roman"/>
          <w:b w:val="0"/>
          <w:sz w:val="24"/>
        </w:rPr>
      </w:pPr>
      <w:r>
        <w:rPr>
          <w:rFonts w:ascii="Times New Roman" w:hAnsi="Times New Roman" w:cs="Times New Roman"/>
          <w:b w:val="0"/>
          <w:sz w:val="24"/>
        </w:rPr>
        <w:t>Također, ako javna tijela obavljaju dio aktivnosti za koje bi se moglo pretpostaviti da su gospodarske prirode, kao što je davanje poslovnog prostora u zakup (ili stana u najam) po tržišnim uvjetima i putem javnog natječaja, smatra se da javno tijelo ne djeluje kao poduzetnik ako:</w:t>
      </w:r>
    </w:p>
    <w:p w14:paraId="45D05C4E" w14:textId="77777777" w:rsidR="00496804" w:rsidRDefault="0037359D">
      <w:pPr>
        <w:pStyle w:val="Odlomakpopisa"/>
        <w:numPr>
          <w:ilvl w:val="0"/>
          <w:numId w:val="19"/>
        </w:numPr>
        <w:spacing w:line="240" w:lineRule="auto"/>
        <w:ind w:left="426" w:firstLine="0"/>
        <w:rPr>
          <w:rFonts w:ascii="Times New Roman" w:hAnsi="Times New Roman" w:cs="Times New Roman"/>
          <w:b w:val="0"/>
          <w:sz w:val="24"/>
        </w:rPr>
      </w:pPr>
      <w:r>
        <w:rPr>
          <w:rFonts w:ascii="Times New Roman" w:hAnsi="Times New Roman" w:cs="Times New Roman"/>
          <w:b w:val="0"/>
          <w:sz w:val="24"/>
        </w:rPr>
        <w:t>prihod od zakupa /najma javnog tijela je prihod javnog proračuna</w:t>
      </w:r>
    </w:p>
    <w:p w14:paraId="45D05C4F" w14:textId="77777777" w:rsidR="00496804" w:rsidRDefault="0037359D">
      <w:pPr>
        <w:pStyle w:val="Odlomakpopisa"/>
        <w:numPr>
          <w:ilvl w:val="0"/>
          <w:numId w:val="19"/>
        </w:numPr>
        <w:spacing w:line="240" w:lineRule="auto"/>
        <w:ind w:left="426" w:firstLine="0"/>
        <w:rPr>
          <w:rFonts w:ascii="Times New Roman" w:hAnsi="Times New Roman" w:cs="Times New Roman"/>
          <w:b w:val="0"/>
          <w:sz w:val="24"/>
        </w:rPr>
      </w:pPr>
      <w:r>
        <w:rPr>
          <w:rFonts w:ascii="Times New Roman" w:hAnsi="Times New Roman" w:cs="Times New Roman"/>
          <w:b w:val="0"/>
          <w:sz w:val="24"/>
        </w:rPr>
        <w:t>javno tijelo je po definiciji i svojoj suštini u pravilu „davatelj državnih potpora“</w:t>
      </w:r>
    </w:p>
    <w:p w14:paraId="45D05C50" w14:textId="77777777" w:rsidR="00496804" w:rsidRDefault="0037359D">
      <w:pPr>
        <w:pStyle w:val="Odlomakpopisa"/>
        <w:numPr>
          <w:ilvl w:val="0"/>
          <w:numId w:val="19"/>
        </w:numPr>
        <w:spacing w:line="240" w:lineRule="auto"/>
        <w:ind w:left="709" w:hanging="283"/>
        <w:rPr>
          <w:rFonts w:ascii="Times New Roman" w:hAnsi="Times New Roman" w:cs="Times New Roman"/>
          <w:b w:val="0"/>
          <w:sz w:val="24"/>
        </w:rPr>
      </w:pPr>
      <w:r>
        <w:rPr>
          <w:rFonts w:ascii="Times New Roman" w:hAnsi="Times New Roman" w:cs="Times New Roman"/>
          <w:b w:val="0"/>
          <w:sz w:val="24"/>
        </w:rPr>
        <w:t>javno tijelo ima slijedom imperativnog nacionalnog prava skrbiti o svojoj imovini u javnom interesu</w:t>
      </w:r>
    </w:p>
    <w:p w14:paraId="45D05C51" w14:textId="77777777" w:rsidR="00496804" w:rsidRDefault="0037359D">
      <w:pPr>
        <w:pStyle w:val="Odlomakpopisa"/>
        <w:numPr>
          <w:ilvl w:val="0"/>
          <w:numId w:val="19"/>
        </w:numPr>
        <w:spacing w:line="240" w:lineRule="auto"/>
        <w:ind w:left="709" w:hanging="283"/>
        <w:rPr>
          <w:rFonts w:ascii="Times New Roman" w:hAnsi="Times New Roman" w:cs="Times New Roman"/>
          <w:b w:val="0"/>
          <w:sz w:val="24"/>
        </w:rPr>
      </w:pPr>
      <w:r>
        <w:rPr>
          <w:rFonts w:ascii="Times New Roman" w:hAnsi="Times New Roman" w:cs="Times New Roman"/>
          <w:b w:val="0"/>
          <w:sz w:val="24"/>
        </w:rPr>
        <w:t>obaveza javnih tijela je da sačuva vrijednost svojih nekretnina i održava je, s kojim pak ciljem je daje u zakup i tim prihodom npr. održava i dio zgrade koji ima javnopravnu namjenu.</w:t>
      </w:r>
    </w:p>
    <w:p w14:paraId="45D05C52" w14:textId="77777777" w:rsidR="00496804" w:rsidRDefault="0037359D">
      <w:pPr>
        <w:pStyle w:val="Odlomakpopisa"/>
        <w:numPr>
          <w:ilvl w:val="0"/>
          <w:numId w:val="17"/>
        </w:numPr>
        <w:spacing w:line="240" w:lineRule="auto"/>
        <w:ind w:left="426" w:hanging="284"/>
        <w:rPr>
          <w:rFonts w:ascii="Times New Roman" w:hAnsi="Times New Roman" w:cs="Times New Roman"/>
          <w:b w:val="0"/>
          <w:sz w:val="24"/>
        </w:rPr>
      </w:pPr>
      <w:r>
        <w:rPr>
          <w:rFonts w:ascii="Times New Roman" w:hAnsi="Times New Roman" w:cs="Times New Roman"/>
          <w:b w:val="0"/>
          <w:sz w:val="24"/>
        </w:rPr>
        <w:t xml:space="preserve">Ako se radi o zgradi (javnoj ili stambenoj) u kojoj je najmanje jedan suvlasnik poduzetnik, tada se na suvlasnički udio tog poduzetnika u zgradi primjenjuje pravo državnih potpora, tj. svako javno financiranje uključuje potporu. Takav udjel javnog financiranja treba se svrstati pod </w:t>
      </w:r>
      <w:r>
        <w:rPr>
          <w:rFonts w:ascii="Times New Roman" w:hAnsi="Times New Roman" w:cs="Times New Roman"/>
          <w:b w:val="0"/>
          <w:i/>
          <w:sz w:val="24"/>
        </w:rPr>
        <w:t>de minimis</w:t>
      </w:r>
      <w:r>
        <w:rPr>
          <w:rFonts w:ascii="Times New Roman" w:hAnsi="Times New Roman" w:cs="Times New Roman"/>
          <w:b w:val="0"/>
          <w:sz w:val="24"/>
        </w:rPr>
        <w:t xml:space="preserve"> potporu. Ako iznos koristi za pojedinog primatelja potpore prelazi </w:t>
      </w:r>
      <w:r>
        <w:rPr>
          <w:rFonts w:ascii="Times New Roman" w:hAnsi="Times New Roman" w:cs="Times New Roman"/>
          <w:b w:val="0"/>
          <w:i/>
          <w:sz w:val="24"/>
        </w:rPr>
        <w:t>de minimis</w:t>
      </w:r>
      <w:r>
        <w:rPr>
          <w:rFonts w:ascii="Times New Roman" w:hAnsi="Times New Roman" w:cs="Times New Roman"/>
          <w:b w:val="0"/>
          <w:sz w:val="24"/>
        </w:rPr>
        <w:t xml:space="preserve"> prag onda je nužno da poduzetnik pristane na obvezu snošenja ukupnog troška ili troška koji prelazi 200.000 € energetske obnove koji otpada na njegov suvlasnički udio. Iznimno, ako se radi o tzv. „mikro-mikro“ poduzetniku (za kojeg se može utvrditi da obavlja djelatnost lokalnog karaktera) neće se raditi o državnoj potpori obzirom da nema utjecaja na trgovinu između država članica, pa ne treba poštivati niti </w:t>
      </w:r>
      <w:r>
        <w:rPr>
          <w:rFonts w:ascii="Times New Roman" w:hAnsi="Times New Roman" w:cs="Times New Roman"/>
          <w:b w:val="0"/>
          <w:i/>
          <w:sz w:val="24"/>
        </w:rPr>
        <w:t>de minimis</w:t>
      </w:r>
      <w:r>
        <w:rPr>
          <w:rFonts w:ascii="Times New Roman" w:hAnsi="Times New Roman" w:cs="Times New Roman"/>
          <w:b w:val="0"/>
          <w:sz w:val="24"/>
        </w:rPr>
        <w:t xml:space="preserve"> prag.</w:t>
      </w:r>
    </w:p>
    <w:p w14:paraId="45D05C53" w14:textId="77777777" w:rsidR="00496804" w:rsidRDefault="00496804">
      <w:pPr>
        <w:spacing w:line="240" w:lineRule="auto"/>
        <w:rPr>
          <w:rFonts w:ascii="Times New Roman" w:hAnsi="Times New Roman"/>
          <w:sz w:val="24"/>
        </w:rPr>
      </w:pPr>
    </w:p>
    <w:p w14:paraId="45D05C54" w14:textId="77777777" w:rsidR="00496804" w:rsidRDefault="0037359D">
      <w:pPr>
        <w:spacing w:line="240" w:lineRule="auto"/>
        <w:rPr>
          <w:rFonts w:ascii="Times New Roman" w:hAnsi="Times New Roman"/>
          <w:bCs/>
          <w:sz w:val="24"/>
        </w:rPr>
      </w:pPr>
      <w:r>
        <w:rPr>
          <w:rFonts w:ascii="Times New Roman" w:hAnsi="Times New Roman"/>
          <w:bCs/>
          <w:sz w:val="24"/>
        </w:rPr>
        <w:t>U provedbi projekata kružnog gospodarenja prostorom i zgradama potrebno je primijeniti preporuke analize EIHP vezane uz državne potpore na način da se kod izrade budućih poziva, što veći broj zgrada koje će se kružno obnoviti klasificira kao one u čije javno financiranje kružne obnove nisu uključene državne potpore.</w:t>
      </w:r>
    </w:p>
    <w:p w14:paraId="45D05C55" w14:textId="77777777" w:rsidR="00496804" w:rsidRDefault="00496804">
      <w:pPr>
        <w:spacing w:line="240" w:lineRule="auto"/>
        <w:rPr>
          <w:rFonts w:ascii="Times New Roman" w:hAnsi="Times New Roman"/>
          <w:bCs/>
          <w:sz w:val="24"/>
        </w:rPr>
      </w:pPr>
    </w:p>
    <w:p w14:paraId="45D05C56" w14:textId="77777777" w:rsidR="00496804" w:rsidRDefault="00496804">
      <w:pPr>
        <w:spacing w:line="240" w:lineRule="auto"/>
        <w:rPr>
          <w:rFonts w:ascii="Times New Roman" w:hAnsi="Times New Roman"/>
          <w:sz w:val="24"/>
        </w:rPr>
      </w:pPr>
    </w:p>
    <w:p w14:paraId="45D05C57" w14:textId="77777777" w:rsidR="00496804" w:rsidRDefault="0037359D">
      <w:pPr>
        <w:pStyle w:val="Naslov2"/>
        <w:ind w:left="426" w:hanging="426"/>
        <w:rPr>
          <w:rFonts w:ascii="Times New Roman" w:hAnsi="Times New Roman" w:cs="Times New Roman"/>
          <w:color w:val="auto"/>
          <w:sz w:val="24"/>
          <w:szCs w:val="24"/>
        </w:rPr>
      </w:pPr>
      <w:bookmarkStart w:id="144" w:name="_Toc51851642"/>
      <w:r>
        <w:rPr>
          <w:rFonts w:ascii="Times New Roman" w:hAnsi="Times New Roman" w:cs="Times New Roman"/>
          <w:color w:val="auto"/>
          <w:sz w:val="24"/>
          <w:szCs w:val="24"/>
        </w:rPr>
        <w:t>KRUŽNO GOSPODARENJE PROSTOROM I ZGRADAMA U EU – PRIMJERI DOBRE PRAKSE</w:t>
      </w:r>
      <w:bookmarkEnd w:id="144"/>
    </w:p>
    <w:p w14:paraId="45D05C58" w14:textId="77777777" w:rsidR="00496804" w:rsidRDefault="00496804">
      <w:pPr>
        <w:spacing w:line="240" w:lineRule="auto"/>
        <w:rPr>
          <w:rFonts w:ascii="Times New Roman" w:hAnsi="Times New Roman"/>
          <w:sz w:val="24"/>
          <w:lang w:eastAsia="hr-HR"/>
        </w:rPr>
      </w:pPr>
    </w:p>
    <w:p w14:paraId="45D05C59" w14:textId="77777777" w:rsidR="00496804" w:rsidRDefault="0037359D">
      <w:pPr>
        <w:spacing w:line="240" w:lineRule="auto"/>
        <w:rPr>
          <w:rFonts w:ascii="Times New Roman" w:hAnsi="Times New Roman"/>
          <w:sz w:val="24"/>
        </w:rPr>
      </w:pPr>
      <w:r>
        <w:rPr>
          <w:rFonts w:ascii="Times New Roman" w:hAnsi="Times New Roman"/>
          <w:sz w:val="24"/>
        </w:rPr>
        <w:lastRenderedPageBreak/>
        <w:t xml:space="preserve">Kružno gospodarenje prostorom i zgradama je na počecima i ne postoji veliki broj realiziranih projekta prostora i zgrada po načelima kružnog gospodarenja. </w:t>
      </w:r>
    </w:p>
    <w:p w14:paraId="45D05C5A" w14:textId="77777777" w:rsidR="00496804" w:rsidRDefault="0037359D">
      <w:pPr>
        <w:spacing w:line="240" w:lineRule="auto"/>
        <w:rPr>
          <w:rFonts w:ascii="Times New Roman" w:hAnsi="Times New Roman"/>
          <w:sz w:val="24"/>
        </w:rPr>
      </w:pPr>
      <w:r>
        <w:rPr>
          <w:rFonts w:ascii="Times New Roman" w:hAnsi="Times New Roman"/>
          <w:sz w:val="24"/>
        </w:rPr>
        <w:t>Napravljen je pregled nekih europskih primjera dobre prakse koji mogu poslužiti kao modeli za postupanje u sličnim okolnostima u RH:</w:t>
      </w:r>
    </w:p>
    <w:p w14:paraId="45D05C5B" w14:textId="77777777" w:rsidR="00496804" w:rsidRDefault="00496804">
      <w:pPr>
        <w:spacing w:line="240" w:lineRule="auto"/>
        <w:rPr>
          <w:rFonts w:ascii="Times New Roman" w:hAnsi="Times New Roman"/>
          <w:sz w:val="24"/>
        </w:rPr>
      </w:pPr>
    </w:p>
    <w:tbl>
      <w:tblPr>
        <w:tblStyle w:val="ivopisnatablicapopisa6-isticanje51"/>
        <w:tblW w:w="0" w:type="auto"/>
        <w:tblLook w:val="04A0" w:firstRow="1" w:lastRow="0" w:firstColumn="1" w:lastColumn="0" w:noHBand="0" w:noVBand="1"/>
      </w:tblPr>
      <w:tblGrid>
        <w:gridCol w:w="9632"/>
      </w:tblGrid>
      <w:tr w:rsidR="00496804" w14:paraId="45D05C67" w14:textId="77777777" w:rsidTr="004968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shd w:val="clear" w:color="auto" w:fill="FFE5D2" w:themeFill="accent5" w:themeFillTint="33"/>
          </w:tcPr>
          <w:p w14:paraId="45D05C5C" w14:textId="77777777" w:rsidR="00496804" w:rsidRDefault="0037359D">
            <w:pPr>
              <w:spacing w:line="240" w:lineRule="auto"/>
              <w:rPr>
                <w:rFonts w:ascii="Times New Roman" w:hAnsi="Times New Roman"/>
                <w:sz w:val="24"/>
              </w:rPr>
            </w:pPr>
            <w:r>
              <w:rPr>
                <w:rFonts w:ascii="Times New Roman" w:hAnsi="Times New Roman"/>
                <w:sz w:val="24"/>
              </w:rPr>
              <w:t xml:space="preserve">Antwerp </w:t>
            </w:r>
            <w:r>
              <w:rPr>
                <w:rFonts w:ascii="Times New Roman" w:hAnsi="Times New Roman"/>
                <w:sz w:val="24"/>
                <w:u w:color="C00000"/>
              </w:rPr>
              <w:t xml:space="preserve">Circular South – </w:t>
            </w:r>
            <w:r>
              <w:rPr>
                <w:rFonts w:ascii="Times New Roman" w:hAnsi="Times New Roman"/>
                <w:sz w:val="24"/>
              </w:rPr>
              <w:t>projekt uključivanja lokalne zajednice kroz različite inicijative (online ili off line), a cilj je utjecati na promjenu ponašanja građana kako bi se smanjila potrošnja energije i proizvodnja otpada. Izazovi s kojima se suočavaju uspješni gradovi zahtijevaju resurse. Stoga Antwerp, poput drugih europskih gradova, traži kružna rješenja za vlastite tokove otpada/materijala, vode i energije. Iako gusto urbano tkivo često postavlja prostorna i zakonska ograničenja u provođenju učinkovitih mjera, gustoća naselja također pomaže u stvaranju idealnog društvenog okruženja za podršku zajednice. Razvoj novih stambenih četvrti kao što je "New South" nudi jedinstvene mogućnosti u stvaranju vlastite lokalne kružne ekonomije za rastuću novu zajednicu.</w:t>
            </w:r>
          </w:p>
          <w:p w14:paraId="45D05C5D" w14:textId="77777777" w:rsidR="00496804" w:rsidRDefault="0037359D">
            <w:pPr>
              <w:spacing w:line="240" w:lineRule="auto"/>
              <w:rPr>
                <w:rFonts w:ascii="Times New Roman" w:hAnsi="Times New Roman"/>
                <w:sz w:val="24"/>
              </w:rPr>
            </w:pPr>
            <w:r>
              <w:rPr>
                <w:rFonts w:ascii="Times New Roman" w:hAnsi="Times New Roman"/>
                <w:sz w:val="24"/>
              </w:rPr>
              <w:t>Inovativni aspekt projekta je njegov pristup usmjeren u zajednicu budući da teorije tranzicije potvrđuju da je za kružno ponašanje potrebna svijest građana. Zbog jedinstvenog participativnog pristupa, naselje i stanovnici će stoga zajedno testirati napredna tehnološka rješenja kroz mrežne i izvan-mrežne aktivnosti.</w:t>
            </w:r>
          </w:p>
          <w:p w14:paraId="45D05C5E" w14:textId="77777777" w:rsidR="00496804" w:rsidRDefault="0037359D">
            <w:pPr>
              <w:spacing w:line="240" w:lineRule="auto"/>
              <w:rPr>
                <w:rFonts w:ascii="Times New Roman" w:hAnsi="Times New Roman"/>
                <w:sz w:val="24"/>
              </w:rPr>
            </w:pPr>
            <w:r>
              <w:rPr>
                <w:rFonts w:ascii="Times New Roman" w:hAnsi="Times New Roman"/>
                <w:sz w:val="24"/>
              </w:rPr>
              <w:t>Online:</w:t>
            </w:r>
          </w:p>
          <w:p w14:paraId="45D05C5F" w14:textId="77777777" w:rsidR="00496804" w:rsidRDefault="0037359D">
            <w:pPr>
              <w:spacing w:line="240" w:lineRule="auto"/>
              <w:rPr>
                <w:rFonts w:ascii="Times New Roman" w:hAnsi="Times New Roman"/>
                <w:sz w:val="24"/>
              </w:rPr>
            </w:pPr>
            <w:r>
              <w:rPr>
                <w:rFonts w:ascii="Times New Roman" w:hAnsi="Times New Roman"/>
                <w:sz w:val="24"/>
              </w:rPr>
              <w:t>• Prikaz protoka podataka u stvarnom vremenu iz uređaja kojim se mjeri potrošnja energije, vode i otpada. Time se povećava svijest građana o njihovoj potrošnji i potiče ih na optimalnu potrošnju</w:t>
            </w:r>
          </w:p>
          <w:p w14:paraId="45D05C60" w14:textId="77777777" w:rsidR="00496804" w:rsidRDefault="0037359D">
            <w:pPr>
              <w:spacing w:line="240" w:lineRule="auto"/>
              <w:rPr>
                <w:rFonts w:ascii="Times New Roman" w:hAnsi="Times New Roman"/>
                <w:sz w:val="24"/>
              </w:rPr>
            </w:pPr>
            <w:r>
              <w:rPr>
                <w:rFonts w:ascii="Times New Roman" w:hAnsi="Times New Roman"/>
                <w:sz w:val="24"/>
              </w:rPr>
              <w:t>• Mrežni sustav nagrađivanja i razmjene podataka u cilju poticanja kružnog ponašanja.</w:t>
            </w:r>
          </w:p>
          <w:p w14:paraId="45D05C61" w14:textId="77777777" w:rsidR="00496804" w:rsidRDefault="0037359D">
            <w:pPr>
              <w:spacing w:line="240" w:lineRule="auto"/>
              <w:rPr>
                <w:rFonts w:ascii="Times New Roman" w:hAnsi="Times New Roman"/>
                <w:sz w:val="24"/>
              </w:rPr>
            </w:pPr>
            <w:r>
              <w:rPr>
                <w:rFonts w:ascii="Times New Roman" w:hAnsi="Times New Roman"/>
                <w:sz w:val="24"/>
              </w:rPr>
              <w:t>• Lokalna energetska zadruga omogućiti će eksperimente pametne razmjene energije u skladu s dostupnošću obnovljivih izvora energije.</w:t>
            </w:r>
          </w:p>
          <w:p w14:paraId="45D05C62" w14:textId="77777777" w:rsidR="00496804" w:rsidRDefault="0037359D">
            <w:pPr>
              <w:spacing w:line="240" w:lineRule="auto"/>
              <w:rPr>
                <w:rFonts w:ascii="Times New Roman" w:hAnsi="Times New Roman"/>
                <w:sz w:val="24"/>
              </w:rPr>
            </w:pPr>
            <w:r>
              <w:rPr>
                <w:rFonts w:ascii="Times New Roman" w:hAnsi="Times New Roman"/>
                <w:sz w:val="24"/>
              </w:rPr>
              <w:t xml:space="preserve"> Offline:</w:t>
            </w:r>
          </w:p>
          <w:p w14:paraId="45D05C63" w14:textId="77777777" w:rsidR="00496804" w:rsidRDefault="0037359D">
            <w:pPr>
              <w:spacing w:line="240" w:lineRule="auto"/>
              <w:rPr>
                <w:rFonts w:ascii="Times New Roman" w:hAnsi="Times New Roman"/>
                <w:sz w:val="24"/>
              </w:rPr>
            </w:pPr>
            <w:r>
              <w:rPr>
                <w:rFonts w:ascii="Times New Roman" w:hAnsi="Times New Roman"/>
                <w:sz w:val="24"/>
              </w:rPr>
              <w:t>• U društvenim centrima će se odvijati aktivnosti koje se temelje na podjeli, popravku i ponovnoj uporabi materijala (kao što je alat, odjeća, građevni materijal itd.). Tu će se razmjenjivati znanja, vještine i ideje sve u cilju njihovog optimiziranja</w:t>
            </w:r>
          </w:p>
          <w:p w14:paraId="45D05C64" w14:textId="77777777" w:rsidR="00496804" w:rsidRDefault="0037359D">
            <w:pPr>
              <w:spacing w:line="240" w:lineRule="auto"/>
              <w:rPr>
                <w:rFonts w:ascii="Times New Roman" w:hAnsi="Times New Roman"/>
                <w:sz w:val="24"/>
              </w:rPr>
            </w:pPr>
            <w:r>
              <w:rPr>
                <w:rFonts w:ascii="Times New Roman" w:hAnsi="Times New Roman"/>
                <w:sz w:val="24"/>
              </w:rPr>
              <w:t>• Inicijative kao što su kolektivni izazovi odlaganja otpada, dijeljenje vrtlarskih alata ili grupa za nabavu „Design for Disassembly“ proizvoda dodatno će poboljšati kružnu dinamiku zajednice i smanjiti „resource footprint“.</w:t>
            </w:r>
          </w:p>
          <w:p w14:paraId="45D05C65" w14:textId="77777777" w:rsidR="00496804" w:rsidRDefault="0037359D">
            <w:pPr>
              <w:spacing w:line="240" w:lineRule="auto"/>
              <w:rPr>
                <w:rFonts w:ascii="Times New Roman" w:hAnsi="Times New Roman"/>
                <w:sz w:val="24"/>
              </w:rPr>
            </w:pPr>
            <w:r>
              <w:rPr>
                <w:rFonts w:ascii="Times New Roman" w:hAnsi="Times New Roman"/>
                <w:sz w:val="24"/>
              </w:rPr>
              <w:t>Kratkoročni cilj je kolektivno smanjiti potrošnju resursa, a dugoročni stvaranje platforme koja se može primijeniti i u drugim četvrtima.</w:t>
            </w:r>
          </w:p>
          <w:p w14:paraId="45D05C66" w14:textId="77777777" w:rsidR="00496804" w:rsidRDefault="0031420A">
            <w:pPr>
              <w:spacing w:line="240" w:lineRule="auto"/>
              <w:rPr>
                <w:rFonts w:ascii="Times New Roman" w:hAnsi="Times New Roman"/>
                <w:sz w:val="24"/>
              </w:rPr>
            </w:pPr>
            <w:hyperlink r:id="rId34" w:history="1">
              <w:r w:rsidR="0037359D">
                <w:rPr>
                  <w:rFonts w:ascii="Times New Roman" w:hAnsi="Times New Roman"/>
                  <w:sz w:val="24"/>
                </w:rPr>
                <w:t>https://www.uia-initiative.eu/en/uia-cities/antwerp-call2</w:t>
              </w:r>
            </w:hyperlink>
          </w:p>
        </w:tc>
      </w:tr>
      <w:tr w:rsidR="00496804" w14:paraId="45D05C6C" w14:textId="77777777" w:rsidTr="00496804">
        <w:tc>
          <w:tcPr>
            <w:cnfStyle w:val="001000000000" w:firstRow="0" w:lastRow="0" w:firstColumn="1" w:lastColumn="0" w:oddVBand="0" w:evenVBand="0" w:oddHBand="0" w:evenHBand="0" w:firstRowFirstColumn="0" w:firstRowLastColumn="0" w:lastRowFirstColumn="0" w:lastRowLastColumn="0"/>
            <w:tcW w:w="9622" w:type="dxa"/>
          </w:tcPr>
          <w:p w14:paraId="45D05C68" w14:textId="77777777" w:rsidR="00496804" w:rsidRDefault="0037359D">
            <w:pPr>
              <w:spacing w:line="240" w:lineRule="auto"/>
              <w:rPr>
                <w:rFonts w:ascii="Times New Roman" w:hAnsi="Times New Roman"/>
                <w:sz w:val="24"/>
              </w:rPr>
            </w:pPr>
            <w:r>
              <w:rPr>
                <w:rFonts w:ascii="Times New Roman" w:hAnsi="Times New Roman"/>
                <w:sz w:val="24"/>
              </w:rPr>
              <w:t>Park 20 I 20 Business park Amsterdam – novi poslovni park planiran u skladu s načelom "</w:t>
            </w:r>
            <w:r>
              <w:rPr>
                <w:rFonts w:ascii="Times New Roman" w:hAnsi="Times New Roman"/>
                <w:i/>
                <w:sz w:val="24"/>
              </w:rPr>
              <w:t>Cradle-to-Cradle"</w:t>
            </w:r>
            <w:r>
              <w:rPr>
                <w:rFonts w:ascii="Times New Roman" w:hAnsi="Times New Roman"/>
                <w:iCs/>
                <w:sz w:val="24"/>
              </w:rPr>
              <w:t>.</w:t>
            </w:r>
          </w:p>
          <w:p w14:paraId="45D05C69" w14:textId="77777777" w:rsidR="00496804" w:rsidRDefault="0037359D">
            <w:pPr>
              <w:spacing w:line="240" w:lineRule="auto"/>
              <w:rPr>
                <w:rFonts w:ascii="Times New Roman" w:hAnsi="Times New Roman"/>
                <w:sz w:val="24"/>
              </w:rPr>
            </w:pPr>
            <w:r>
              <w:rPr>
                <w:rFonts w:ascii="Times New Roman" w:hAnsi="Times New Roman"/>
                <w:sz w:val="24"/>
              </w:rPr>
              <w:t xml:space="preserve">Ovaj poslovni park, smješten južno od amsterdamske zračne luke Schiphol, nastao je u potpunosti u skladu s načelom „Cradel-to-Cradel“ kao optimizirano poslovno okruženje. Park spaja održivi dizajn i optimalan ekološki pristup s naglaskom na inovativno poslovanje, a u središte stavlja dobrobit za čovjeka. Dijelom zbog privlačnog krajolika s puno vode i zelenila, poslovni park s privlačnim ergonomskim zgradama motivirajući je za rad zaposlenih. Sve su zgrade gotovo nulte energije s brojnim sadržajima i dobrom uslugom, a na raspolaganju je i plan održivog financiranja. Developer je također vlasnik zgrada, što znači da postoji odgovarajući poticaj za produženje njihove dugovječnosti, kao i za smanjenje potrošnje energije i ostalih resursa. Stanari imaju vlastite kružne vjerodajnice, a tvrtke, poput pružatelja energetskih usluga Bluewater i proizvođača audio opreme Plantronics, su također pioniri u novim modelima rada. Objekti u Parku 20 | 20 projektirani su tako da se lako mogu rastaviti i ponovo upotrijebiti u novom ciklusu. </w:t>
            </w:r>
          </w:p>
          <w:p w14:paraId="45D05C6A" w14:textId="77777777" w:rsidR="00496804" w:rsidRDefault="0037359D">
            <w:pPr>
              <w:spacing w:line="240" w:lineRule="auto"/>
              <w:rPr>
                <w:rFonts w:ascii="Times New Roman" w:hAnsi="Times New Roman"/>
                <w:sz w:val="24"/>
              </w:rPr>
            </w:pPr>
            <w:r>
              <w:rPr>
                <w:rFonts w:ascii="Times New Roman" w:hAnsi="Times New Roman"/>
                <w:sz w:val="24"/>
              </w:rPr>
              <w:t>Neki dijelovi zgrade prilikom uklanjanja mogu se sigurno vratiti u tlo kao biološka hrana. Ostali dijelovi se ponovno koriste kao materijali za nove proizvode ili zgrade. Mnogi krovovi imaju solarne panele, što znači da se solarna energija može koristiti za energetske potrebe. Raznolikost se promiče integriranjem zelenila, pčela, leptira, svježeg voća i povrća. U prizemlju zgrade SHARE moguće je iznajmiti sobe za sastanke, (dodatni) poslovni prostor ili odvojena radna mjesta na određeno vrijeme. Instalacije su pametno promišljene za svaku zgradu, što omogućuje promjenu rasporeda ureda bez velikih troškova.</w:t>
            </w:r>
          </w:p>
          <w:p w14:paraId="45D05C6B" w14:textId="77777777" w:rsidR="00496804" w:rsidRDefault="0037359D">
            <w:pPr>
              <w:spacing w:line="240" w:lineRule="auto"/>
              <w:rPr>
                <w:rFonts w:ascii="Times New Roman" w:hAnsi="Times New Roman"/>
                <w:sz w:val="24"/>
              </w:rPr>
            </w:pPr>
            <w:r>
              <w:rPr>
                <w:rFonts w:ascii="Times New Roman" w:hAnsi="Times New Roman"/>
                <w:sz w:val="24"/>
              </w:rPr>
              <w:t xml:space="preserve"> </w:t>
            </w:r>
            <w:hyperlink r:id="rId35" w:history="1">
              <w:r>
                <w:rPr>
                  <w:rFonts w:ascii="Times New Roman" w:hAnsi="Times New Roman"/>
                  <w:sz w:val="24"/>
                </w:rPr>
                <w:t>https://www.deltadevelopment.eu/en/project-development/projectdevelopment/park-2020/</w:t>
              </w:r>
            </w:hyperlink>
          </w:p>
        </w:tc>
      </w:tr>
      <w:tr w:rsidR="00496804" w14:paraId="45D05C70" w14:textId="77777777" w:rsidTr="00496804">
        <w:tc>
          <w:tcPr>
            <w:cnfStyle w:val="001000000000" w:firstRow="0" w:lastRow="0" w:firstColumn="1" w:lastColumn="0" w:oddVBand="0" w:evenVBand="0" w:oddHBand="0" w:evenHBand="0" w:firstRowFirstColumn="0" w:firstRowLastColumn="0" w:lastRowFirstColumn="0" w:lastRowLastColumn="0"/>
            <w:tcW w:w="9622" w:type="dxa"/>
            <w:shd w:val="clear" w:color="auto" w:fill="FFE5D2" w:themeFill="accent5" w:themeFillTint="33"/>
          </w:tcPr>
          <w:p w14:paraId="45D05C6D" w14:textId="77777777" w:rsidR="00496804" w:rsidRDefault="0037359D">
            <w:pPr>
              <w:spacing w:line="240" w:lineRule="auto"/>
              <w:rPr>
                <w:rFonts w:ascii="Times New Roman" w:hAnsi="Times New Roman"/>
                <w:sz w:val="24"/>
              </w:rPr>
            </w:pPr>
            <w:r>
              <w:rPr>
                <w:rFonts w:ascii="Times New Roman" w:hAnsi="Times New Roman"/>
                <w:sz w:val="24"/>
              </w:rPr>
              <w:t xml:space="preserve">Bringing Back Homes – program ponovne upotrebe napuštenih prostora u centrima irskih gradova primarno je orijentiran na male prodajne prostore u prizemlju ili na stanove iznad tih prostora. Cilj programa je oživljavanje gradskih centara kroz povratak i interakciju stanovništva. Glavna korist ovoga programa je osiguranje kvalitetnog i održivog stanovanja za pojedince i obitelji kojima je to najpotrebnije. </w:t>
            </w:r>
          </w:p>
          <w:p w14:paraId="45D05C6E" w14:textId="77777777" w:rsidR="00496804" w:rsidRDefault="0037359D">
            <w:pPr>
              <w:spacing w:line="240" w:lineRule="auto"/>
              <w:rPr>
                <w:rFonts w:ascii="Times New Roman" w:hAnsi="Times New Roman"/>
                <w:sz w:val="24"/>
              </w:rPr>
            </w:pPr>
            <w:r>
              <w:rPr>
                <w:rFonts w:ascii="Times New Roman" w:hAnsi="Times New Roman"/>
                <w:sz w:val="24"/>
              </w:rPr>
              <w:t>Revitaliziranje glavnih ulica irskih gradova kroz dobro planirane i projektirane stambene jedinice, posebice iznad trgovina, moglo bi pomoći obnavljanju manjih gradskih središta. To bi omogućilo ostvarenje potencijala tih gradskih središta na način da postanu kompaktna, cjelovita i multifunkcionalna naselja u kojima se živi, radi i druži. Revitalizirana središta omogućila bi pješačenje ili vožnje biciklima do radnih mjesta, škola ili trgovina. Privukli bi turiste i druge posjetitelje pojačanom kulturnom ponudom koja bi bila rezultat revitalizacije tih gradskih prostora.</w:t>
            </w:r>
          </w:p>
          <w:p w14:paraId="45D05C6F" w14:textId="77777777" w:rsidR="00496804" w:rsidRDefault="0031420A">
            <w:pPr>
              <w:spacing w:line="240" w:lineRule="auto"/>
              <w:rPr>
                <w:rFonts w:ascii="Times New Roman" w:hAnsi="Times New Roman"/>
                <w:sz w:val="24"/>
              </w:rPr>
            </w:pPr>
            <w:hyperlink r:id="rId36" w:history="1">
              <w:r w:rsidR="0037359D">
                <w:rPr>
                  <w:rFonts w:ascii="Times New Roman" w:hAnsi="Times New Roman"/>
                  <w:sz w:val="24"/>
                </w:rPr>
                <w:t>https://www.housing.gov.ie/housing/home-ownership/vacant-homes/bringing-back-homes-manual-reuse-existing-buildings</w:t>
              </w:r>
            </w:hyperlink>
          </w:p>
        </w:tc>
      </w:tr>
      <w:tr w:rsidR="00496804" w14:paraId="45D05C74" w14:textId="77777777" w:rsidTr="00496804">
        <w:tc>
          <w:tcPr>
            <w:cnfStyle w:val="001000000000" w:firstRow="0" w:lastRow="0" w:firstColumn="1" w:lastColumn="0" w:oddVBand="0" w:evenVBand="0" w:oddHBand="0" w:evenHBand="0" w:firstRowFirstColumn="0" w:firstRowLastColumn="0" w:lastRowFirstColumn="0" w:lastRowLastColumn="0"/>
            <w:tcW w:w="9622" w:type="dxa"/>
          </w:tcPr>
          <w:p w14:paraId="45D05C71" w14:textId="77777777" w:rsidR="00496804" w:rsidRDefault="0037359D">
            <w:pPr>
              <w:spacing w:line="240" w:lineRule="auto"/>
              <w:rPr>
                <w:rFonts w:ascii="Times New Roman" w:hAnsi="Times New Roman"/>
                <w:sz w:val="24"/>
              </w:rPr>
            </w:pPr>
            <w:r>
              <w:rPr>
                <w:rFonts w:ascii="Times New Roman" w:hAnsi="Times New Roman"/>
                <w:sz w:val="24"/>
              </w:rPr>
              <w:t>Projekt obnove zgrade Stanley, London – Postojeća zgrada jedan je od primjera ranog socijalnog stanovanja. Obnovljena je, a zatim je izgrađena nova poslovna zgrada povezana s njom i pridružena postojećoj strukturi otvorenim, staklenim atrijem. Korišteni su materijali i iz stare zgrade, srušene pored obnovljene, kao i suvremeni materijali i tehnologije. Zgradu karakterizira održiv dizajn, u cilju očuvanja nasljeđa, uz izbjegavanje strukturnih promjena, a 30.297 m</w:t>
            </w:r>
            <w:r>
              <w:rPr>
                <w:rFonts w:ascii="Times New Roman" w:hAnsi="Times New Roman"/>
                <w:sz w:val="24"/>
                <w:vertAlign w:val="superscript"/>
              </w:rPr>
              <w:t>2</w:t>
            </w:r>
            <w:r>
              <w:rPr>
                <w:rFonts w:ascii="Times New Roman" w:hAnsi="Times New Roman"/>
                <w:sz w:val="24"/>
              </w:rPr>
              <w:t xml:space="preserve"> izvanrednog uredskog prostora čine popratne sobe i prostori za sastanke na pet katova. Obnovljene su male prostorije u staroj zgradi u sobe za sastanke, a novi dio zgrade dizajniran je kako bi se pružio otvoreni, moderni uredski prostor. </w:t>
            </w:r>
          </w:p>
          <w:p w14:paraId="45D05C72" w14:textId="77777777" w:rsidR="00496804" w:rsidRDefault="0037359D">
            <w:pPr>
              <w:spacing w:line="240" w:lineRule="auto"/>
              <w:rPr>
                <w:rFonts w:ascii="Times New Roman" w:hAnsi="Times New Roman"/>
                <w:sz w:val="24"/>
              </w:rPr>
            </w:pPr>
            <w:r>
              <w:rPr>
                <w:rFonts w:ascii="Times New Roman" w:hAnsi="Times New Roman"/>
                <w:sz w:val="24"/>
              </w:rPr>
              <w:t>Kako bi se uspješno integrirale stare i nove komponente projekta, koristilo se modeliranje zgrada u BIM-u. Na taj način mogli su se izraditi detaljni konstrukcijski modeli zgrada te bolje planirati radovi. Energetskoj učinkovitosti zgrade doprinose orijentacija zgrade i sunčeva sjenila, korištenje termalne mase i vidljivi podgledi te pasivni sustavi ventilacije koji pomažu osiguranju od temperaturnih promjena. Zgrada je projektirana tako da učinkovito koristi resurse. Zadržavajući postojeću strukturu stare zgrade gdje je to bilo moguće, obnovljeni su i ponovno upotrijebljeni unutarnji elementi kao što su vapnena žbuka, stupovi i čelični elementi. Vraćena je vanjska ograda od kovanog željeza na balkonima, a popravljena je fasada od opeke. Kada je susjedna zgrada srušena, sačuvani su prozori, kamini i podne daske za ponovnu uporabu u obnovljenoj zgradi. Instalirani su sustavi za prikupljanje kišnice kako bi se osigurala voda na krovnom vrtu i zelenom zidu, dok unutar zgrade manje cisterne i regulatori protoka smanjuju potrošnju vode u zgradi.</w:t>
            </w:r>
          </w:p>
          <w:p w14:paraId="45D05C73" w14:textId="77777777" w:rsidR="00496804" w:rsidRDefault="0031420A">
            <w:pPr>
              <w:spacing w:line="240" w:lineRule="auto"/>
              <w:rPr>
                <w:rFonts w:ascii="Times New Roman" w:hAnsi="Times New Roman"/>
                <w:sz w:val="24"/>
              </w:rPr>
            </w:pPr>
            <w:hyperlink r:id="rId37" w:history="1">
              <w:r w:rsidR="0037359D">
                <w:rPr>
                  <w:rFonts w:ascii="Times New Roman" w:hAnsi="Times New Roman"/>
                  <w:sz w:val="24"/>
                </w:rPr>
                <w:t>https://sustainability.bam.co.uk/case-studies/2015-07-21-seven-pancras-square</w:t>
              </w:r>
            </w:hyperlink>
          </w:p>
        </w:tc>
      </w:tr>
      <w:tr w:rsidR="00496804" w14:paraId="45D05C78" w14:textId="77777777" w:rsidTr="00496804">
        <w:tc>
          <w:tcPr>
            <w:cnfStyle w:val="001000000000" w:firstRow="0" w:lastRow="0" w:firstColumn="1" w:lastColumn="0" w:oddVBand="0" w:evenVBand="0" w:oddHBand="0" w:evenHBand="0" w:firstRowFirstColumn="0" w:firstRowLastColumn="0" w:lastRowFirstColumn="0" w:lastRowLastColumn="0"/>
            <w:tcW w:w="9622" w:type="dxa"/>
            <w:shd w:val="clear" w:color="auto" w:fill="FFE5D2" w:themeFill="accent5" w:themeFillTint="33"/>
          </w:tcPr>
          <w:p w14:paraId="45D05C75" w14:textId="77777777" w:rsidR="00496804" w:rsidRDefault="0037359D">
            <w:pPr>
              <w:spacing w:line="240" w:lineRule="auto"/>
              <w:rPr>
                <w:rFonts w:ascii="Times New Roman" w:hAnsi="Times New Roman"/>
                <w:sz w:val="24"/>
              </w:rPr>
            </w:pPr>
            <w:r>
              <w:rPr>
                <w:rFonts w:ascii="Times New Roman" w:hAnsi="Times New Roman"/>
                <w:sz w:val="24"/>
              </w:rPr>
              <w:t xml:space="preserve">Elliot Hudson College, Leeds (UK)–  Postojeća tvornička zgrada smještena u poslovnom parku izgrađenom 1982.g., prenamijenjena je u sveučilišni prostor koristeći načela kružnog gospodarstva. </w:t>
            </w:r>
          </w:p>
          <w:p w14:paraId="45D05C76" w14:textId="77777777" w:rsidR="00496804" w:rsidRDefault="0037359D">
            <w:pPr>
              <w:spacing w:line="240" w:lineRule="auto"/>
              <w:rPr>
                <w:rFonts w:ascii="Times New Roman" w:hAnsi="Times New Roman"/>
                <w:sz w:val="24"/>
              </w:rPr>
            </w:pPr>
            <w:r>
              <w:rPr>
                <w:rFonts w:ascii="Times New Roman" w:hAnsi="Times New Roman"/>
                <w:sz w:val="24"/>
              </w:rPr>
              <w:t>Kreativan i kvalitetan prostor za učenje zahtijevao je inovativna rješenja koja su obuhvaćala primjenu kružnog koncepta i lagane konstrukcije. Zgrada je prošla brojne intervencije i do nedavno je služila kao pozivni centar. Rušenje i nova gradnja ne bi bili najučinkovitija upotreba resursa u ovom primjeru stoga se tražilo drugačije rješenje. Zgrada je bila strukturalno pouzdana i dovoljno velika da ugosti nastavnu djelatnost. Ponovno su se koristili postojeći materijali, a mnogi građevinski elementi se mogu rastaviti za buduću ponovnu upotrebu ili recikliranje. Inovativno razmišljanje osiguralo je laganu, montažnu gradnju, s manje rasipanja resursa, uz minimalan utjecaj na okoliš i niže troškove proizvodnje.</w:t>
            </w:r>
          </w:p>
          <w:p w14:paraId="45D05C77" w14:textId="77777777" w:rsidR="00496804" w:rsidRDefault="0031420A">
            <w:pPr>
              <w:spacing w:line="240" w:lineRule="auto"/>
              <w:rPr>
                <w:rFonts w:ascii="Times New Roman" w:hAnsi="Times New Roman"/>
                <w:sz w:val="24"/>
              </w:rPr>
            </w:pPr>
            <w:hyperlink r:id="rId38" w:history="1">
              <w:r w:rsidR="0037359D">
                <w:rPr>
                  <w:rFonts w:ascii="Times New Roman" w:hAnsi="Times New Roman"/>
                  <w:sz w:val="24"/>
                </w:rPr>
                <w:t>http://sustainability.bam.co.uk/case-studies/2018-01-08-elliot-hudson-college</w:t>
              </w:r>
            </w:hyperlink>
          </w:p>
        </w:tc>
      </w:tr>
      <w:tr w:rsidR="00496804" w14:paraId="45D05C7B" w14:textId="77777777" w:rsidTr="00496804">
        <w:tc>
          <w:tcPr>
            <w:cnfStyle w:val="001000000000" w:firstRow="0" w:lastRow="0" w:firstColumn="1" w:lastColumn="0" w:oddVBand="0" w:evenVBand="0" w:oddHBand="0" w:evenHBand="0" w:firstRowFirstColumn="0" w:firstRowLastColumn="0" w:lastRowFirstColumn="0" w:lastRowLastColumn="0"/>
            <w:tcW w:w="9622" w:type="dxa"/>
          </w:tcPr>
          <w:p w14:paraId="45D05C79" w14:textId="77777777" w:rsidR="00496804" w:rsidRDefault="0037359D">
            <w:pPr>
              <w:spacing w:line="240" w:lineRule="auto"/>
              <w:rPr>
                <w:rFonts w:ascii="Times New Roman" w:hAnsi="Times New Roman"/>
                <w:sz w:val="24"/>
              </w:rPr>
            </w:pPr>
            <w:r>
              <w:rPr>
                <w:rFonts w:ascii="Times New Roman" w:hAnsi="Times New Roman"/>
                <w:sz w:val="24"/>
              </w:rPr>
              <w:t>Modularna autobusna stajališta u Barceloni – su podignute platforme koje olakšavaju dostupnost na autobusnim stajalištima. Platforma se sastoji od tipskih, međusobno povezanih jedinica, vanjskog ivičnjaka koji omogućuje povećanu vidljivost danju i noću i prijelaznih rešetki koje se prilagođavaju izvornom rubniku. Platforma je izrađena od visoko otporne, izdržljive, 100% reciklirane plastike dobivene iz obloga električnih kabela, cijevi, crijeva itd. Jednostavno se postavlja na postojeći kolnik uz minimalno ometanje pješaka i prometa.</w:t>
            </w:r>
          </w:p>
          <w:p w14:paraId="45D05C7A" w14:textId="77777777" w:rsidR="00496804" w:rsidRDefault="0031420A">
            <w:pPr>
              <w:spacing w:line="240" w:lineRule="auto"/>
              <w:rPr>
                <w:rFonts w:ascii="Times New Roman" w:hAnsi="Times New Roman"/>
                <w:sz w:val="24"/>
              </w:rPr>
            </w:pPr>
            <w:hyperlink r:id="rId39" w:history="1">
              <w:r w:rsidR="0037359D">
                <w:rPr>
                  <w:rFonts w:ascii="Times New Roman" w:hAnsi="Times New Roman"/>
                  <w:sz w:val="24"/>
                </w:rPr>
                <w:t>https://www.citylab.com/transportation/2018/03/quick-easy-way-to-build-a-bus-stop-zicla/554873/</w:t>
              </w:r>
            </w:hyperlink>
          </w:p>
        </w:tc>
      </w:tr>
      <w:tr w:rsidR="00496804" w14:paraId="45D05C7E" w14:textId="77777777" w:rsidTr="00496804">
        <w:tc>
          <w:tcPr>
            <w:cnfStyle w:val="001000000000" w:firstRow="0" w:lastRow="0" w:firstColumn="1" w:lastColumn="0" w:oddVBand="0" w:evenVBand="0" w:oddHBand="0" w:evenHBand="0" w:firstRowFirstColumn="0" w:firstRowLastColumn="0" w:lastRowFirstColumn="0" w:lastRowLastColumn="0"/>
            <w:tcW w:w="9622" w:type="dxa"/>
            <w:shd w:val="clear" w:color="auto" w:fill="FFE5D2" w:themeFill="accent5" w:themeFillTint="33"/>
          </w:tcPr>
          <w:p w14:paraId="45D05C7C" w14:textId="77777777" w:rsidR="00496804" w:rsidRDefault="0037359D">
            <w:pPr>
              <w:spacing w:line="240" w:lineRule="auto"/>
              <w:rPr>
                <w:rFonts w:ascii="Times New Roman" w:hAnsi="Times New Roman"/>
                <w:sz w:val="24"/>
              </w:rPr>
            </w:pPr>
            <w:r>
              <w:rPr>
                <w:rFonts w:ascii="Times New Roman" w:hAnsi="Times New Roman"/>
                <w:sz w:val="24"/>
              </w:rPr>
              <w:t>Urban Resource Centri – Urbani resursni centri okupljaju široku zajednicu dionika, promičući kružnu potrošnju, sprečavanje nastanka otpada, ponovnu upotrebu i upravljanje kružnim resursima u gradovima. To su multifunkcionalna mjesta koja promiču kružnu ekonomiju na lokalnoj razini. U njima se pravilno upravlja hijerarhijom otpada, naglašavajući društvene, ekonomske i ekološke funkcije kružne ekonomije. Primjeri Urban Resource centara su: Guldminen – Copenhagen (Denmark), Vollebekk Fabrikker – Oslo ( Norway), Återbruket at Alelyckan Recycling Park – Gothenburg (Sweden), RLab – Porto (Portugal), Halle 2 – Munich(Germany), Mini recycling stations – Oslo (Norway), 48-er Tandler – Vienna( Austria), OPO’Lab – Porto (Portugal), CPU Slovenija – na više lokacija, De Kringwinkel – Flanders ( Belgium), Reparatur Netzwerk – Vienna (Austria).</w:t>
            </w:r>
          </w:p>
          <w:p w14:paraId="45D05C7D" w14:textId="77777777" w:rsidR="00496804" w:rsidRDefault="0031420A">
            <w:pPr>
              <w:spacing w:line="240" w:lineRule="auto"/>
              <w:rPr>
                <w:rFonts w:ascii="Times New Roman" w:hAnsi="Times New Roman"/>
                <w:sz w:val="24"/>
              </w:rPr>
            </w:pPr>
            <w:hyperlink r:id="rId40" w:history="1">
              <w:r w:rsidR="0037359D">
                <w:rPr>
                  <w:rFonts w:ascii="Times New Roman" w:hAnsi="Times New Roman"/>
                  <w:sz w:val="24"/>
                </w:rPr>
                <w:t>https://ec.europa.eu/futurium/en/system/files/ged/classification_of_urban_resource_centres_0.pdf</w:t>
              </w:r>
            </w:hyperlink>
          </w:p>
        </w:tc>
      </w:tr>
    </w:tbl>
    <w:p w14:paraId="45D05C7F" w14:textId="77777777" w:rsidR="00496804" w:rsidRDefault="00496804">
      <w:pPr>
        <w:spacing w:line="240" w:lineRule="auto"/>
        <w:rPr>
          <w:rFonts w:ascii="Times New Roman" w:hAnsi="Times New Roman"/>
          <w:sz w:val="24"/>
        </w:rPr>
      </w:pPr>
    </w:p>
    <w:p w14:paraId="45D05C80" w14:textId="77777777" w:rsidR="00496804" w:rsidRDefault="0037359D">
      <w:pPr>
        <w:spacing w:line="240" w:lineRule="auto"/>
        <w:jc w:val="left"/>
        <w:rPr>
          <w:rFonts w:ascii="Times New Roman" w:hAnsi="Times New Roman"/>
          <w:sz w:val="24"/>
        </w:rPr>
      </w:pPr>
      <w:r>
        <w:rPr>
          <w:rFonts w:ascii="Times New Roman" w:hAnsi="Times New Roman"/>
          <w:sz w:val="24"/>
        </w:rPr>
        <w:br w:type="page"/>
      </w:r>
    </w:p>
    <w:tbl>
      <w:tblPr>
        <w:tblStyle w:val="ivopisnatablicapopisa6-isticanje11"/>
        <w:tblW w:w="0" w:type="auto"/>
        <w:tblLook w:val="04A0" w:firstRow="1" w:lastRow="0" w:firstColumn="1" w:lastColumn="0" w:noHBand="0" w:noVBand="1"/>
      </w:tblPr>
      <w:tblGrid>
        <w:gridCol w:w="9622"/>
      </w:tblGrid>
      <w:tr w:rsidR="00496804" w14:paraId="45D05C83" w14:textId="77777777" w:rsidTr="004968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shd w:val="clear" w:color="auto" w:fill="DBE0F4" w:themeFill="accent1" w:themeFillTint="33"/>
          </w:tcPr>
          <w:p w14:paraId="45D05C81" w14:textId="77777777" w:rsidR="00496804" w:rsidRDefault="0037359D">
            <w:pPr>
              <w:spacing w:line="240" w:lineRule="auto"/>
              <w:rPr>
                <w:rStyle w:val="Hiperveza"/>
                <w:rFonts w:ascii="Times New Roman" w:hAnsi="Times New Roman"/>
                <w:b w:val="0"/>
                <w:bCs w:val="0"/>
                <w:sz w:val="24"/>
              </w:rPr>
            </w:pPr>
            <w:r>
              <w:rPr>
                <w:rStyle w:val="Hiperveza"/>
                <w:rFonts w:ascii="Times New Roman" w:hAnsi="Times New Roman"/>
                <w:sz w:val="24"/>
              </w:rPr>
              <w:t>URBACT</w:t>
            </w:r>
          </w:p>
          <w:p w14:paraId="45D05C82" w14:textId="77777777" w:rsidR="00496804" w:rsidRDefault="00496804">
            <w:pPr>
              <w:spacing w:line="240" w:lineRule="auto"/>
              <w:rPr>
                <w:rFonts w:ascii="Times New Roman" w:hAnsi="Times New Roman"/>
                <w:sz w:val="24"/>
              </w:rPr>
            </w:pPr>
          </w:p>
        </w:tc>
      </w:tr>
      <w:tr w:rsidR="00496804" w:rsidRPr="0031420A" w14:paraId="45D05C86" w14:textId="77777777" w:rsidTr="00496804">
        <w:tc>
          <w:tcPr>
            <w:cnfStyle w:val="001000000000" w:firstRow="0" w:lastRow="0" w:firstColumn="1" w:lastColumn="0" w:oddVBand="0" w:evenVBand="0" w:oddHBand="0" w:evenHBand="0" w:firstRowFirstColumn="0" w:firstRowLastColumn="0" w:lastRowFirstColumn="0" w:lastRowLastColumn="0"/>
            <w:tcW w:w="9622" w:type="dxa"/>
          </w:tcPr>
          <w:p w14:paraId="45D05C84" w14:textId="77777777" w:rsidR="00496804" w:rsidRPr="0031420A" w:rsidRDefault="0037359D">
            <w:pPr>
              <w:spacing w:line="240" w:lineRule="auto"/>
              <w:rPr>
                <w:rFonts w:ascii="Times New Roman" w:hAnsi="Times New Roman"/>
                <w:sz w:val="24"/>
              </w:rPr>
            </w:pPr>
            <w:r w:rsidRPr="0031420A">
              <w:rPr>
                <w:rFonts w:ascii="Times New Roman" w:hAnsi="Times New Roman"/>
                <w:sz w:val="24"/>
              </w:rPr>
              <w:t>2ND CHANCE –  Ovoj je mreži gradova cilj bio aktiviranje napuštenih i nedovoljno iskorištenih gradskih prostora i zgrada (često smještenih u blizini središta grada). Takvi prostori prikladni su upravo za one funkcije koje su potrebne u gradu, a za koje je potrebno osigurati prostor. U okviru projekta implementirale su se ideje i novi modeli stanovanja kojima se takvi prostori mogu revitalizirati.</w:t>
            </w:r>
          </w:p>
          <w:p w14:paraId="45D05C85" w14:textId="77777777" w:rsidR="00496804" w:rsidRPr="0031420A" w:rsidRDefault="0031420A">
            <w:pPr>
              <w:spacing w:line="240" w:lineRule="auto"/>
              <w:rPr>
                <w:rFonts w:ascii="Times New Roman" w:hAnsi="Times New Roman"/>
                <w:sz w:val="24"/>
              </w:rPr>
            </w:pPr>
            <w:hyperlink r:id="rId41" w:history="1">
              <w:r w:rsidR="0037359D" w:rsidRPr="0031420A">
                <w:rPr>
                  <w:rFonts w:ascii="Times New Roman" w:hAnsi="Times New Roman"/>
                  <w:sz w:val="24"/>
                </w:rPr>
                <w:t>http://urbact.eu/2nd-chance</w:t>
              </w:r>
            </w:hyperlink>
          </w:p>
        </w:tc>
      </w:tr>
      <w:tr w:rsidR="00496804" w:rsidRPr="0031420A" w14:paraId="45D05C89" w14:textId="77777777" w:rsidTr="00496804">
        <w:tc>
          <w:tcPr>
            <w:cnfStyle w:val="001000000000" w:firstRow="0" w:lastRow="0" w:firstColumn="1" w:lastColumn="0" w:oddVBand="0" w:evenVBand="0" w:oddHBand="0" w:evenHBand="0" w:firstRowFirstColumn="0" w:firstRowLastColumn="0" w:lastRowFirstColumn="0" w:lastRowLastColumn="0"/>
            <w:tcW w:w="9622" w:type="dxa"/>
            <w:shd w:val="clear" w:color="auto" w:fill="DBE0F4" w:themeFill="accent1" w:themeFillTint="33"/>
          </w:tcPr>
          <w:p w14:paraId="45D05C87" w14:textId="77777777" w:rsidR="00496804" w:rsidRPr="0031420A" w:rsidRDefault="0037359D">
            <w:pPr>
              <w:spacing w:line="240" w:lineRule="auto"/>
              <w:rPr>
                <w:rFonts w:ascii="Times New Roman" w:hAnsi="Times New Roman"/>
                <w:sz w:val="24"/>
              </w:rPr>
            </w:pPr>
            <w:r w:rsidRPr="0031420A">
              <w:rPr>
                <w:rFonts w:ascii="Times New Roman" w:hAnsi="Times New Roman"/>
                <w:sz w:val="24"/>
              </w:rPr>
              <w:t>REFILL – Mreža gradova je uspostavljena s ciljem definiranja mogućnosti za ponovnu uporabu praznih prostora kao pokretačke snage za inovacije na lokalnoj razini. Prostori su bili namijenjeni poduzetnicima, umjetnicima i inicijativama koji započinju sa djelovanjem. Takvi se pojedinci često suočavaju s različitim socijalnim izazovima, dok istovremeno stvaraju nove mogućnosti za društvene inovacije u gradovima. Cilj ove mreže je uključiti gradove koji su već eksperimentirali s konceptom privremene i ponovne uporabe slobodnih prostora i razvili alate za ostvarenje ciljeva, poput odgovarajuće regulative, fondova, financijskih instrumenata, razvojnih agencija, mreža, (digitalnih) platformi itd. Takva iskustva mogu služiti kao izvor inspiracije za inovacije i promjene u ostalim gradovima gdje privremena uporaba može djelovati kao pokretač i inkubator urbanog razvoja.</w:t>
            </w:r>
          </w:p>
          <w:p w14:paraId="45D05C88" w14:textId="77777777" w:rsidR="00496804" w:rsidRPr="0031420A" w:rsidRDefault="0037359D">
            <w:pPr>
              <w:spacing w:line="240" w:lineRule="auto"/>
              <w:rPr>
                <w:rFonts w:ascii="Times New Roman" w:hAnsi="Times New Roman"/>
                <w:sz w:val="24"/>
              </w:rPr>
            </w:pPr>
            <w:r w:rsidRPr="0031420A">
              <w:rPr>
                <w:rFonts w:ascii="Times New Roman" w:hAnsi="Times New Roman"/>
                <w:sz w:val="24"/>
              </w:rPr>
              <w:t xml:space="preserve">http://urbact.eu/Refill </w:t>
            </w:r>
            <w:hyperlink r:id="rId42" w:history="1">
              <w:r w:rsidRPr="0031420A">
                <w:rPr>
                  <w:rFonts w:ascii="Times New Roman" w:hAnsi="Times New Roman"/>
                  <w:sz w:val="24"/>
                </w:rPr>
                <w:t>https://www.ellenmacarthurfoundation.org/our-work/activities/ce100</w:t>
              </w:r>
            </w:hyperlink>
          </w:p>
        </w:tc>
      </w:tr>
      <w:tr w:rsidR="00496804" w:rsidRPr="0031420A" w14:paraId="45D05C8C" w14:textId="77777777" w:rsidTr="00496804">
        <w:tc>
          <w:tcPr>
            <w:cnfStyle w:val="001000000000" w:firstRow="0" w:lastRow="0" w:firstColumn="1" w:lastColumn="0" w:oddVBand="0" w:evenVBand="0" w:oddHBand="0" w:evenHBand="0" w:firstRowFirstColumn="0" w:firstRowLastColumn="0" w:lastRowFirstColumn="0" w:lastRowLastColumn="0"/>
            <w:tcW w:w="9622" w:type="dxa"/>
          </w:tcPr>
          <w:p w14:paraId="45D05C8A" w14:textId="77777777" w:rsidR="00496804" w:rsidRPr="0031420A" w:rsidRDefault="0037359D">
            <w:pPr>
              <w:spacing w:line="240" w:lineRule="auto"/>
              <w:rPr>
                <w:rFonts w:ascii="Times New Roman" w:hAnsi="Times New Roman"/>
                <w:sz w:val="24"/>
              </w:rPr>
            </w:pPr>
            <w:r w:rsidRPr="0031420A">
              <w:rPr>
                <w:rFonts w:ascii="Times New Roman" w:hAnsi="Times New Roman"/>
                <w:sz w:val="24"/>
              </w:rPr>
              <w:t>SUB&gt;URBAN – Gradovi okupljeni u mreži sub&gt;urban proučavali su mogućnosti uređenja rubnih područja svoga grada kako bi se stvorilo održivije i privlačnije okruženje. Projekt je usredotočen na i) povećanje gustoće stanovništva unutar granica grada umjesto širenja urbanog teritorija; ii) pronalaženje novih praksi planiranja, procesa, instrumenata i partnerstva kako bi se postigao najbolji mogući lokalni ishod; iii) jačanje regionalne koordinacije između povijesnog grada, predgrađa i širih gradskih područja.</w:t>
            </w:r>
          </w:p>
          <w:p w14:paraId="45D05C8B" w14:textId="77777777" w:rsidR="00496804" w:rsidRPr="0031420A" w:rsidRDefault="0037359D">
            <w:pPr>
              <w:spacing w:line="240" w:lineRule="auto"/>
              <w:rPr>
                <w:rFonts w:ascii="Times New Roman" w:hAnsi="Times New Roman"/>
                <w:sz w:val="24"/>
              </w:rPr>
            </w:pPr>
            <w:r w:rsidRPr="0031420A">
              <w:rPr>
                <w:rFonts w:ascii="Times New Roman" w:hAnsi="Times New Roman"/>
                <w:sz w:val="24"/>
              </w:rPr>
              <w:t xml:space="preserve">http://urbact.eu/sub.urban </w:t>
            </w:r>
          </w:p>
        </w:tc>
      </w:tr>
    </w:tbl>
    <w:p w14:paraId="45D05C8D" w14:textId="77777777" w:rsidR="00496804" w:rsidRPr="0031420A" w:rsidRDefault="00496804">
      <w:pPr>
        <w:spacing w:line="240" w:lineRule="auto"/>
        <w:rPr>
          <w:rFonts w:ascii="Times New Roman" w:hAnsi="Times New Roman"/>
          <w:b/>
          <w:bCs/>
          <w:sz w:val="24"/>
        </w:rPr>
      </w:pPr>
    </w:p>
    <w:p w14:paraId="45D05C8E" w14:textId="77777777" w:rsidR="00496804" w:rsidRPr="0031420A" w:rsidRDefault="00496804">
      <w:pPr>
        <w:spacing w:line="240" w:lineRule="auto"/>
        <w:rPr>
          <w:rFonts w:ascii="Times New Roman" w:hAnsi="Times New Roman"/>
          <w:b/>
          <w:bCs/>
          <w:sz w:val="24"/>
        </w:rPr>
      </w:pPr>
    </w:p>
    <w:tbl>
      <w:tblPr>
        <w:tblStyle w:val="ivopisnatablicapopisa6-isticanje41"/>
        <w:tblW w:w="0" w:type="auto"/>
        <w:tblLook w:val="04A0" w:firstRow="1" w:lastRow="0" w:firstColumn="1" w:lastColumn="0" w:noHBand="0" w:noVBand="1"/>
      </w:tblPr>
      <w:tblGrid>
        <w:gridCol w:w="9622"/>
      </w:tblGrid>
      <w:tr w:rsidR="00496804" w:rsidRPr="0031420A" w14:paraId="45D05C91" w14:textId="77777777" w:rsidTr="004968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shd w:val="clear" w:color="auto" w:fill="DEF5EE" w:themeFill="accent4" w:themeFillTint="33"/>
          </w:tcPr>
          <w:p w14:paraId="45D05C8F" w14:textId="77777777" w:rsidR="00496804" w:rsidRPr="0031420A" w:rsidRDefault="0037359D">
            <w:pPr>
              <w:spacing w:line="240" w:lineRule="auto"/>
              <w:rPr>
                <w:rFonts w:ascii="Times New Roman" w:hAnsi="Times New Roman"/>
                <w:sz w:val="24"/>
              </w:rPr>
            </w:pPr>
            <w:r w:rsidRPr="0031420A">
              <w:rPr>
                <w:rFonts w:ascii="Times New Roman" w:hAnsi="Times New Roman"/>
                <w:sz w:val="24"/>
              </w:rPr>
              <w:t>ISTRAŽIVAČKE PLATFORME</w:t>
            </w:r>
          </w:p>
          <w:p w14:paraId="45D05C90" w14:textId="77777777" w:rsidR="00496804" w:rsidRPr="0031420A" w:rsidRDefault="00496804">
            <w:pPr>
              <w:spacing w:line="240" w:lineRule="auto"/>
              <w:rPr>
                <w:rFonts w:ascii="Times New Roman" w:hAnsi="Times New Roman"/>
                <w:sz w:val="24"/>
              </w:rPr>
            </w:pPr>
          </w:p>
        </w:tc>
      </w:tr>
      <w:tr w:rsidR="00496804" w:rsidRPr="0031420A" w14:paraId="45D05C94" w14:textId="77777777" w:rsidTr="00496804">
        <w:tc>
          <w:tcPr>
            <w:cnfStyle w:val="001000000000" w:firstRow="0" w:lastRow="0" w:firstColumn="1" w:lastColumn="0" w:oddVBand="0" w:evenVBand="0" w:oddHBand="0" w:evenHBand="0" w:firstRowFirstColumn="0" w:firstRowLastColumn="0" w:lastRowFirstColumn="0" w:lastRowLastColumn="0"/>
            <w:tcW w:w="9622" w:type="dxa"/>
          </w:tcPr>
          <w:p w14:paraId="45D05C92" w14:textId="77777777" w:rsidR="00496804" w:rsidRPr="0031420A" w:rsidRDefault="0037359D">
            <w:pPr>
              <w:spacing w:line="240" w:lineRule="auto"/>
              <w:rPr>
                <w:rFonts w:ascii="Times New Roman" w:hAnsi="Times New Roman"/>
                <w:sz w:val="24"/>
              </w:rPr>
            </w:pPr>
            <w:r w:rsidRPr="0031420A">
              <w:rPr>
                <w:rFonts w:ascii="Times New Roman" w:hAnsi="Times New Roman"/>
                <w:sz w:val="24"/>
              </w:rPr>
              <w:t>Buildings as Material Banks (BAMB) – projekt je razvijalo 8 europskih zemalja s ciljem promicanja promjena u građevinskom sektoru kroz kreiranje različitih kružnih rješenja, podizanje ukupne vrijednosti građevnog materijala, što dovodi do izravnog smanjenja nastanka građevnog otpada i manje uporabe izvornih sirovina. Projekt BAMB financira Europska komisija u sklopu programa Horizon 2020. - najvećeg EU programa istraživanja i inovacija</w:t>
            </w:r>
          </w:p>
          <w:p w14:paraId="45D05C93" w14:textId="77777777" w:rsidR="00496804" w:rsidRPr="0031420A" w:rsidRDefault="0031420A">
            <w:pPr>
              <w:spacing w:line="240" w:lineRule="auto"/>
              <w:rPr>
                <w:rFonts w:ascii="Times New Roman" w:hAnsi="Times New Roman"/>
                <w:sz w:val="24"/>
              </w:rPr>
            </w:pPr>
            <w:hyperlink r:id="rId43" w:history="1">
              <w:r w:rsidR="0037359D" w:rsidRPr="0031420A">
                <w:rPr>
                  <w:rFonts w:ascii="Times New Roman" w:hAnsi="Times New Roman"/>
                  <w:sz w:val="24"/>
                </w:rPr>
                <w:t>https://www.bamb2020.eu/</w:t>
              </w:r>
            </w:hyperlink>
          </w:p>
        </w:tc>
      </w:tr>
      <w:tr w:rsidR="00496804" w:rsidRPr="0031420A" w14:paraId="45D05C97" w14:textId="77777777" w:rsidTr="00496804">
        <w:tc>
          <w:tcPr>
            <w:cnfStyle w:val="001000000000" w:firstRow="0" w:lastRow="0" w:firstColumn="1" w:lastColumn="0" w:oddVBand="0" w:evenVBand="0" w:oddHBand="0" w:evenHBand="0" w:firstRowFirstColumn="0" w:firstRowLastColumn="0" w:lastRowFirstColumn="0" w:lastRowLastColumn="0"/>
            <w:tcW w:w="9622" w:type="dxa"/>
            <w:shd w:val="clear" w:color="auto" w:fill="DEF5EE" w:themeFill="accent4" w:themeFillTint="33"/>
          </w:tcPr>
          <w:p w14:paraId="45D05C95" w14:textId="77777777" w:rsidR="00496804" w:rsidRPr="0031420A" w:rsidRDefault="0037359D">
            <w:pPr>
              <w:spacing w:line="240" w:lineRule="auto"/>
              <w:rPr>
                <w:rFonts w:ascii="Times New Roman" w:hAnsi="Times New Roman"/>
                <w:sz w:val="24"/>
              </w:rPr>
            </w:pPr>
            <w:r w:rsidRPr="0031420A">
              <w:rPr>
                <w:rFonts w:ascii="Times New Roman" w:hAnsi="Times New Roman"/>
                <w:sz w:val="24"/>
              </w:rPr>
              <w:t>Circular Economy 100 (CE100) – platforma zaklade Ellen MacArthur, koja služi kao prostor za učenje, razmjenu znanja i izgradnju novih pristupa za suradnju. Temeljem projekata ostvaruje se suradnja različitih stručnjaka koristeći znanje i resurse platforme CE100.</w:t>
            </w:r>
          </w:p>
          <w:p w14:paraId="45D05C96" w14:textId="77777777" w:rsidR="00496804" w:rsidRPr="0031420A" w:rsidRDefault="0037359D">
            <w:pPr>
              <w:spacing w:line="240" w:lineRule="auto"/>
              <w:rPr>
                <w:rFonts w:ascii="Times New Roman" w:hAnsi="Times New Roman"/>
                <w:sz w:val="24"/>
              </w:rPr>
            </w:pPr>
            <w:r w:rsidRPr="0031420A">
              <w:rPr>
                <w:rFonts w:ascii="Times New Roman" w:hAnsi="Times New Roman"/>
                <w:sz w:val="24"/>
              </w:rPr>
              <w:t>https://www.ellenmacarthurfoundation.org/our-work/activities/ce100</w:t>
            </w:r>
          </w:p>
        </w:tc>
      </w:tr>
    </w:tbl>
    <w:p w14:paraId="45D05C98" w14:textId="77777777" w:rsidR="00496804" w:rsidRDefault="00496804">
      <w:pPr>
        <w:spacing w:line="240" w:lineRule="auto"/>
        <w:rPr>
          <w:rFonts w:ascii="Times New Roman" w:hAnsi="Times New Roman"/>
          <w:sz w:val="24"/>
        </w:rPr>
      </w:pPr>
    </w:p>
    <w:p w14:paraId="45D05C99" w14:textId="77777777" w:rsidR="00496804" w:rsidRDefault="00496804">
      <w:pPr>
        <w:spacing w:line="240" w:lineRule="auto"/>
        <w:rPr>
          <w:rFonts w:ascii="Times New Roman" w:hAnsi="Times New Roman"/>
          <w:sz w:val="24"/>
        </w:rPr>
      </w:pPr>
    </w:p>
    <w:p w14:paraId="45D05C9A" w14:textId="77777777" w:rsidR="00496804" w:rsidRDefault="00496804">
      <w:pPr>
        <w:spacing w:line="240" w:lineRule="auto"/>
        <w:rPr>
          <w:rFonts w:ascii="Times New Roman" w:hAnsi="Times New Roman"/>
          <w:sz w:val="24"/>
        </w:rPr>
      </w:pPr>
    </w:p>
    <w:p w14:paraId="45D05C9B" w14:textId="77777777" w:rsidR="00496804" w:rsidRDefault="0037359D">
      <w:pPr>
        <w:spacing w:line="240" w:lineRule="auto"/>
        <w:jc w:val="left"/>
        <w:rPr>
          <w:rFonts w:ascii="Times New Roman" w:hAnsi="Times New Roman"/>
          <w:sz w:val="24"/>
        </w:rPr>
      </w:pPr>
      <w:r>
        <w:rPr>
          <w:rFonts w:ascii="Times New Roman" w:hAnsi="Times New Roman"/>
          <w:sz w:val="24"/>
        </w:rPr>
        <w:br w:type="page"/>
      </w:r>
    </w:p>
    <w:p w14:paraId="45D05C9C" w14:textId="77777777" w:rsidR="00496804" w:rsidRDefault="0037359D">
      <w:pPr>
        <w:pStyle w:val="Naslov10"/>
        <w:spacing w:line="240" w:lineRule="auto"/>
        <w:ind w:left="426" w:hanging="426"/>
        <w:outlineLvl w:val="0"/>
        <w:rPr>
          <w:rFonts w:ascii="Times New Roman" w:hAnsi="Times New Roman" w:cs="Times New Roman"/>
          <w:sz w:val="24"/>
          <w:szCs w:val="24"/>
        </w:rPr>
      </w:pPr>
      <w:bookmarkStart w:id="145" w:name="_Toc51851643"/>
      <w:bookmarkStart w:id="146" w:name="_Hlk38113447"/>
      <w:r>
        <w:rPr>
          <w:rFonts w:ascii="Times New Roman" w:hAnsi="Times New Roman" w:cs="Times New Roman"/>
          <w:sz w:val="24"/>
          <w:szCs w:val="24"/>
        </w:rPr>
        <w:lastRenderedPageBreak/>
        <w:t>OPIS SREDNJOROČNIH RAZVOJNIH POTREBA I RAZVOJNIH POTENCIJALA</w:t>
      </w:r>
      <w:bookmarkEnd w:id="145"/>
    </w:p>
    <w:p w14:paraId="45D05C9D" w14:textId="77777777" w:rsidR="00496804" w:rsidRDefault="00496804">
      <w:pPr>
        <w:spacing w:line="240" w:lineRule="auto"/>
        <w:rPr>
          <w:rFonts w:ascii="Times New Roman" w:hAnsi="Times New Roman"/>
          <w:sz w:val="24"/>
        </w:rPr>
      </w:pPr>
    </w:p>
    <w:p w14:paraId="45D05C9E" w14:textId="77777777" w:rsidR="00496804" w:rsidRDefault="0037359D">
      <w:pPr>
        <w:pStyle w:val="Naslov2"/>
        <w:ind w:left="426" w:hanging="426"/>
        <w:rPr>
          <w:rFonts w:ascii="Times New Roman" w:hAnsi="Times New Roman" w:cs="Times New Roman"/>
          <w:color w:val="auto"/>
          <w:sz w:val="24"/>
          <w:szCs w:val="24"/>
        </w:rPr>
      </w:pPr>
      <w:bookmarkStart w:id="147" w:name="_Toc51851644"/>
      <w:r>
        <w:rPr>
          <w:rFonts w:ascii="Times New Roman" w:hAnsi="Times New Roman" w:cs="Times New Roman"/>
          <w:color w:val="auto"/>
          <w:sz w:val="24"/>
          <w:szCs w:val="24"/>
        </w:rPr>
        <w:t>IDENTIFIKACIJA RAZVOJNIH POTREBA</w:t>
      </w:r>
      <w:bookmarkEnd w:id="147"/>
    </w:p>
    <w:p w14:paraId="45D05C9F" w14:textId="77777777" w:rsidR="00496804" w:rsidRDefault="00496804">
      <w:pPr>
        <w:tabs>
          <w:tab w:val="left" w:pos="426"/>
        </w:tabs>
        <w:spacing w:line="240" w:lineRule="auto"/>
        <w:rPr>
          <w:rFonts w:ascii="Times New Roman" w:hAnsi="Times New Roman"/>
          <w:b/>
          <w:sz w:val="24"/>
        </w:rPr>
      </w:pPr>
      <w:bookmarkStart w:id="148" w:name="_Hlk38124354"/>
    </w:p>
    <w:p w14:paraId="45D05CA0" w14:textId="77777777" w:rsidR="00496804" w:rsidRDefault="0037359D">
      <w:pPr>
        <w:tabs>
          <w:tab w:val="left" w:pos="426"/>
        </w:tabs>
        <w:spacing w:line="240" w:lineRule="auto"/>
        <w:rPr>
          <w:rFonts w:ascii="Times New Roman" w:hAnsi="Times New Roman"/>
          <w:b/>
          <w:sz w:val="24"/>
        </w:rPr>
      </w:pPr>
      <w:r>
        <w:rPr>
          <w:rFonts w:ascii="Times New Roman" w:hAnsi="Times New Roman"/>
          <w:b/>
          <w:sz w:val="24"/>
        </w:rPr>
        <w:t>Globalne razvojne potrebe</w:t>
      </w:r>
    </w:p>
    <w:p w14:paraId="45D05CA1" w14:textId="77777777" w:rsidR="00496804" w:rsidRDefault="0037359D">
      <w:pPr>
        <w:tabs>
          <w:tab w:val="left" w:pos="426"/>
        </w:tabs>
        <w:spacing w:line="240" w:lineRule="auto"/>
        <w:rPr>
          <w:rFonts w:ascii="Times New Roman" w:hAnsi="Times New Roman"/>
          <w:sz w:val="24"/>
        </w:rPr>
      </w:pPr>
      <w:r>
        <w:rPr>
          <w:rFonts w:ascii="Times New Roman" w:hAnsi="Times New Roman"/>
          <w:sz w:val="24"/>
        </w:rPr>
        <w:t>Očekuje se da će se globalna potrošnja materijala udvostručiti u sljedećih četrdeset godina, dok bi se proizvodnja otpada do 2050. godine trebala povećati za 70%. Neutralno, resursno učinkovito i konkurentno gospodarstvo može dati odgovor kako smanjiti eksploataciju resursa i nastanak otpada.</w:t>
      </w:r>
    </w:p>
    <w:p w14:paraId="45D05CA2" w14:textId="77777777" w:rsidR="00496804" w:rsidRDefault="00496804">
      <w:pPr>
        <w:spacing w:line="240" w:lineRule="auto"/>
        <w:rPr>
          <w:rFonts w:ascii="Times New Roman" w:hAnsi="Times New Roman"/>
          <w:sz w:val="24"/>
        </w:rPr>
      </w:pPr>
    </w:p>
    <w:p w14:paraId="45D05CA3" w14:textId="77777777" w:rsidR="00496804" w:rsidRDefault="0037359D">
      <w:pPr>
        <w:spacing w:line="240" w:lineRule="auto"/>
        <w:rPr>
          <w:rFonts w:ascii="Times New Roman" w:hAnsi="Times New Roman"/>
          <w:b/>
          <w:sz w:val="24"/>
        </w:rPr>
      </w:pPr>
      <w:r>
        <w:rPr>
          <w:rFonts w:ascii="Times New Roman" w:hAnsi="Times New Roman"/>
          <w:b/>
          <w:sz w:val="24"/>
        </w:rPr>
        <w:t xml:space="preserve">Lokalne razvojne potrebe </w:t>
      </w:r>
    </w:p>
    <w:p w14:paraId="45D05CA4" w14:textId="77777777" w:rsidR="00496804" w:rsidRDefault="0037359D">
      <w:pPr>
        <w:spacing w:line="240" w:lineRule="auto"/>
        <w:rPr>
          <w:rFonts w:ascii="Times New Roman" w:hAnsi="Times New Roman"/>
          <w:sz w:val="24"/>
        </w:rPr>
      </w:pPr>
      <w:r>
        <w:rPr>
          <w:rFonts w:ascii="Times New Roman" w:hAnsi="Times New Roman"/>
          <w:bCs/>
          <w:sz w:val="24"/>
        </w:rPr>
        <w:t>Proizlaze iz potrebe za smanjenjem crpljenja velikih količina resursa u građevinarstvu, posebno sektoru zgradarstva, potom smanjenja nastanka građevnog otpada i smanjenja emisija stakleničkih plinova. Smanjenje emisija ostvaruje se kroz povećanje učinkovitosti materijala, proizvodnju građevnih proizvoda te izgradnju i obnovu zgrada.</w:t>
      </w:r>
      <w:r>
        <w:rPr>
          <w:rFonts w:ascii="Times New Roman" w:hAnsi="Times New Roman"/>
          <w:sz w:val="24"/>
        </w:rPr>
        <w:t xml:space="preserve"> Lokalne razvojne potrebe mogu se prepoznati u </w:t>
      </w:r>
      <w:r>
        <w:rPr>
          <w:rFonts w:ascii="Times New Roman" w:hAnsi="Times New Roman"/>
          <w:bCs/>
          <w:sz w:val="24"/>
        </w:rPr>
        <w:t>nedostatnom održavanju stambenog i nestambenog fonda zgrada</w:t>
      </w:r>
      <w:r>
        <w:rPr>
          <w:rFonts w:ascii="Times New Roman" w:hAnsi="Times New Roman"/>
          <w:sz w:val="24"/>
        </w:rPr>
        <w:t xml:space="preserve"> i </w:t>
      </w:r>
      <w:r>
        <w:rPr>
          <w:rFonts w:ascii="Times New Roman" w:hAnsi="Times New Roman"/>
          <w:bCs/>
          <w:sz w:val="24"/>
        </w:rPr>
        <w:t>niskoj stopi oporabe građevnog otpada.</w:t>
      </w:r>
      <w:r>
        <w:rPr>
          <w:rFonts w:ascii="Times New Roman" w:hAnsi="Times New Roman"/>
          <w:b/>
          <w:bCs/>
          <w:sz w:val="24"/>
        </w:rPr>
        <w:t xml:space="preserve"> </w:t>
      </w:r>
      <w:r>
        <w:rPr>
          <w:rFonts w:ascii="Times New Roman" w:hAnsi="Times New Roman"/>
          <w:sz w:val="24"/>
        </w:rPr>
        <w:t>Cjeloviti odgovor na razvojne potrebe potrebno je tražiti sagledavanjem zgrada kroz gospodarske i okolišne aspekte u njihovom cjeloživotnom vijeku.</w:t>
      </w:r>
    </w:p>
    <w:p w14:paraId="45D05CA5" w14:textId="77777777" w:rsidR="00496804" w:rsidRDefault="00496804">
      <w:pPr>
        <w:spacing w:line="240" w:lineRule="auto"/>
        <w:rPr>
          <w:rFonts w:ascii="Times New Roman" w:hAnsi="Times New Roman"/>
          <w:sz w:val="24"/>
        </w:rPr>
      </w:pPr>
    </w:p>
    <w:p w14:paraId="45D05CA6" w14:textId="77777777" w:rsidR="00496804" w:rsidRDefault="0037359D">
      <w:pPr>
        <w:spacing w:line="240" w:lineRule="auto"/>
        <w:rPr>
          <w:rFonts w:ascii="Times New Roman" w:hAnsi="Times New Roman"/>
          <w:sz w:val="24"/>
        </w:rPr>
      </w:pPr>
      <w:r>
        <w:rPr>
          <w:rFonts w:ascii="Times New Roman" w:hAnsi="Times New Roman"/>
          <w:sz w:val="24"/>
        </w:rPr>
        <w:t xml:space="preserve">Kako se primjena kružnog gospodarenja bitno razlikuje uvjetno o statusu korištenja zgrada, postojeća izgradnja može se grupirati u dvije skupine: nekorišteni i korišteni prostori i zgrade. </w:t>
      </w:r>
      <w:r>
        <w:rPr>
          <w:rFonts w:ascii="Times New Roman" w:hAnsi="Times New Roman"/>
          <w:sz w:val="24"/>
          <w:u w:color="0076BA"/>
        </w:rPr>
        <w:t>Iako je jasan prioritet nužnosti obnove postojećih prostora i zgrada, ne smijemo zanemariti značajnu mogućnost primjene kod planiranja i projektiranja novih zgrada, jer se kod njih može postići najveća razina učinkovite kružnosti.</w:t>
      </w:r>
      <w:r>
        <w:rPr>
          <w:rFonts w:ascii="Times New Roman" w:hAnsi="Times New Roman"/>
          <w:sz w:val="24"/>
        </w:rPr>
        <w:t xml:space="preserve"> Razvojne potrebe projekta stoga se sagledavaju prema tipologiji projekta (gradnja i prostorno planiranje po načelu kružnog gospodarenja, revitalizacija i obnova nekorištenih prostora i zgrada, kružna obnova i reprogramiranje korištenih prostora i zgrada).</w:t>
      </w:r>
    </w:p>
    <w:p w14:paraId="45D05CA7" w14:textId="77777777" w:rsidR="00496804" w:rsidRDefault="00496804">
      <w:pPr>
        <w:spacing w:line="240" w:lineRule="auto"/>
        <w:rPr>
          <w:rFonts w:ascii="Times New Roman" w:hAnsi="Times New Roman"/>
          <w:sz w:val="24"/>
        </w:rPr>
      </w:pPr>
    </w:p>
    <w:p w14:paraId="45D05CA8" w14:textId="77777777" w:rsidR="00496804" w:rsidRDefault="0037359D">
      <w:pPr>
        <w:tabs>
          <w:tab w:val="left" w:pos="174"/>
        </w:tabs>
        <w:spacing w:line="240" w:lineRule="auto"/>
        <w:rPr>
          <w:rFonts w:ascii="Times New Roman" w:hAnsi="Times New Roman"/>
          <w:bCs/>
          <w:sz w:val="24"/>
        </w:rPr>
      </w:pPr>
      <w:r>
        <w:rPr>
          <w:rFonts w:ascii="Times New Roman" w:hAnsi="Times New Roman"/>
          <w:bCs/>
          <w:sz w:val="24"/>
        </w:rPr>
        <w:t>Nedostatak cjelovitih podataka o stanju nacionalnog fonda zgrada predstavlja izazov za detaljnu identifikaciju i analizu potreba za koju je potrebno uspostaviti objedinjeni sustav digitalnog evidentiranja i praćenja prostora i zgrada.</w:t>
      </w:r>
      <w:r>
        <w:rPr>
          <w:rFonts w:ascii="Times New Roman" w:hAnsi="Times New Roman"/>
          <w:b/>
          <w:bCs/>
          <w:sz w:val="24"/>
        </w:rPr>
        <w:t xml:space="preserve"> </w:t>
      </w:r>
      <w:r>
        <w:rPr>
          <w:rFonts w:ascii="Times New Roman" w:hAnsi="Times New Roman"/>
          <w:sz w:val="24"/>
        </w:rPr>
        <w:t>Takav r</w:t>
      </w:r>
      <w:r>
        <w:rPr>
          <w:rFonts w:ascii="Times New Roman" w:hAnsi="Times New Roman"/>
          <w:bCs/>
          <w:sz w:val="24"/>
        </w:rPr>
        <w:t xml:space="preserve">egistar bi utvrdio stvarno početno stanje te omogućio kvalitetno praćenje Programom definiranih mjera. </w:t>
      </w:r>
      <w:r>
        <w:rPr>
          <w:rFonts w:ascii="Times New Roman" w:hAnsi="Times New Roman"/>
          <w:sz w:val="24"/>
        </w:rPr>
        <w:t xml:space="preserve">ISPU, kojeg </w:t>
      </w:r>
      <w:r>
        <w:rPr>
          <w:rFonts w:ascii="Times New Roman" w:hAnsi="Times New Roman"/>
          <w:bCs/>
          <w:sz w:val="24"/>
        </w:rPr>
        <w:t xml:space="preserve">uspostavlja, razvija i vodi ministarstvo </w:t>
      </w:r>
      <w:r>
        <w:rPr>
          <w:rFonts w:ascii="Times New Roman" w:hAnsi="Times New Roman"/>
          <w:sz w:val="24"/>
        </w:rPr>
        <w:t>nadležno za poslove prostornoga uređenja, graditeljstva i državne imovine</w:t>
      </w:r>
      <w:r>
        <w:rPr>
          <w:rFonts w:ascii="Times New Roman" w:hAnsi="Times New Roman"/>
          <w:bCs/>
          <w:sz w:val="24"/>
        </w:rPr>
        <w:t>,</w:t>
      </w:r>
      <w:r>
        <w:rPr>
          <w:rFonts w:ascii="Times New Roman" w:hAnsi="Times New Roman"/>
          <w:sz w:val="24"/>
        </w:rPr>
        <w:t xml:space="preserve"> nudi takve m</w:t>
      </w:r>
      <w:r>
        <w:rPr>
          <w:rFonts w:ascii="Times New Roman" w:hAnsi="Times New Roman"/>
          <w:bCs/>
          <w:sz w:val="24"/>
        </w:rPr>
        <w:t>ogućnosti</w:t>
      </w:r>
      <w:r>
        <w:rPr>
          <w:rFonts w:ascii="Times New Roman" w:hAnsi="Times New Roman"/>
          <w:sz w:val="24"/>
        </w:rPr>
        <w:t>.</w:t>
      </w:r>
      <w:r>
        <w:rPr>
          <w:rFonts w:ascii="Times New Roman" w:hAnsi="Times New Roman"/>
          <w:bCs/>
          <w:sz w:val="24"/>
        </w:rPr>
        <w:t xml:space="preserve"> ISPU je državni interoperabilni i multiplatformni sustav za unos, verifikaciju, javnu objavu i razmjenu prostornih podataka za potrebe izrade, donošenja, provedbe i nadzora prostornih planova, trajnog praćenja stanja u prostoru i području prostornog uređenja, izrade izvješća o stanju u prostoru te obavljanje poslovnih procesa propisanih Zakonom o prostornom uređenju i podzakonskim propisima. Zadaća ISPU je na jednom mjestu prikupiti prostorne planove svih razina i podatke o intervencijama u prostoru, prikazati i učiniti ih dostupnima svim zainteresiranim stranama, sve kako bi se omogućio pregled prostornih podataka iz drugih izvora relevantnih za prostorno planiranje i praćenje stanja u prostoru te olakšalo dobivanje informacije o mogućem načinu korištenja prostora radi ubrzavanja postupka izdavanja dozvola za gradnju. U cilju inventarizacije, vrednovanja i praćenja stanja </w:t>
      </w:r>
      <w:r>
        <w:rPr>
          <w:rFonts w:ascii="Times New Roman" w:hAnsi="Times New Roman"/>
          <w:bCs/>
          <w:i/>
          <w:sz w:val="24"/>
        </w:rPr>
        <w:t>brownfield</w:t>
      </w:r>
      <w:r>
        <w:rPr>
          <w:rFonts w:ascii="Times New Roman" w:hAnsi="Times New Roman"/>
          <w:bCs/>
          <w:sz w:val="24"/>
        </w:rPr>
        <w:t xml:space="preserve"> područja u RH unutar ISPU sustava uspostavljen je modul </w:t>
      </w:r>
      <w:r>
        <w:rPr>
          <w:rFonts w:ascii="Times New Roman" w:hAnsi="Times New Roman"/>
          <w:iCs/>
          <w:sz w:val="24"/>
        </w:rPr>
        <w:t>Registar brownfield područja u Republici Hrvatskoj</w:t>
      </w:r>
      <w:r>
        <w:rPr>
          <w:rFonts w:ascii="Times New Roman" w:hAnsi="Times New Roman"/>
          <w:bCs/>
          <w:sz w:val="24"/>
        </w:rPr>
        <w:t xml:space="preserve">. Ovlašteni korisnici ovog modula su: djelatnici ministarstva nadležnog </w:t>
      </w:r>
      <w:r>
        <w:rPr>
          <w:rFonts w:ascii="Times New Roman" w:hAnsi="Times New Roman"/>
          <w:sz w:val="24"/>
        </w:rPr>
        <w:t>za poslove prostornoga uređenja, graditeljstva i državne imovine</w:t>
      </w:r>
      <w:r>
        <w:rPr>
          <w:rFonts w:ascii="Times New Roman" w:hAnsi="Times New Roman"/>
          <w:bCs/>
          <w:sz w:val="24"/>
        </w:rPr>
        <w:t>, zavodi za prostorno uređenje, razvojne agencije, JLS, ministarstva i agencije. Unos podataka u Registar brownfield područja</w:t>
      </w:r>
      <w:r>
        <w:rPr>
          <w:rFonts w:ascii="Times New Roman" w:hAnsi="Times New Roman"/>
          <w:bCs/>
          <w:i/>
          <w:iCs/>
          <w:sz w:val="24"/>
        </w:rPr>
        <w:t xml:space="preserve"> </w:t>
      </w:r>
      <w:r>
        <w:rPr>
          <w:rFonts w:ascii="Times New Roman" w:hAnsi="Times New Roman"/>
          <w:bCs/>
          <w:sz w:val="24"/>
        </w:rPr>
        <w:t xml:space="preserve">potrebno je sustavno poticati, a nakon uspostave metodologije utvrditi će se dodatne potrebe vezane uz </w:t>
      </w:r>
      <w:r>
        <w:rPr>
          <w:rFonts w:ascii="Times New Roman" w:hAnsi="Times New Roman"/>
          <w:sz w:val="24"/>
        </w:rPr>
        <w:t xml:space="preserve">nadogradnju Registra potrebnim funkcionalnostima i/ili izradu novog modula. </w:t>
      </w:r>
    </w:p>
    <w:p w14:paraId="45D05CA9" w14:textId="77777777" w:rsidR="00496804" w:rsidRDefault="00496804">
      <w:pPr>
        <w:tabs>
          <w:tab w:val="left" w:pos="174"/>
        </w:tabs>
        <w:spacing w:line="240" w:lineRule="auto"/>
        <w:rPr>
          <w:rFonts w:ascii="Times New Roman" w:hAnsi="Times New Roman"/>
          <w:bCs/>
          <w:sz w:val="24"/>
        </w:rPr>
      </w:pPr>
    </w:p>
    <w:p w14:paraId="45D05CAA" w14:textId="77777777" w:rsidR="00496804" w:rsidRDefault="0037359D">
      <w:pPr>
        <w:tabs>
          <w:tab w:val="left" w:pos="174"/>
        </w:tabs>
        <w:spacing w:line="240" w:lineRule="auto"/>
        <w:rPr>
          <w:rFonts w:ascii="Times New Roman" w:hAnsi="Times New Roman"/>
          <w:bCs/>
          <w:sz w:val="24"/>
        </w:rPr>
      </w:pPr>
      <w:r>
        <w:rPr>
          <w:rFonts w:ascii="Times New Roman" w:hAnsi="Times New Roman"/>
          <w:bCs/>
          <w:sz w:val="24"/>
        </w:rPr>
        <w:t xml:space="preserve">Razvoj </w:t>
      </w:r>
      <w:r>
        <w:rPr>
          <w:rFonts w:ascii="Times New Roman" w:hAnsi="Times New Roman"/>
          <w:sz w:val="24"/>
        </w:rPr>
        <w:t>analize ugljičnog otiska</w:t>
      </w:r>
      <w:r>
        <w:rPr>
          <w:rFonts w:ascii="Times New Roman" w:hAnsi="Times New Roman"/>
          <w:bCs/>
          <w:sz w:val="24"/>
        </w:rPr>
        <w:t xml:space="preserve"> zgrada trebao bi osigurati novi nacionalni standard za izračun cjeloživotnog ugljičnog otiska zgrada. Cjelovit i standardizirani uvid nužan je kako bi se moglo </w:t>
      </w:r>
      <w:r>
        <w:rPr>
          <w:rFonts w:ascii="Times New Roman" w:hAnsi="Times New Roman"/>
          <w:bCs/>
          <w:sz w:val="24"/>
        </w:rPr>
        <w:lastRenderedPageBreak/>
        <w:t>utvrditi specifičnosti RH u odnosu na europski i međunarodni kontekst i preciznije definirati izazove u pripremi i provedbi.</w:t>
      </w:r>
    </w:p>
    <w:p w14:paraId="45D05CAB" w14:textId="77777777" w:rsidR="00496804" w:rsidRDefault="00496804">
      <w:pPr>
        <w:tabs>
          <w:tab w:val="left" w:pos="174"/>
        </w:tabs>
        <w:spacing w:line="240" w:lineRule="auto"/>
        <w:rPr>
          <w:rFonts w:ascii="Times New Roman" w:hAnsi="Times New Roman"/>
          <w:bCs/>
          <w:sz w:val="24"/>
        </w:rPr>
      </w:pPr>
    </w:p>
    <w:p w14:paraId="45D05CAC"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Budući investitori ili vlasnici nekretnina, projektanti, izvođači i ostali sudionici u gradnji odgovore na izazove s kojima se susreću prilikom projektiranja, gradnje ili obnove grada mogli bi pronaći u </w:t>
      </w:r>
      <w:r>
        <w:rPr>
          <w:rFonts w:ascii="Times New Roman" w:hAnsi="Times New Roman" w:cs="Times New Roman"/>
          <w:bCs/>
          <w:sz w:val="24"/>
          <w:szCs w:val="24"/>
        </w:rPr>
        <w:t xml:space="preserve">smjernicama za planiranje prostora </w:t>
      </w:r>
      <w:r>
        <w:rPr>
          <w:rFonts w:ascii="Times New Roman" w:hAnsi="Times New Roman" w:cs="Times New Roman"/>
          <w:sz w:val="24"/>
          <w:szCs w:val="24"/>
        </w:rPr>
        <w:t>i</w:t>
      </w:r>
      <w:r>
        <w:rPr>
          <w:rFonts w:ascii="Times New Roman" w:hAnsi="Times New Roman" w:cs="Times New Roman"/>
          <w:bCs/>
          <w:sz w:val="24"/>
          <w:szCs w:val="24"/>
        </w:rPr>
        <w:t xml:space="preserve"> smjernicama za projektiranje, gradnju i održavanje zgrada prema načelima kružnog gospodarenja</w:t>
      </w:r>
      <w:r>
        <w:rPr>
          <w:rFonts w:ascii="Times New Roman" w:hAnsi="Times New Roman" w:cs="Times New Roman"/>
          <w:sz w:val="24"/>
          <w:szCs w:val="24"/>
        </w:rPr>
        <w:t xml:space="preserve">. Osnova za izradu smjernica bi bila detaljna analiza stanja uz odgovarajuću </w:t>
      </w:r>
      <w:r>
        <w:rPr>
          <w:rFonts w:ascii="Times New Roman" w:hAnsi="Times New Roman" w:cs="Times New Roman"/>
          <w:bCs/>
          <w:sz w:val="24"/>
          <w:szCs w:val="24"/>
        </w:rPr>
        <w:t>metodologiju za nekorištene zgrade, monofunkcionalne zone napuštenih prostora i zgrada i polifunkcionalne zone napuštenih prostora i zgrada</w:t>
      </w:r>
      <w:r>
        <w:rPr>
          <w:rFonts w:ascii="Times New Roman" w:hAnsi="Times New Roman" w:cs="Times New Roman"/>
          <w:sz w:val="24"/>
          <w:szCs w:val="24"/>
        </w:rPr>
        <w:t>.</w:t>
      </w:r>
    </w:p>
    <w:p w14:paraId="45D05CAD" w14:textId="77777777" w:rsidR="00496804" w:rsidRDefault="00496804">
      <w:pPr>
        <w:tabs>
          <w:tab w:val="left" w:pos="174"/>
        </w:tabs>
        <w:spacing w:line="240" w:lineRule="auto"/>
        <w:rPr>
          <w:rFonts w:ascii="Times New Roman" w:hAnsi="Times New Roman"/>
          <w:sz w:val="24"/>
          <w:lang w:eastAsia="hr-HR"/>
        </w:rPr>
      </w:pPr>
    </w:p>
    <w:p w14:paraId="45D05CAE" w14:textId="77777777" w:rsidR="00496804" w:rsidRDefault="0037359D">
      <w:pPr>
        <w:tabs>
          <w:tab w:val="left" w:pos="174"/>
        </w:tabs>
        <w:spacing w:line="240" w:lineRule="auto"/>
        <w:rPr>
          <w:rFonts w:ascii="Times New Roman" w:hAnsi="Times New Roman"/>
          <w:bCs/>
          <w:sz w:val="24"/>
        </w:rPr>
      </w:pPr>
      <w:r>
        <w:rPr>
          <w:rFonts w:ascii="Times New Roman" w:hAnsi="Times New Roman"/>
          <w:bCs/>
          <w:sz w:val="24"/>
        </w:rPr>
        <w:t xml:space="preserve">Potrebno je potaknuti </w:t>
      </w:r>
      <w:r>
        <w:rPr>
          <w:rFonts w:ascii="Times New Roman" w:hAnsi="Times New Roman"/>
          <w:sz w:val="24"/>
        </w:rPr>
        <w:t>znanstveno-istraživačke projekte</w:t>
      </w:r>
      <w:r>
        <w:rPr>
          <w:rFonts w:ascii="Times New Roman" w:hAnsi="Times New Roman"/>
          <w:bCs/>
          <w:sz w:val="24"/>
        </w:rPr>
        <w:t xml:space="preserve"> kako bi se razvile inovacije potrebne za razvoj metoda, analitičkih alata, algoritamskih sustava, baza podataka i modela za cjelovitu procjenu učinaka na okoliš kružnog gospodarenja prostora i zgrada. </w:t>
      </w:r>
    </w:p>
    <w:p w14:paraId="45D05CAF" w14:textId="77777777" w:rsidR="00496804" w:rsidRDefault="00496804">
      <w:pPr>
        <w:tabs>
          <w:tab w:val="left" w:pos="174"/>
        </w:tabs>
        <w:spacing w:line="240" w:lineRule="auto"/>
        <w:rPr>
          <w:rFonts w:ascii="Times New Roman" w:hAnsi="Times New Roman"/>
          <w:bCs/>
          <w:sz w:val="24"/>
        </w:rPr>
      </w:pPr>
    </w:p>
    <w:p w14:paraId="45D05CB0" w14:textId="77777777" w:rsidR="00496804" w:rsidRDefault="0037359D">
      <w:pPr>
        <w:tabs>
          <w:tab w:val="left" w:pos="174"/>
        </w:tabs>
        <w:spacing w:line="240" w:lineRule="auto"/>
        <w:rPr>
          <w:rFonts w:ascii="Times New Roman" w:hAnsi="Times New Roman"/>
          <w:bCs/>
          <w:sz w:val="24"/>
        </w:rPr>
      </w:pPr>
      <w:r>
        <w:rPr>
          <w:rFonts w:ascii="Times New Roman" w:hAnsi="Times New Roman"/>
          <w:bCs/>
          <w:sz w:val="24"/>
        </w:rPr>
        <w:t>Uspješnost primjene kružnog gospodarenja prostorom i zgradama ovisi o dinamici donošenja europskih strateških dokumenata s kojima će biti potrebno usklađivati nacionalni</w:t>
      </w:r>
      <w:r>
        <w:rPr>
          <w:rFonts w:ascii="Times New Roman" w:hAnsi="Times New Roman"/>
          <w:b/>
          <w:sz w:val="24"/>
        </w:rPr>
        <w:t xml:space="preserve"> </w:t>
      </w:r>
      <w:r>
        <w:rPr>
          <w:rFonts w:ascii="Times New Roman" w:hAnsi="Times New Roman"/>
          <w:sz w:val="24"/>
        </w:rPr>
        <w:t>strateški</w:t>
      </w:r>
      <w:r>
        <w:rPr>
          <w:rFonts w:ascii="Times New Roman" w:hAnsi="Times New Roman"/>
          <w:b/>
          <w:sz w:val="24"/>
        </w:rPr>
        <w:t xml:space="preserve"> </w:t>
      </w:r>
      <w:r>
        <w:rPr>
          <w:rFonts w:ascii="Times New Roman" w:hAnsi="Times New Roman"/>
          <w:bCs/>
          <w:sz w:val="24"/>
        </w:rPr>
        <w:t xml:space="preserve">i prema potrebi </w:t>
      </w:r>
      <w:r>
        <w:rPr>
          <w:rFonts w:ascii="Times New Roman" w:hAnsi="Times New Roman"/>
          <w:sz w:val="24"/>
        </w:rPr>
        <w:t xml:space="preserve">zakonodavni okvir, </w:t>
      </w:r>
      <w:r>
        <w:rPr>
          <w:rFonts w:ascii="Times New Roman" w:hAnsi="Times New Roman"/>
          <w:bCs/>
          <w:sz w:val="24"/>
        </w:rPr>
        <w:t>kao i strateške dokumente regionalne i lokalne razine.</w:t>
      </w:r>
    </w:p>
    <w:p w14:paraId="45D05CB1" w14:textId="77777777" w:rsidR="00496804" w:rsidRDefault="00496804">
      <w:pPr>
        <w:tabs>
          <w:tab w:val="left" w:pos="174"/>
        </w:tabs>
        <w:spacing w:line="240" w:lineRule="auto"/>
        <w:rPr>
          <w:rFonts w:ascii="Times New Roman" w:hAnsi="Times New Roman"/>
          <w:bCs/>
          <w:sz w:val="24"/>
        </w:rPr>
      </w:pPr>
    </w:p>
    <w:p w14:paraId="45D05CB2" w14:textId="77777777" w:rsidR="00496804" w:rsidRDefault="0037359D">
      <w:pPr>
        <w:spacing w:line="240" w:lineRule="auto"/>
        <w:rPr>
          <w:rFonts w:ascii="Times New Roman" w:hAnsi="Times New Roman"/>
          <w:sz w:val="24"/>
        </w:rPr>
      </w:pPr>
      <w:r>
        <w:rPr>
          <w:rFonts w:ascii="Times New Roman" w:hAnsi="Times New Roman"/>
          <w:sz w:val="24"/>
        </w:rPr>
        <w:t xml:space="preserve">Razvojne potrebe u implementaciji kružnog gospodarenja prostorom i zgradama na razini JLS (grad ili općina) mogu se utvrditi kroz predložene sadržaje: javni i društveni sadržaji, ugostiteljsko-turistički sadržaji, gospodarski sadržaji, sportski i rekreacijski sadržaji, sadržaji javnog zelenila </w:t>
      </w:r>
      <w:r>
        <w:rPr>
          <w:rFonts w:ascii="Times New Roman" w:hAnsi="Times New Roman"/>
          <w:bCs/>
          <w:sz w:val="24"/>
        </w:rPr>
        <w:t xml:space="preserve">dječje igralište, hortikulturno uređenje i parkovi, </w:t>
      </w:r>
      <w:r>
        <w:rPr>
          <w:rFonts w:ascii="Times New Roman" w:hAnsi="Times New Roman"/>
          <w:sz w:val="24"/>
        </w:rPr>
        <w:t xml:space="preserve">stambeni sadržaji, </w:t>
      </w:r>
      <w:r>
        <w:rPr>
          <w:rFonts w:ascii="Times New Roman" w:hAnsi="Times New Roman"/>
          <w:bCs/>
          <w:sz w:val="24"/>
        </w:rPr>
        <w:t>stambene jedinice, reciklažna dvorišta.</w:t>
      </w:r>
    </w:p>
    <w:p w14:paraId="45D05CB3" w14:textId="77777777" w:rsidR="00496804" w:rsidRDefault="00496804">
      <w:pPr>
        <w:spacing w:line="240" w:lineRule="auto"/>
        <w:rPr>
          <w:rFonts w:ascii="Times New Roman" w:hAnsi="Times New Roman"/>
          <w:sz w:val="24"/>
        </w:rPr>
      </w:pPr>
    </w:p>
    <w:bookmarkEnd w:id="148"/>
    <w:p w14:paraId="45D05CB4" w14:textId="77777777" w:rsidR="00496804" w:rsidRDefault="00496804">
      <w:pPr>
        <w:spacing w:line="240" w:lineRule="auto"/>
        <w:rPr>
          <w:rFonts w:ascii="Times New Roman" w:hAnsi="Times New Roman"/>
          <w:sz w:val="24"/>
        </w:rPr>
      </w:pPr>
    </w:p>
    <w:p w14:paraId="45D05CB5" w14:textId="77777777" w:rsidR="00496804" w:rsidRDefault="0037359D">
      <w:pPr>
        <w:pStyle w:val="Naslov2"/>
        <w:ind w:left="426" w:hanging="426"/>
        <w:rPr>
          <w:rFonts w:ascii="Times New Roman" w:hAnsi="Times New Roman" w:cs="Times New Roman"/>
          <w:color w:val="auto"/>
          <w:sz w:val="24"/>
          <w:szCs w:val="24"/>
        </w:rPr>
      </w:pPr>
      <w:bookmarkStart w:id="149" w:name="_Toc51851645"/>
      <w:r>
        <w:rPr>
          <w:rFonts w:ascii="Times New Roman" w:hAnsi="Times New Roman" w:cs="Times New Roman"/>
          <w:color w:val="auto"/>
          <w:sz w:val="24"/>
          <w:szCs w:val="24"/>
        </w:rPr>
        <w:t>RAZVOJNI POTENCIJALI (MOGUĆNOSTI)</w:t>
      </w:r>
      <w:bookmarkEnd w:id="149"/>
    </w:p>
    <w:p w14:paraId="45D05CB6" w14:textId="77777777" w:rsidR="00496804" w:rsidRDefault="00496804">
      <w:pPr>
        <w:spacing w:line="240" w:lineRule="auto"/>
        <w:rPr>
          <w:rFonts w:ascii="Times New Roman" w:hAnsi="Times New Roman"/>
          <w:sz w:val="24"/>
        </w:rPr>
      </w:pPr>
    </w:p>
    <w:p w14:paraId="45D05CB7" w14:textId="77777777" w:rsidR="00496804" w:rsidRDefault="0037359D">
      <w:pPr>
        <w:spacing w:line="240" w:lineRule="auto"/>
        <w:rPr>
          <w:rFonts w:ascii="Times New Roman" w:hAnsi="Times New Roman"/>
          <w:sz w:val="24"/>
        </w:rPr>
      </w:pPr>
      <w:r>
        <w:rPr>
          <w:rFonts w:ascii="Times New Roman" w:hAnsi="Times New Roman"/>
          <w:sz w:val="24"/>
        </w:rPr>
        <w:t xml:space="preserve">Povezivanje politike kružnog gospodarenja prostorom i zgradama s politikama ostalih sektora kroz međuresornu suradnju nužan je preduvjet tranzicije s linearnog na kružni model gospodarstva. Značajan doprinos razvoju kapaciteta na nacionalnoj, regionalnoj i lokalnoj razini predstavlja </w:t>
      </w:r>
      <w:r>
        <w:rPr>
          <w:rFonts w:ascii="Times New Roman" w:hAnsi="Times New Roman"/>
          <w:bCs/>
          <w:sz w:val="24"/>
        </w:rPr>
        <w:t>razvoj platformi</w:t>
      </w:r>
      <w:r>
        <w:rPr>
          <w:rFonts w:ascii="Times New Roman" w:hAnsi="Times New Roman"/>
          <w:sz w:val="24"/>
        </w:rPr>
        <w:t xml:space="preserve"> za razmjenu iskustava, znanja i informacija, kao i pridruživanje postojećim inicijativama.</w:t>
      </w:r>
    </w:p>
    <w:p w14:paraId="45D05CB8" w14:textId="77777777" w:rsidR="00496804" w:rsidRDefault="00496804">
      <w:pPr>
        <w:spacing w:line="240" w:lineRule="auto"/>
        <w:rPr>
          <w:rFonts w:ascii="Times New Roman" w:hAnsi="Times New Roman"/>
          <w:sz w:val="24"/>
        </w:rPr>
      </w:pPr>
    </w:p>
    <w:p w14:paraId="45D05CB9" w14:textId="77777777" w:rsidR="00496804" w:rsidRDefault="0037359D">
      <w:pPr>
        <w:spacing w:line="240" w:lineRule="auto"/>
        <w:rPr>
          <w:rFonts w:ascii="Times New Roman" w:hAnsi="Times New Roman"/>
          <w:sz w:val="24"/>
        </w:rPr>
      </w:pPr>
      <w:r>
        <w:rPr>
          <w:rFonts w:ascii="Times New Roman" w:hAnsi="Times New Roman"/>
          <w:sz w:val="24"/>
        </w:rPr>
        <w:t xml:space="preserve">Kružno gospodarenje prostorom i zgradama trebalo bi ponuditi rješenja koja će biti vidljiva u izgrađenom okolišu. Najopterećeniji dio predstavljaju </w:t>
      </w:r>
      <w:r>
        <w:rPr>
          <w:rFonts w:ascii="Times New Roman" w:hAnsi="Times New Roman"/>
          <w:bCs/>
          <w:sz w:val="24"/>
        </w:rPr>
        <w:t>zgrade s utvrđenim najlošijim svojstvima</w:t>
      </w:r>
      <w:r>
        <w:rPr>
          <w:rFonts w:ascii="Times New Roman" w:hAnsi="Times New Roman"/>
          <w:sz w:val="24"/>
        </w:rPr>
        <w:t xml:space="preserve"> (zgrade energetskog razreda D ili lošijeg u kontinentalnom dijelu Hrvatske, odnosno C ili lošijeg u primorskoj Hrvatskoj) koje u pravilu ne zadovoljavaju minimalne zahtjeve u pogledu temeljnih zahtjeva za građevine. Radi se o više od 30% zgrada koje su sada najbolji potencijal za buduće projekte kružnog gospodarenja. Skupini zgrada koje su tijekom vremena izgubila temeljna svojstva za zgrade pridružuju se i zgrade pogođene neprihvatljivim rizičnim djelovanjima odnosno potresima, požarima i poplavama.</w:t>
      </w:r>
    </w:p>
    <w:p w14:paraId="45D05CBA" w14:textId="77777777" w:rsidR="00496804" w:rsidRDefault="00496804">
      <w:pPr>
        <w:spacing w:line="240" w:lineRule="auto"/>
        <w:rPr>
          <w:rFonts w:ascii="Times New Roman" w:hAnsi="Times New Roman"/>
          <w:sz w:val="24"/>
        </w:rPr>
      </w:pPr>
    </w:p>
    <w:p w14:paraId="45D05CBB" w14:textId="54B3554B" w:rsidR="00496804" w:rsidRDefault="0037359D">
      <w:pPr>
        <w:spacing w:line="240" w:lineRule="auto"/>
        <w:rPr>
          <w:rFonts w:ascii="Times New Roman" w:hAnsi="Times New Roman"/>
          <w:sz w:val="24"/>
        </w:rPr>
      </w:pPr>
      <w:r>
        <w:rPr>
          <w:rFonts w:ascii="Times New Roman" w:hAnsi="Times New Roman"/>
          <w:sz w:val="24"/>
          <w:shd w:val="clear" w:color="auto" w:fill="FFFFFF"/>
        </w:rPr>
        <w:t xml:space="preserve">Podaci o proizvedenom </w:t>
      </w:r>
      <w:r>
        <w:rPr>
          <w:rFonts w:ascii="Times New Roman" w:hAnsi="Times New Roman"/>
          <w:bCs/>
          <w:sz w:val="24"/>
          <w:shd w:val="clear" w:color="auto" w:fill="FFFFFF"/>
        </w:rPr>
        <w:t>građevnom otpadu</w:t>
      </w:r>
      <w:r>
        <w:rPr>
          <w:rFonts w:ascii="Times New Roman" w:hAnsi="Times New Roman"/>
          <w:sz w:val="24"/>
          <w:shd w:val="clear" w:color="auto" w:fill="FFFFFF"/>
        </w:rPr>
        <w:t xml:space="preserve"> nisu još uvijek u potpunosti pouzdani i sveobuhvatni, no poznato je da on predstavlja jedan od prioritetnih tokova otpada s visokim potencijalom za oporabu i recikliranje. U prilog idu projekcije koje pokazuju da je ukupna količina proizvedenog građevnog otpada u razdoblju 2016. – 2022. iznosila 32,2 milijuna tona.</w:t>
      </w:r>
      <w:r>
        <w:rPr>
          <w:rStyle w:val="Referencafusnote"/>
          <w:rFonts w:ascii="Times New Roman" w:eastAsia="Trebuchet MS" w:hAnsi="Times New Roman"/>
          <w:sz w:val="24"/>
        </w:rPr>
        <w:t xml:space="preserve"> </w:t>
      </w:r>
      <w:r>
        <w:rPr>
          <w:rFonts w:ascii="Times New Roman" w:hAnsi="Times New Roman"/>
          <w:sz w:val="24"/>
        </w:rPr>
        <w:t xml:space="preserve"> Kružno gospodarenje prostorom i zgradama uključuje aktivnosti koje dovode u konačnici do smanjenja nastanka građevnog otpada, a razmatra i potiče razvoj njihove ponovne uporabe.</w:t>
      </w:r>
    </w:p>
    <w:p w14:paraId="45D05CBC" w14:textId="77777777" w:rsidR="00496804" w:rsidRDefault="00496804">
      <w:pPr>
        <w:spacing w:line="240" w:lineRule="auto"/>
        <w:rPr>
          <w:rFonts w:ascii="Times New Roman" w:hAnsi="Times New Roman"/>
          <w:sz w:val="24"/>
        </w:rPr>
      </w:pPr>
    </w:p>
    <w:p w14:paraId="45D05CBD" w14:textId="77777777" w:rsidR="00496804" w:rsidRDefault="0037359D">
      <w:pPr>
        <w:spacing w:line="240" w:lineRule="auto"/>
        <w:rPr>
          <w:rFonts w:ascii="Times New Roman" w:hAnsi="Times New Roman"/>
          <w:sz w:val="24"/>
        </w:rPr>
      </w:pPr>
      <w:r>
        <w:rPr>
          <w:rFonts w:ascii="Times New Roman" w:hAnsi="Times New Roman"/>
          <w:sz w:val="24"/>
        </w:rPr>
        <w:t xml:space="preserve">Na regionalnoj i lokalnoj razini više od polovine ispitanih iz Anketnog istraživanja tvrdi da u njihovoj JLS postoje prostori i zgrade reguliranog vlasništva koji se mogu uključiti u Program razvoja KG, a 73,24% smatra da postoji interes za uključivanje u Program. U smislu namjene najveći interes </w:t>
      </w:r>
      <w:r>
        <w:rPr>
          <w:rFonts w:ascii="Times New Roman" w:hAnsi="Times New Roman"/>
          <w:sz w:val="24"/>
        </w:rPr>
        <w:lastRenderedPageBreak/>
        <w:t>pokazan je za javne i društvene sadržaje (administrativni sadržaji, ambulanta, centar za mlade, centar udruga, depo muzeja, dom za starije i nemoćne, društveni centar, edukacijski centar, istraživački institut, kulturni centar, kulturno-informativni centar, multifunkcionalna dvorana, multimedijalni sadržaji, muzej, obrazovno-edukacijski sadržaji, polivalentna dvorana, prostori za udruge, škola, vatrogasni dom, zgrada uprave, itd.), a kroz model kružnog gospodarenja prostorom i zgradama takva potreba bi se mogla zadovoljiti unutar postojećih nekorištenih zgrada.</w:t>
      </w:r>
    </w:p>
    <w:p w14:paraId="45D05CBE" w14:textId="77777777" w:rsidR="00496804" w:rsidRDefault="00496804">
      <w:pPr>
        <w:spacing w:line="240" w:lineRule="auto"/>
        <w:jc w:val="left"/>
        <w:rPr>
          <w:rFonts w:ascii="Times New Roman" w:hAnsi="Times New Roman"/>
          <w:sz w:val="24"/>
        </w:rPr>
      </w:pPr>
    </w:p>
    <w:p w14:paraId="45D05CBF" w14:textId="77777777" w:rsidR="00496804" w:rsidRDefault="00496804">
      <w:pPr>
        <w:spacing w:line="240" w:lineRule="auto"/>
        <w:jc w:val="left"/>
        <w:rPr>
          <w:rFonts w:ascii="Times New Roman" w:hAnsi="Times New Roman"/>
          <w:sz w:val="24"/>
        </w:rPr>
      </w:pPr>
    </w:p>
    <w:p w14:paraId="45D05CC0" w14:textId="3AAAE9D7" w:rsidR="00496804" w:rsidRDefault="0037359D">
      <w:pPr>
        <w:pStyle w:val="Naslov2"/>
        <w:ind w:left="426" w:hanging="426"/>
        <w:rPr>
          <w:rFonts w:ascii="Times New Roman" w:hAnsi="Times New Roman" w:cs="Times New Roman"/>
          <w:color w:val="auto"/>
          <w:sz w:val="24"/>
          <w:szCs w:val="24"/>
        </w:rPr>
      </w:pPr>
      <w:bookmarkStart w:id="150" w:name="_Toc51851646"/>
      <w:r>
        <w:rPr>
          <w:rFonts w:ascii="Times New Roman" w:hAnsi="Times New Roman" w:cs="Times New Roman"/>
          <w:color w:val="auto"/>
          <w:sz w:val="24"/>
          <w:szCs w:val="24"/>
        </w:rPr>
        <w:t>IDENTIFIKACIJA IZAZOVA</w:t>
      </w:r>
      <w:bookmarkEnd w:id="150"/>
    </w:p>
    <w:p w14:paraId="45D05CC1" w14:textId="77777777" w:rsidR="00496804" w:rsidRDefault="00496804">
      <w:pPr>
        <w:spacing w:line="240" w:lineRule="auto"/>
        <w:rPr>
          <w:rFonts w:ascii="Times New Roman" w:hAnsi="Times New Roman"/>
          <w:sz w:val="24"/>
        </w:rPr>
      </w:pPr>
    </w:p>
    <w:p w14:paraId="45D05CC2" w14:textId="77777777" w:rsidR="00496804" w:rsidRDefault="0037359D">
      <w:pPr>
        <w:spacing w:line="240" w:lineRule="auto"/>
        <w:rPr>
          <w:rFonts w:ascii="Times New Roman" w:hAnsi="Times New Roman"/>
          <w:sz w:val="24"/>
        </w:rPr>
      </w:pPr>
      <w:r>
        <w:rPr>
          <w:rFonts w:ascii="Times New Roman" w:hAnsi="Times New Roman"/>
          <w:sz w:val="24"/>
        </w:rPr>
        <w:t>Provedba Programa razvoja KG ovisi o specifičnom prostornom položaju i njegovim karakteristikama, o obilježjima lokalne zajednice poput organiziranosti, kvalitete i dinamičnosti stručnih kadrova te materijalnom stanju lokalnog gospodarstva.</w:t>
      </w:r>
    </w:p>
    <w:p w14:paraId="45D05CC3" w14:textId="77777777" w:rsidR="00496804" w:rsidRDefault="00496804">
      <w:pPr>
        <w:spacing w:line="240" w:lineRule="auto"/>
        <w:rPr>
          <w:rFonts w:ascii="Times New Roman" w:hAnsi="Times New Roman"/>
          <w:sz w:val="24"/>
        </w:rPr>
      </w:pPr>
    </w:p>
    <w:p w14:paraId="45D05CC4" w14:textId="77777777" w:rsidR="00496804" w:rsidRDefault="0037359D">
      <w:pPr>
        <w:spacing w:line="240" w:lineRule="auto"/>
        <w:rPr>
          <w:rFonts w:ascii="Times New Roman" w:hAnsi="Times New Roman"/>
          <w:sz w:val="24"/>
        </w:rPr>
      </w:pPr>
      <w:r>
        <w:rPr>
          <w:rFonts w:ascii="Times New Roman" w:hAnsi="Times New Roman"/>
          <w:sz w:val="24"/>
        </w:rPr>
        <w:t xml:space="preserve">Na moguće zahvate u prostoru koji, uz neizgrađeni, obuhvaćaju i izgrađeni dio građevinskih područja naselja u kojima je potreban neki od vidova kružne obnove nekorištenih, zapuštenih, nedovoljno ili neadekvatno korištenih zgrada i prostora utječu </w:t>
      </w:r>
      <w:r>
        <w:rPr>
          <w:rFonts w:ascii="Times New Roman" w:hAnsi="Times New Roman"/>
          <w:bCs/>
          <w:sz w:val="24"/>
        </w:rPr>
        <w:t>troškovi i vrijeme izrade</w:t>
      </w:r>
      <w:r>
        <w:rPr>
          <w:rFonts w:ascii="Times New Roman" w:hAnsi="Times New Roman"/>
          <w:b/>
          <w:bCs/>
          <w:sz w:val="24"/>
        </w:rPr>
        <w:t xml:space="preserve">. </w:t>
      </w:r>
      <w:r>
        <w:rPr>
          <w:rFonts w:ascii="Times New Roman" w:hAnsi="Times New Roman"/>
          <w:sz w:val="24"/>
        </w:rPr>
        <w:t xml:space="preserve">Trenutno primjenjivani model izračuna troškova, bez uvažavanja svih aspekata održivosti zahvata u prostoru, i dalje procjenjuje da su troškovi obnove u značajnijoj mjeri veći od nove izgradnje i greenfield investicija. Dodatan izazov čini i potreba za sanacijom tla, koja je preduvjet za prenamjenu i revitalizaciju dijela </w:t>
      </w:r>
      <w:r>
        <w:rPr>
          <w:rFonts w:ascii="Times New Roman" w:hAnsi="Times New Roman"/>
          <w:i/>
          <w:sz w:val="24"/>
        </w:rPr>
        <w:t>brownfield</w:t>
      </w:r>
      <w:r>
        <w:rPr>
          <w:rFonts w:ascii="Times New Roman" w:hAnsi="Times New Roman"/>
          <w:sz w:val="24"/>
        </w:rPr>
        <w:t xml:space="preserve"> područja, a koja nerijetko iziskuje značajna financijska sredstva. Financijski sektor nove projekte poput ovih u kružnom gospodarenju ocjenjuje vrlo rizičnim.</w:t>
      </w:r>
    </w:p>
    <w:p w14:paraId="45D05CC5" w14:textId="77777777" w:rsidR="00496804" w:rsidRDefault="00496804">
      <w:pPr>
        <w:spacing w:line="240" w:lineRule="auto"/>
        <w:rPr>
          <w:rFonts w:ascii="Times New Roman" w:hAnsi="Times New Roman"/>
          <w:sz w:val="24"/>
        </w:rPr>
      </w:pPr>
    </w:p>
    <w:p w14:paraId="45D05CC6" w14:textId="77777777" w:rsidR="00496804" w:rsidRDefault="0037359D">
      <w:pPr>
        <w:spacing w:line="240" w:lineRule="auto"/>
        <w:rPr>
          <w:rFonts w:ascii="Times New Roman" w:hAnsi="Times New Roman"/>
          <w:sz w:val="24"/>
        </w:rPr>
      </w:pPr>
      <w:r>
        <w:rPr>
          <w:rFonts w:ascii="Times New Roman" w:hAnsi="Times New Roman"/>
          <w:sz w:val="24"/>
        </w:rPr>
        <w:t xml:space="preserve">Ponekad je pokretač stanja napuštenosti rezultat </w:t>
      </w:r>
      <w:r>
        <w:rPr>
          <w:rFonts w:ascii="Times New Roman" w:hAnsi="Times New Roman"/>
          <w:bCs/>
          <w:sz w:val="24"/>
        </w:rPr>
        <w:t>neriješenih imovinsko-pravnih odnosa</w:t>
      </w:r>
      <w:r>
        <w:rPr>
          <w:rFonts w:ascii="Times New Roman" w:hAnsi="Times New Roman"/>
          <w:sz w:val="24"/>
        </w:rPr>
        <w:t xml:space="preserve"> u zemljišnim knjigama. Rješenje treba tražiti u definiranju javnog interesa i osiguranju financijskih sredstava koji omogućuju njihovo razrješavanje.</w:t>
      </w:r>
    </w:p>
    <w:p w14:paraId="45D05CC7" w14:textId="77777777" w:rsidR="00496804" w:rsidRDefault="00496804">
      <w:pPr>
        <w:spacing w:line="240" w:lineRule="auto"/>
        <w:rPr>
          <w:rFonts w:ascii="Times New Roman" w:hAnsi="Times New Roman"/>
          <w:sz w:val="24"/>
        </w:rPr>
      </w:pPr>
    </w:p>
    <w:p w14:paraId="45D05CC8" w14:textId="77777777" w:rsidR="00496804" w:rsidRDefault="0037359D">
      <w:pPr>
        <w:spacing w:line="240" w:lineRule="auto"/>
        <w:rPr>
          <w:rFonts w:ascii="Times New Roman" w:hAnsi="Times New Roman"/>
          <w:sz w:val="24"/>
        </w:rPr>
      </w:pPr>
      <w:r>
        <w:rPr>
          <w:rFonts w:ascii="Times New Roman" w:hAnsi="Times New Roman"/>
          <w:bCs/>
          <w:sz w:val="24"/>
        </w:rPr>
        <w:t>Zakonske prepreke</w:t>
      </w:r>
      <w:r>
        <w:rPr>
          <w:rFonts w:ascii="Times New Roman" w:hAnsi="Times New Roman"/>
          <w:sz w:val="24"/>
        </w:rPr>
        <w:t xml:space="preserve"> čini nedostatak obaveznih pokazatelja ekološkog učinka zgrada koje je potrebno integrirati u postupke javne nabave i zakonodavni okvir RH kada se radi o javnim zgradama u RH, a što bi moglo utjecati na početak implementacije.</w:t>
      </w:r>
    </w:p>
    <w:p w14:paraId="45D05CC9" w14:textId="77777777" w:rsidR="00496804" w:rsidRDefault="00496804">
      <w:pPr>
        <w:spacing w:line="240" w:lineRule="auto"/>
        <w:rPr>
          <w:rFonts w:ascii="Times New Roman" w:hAnsi="Times New Roman"/>
          <w:sz w:val="24"/>
        </w:rPr>
      </w:pPr>
    </w:p>
    <w:p w14:paraId="45D05CCA" w14:textId="77777777" w:rsidR="00496804" w:rsidRDefault="0037359D">
      <w:pPr>
        <w:spacing w:line="240" w:lineRule="auto"/>
        <w:rPr>
          <w:rFonts w:ascii="Times New Roman" w:hAnsi="Times New Roman"/>
          <w:sz w:val="24"/>
        </w:rPr>
      </w:pPr>
      <w:r>
        <w:rPr>
          <w:rFonts w:ascii="Times New Roman" w:hAnsi="Times New Roman"/>
          <w:bCs/>
          <w:sz w:val="24"/>
        </w:rPr>
        <w:t>Nedostatak znanja i iskustva stručnjaka</w:t>
      </w:r>
      <w:r>
        <w:rPr>
          <w:rFonts w:ascii="Times New Roman" w:hAnsi="Times New Roman"/>
          <w:sz w:val="24"/>
        </w:rPr>
        <w:t xml:space="preserve"> pri izradi kvalitetne programske i tehničke dokumentacije koje je potrebno educirati na različitim razinama – unaprjeđenjem nastave na visokoškolskim ustanovama iz područja održivosti, organiziranjem radionica strukovnih udruženja, izradom priručnika (s primjerima tehničkih rješenja i očekivanim rezultatima/dobitima) i sl. </w:t>
      </w:r>
    </w:p>
    <w:p w14:paraId="45D05CCB" w14:textId="77777777" w:rsidR="00496804" w:rsidRDefault="00496804">
      <w:pPr>
        <w:spacing w:line="240" w:lineRule="auto"/>
        <w:rPr>
          <w:rFonts w:ascii="Times New Roman" w:hAnsi="Times New Roman"/>
          <w:sz w:val="24"/>
        </w:rPr>
      </w:pPr>
    </w:p>
    <w:p w14:paraId="45D05CCC" w14:textId="77777777" w:rsidR="00496804" w:rsidRDefault="0037359D">
      <w:pPr>
        <w:tabs>
          <w:tab w:val="left" w:pos="426"/>
        </w:tabs>
        <w:spacing w:line="240" w:lineRule="auto"/>
        <w:rPr>
          <w:rFonts w:ascii="Times New Roman" w:hAnsi="Times New Roman"/>
          <w:sz w:val="24"/>
        </w:rPr>
      </w:pPr>
      <w:r>
        <w:rPr>
          <w:rFonts w:ascii="Times New Roman" w:hAnsi="Times New Roman"/>
          <w:sz w:val="24"/>
        </w:rPr>
        <w:t xml:space="preserve">Nedovoljna </w:t>
      </w:r>
      <w:r>
        <w:rPr>
          <w:rFonts w:ascii="Times New Roman" w:hAnsi="Times New Roman"/>
          <w:bCs/>
          <w:sz w:val="24"/>
        </w:rPr>
        <w:t>informiranost o prednostima i dugoročnim koristima kružnog gospodarenja prostorom i zgradama</w:t>
      </w:r>
      <w:r>
        <w:rPr>
          <w:rFonts w:ascii="Times New Roman" w:hAnsi="Times New Roman"/>
          <w:sz w:val="24"/>
        </w:rPr>
        <w:t>. Podizanje svijesti i informiranosti dugotrajan je proces, no dugoročno može doprinijeti do porasta podrške za projekte kružnog gospodarenja te potaknuti donositelje odluka i investitore na pokretanje takvih.</w:t>
      </w:r>
    </w:p>
    <w:p w14:paraId="45D05CCD" w14:textId="77777777" w:rsidR="00496804" w:rsidRDefault="00496804">
      <w:pPr>
        <w:spacing w:line="240" w:lineRule="auto"/>
        <w:rPr>
          <w:rFonts w:ascii="Times New Roman" w:hAnsi="Times New Roman"/>
          <w:sz w:val="24"/>
        </w:rPr>
      </w:pPr>
    </w:p>
    <w:p w14:paraId="45D05CCE" w14:textId="77777777" w:rsidR="00496804" w:rsidRDefault="0037359D">
      <w:pPr>
        <w:spacing w:line="240" w:lineRule="auto"/>
        <w:rPr>
          <w:rFonts w:ascii="Times New Roman" w:hAnsi="Times New Roman"/>
          <w:sz w:val="24"/>
        </w:rPr>
      </w:pPr>
      <w:r>
        <w:rPr>
          <w:rFonts w:ascii="Times New Roman" w:hAnsi="Times New Roman"/>
          <w:sz w:val="24"/>
        </w:rPr>
        <w:t xml:space="preserve">Kao preduvjet za rješavanje navedenih izazova može se izdvojiti </w:t>
      </w:r>
      <w:r>
        <w:rPr>
          <w:rFonts w:ascii="Times New Roman" w:hAnsi="Times New Roman"/>
          <w:bCs/>
          <w:sz w:val="24"/>
        </w:rPr>
        <w:t>definiranje i praćenje pokazatelja ugljičnog otiska zgrada</w:t>
      </w:r>
      <w:r>
        <w:rPr>
          <w:rFonts w:ascii="Times New Roman" w:hAnsi="Times New Roman"/>
          <w:sz w:val="24"/>
        </w:rPr>
        <w:t xml:space="preserve"> kako bi se jasno i nedvosmisleno moglo definirati postojeće stanje i pratiti napredak u provedbi mjera te osigurati transparentnost rada u komunikaciji sa širom javnosti. </w:t>
      </w:r>
    </w:p>
    <w:p w14:paraId="45D05CCF" w14:textId="77777777" w:rsidR="00496804" w:rsidRDefault="00496804">
      <w:pPr>
        <w:spacing w:line="240" w:lineRule="auto"/>
        <w:rPr>
          <w:rFonts w:ascii="Times New Roman" w:hAnsi="Times New Roman"/>
          <w:sz w:val="24"/>
        </w:rPr>
      </w:pPr>
    </w:p>
    <w:p w14:paraId="45D05CD1" w14:textId="3C8F0A1E" w:rsidR="00496804" w:rsidRDefault="0037359D" w:rsidP="00430006">
      <w:pPr>
        <w:tabs>
          <w:tab w:val="left" w:pos="426"/>
        </w:tabs>
        <w:spacing w:line="240" w:lineRule="auto"/>
        <w:rPr>
          <w:rFonts w:ascii="Times New Roman" w:hAnsi="Times New Roman"/>
          <w:sz w:val="24"/>
        </w:rPr>
      </w:pPr>
      <w:r>
        <w:rPr>
          <w:rFonts w:ascii="Times New Roman" w:hAnsi="Times New Roman"/>
          <w:bCs/>
          <w:sz w:val="24"/>
        </w:rPr>
        <w:t>Daljnji uspjeh će ovisiti i o</w:t>
      </w:r>
      <w:r>
        <w:rPr>
          <w:rFonts w:ascii="Times New Roman" w:hAnsi="Times New Roman"/>
          <w:b/>
          <w:sz w:val="24"/>
        </w:rPr>
        <w:t xml:space="preserve"> </w:t>
      </w:r>
      <w:r>
        <w:rPr>
          <w:rFonts w:ascii="Times New Roman" w:hAnsi="Times New Roman"/>
          <w:sz w:val="24"/>
        </w:rPr>
        <w:t>koordinaciji između različitih resora</w:t>
      </w:r>
      <w:r w:rsidR="00115D92">
        <w:rPr>
          <w:rFonts w:ascii="Times New Roman" w:hAnsi="Times New Roman"/>
          <w:sz w:val="24"/>
        </w:rPr>
        <w:t xml:space="preserve">, kao npr. između resora prostornog uređenja, graditeljstva i državne imovine i resora </w:t>
      </w:r>
      <w:r w:rsidR="004336CE">
        <w:rPr>
          <w:rFonts w:ascii="Times New Roman" w:hAnsi="Times New Roman"/>
          <w:sz w:val="24"/>
        </w:rPr>
        <w:t>održivog razvoja</w:t>
      </w:r>
      <w:r>
        <w:rPr>
          <w:rFonts w:ascii="Times New Roman" w:hAnsi="Times New Roman"/>
          <w:sz w:val="24"/>
        </w:rPr>
        <w:t xml:space="preserve"> </w:t>
      </w:r>
      <w:r w:rsidR="0058364F">
        <w:rPr>
          <w:rFonts w:ascii="Times New Roman" w:hAnsi="Times New Roman"/>
          <w:sz w:val="24"/>
        </w:rPr>
        <w:t xml:space="preserve">u </w:t>
      </w:r>
      <w:r>
        <w:rPr>
          <w:rFonts w:ascii="Times New Roman" w:hAnsi="Times New Roman"/>
          <w:sz w:val="24"/>
        </w:rPr>
        <w:t xml:space="preserve">realizaciji složenijih projekata </w:t>
      </w:r>
      <w:r w:rsidR="000C6A7A">
        <w:rPr>
          <w:rFonts w:ascii="Times New Roman" w:hAnsi="Times New Roman"/>
          <w:sz w:val="24"/>
        </w:rPr>
        <w:t>kružnog gospodarenja pros</w:t>
      </w:r>
      <w:r w:rsidR="002007C2">
        <w:rPr>
          <w:rFonts w:ascii="Times New Roman" w:hAnsi="Times New Roman"/>
          <w:sz w:val="24"/>
        </w:rPr>
        <w:t xml:space="preserve">torom i zgradama i </w:t>
      </w:r>
      <w:r>
        <w:rPr>
          <w:rFonts w:ascii="Times New Roman" w:hAnsi="Times New Roman"/>
          <w:sz w:val="24"/>
        </w:rPr>
        <w:t>zelene infrastrukture (kao npr. sanacija odlagališta otpada, napuštena eksploatacijska područja, opasna klizišta, zaštita od buke)</w:t>
      </w:r>
      <w:r>
        <w:rPr>
          <w:rFonts w:ascii="Times New Roman" w:eastAsia="Calibri" w:hAnsi="Times New Roman"/>
          <w:sz w:val="24"/>
        </w:rPr>
        <w:t>.</w:t>
      </w:r>
      <w:r>
        <w:rPr>
          <w:rFonts w:ascii="Times New Roman" w:hAnsi="Times New Roman"/>
          <w:sz w:val="24"/>
        </w:rPr>
        <w:br w:type="page"/>
      </w:r>
    </w:p>
    <w:p w14:paraId="45D05CD2" w14:textId="77777777" w:rsidR="00496804" w:rsidRDefault="0037359D">
      <w:pPr>
        <w:pStyle w:val="Naslov2"/>
        <w:ind w:left="426" w:hanging="426"/>
        <w:rPr>
          <w:rFonts w:ascii="Times New Roman" w:hAnsi="Times New Roman" w:cs="Times New Roman"/>
          <w:color w:val="auto"/>
          <w:sz w:val="24"/>
          <w:szCs w:val="24"/>
        </w:rPr>
      </w:pPr>
      <w:bookmarkStart w:id="151" w:name="_Toc51851647"/>
      <w:r>
        <w:rPr>
          <w:rFonts w:ascii="Times New Roman" w:hAnsi="Times New Roman" w:cs="Times New Roman"/>
          <w:color w:val="auto"/>
          <w:sz w:val="24"/>
          <w:szCs w:val="24"/>
        </w:rPr>
        <w:lastRenderedPageBreak/>
        <w:t>SWOT ANALIZA</w:t>
      </w:r>
      <w:bookmarkEnd w:id="151"/>
    </w:p>
    <w:p w14:paraId="45D05CD3" w14:textId="77777777" w:rsidR="00496804" w:rsidRDefault="00496804">
      <w:pPr>
        <w:spacing w:line="240" w:lineRule="auto"/>
        <w:rPr>
          <w:rFonts w:ascii="Times New Roman" w:hAnsi="Times New Roman"/>
          <w:sz w:val="24"/>
        </w:rPr>
      </w:pPr>
    </w:p>
    <w:p w14:paraId="45D05CD4" w14:textId="77777777" w:rsidR="00496804" w:rsidRDefault="0037359D">
      <w:pPr>
        <w:tabs>
          <w:tab w:val="left" w:pos="426"/>
        </w:tabs>
        <w:spacing w:line="240" w:lineRule="auto"/>
        <w:rPr>
          <w:rFonts w:ascii="Times New Roman" w:hAnsi="Times New Roman"/>
          <w:sz w:val="24"/>
        </w:rPr>
      </w:pPr>
      <w:bookmarkStart w:id="152" w:name="_Hlk38121680"/>
      <w:r>
        <w:rPr>
          <w:rFonts w:ascii="Times New Roman" w:hAnsi="Times New Roman"/>
          <w:sz w:val="24"/>
        </w:rPr>
        <w:t>Izrađena je SWOT analiza kojom su utvrđene ključne snage, slabosti, prilike i prijetnje za mogućnost razvoja kružnog gospodarenja prostorom i zgradama u RH. Cilj SWOT analize je pojasniti informacije dobivene analizom stanja, utvrđivanjem snaga, slabosti, prilika i prijetnji te prepoznati razvojne potrebe te potencijale. Slabosti i prijetnje analiziraju se u kontekstu razvojnih potreba, a snage i prilike u kontekstu razvojnih potencijala. Budući da je Program razvoja KG usmjeren na multisektorsku analizu, provedene su SWOT analize posebno za planiranje i gradnju novih zgrada u skladu s kružnim gospodarstvom, a posebno za obnovu postojećih zgrada u skladu s kružnim gospodarstvom</w:t>
      </w:r>
      <w:bookmarkEnd w:id="152"/>
      <w:r>
        <w:rPr>
          <w:rFonts w:ascii="Times New Roman" w:hAnsi="Times New Roman"/>
          <w:sz w:val="24"/>
        </w:rPr>
        <w:t>.</w:t>
      </w:r>
    </w:p>
    <w:p w14:paraId="45D05CD5" w14:textId="77777777" w:rsidR="00496804" w:rsidRDefault="00496804">
      <w:pPr>
        <w:spacing w:line="240" w:lineRule="auto"/>
        <w:rPr>
          <w:rFonts w:ascii="Times New Roman" w:hAnsi="Times New Roman"/>
          <w:sz w:val="24"/>
        </w:rPr>
      </w:pPr>
    </w:p>
    <w:p w14:paraId="45D05CD6" w14:textId="77777777" w:rsidR="00496804" w:rsidRDefault="0037359D">
      <w:pPr>
        <w:pStyle w:val="Opisslike"/>
        <w:rPr>
          <w:rFonts w:ascii="Times New Roman" w:hAnsi="Times New Roman"/>
          <w:b w:val="0"/>
          <w:bCs w:val="0"/>
          <w:i/>
          <w:iCs/>
          <w:sz w:val="24"/>
          <w:szCs w:val="24"/>
        </w:rPr>
      </w:pPr>
      <w:r>
        <w:rPr>
          <w:rFonts w:ascii="Times New Roman" w:hAnsi="Times New Roman"/>
          <w:b w:val="0"/>
          <w:bCs w:val="0"/>
          <w:i/>
          <w:iCs/>
          <w:sz w:val="24"/>
          <w:szCs w:val="24"/>
        </w:rPr>
        <w:t>Tablica 12. SWOT analiza</w:t>
      </w:r>
    </w:p>
    <w:tbl>
      <w:tblPr>
        <w:tblStyle w:val="Reetkatablice"/>
        <w:tblW w:w="5000" w:type="pct"/>
        <w:tblLook w:val="04A0" w:firstRow="1" w:lastRow="0" w:firstColumn="1" w:lastColumn="0" w:noHBand="0" w:noVBand="1"/>
      </w:tblPr>
      <w:tblGrid>
        <w:gridCol w:w="459"/>
        <w:gridCol w:w="4763"/>
        <w:gridCol w:w="4400"/>
      </w:tblGrid>
      <w:tr w:rsidR="00496804" w14:paraId="45D05CD9" w14:textId="77777777">
        <w:tc>
          <w:tcPr>
            <w:tcW w:w="219" w:type="pct"/>
            <w:tcBorders>
              <w:top w:val="single" w:sz="4" w:space="0" w:color="auto"/>
              <w:left w:val="single" w:sz="4" w:space="0" w:color="auto"/>
              <w:bottom w:val="single" w:sz="4" w:space="0" w:color="auto"/>
              <w:right w:val="single" w:sz="4" w:space="0" w:color="auto"/>
            </w:tcBorders>
            <w:shd w:val="clear" w:color="auto" w:fill="B8C1E9" w:themeFill="accent1" w:themeFillTint="66"/>
          </w:tcPr>
          <w:p w14:paraId="45D05CD7" w14:textId="77777777" w:rsidR="00496804" w:rsidRDefault="00496804">
            <w:pPr>
              <w:tabs>
                <w:tab w:val="left" w:pos="426"/>
              </w:tabs>
              <w:spacing w:line="240" w:lineRule="auto"/>
              <w:jc w:val="center"/>
              <w:rPr>
                <w:rFonts w:ascii="Times New Roman" w:hAnsi="Times New Roman"/>
                <w:sz w:val="20"/>
                <w:szCs w:val="20"/>
              </w:rPr>
            </w:pPr>
          </w:p>
        </w:tc>
        <w:tc>
          <w:tcPr>
            <w:tcW w:w="4781" w:type="pct"/>
            <w:gridSpan w:val="2"/>
            <w:tcBorders>
              <w:top w:val="single" w:sz="4" w:space="0" w:color="auto"/>
              <w:left w:val="single" w:sz="4" w:space="0" w:color="auto"/>
              <w:bottom w:val="single" w:sz="4" w:space="0" w:color="auto"/>
              <w:right w:val="single" w:sz="4" w:space="0" w:color="auto"/>
            </w:tcBorders>
            <w:shd w:val="clear" w:color="auto" w:fill="B8C1E9" w:themeFill="accent1" w:themeFillTint="66"/>
          </w:tcPr>
          <w:p w14:paraId="45D05CD8" w14:textId="77777777" w:rsidR="00496804" w:rsidRDefault="0037359D">
            <w:pPr>
              <w:tabs>
                <w:tab w:val="left" w:pos="426"/>
              </w:tabs>
              <w:spacing w:line="240" w:lineRule="auto"/>
              <w:jc w:val="center"/>
              <w:rPr>
                <w:rFonts w:ascii="Times New Roman" w:hAnsi="Times New Roman"/>
                <w:sz w:val="20"/>
                <w:szCs w:val="20"/>
              </w:rPr>
            </w:pPr>
            <w:r>
              <w:rPr>
                <w:rFonts w:ascii="Times New Roman" w:hAnsi="Times New Roman"/>
                <w:b/>
                <w:bCs/>
                <w:sz w:val="20"/>
                <w:szCs w:val="20"/>
              </w:rPr>
              <w:t>Planiranje i gradnja novih zgrada u skladu s kružnim gospodarstvom</w:t>
            </w:r>
          </w:p>
        </w:tc>
      </w:tr>
      <w:tr w:rsidR="00496804" w14:paraId="45D05CDD" w14:textId="77777777">
        <w:tc>
          <w:tcPr>
            <w:tcW w:w="219" w:type="pct"/>
            <w:tcBorders>
              <w:top w:val="single" w:sz="4" w:space="0" w:color="auto"/>
              <w:left w:val="single" w:sz="4" w:space="0" w:color="auto"/>
              <w:bottom w:val="single" w:sz="4" w:space="0" w:color="auto"/>
              <w:right w:val="single" w:sz="4" w:space="0" w:color="auto"/>
            </w:tcBorders>
            <w:shd w:val="clear" w:color="auto" w:fill="B8C1E9" w:themeFill="accent1" w:themeFillTint="66"/>
          </w:tcPr>
          <w:p w14:paraId="45D05CDA" w14:textId="77777777" w:rsidR="00496804" w:rsidRDefault="00496804">
            <w:pPr>
              <w:tabs>
                <w:tab w:val="left" w:pos="426"/>
              </w:tabs>
              <w:spacing w:line="240" w:lineRule="auto"/>
              <w:jc w:val="center"/>
              <w:rPr>
                <w:rFonts w:ascii="Times New Roman" w:hAnsi="Times New Roman"/>
                <w:sz w:val="20"/>
                <w:szCs w:val="20"/>
              </w:rPr>
            </w:pPr>
          </w:p>
        </w:tc>
        <w:tc>
          <w:tcPr>
            <w:tcW w:w="2485" w:type="pct"/>
            <w:tcBorders>
              <w:top w:val="single" w:sz="4" w:space="0" w:color="auto"/>
              <w:left w:val="single" w:sz="4" w:space="0" w:color="auto"/>
              <w:bottom w:val="single" w:sz="4" w:space="0" w:color="auto"/>
              <w:right w:val="single" w:sz="4" w:space="0" w:color="auto"/>
            </w:tcBorders>
            <w:shd w:val="clear" w:color="auto" w:fill="B8C1E9" w:themeFill="accent1" w:themeFillTint="66"/>
          </w:tcPr>
          <w:p w14:paraId="45D05CDB" w14:textId="77777777" w:rsidR="00496804" w:rsidRDefault="0037359D">
            <w:pPr>
              <w:tabs>
                <w:tab w:val="left" w:pos="426"/>
              </w:tabs>
              <w:spacing w:line="240" w:lineRule="auto"/>
              <w:jc w:val="center"/>
              <w:rPr>
                <w:rFonts w:ascii="Times New Roman" w:hAnsi="Times New Roman"/>
                <w:sz w:val="20"/>
                <w:szCs w:val="20"/>
              </w:rPr>
            </w:pPr>
            <w:r>
              <w:rPr>
                <w:rFonts w:ascii="Times New Roman" w:hAnsi="Times New Roman"/>
                <w:sz w:val="20"/>
                <w:szCs w:val="20"/>
              </w:rPr>
              <w:t>SNAGE</w:t>
            </w:r>
          </w:p>
        </w:tc>
        <w:tc>
          <w:tcPr>
            <w:tcW w:w="2296" w:type="pct"/>
            <w:tcBorders>
              <w:top w:val="single" w:sz="4" w:space="0" w:color="auto"/>
              <w:left w:val="single" w:sz="4" w:space="0" w:color="auto"/>
              <w:bottom w:val="single" w:sz="4" w:space="0" w:color="auto"/>
              <w:right w:val="single" w:sz="4" w:space="0" w:color="auto"/>
            </w:tcBorders>
            <w:shd w:val="clear" w:color="auto" w:fill="B8C1E9" w:themeFill="accent1" w:themeFillTint="66"/>
          </w:tcPr>
          <w:p w14:paraId="45D05CDC" w14:textId="77777777" w:rsidR="00496804" w:rsidRDefault="0037359D">
            <w:pPr>
              <w:tabs>
                <w:tab w:val="left" w:pos="426"/>
              </w:tabs>
              <w:spacing w:line="240" w:lineRule="auto"/>
              <w:jc w:val="center"/>
              <w:rPr>
                <w:rFonts w:ascii="Times New Roman" w:hAnsi="Times New Roman"/>
                <w:sz w:val="20"/>
                <w:szCs w:val="20"/>
              </w:rPr>
            </w:pPr>
            <w:r>
              <w:rPr>
                <w:rFonts w:ascii="Times New Roman" w:hAnsi="Times New Roman"/>
                <w:sz w:val="20"/>
                <w:szCs w:val="20"/>
              </w:rPr>
              <w:t>SLABOSTI</w:t>
            </w:r>
          </w:p>
        </w:tc>
      </w:tr>
      <w:tr w:rsidR="00496804" w14:paraId="45D05CEA" w14:textId="77777777">
        <w:trPr>
          <w:cantSplit/>
          <w:trHeight w:val="1134"/>
        </w:trPr>
        <w:tc>
          <w:tcPr>
            <w:tcW w:w="219" w:type="pct"/>
            <w:tcBorders>
              <w:top w:val="single" w:sz="4" w:space="0" w:color="auto"/>
              <w:left w:val="single" w:sz="4" w:space="0" w:color="auto"/>
              <w:bottom w:val="single" w:sz="4" w:space="0" w:color="auto"/>
              <w:right w:val="single" w:sz="4" w:space="0" w:color="auto"/>
            </w:tcBorders>
            <w:shd w:val="clear" w:color="auto" w:fill="B8C1E9" w:themeFill="accent1" w:themeFillTint="66"/>
            <w:textDirection w:val="btLr"/>
          </w:tcPr>
          <w:p w14:paraId="45D05CDE" w14:textId="77777777" w:rsidR="00496804" w:rsidRDefault="0037359D">
            <w:pPr>
              <w:tabs>
                <w:tab w:val="left" w:pos="426"/>
              </w:tabs>
              <w:spacing w:line="240" w:lineRule="auto"/>
              <w:ind w:left="113" w:right="113"/>
              <w:jc w:val="center"/>
              <w:rPr>
                <w:rFonts w:ascii="Times New Roman" w:hAnsi="Times New Roman"/>
                <w:sz w:val="20"/>
                <w:szCs w:val="20"/>
              </w:rPr>
            </w:pPr>
            <w:r>
              <w:rPr>
                <w:rFonts w:ascii="Times New Roman" w:hAnsi="Times New Roman"/>
                <w:sz w:val="20"/>
                <w:szCs w:val="20"/>
              </w:rPr>
              <w:t>UNUTARNJI FAKTORI</w:t>
            </w:r>
          </w:p>
        </w:tc>
        <w:tc>
          <w:tcPr>
            <w:tcW w:w="2485" w:type="pct"/>
            <w:tcBorders>
              <w:top w:val="single" w:sz="4" w:space="0" w:color="auto"/>
              <w:left w:val="single" w:sz="4" w:space="0" w:color="auto"/>
              <w:bottom w:val="single" w:sz="4" w:space="0" w:color="auto"/>
              <w:right w:val="single" w:sz="4" w:space="0" w:color="auto"/>
            </w:tcBorders>
          </w:tcPr>
          <w:p w14:paraId="45D05CDF"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Reguliran sustav prostornog planiranja, s razrađenim razinama prostornih planova i prepoznatim subjektima prostornog uređenja</w:t>
            </w:r>
          </w:p>
          <w:p w14:paraId="45D05CE0"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Reguliran sustav praćenja stanja u prostoru i u području prostornog uređenja</w:t>
            </w:r>
          </w:p>
          <w:p w14:paraId="45D05CE1"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Reguliran postupak izrade i donošenja prostornih planova uz sudjelovanje javnosti</w:t>
            </w:r>
          </w:p>
          <w:p w14:paraId="45D05CE2"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Reguliran sustav gradnje i energetske učinkovitosti u zgradarstvu</w:t>
            </w:r>
          </w:p>
          <w:p w14:paraId="45D05CE3"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Mogućnost financiranja projekata/razvojnih aktivnosti i provedbe prostornih planova ESIF sredstvima</w:t>
            </w:r>
          </w:p>
          <w:p w14:paraId="45D05CE4"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Postignuti su značajni pomaci na podizanju svijesti javnosti o koristima energetske učinkovitosti zgrada</w:t>
            </w:r>
          </w:p>
          <w:p w14:paraId="45D05CE5"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sz w:val="20"/>
                <w:szCs w:val="20"/>
              </w:rPr>
            </w:pPr>
            <w:r>
              <w:rPr>
                <w:rFonts w:ascii="Times New Roman" w:hAnsi="Times New Roman" w:cs="Times New Roman"/>
                <w:b w:val="0"/>
                <w:bCs/>
                <w:sz w:val="20"/>
                <w:szCs w:val="20"/>
              </w:rPr>
              <w:t>Propisani nZEB standard za sve nove zgrade</w:t>
            </w:r>
          </w:p>
        </w:tc>
        <w:tc>
          <w:tcPr>
            <w:tcW w:w="2296" w:type="pct"/>
            <w:tcBorders>
              <w:top w:val="single" w:sz="4" w:space="0" w:color="auto"/>
              <w:left w:val="single" w:sz="4" w:space="0" w:color="auto"/>
              <w:bottom w:val="single" w:sz="4" w:space="0" w:color="auto"/>
              <w:right w:val="single" w:sz="4" w:space="0" w:color="auto"/>
            </w:tcBorders>
          </w:tcPr>
          <w:p w14:paraId="45D05CE6"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Većina financijskih instrumenata usmjerena je na energetsku obnovu korištenih zgrada</w:t>
            </w:r>
          </w:p>
          <w:p w14:paraId="45D05CE7"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Nije razvijena metoda izračuna ugljičnog otiska zgrada</w:t>
            </w:r>
          </w:p>
          <w:p w14:paraId="45D05CE8"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Nema digitalizacije, uvida u stanje u prostoru</w:t>
            </w:r>
          </w:p>
          <w:p w14:paraId="45D05CE9"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sz w:val="20"/>
                <w:szCs w:val="20"/>
              </w:rPr>
            </w:pPr>
            <w:r>
              <w:rPr>
                <w:rFonts w:ascii="Times New Roman" w:hAnsi="Times New Roman" w:cs="Times New Roman"/>
                <w:b w:val="0"/>
                <w:bCs/>
                <w:sz w:val="20"/>
                <w:szCs w:val="20"/>
              </w:rPr>
              <w:t>Nedostatni financijski i administrativni kapaciteti u JLPRS</w:t>
            </w:r>
          </w:p>
        </w:tc>
      </w:tr>
      <w:tr w:rsidR="00496804" w14:paraId="45D05CEE" w14:textId="77777777">
        <w:trPr>
          <w:cantSplit/>
          <w:trHeight w:val="310"/>
        </w:trPr>
        <w:tc>
          <w:tcPr>
            <w:tcW w:w="219" w:type="pct"/>
            <w:tcBorders>
              <w:top w:val="single" w:sz="4" w:space="0" w:color="auto"/>
              <w:left w:val="single" w:sz="4" w:space="0" w:color="auto"/>
              <w:bottom w:val="single" w:sz="4" w:space="0" w:color="auto"/>
              <w:right w:val="single" w:sz="4" w:space="0" w:color="auto"/>
            </w:tcBorders>
            <w:shd w:val="clear" w:color="auto" w:fill="B8C1E9" w:themeFill="accent1" w:themeFillTint="66"/>
            <w:textDirection w:val="btLr"/>
          </w:tcPr>
          <w:p w14:paraId="45D05CEB" w14:textId="77777777" w:rsidR="00496804" w:rsidRDefault="00496804">
            <w:pPr>
              <w:tabs>
                <w:tab w:val="left" w:pos="426"/>
              </w:tabs>
              <w:spacing w:line="240" w:lineRule="auto"/>
              <w:jc w:val="center"/>
              <w:rPr>
                <w:rFonts w:ascii="Times New Roman" w:hAnsi="Times New Roman"/>
                <w:sz w:val="20"/>
                <w:szCs w:val="20"/>
              </w:rPr>
            </w:pPr>
          </w:p>
        </w:tc>
        <w:tc>
          <w:tcPr>
            <w:tcW w:w="2485" w:type="pct"/>
            <w:tcBorders>
              <w:top w:val="single" w:sz="4" w:space="0" w:color="auto"/>
              <w:left w:val="single" w:sz="4" w:space="0" w:color="auto"/>
              <w:bottom w:val="single" w:sz="4" w:space="0" w:color="auto"/>
              <w:right w:val="single" w:sz="4" w:space="0" w:color="auto"/>
            </w:tcBorders>
            <w:shd w:val="clear" w:color="auto" w:fill="B8C1E9" w:themeFill="accent1" w:themeFillTint="66"/>
          </w:tcPr>
          <w:p w14:paraId="45D05CEC" w14:textId="77777777" w:rsidR="00496804" w:rsidRDefault="0037359D">
            <w:pPr>
              <w:tabs>
                <w:tab w:val="left" w:pos="426"/>
              </w:tabs>
              <w:spacing w:line="240" w:lineRule="auto"/>
              <w:jc w:val="center"/>
              <w:rPr>
                <w:rFonts w:ascii="Times New Roman" w:hAnsi="Times New Roman"/>
                <w:sz w:val="20"/>
                <w:szCs w:val="20"/>
              </w:rPr>
            </w:pPr>
            <w:r>
              <w:rPr>
                <w:rFonts w:ascii="Times New Roman" w:hAnsi="Times New Roman"/>
                <w:sz w:val="20"/>
                <w:szCs w:val="20"/>
              </w:rPr>
              <w:t>PRILIKE</w:t>
            </w:r>
          </w:p>
        </w:tc>
        <w:tc>
          <w:tcPr>
            <w:tcW w:w="2296" w:type="pct"/>
            <w:tcBorders>
              <w:top w:val="single" w:sz="4" w:space="0" w:color="auto"/>
              <w:left w:val="single" w:sz="4" w:space="0" w:color="auto"/>
              <w:bottom w:val="single" w:sz="4" w:space="0" w:color="auto"/>
              <w:right w:val="single" w:sz="4" w:space="0" w:color="auto"/>
            </w:tcBorders>
            <w:shd w:val="clear" w:color="auto" w:fill="B8C1E9" w:themeFill="accent1" w:themeFillTint="66"/>
          </w:tcPr>
          <w:p w14:paraId="45D05CED" w14:textId="77777777" w:rsidR="00496804" w:rsidRDefault="0037359D">
            <w:pPr>
              <w:tabs>
                <w:tab w:val="left" w:pos="426"/>
              </w:tabs>
              <w:spacing w:line="240" w:lineRule="auto"/>
              <w:jc w:val="center"/>
              <w:rPr>
                <w:rFonts w:ascii="Times New Roman" w:hAnsi="Times New Roman"/>
                <w:sz w:val="20"/>
                <w:szCs w:val="20"/>
              </w:rPr>
            </w:pPr>
            <w:r>
              <w:rPr>
                <w:rFonts w:ascii="Times New Roman" w:hAnsi="Times New Roman"/>
                <w:sz w:val="20"/>
                <w:szCs w:val="20"/>
              </w:rPr>
              <w:t>PRIJETNJE</w:t>
            </w:r>
          </w:p>
        </w:tc>
      </w:tr>
      <w:tr w:rsidR="00496804" w14:paraId="45D05CF9" w14:textId="77777777">
        <w:trPr>
          <w:cantSplit/>
          <w:trHeight w:val="1134"/>
        </w:trPr>
        <w:tc>
          <w:tcPr>
            <w:tcW w:w="219" w:type="pct"/>
            <w:tcBorders>
              <w:top w:val="single" w:sz="4" w:space="0" w:color="auto"/>
              <w:left w:val="single" w:sz="4" w:space="0" w:color="auto"/>
              <w:bottom w:val="single" w:sz="4" w:space="0" w:color="auto"/>
              <w:right w:val="single" w:sz="4" w:space="0" w:color="auto"/>
            </w:tcBorders>
            <w:shd w:val="clear" w:color="auto" w:fill="B8C1E9" w:themeFill="accent1" w:themeFillTint="66"/>
            <w:textDirection w:val="btLr"/>
          </w:tcPr>
          <w:p w14:paraId="45D05CEF" w14:textId="77777777" w:rsidR="00496804" w:rsidRDefault="0037359D">
            <w:pPr>
              <w:tabs>
                <w:tab w:val="left" w:pos="426"/>
              </w:tabs>
              <w:spacing w:line="240" w:lineRule="auto"/>
              <w:ind w:left="113" w:right="113"/>
              <w:jc w:val="center"/>
              <w:rPr>
                <w:rFonts w:ascii="Times New Roman" w:hAnsi="Times New Roman"/>
                <w:sz w:val="20"/>
                <w:szCs w:val="20"/>
              </w:rPr>
            </w:pPr>
            <w:r>
              <w:rPr>
                <w:rFonts w:ascii="Times New Roman" w:hAnsi="Times New Roman"/>
                <w:sz w:val="20"/>
                <w:szCs w:val="20"/>
              </w:rPr>
              <w:t>VANJSKI FAKTORI</w:t>
            </w:r>
          </w:p>
        </w:tc>
        <w:tc>
          <w:tcPr>
            <w:tcW w:w="2485" w:type="pct"/>
            <w:tcBorders>
              <w:top w:val="single" w:sz="4" w:space="0" w:color="auto"/>
              <w:left w:val="single" w:sz="4" w:space="0" w:color="auto"/>
              <w:bottom w:val="single" w:sz="4" w:space="0" w:color="auto"/>
              <w:right w:val="single" w:sz="4" w:space="0" w:color="auto"/>
            </w:tcBorders>
          </w:tcPr>
          <w:p w14:paraId="45D05CF0"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Uspostava kontinuirane suradnje sa znanstvenom i stručnom zajednicom vezana uz daljnji razvoj i utvrđivanje metoda, kriterija i standarda KG prostorom i zgradama i praćenja stanja u prostoru</w:t>
            </w:r>
          </w:p>
          <w:p w14:paraId="45D05CF1"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Mogućnost uspostave mehanizama i platformi za razmjenu podataka KG, BIM sustavi, sustavi certificiranja (Leed, Breeam/DGNB), alati poput Level(s)</w:t>
            </w:r>
          </w:p>
          <w:p w14:paraId="45D05CF2"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Povoljan svjetski trenutak zbog osviještenosti za borbu protiv klimatskih promjena</w:t>
            </w:r>
          </w:p>
          <w:p w14:paraId="45D05CF3"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Uspostava participativnog modela u prepoznavanju potreba za KG-a prostorom i zgradama, uključivanje korisnika u procese planiranja što povećava uspješnost u realizaciji i korištenju u cilju osiguranja održivog društvenog razvoja</w:t>
            </w:r>
          </w:p>
          <w:p w14:paraId="45D05CF4"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Izrada principa održivog dizajna zgrada, usmjerena na metode smanjivanja nastanka građevnog otpada te poticanja upotrebe korištenih ili oporabljenih građevnih  materijala, proizvoda i građevnih elemenata</w:t>
            </w:r>
          </w:p>
          <w:p w14:paraId="45D05CF5"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Stimuliranje inovacija, novih tehnologija koje omogućuju recikliranje i oporabu komponenata bez utjecaja na životni vijek zgrade</w:t>
            </w:r>
          </w:p>
          <w:p w14:paraId="45D05CF6" w14:textId="77777777" w:rsidR="00496804" w:rsidRDefault="00496804">
            <w:pPr>
              <w:tabs>
                <w:tab w:val="left" w:pos="426"/>
              </w:tabs>
              <w:spacing w:line="240" w:lineRule="auto"/>
              <w:rPr>
                <w:rFonts w:ascii="Times New Roman" w:hAnsi="Times New Roman"/>
                <w:sz w:val="20"/>
                <w:szCs w:val="20"/>
              </w:rPr>
            </w:pPr>
          </w:p>
        </w:tc>
        <w:tc>
          <w:tcPr>
            <w:tcW w:w="2296" w:type="pct"/>
            <w:tcBorders>
              <w:top w:val="single" w:sz="4" w:space="0" w:color="auto"/>
              <w:left w:val="single" w:sz="4" w:space="0" w:color="auto"/>
              <w:bottom w:val="single" w:sz="4" w:space="0" w:color="auto"/>
              <w:right w:val="single" w:sz="4" w:space="0" w:color="auto"/>
            </w:tcBorders>
          </w:tcPr>
          <w:p w14:paraId="45D05CF7"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Nedostatni modeli i ograničene mogućnosti financiranja</w:t>
            </w:r>
          </w:p>
          <w:p w14:paraId="45D05CF8"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sz w:val="20"/>
                <w:szCs w:val="20"/>
              </w:rPr>
            </w:pPr>
            <w:r>
              <w:rPr>
                <w:rFonts w:ascii="Times New Roman" w:hAnsi="Times New Roman" w:cs="Times New Roman"/>
                <w:b w:val="0"/>
                <w:bCs/>
                <w:sz w:val="20"/>
                <w:szCs w:val="20"/>
              </w:rPr>
              <w:t>Nedostatak potrebnih znanja i vještina svih dionika (investitori, projektanti, izvođači radova i krajnji korisnici)</w:t>
            </w:r>
          </w:p>
        </w:tc>
      </w:tr>
    </w:tbl>
    <w:p w14:paraId="45D05CFA" w14:textId="77777777" w:rsidR="00496804" w:rsidRDefault="0037359D">
      <w:pPr>
        <w:spacing w:line="240" w:lineRule="auto"/>
        <w:jc w:val="left"/>
        <w:rPr>
          <w:rFonts w:ascii="Times New Roman" w:hAnsi="Times New Roman"/>
          <w:sz w:val="24"/>
        </w:rPr>
      </w:pPr>
      <w:r>
        <w:rPr>
          <w:rFonts w:ascii="Times New Roman" w:hAnsi="Times New Roman"/>
          <w:sz w:val="24"/>
        </w:rPr>
        <w:br w:type="page"/>
      </w:r>
    </w:p>
    <w:p w14:paraId="45D05CFB" w14:textId="77777777" w:rsidR="00496804" w:rsidRDefault="00496804">
      <w:pPr>
        <w:tabs>
          <w:tab w:val="left" w:pos="426"/>
        </w:tabs>
        <w:spacing w:line="240" w:lineRule="auto"/>
        <w:rPr>
          <w:rFonts w:ascii="Times New Roman" w:hAnsi="Times New Roman"/>
          <w:sz w:val="24"/>
        </w:rPr>
      </w:pPr>
    </w:p>
    <w:tbl>
      <w:tblPr>
        <w:tblStyle w:val="Reetkatablice"/>
        <w:tblW w:w="0" w:type="auto"/>
        <w:tblLook w:val="04A0" w:firstRow="1" w:lastRow="0" w:firstColumn="1" w:lastColumn="0" w:noHBand="0" w:noVBand="1"/>
      </w:tblPr>
      <w:tblGrid>
        <w:gridCol w:w="498"/>
        <w:gridCol w:w="4562"/>
        <w:gridCol w:w="4562"/>
      </w:tblGrid>
      <w:tr w:rsidR="00496804" w14:paraId="45D05CFE" w14:textId="77777777">
        <w:tc>
          <w:tcPr>
            <w:tcW w:w="498" w:type="dxa"/>
            <w:tcBorders>
              <w:top w:val="single" w:sz="4" w:space="0" w:color="auto"/>
              <w:left w:val="single" w:sz="4" w:space="0" w:color="auto"/>
              <w:bottom w:val="single" w:sz="4" w:space="0" w:color="auto"/>
              <w:right w:val="single" w:sz="4" w:space="0" w:color="auto"/>
            </w:tcBorders>
            <w:shd w:val="clear" w:color="auto" w:fill="B8C1E9" w:themeFill="accent1" w:themeFillTint="66"/>
          </w:tcPr>
          <w:p w14:paraId="45D05CFC" w14:textId="77777777" w:rsidR="00496804" w:rsidRDefault="00496804">
            <w:pPr>
              <w:tabs>
                <w:tab w:val="left" w:pos="426"/>
              </w:tabs>
              <w:spacing w:line="240" w:lineRule="auto"/>
              <w:jc w:val="center"/>
              <w:rPr>
                <w:rFonts w:ascii="Times New Roman" w:hAnsi="Times New Roman"/>
                <w:sz w:val="20"/>
                <w:szCs w:val="20"/>
              </w:rPr>
            </w:pPr>
          </w:p>
        </w:tc>
        <w:tc>
          <w:tcPr>
            <w:tcW w:w="9124" w:type="dxa"/>
            <w:gridSpan w:val="2"/>
            <w:tcBorders>
              <w:top w:val="single" w:sz="4" w:space="0" w:color="auto"/>
              <w:left w:val="single" w:sz="4" w:space="0" w:color="auto"/>
              <w:bottom w:val="single" w:sz="4" w:space="0" w:color="auto"/>
              <w:right w:val="single" w:sz="4" w:space="0" w:color="auto"/>
            </w:tcBorders>
            <w:shd w:val="clear" w:color="auto" w:fill="B8C1E9" w:themeFill="accent1" w:themeFillTint="66"/>
          </w:tcPr>
          <w:p w14:paraId="45D05CFD" w14:textId="77777777" w:rsidR="00496804" w:rsidRDefault="0037359D">
            <w:pPr>
              <w:tabs>
                <w:tab w:val="left" w:pos="426"/>
              </w:tabs>
              <w:spacing w:line="240" w:lineRule="auto"/>
              <w:jc w:val="center"/>
              <w:rPr>
                <w:rFonts w:ascii="Times New Roman" w:hAnsi="Times New Roman"/>
                <w:sz w:val="20"/>
                <w:szCs w:val="20"/>
              </w:rPr>
            </w:pPr>
            <w:r>
              <w:rPr>
                <w:rFonts w:ascii="Times New Roman" w:hAnsi="Times New Roman"/>
                <w:b/>
                <w:bCs/>
                <w:sz w:val="20"/>
                <w:szCs w:val="20"/>
              </w:rPr>
              <w:t>Obnova postojećih zgrada u skladu s kružnim gospodarstvom</w:t>
            </w:r>
          </w:p>
        </w:tc>
      </w:tr>
      <w:tr w:rsidR="00496804" w14:paraId="45D05D02" w14:textId="77777777">
        <w:tc>
          <w:tcPr>
            <w:tcW w:w="498" w:type="dxa"/>
            <w:tcBorders>
              <w:top w:val="single" w:sz="4" w:space="0" w:color="auto"/>
              <w:left w:val="single" w:sz="4" w:space="0" w:color="auto"/>
              <w:bottom w:val="single" w:sz="4" w:space="0" w:color="auto"/>
              <w:right w:val="single" w:sz="4" w:space="0" w:color="auto"/>
            </w:tcBorders>
            <w:shd w:val="clear" w:color="auto" w:fill="B8C1E9" w:themeFill="accent1" w:themeFillTint="66"/>
          </w:tcPr>
          <w:p w14:paraId="45D05CFF" w14:textId="77777777" w:rsidR="00496804" w:rsidRDefault="00496804">
            <w:pPr>
              <w:tabs>
                <w:tab w:val="left" w:pos="426"/>
              </w:tabs>
              <w:spacing w:line="240" w:lineRule="auto"/>
              <w:jc w:val="center"/>
              <w:rPr>
                <w:rFonts w:ascii="Times New Roman" w:hAnsi="Times New Roman"/>
                <w:sz w:val="20"/>
                <w:szCs w:val="20"/>
              </w:rPr>
            </w:pPr>
          </w:p>
        </w:tc>
        <w:tc>
          <w:tcPr>
            <w:tcW w:w="4562" w:type="dxa"/>
            <w:tcBorders>
              <w:top w:val="single" w:sz="4" w:space="0" w:color="auto"/>
              <w:left w:val="single" w:sz="4" w:space="0" w:color="auto"/>
              <w:bottom w:val="single" w:sz="4" w:space="0" w:color="auto"/>
              <w:right w:val="single" w:sz="4" w:space="0" w:color="auto"/>
            </w:tcBorders>
            <w:shd w:val="clear" w:color="auto" w:fill="B8C1E9" w:themeFill="accent1" w:themeFillTint="66"/>
          </w:tcPr>
          <w:p w14:paraId="45D05D00" w14:textId="77777777" w:rsidR="00496804" w:rsidRDefault="0037359D">
            <w:pPr>
              <w:tabs>
                <w:tab w:val="left" w:pos="426"/>
              </w:tabs>
              <w:spacing w:line="240" w:lineRule="auto"/>
              <w:jc w:val="center"/>
              <w:rPr>
                <w:rFonts w:ascii="Times New Roman" w:hAnsi="Times New Roman"/>
                <w:sz w:val="20"/>
                <w:szCs w:val="20"/>
              </w:rPr>
            </w:pPr>
            <w:r>
              <w:rPr>
                <w:rFonts w:ascii="Times New Roman" w:hAnsi="Times New Roman"/>
                <w:sz w:val="20"/>
                <w:szCs w:val="20"/>
              </w:rPr>
              <w:t>SNAGE</w:t>
            </w:r>
          </w:p>
        </w:tc>
        <w:tc>
          <w:tcPr>
            <w:tcW w:w="4562" w:type="dxa"/>
            <w:tcBorders>
              <w:top w:val="single" w:sz="4" w:space="0" w:color="auto"/>
              <w:left w:val="single" w:sz="4" w:space="0" w:color="auto"/>
              <w:bottom w:val="single" w:sz="4" w:space="0" w:color="auto"/>
              <w:right w:val="single" w:sz="4" w:space="0" w:color="auto"/>
            </w:tcBorders>
            <w:shd w:val="clear" w:color="auto" w:fill="B8C1E9" w:themeFill="accent1" w:themeFillTint="66"/>
          </w:tcPr>
          <w:p w14:paraId="45D05D01" w14:textId="77777777" w:rsidR="00496804" w:rsidRDefault="0037359D">
            <w:pPr>
              <w:tabs>
                <w:tab w:val="left" w:pos="426"/>
              </w:tabs>
              <w:spacing w:line="240" w:lineRule="auto"/>
              <w:jc w:val="center"/>
              <w:rPr>
                <w:rFonts w:ascii="Times New Roman" w:hAnsi="Times New Roman"/>
                <w:sz w:val="20"/>
                <w:szCs w:val="20"/>
              </w:rPr>
            </w:pPr>
            <w:r>
              <w:rPr>
                <w:rFonts w:ascii="Times New Roman" w:hAnsi="Times New Roman"/>
                <w:sz w:val="20"/>
                <w:szCs w:val="20"/>
              </w:rPr>
              <w:t>SLABOSTI</w:t>
            </w:r>
          </w:p>
        </w:tc>
      </w:tr>
      <w:tr w:rsidR="00496804" w14:paraId="45D05D16" w14:textId="77777777">
        <w:trPr>
          <w:cantSplit/>
          <w:trHeight w:val="1134"/>
        </w:trPr>
        <w:tc>
          <w:tcPr>
            <w:tcW w:w="498" w:type="dxa"/>
            <w:tcBorders>
              <w:top w:val="single" w:sz="4" w:space="0" w:color="auto"/>
              <w:left w:val="single" w:sz="4" w:space="0" w:color="auto"/>
              <w:bottom w:val="single" w:sz="4" w:space="0" w:color="auto"/>
              <w:right w:val="single" w:sz="4" w:space="0" w:color="auto"/>
            </w:tcBorders>
            <w:shd w:val="clear" w:color="auto" w:fill="B8C1E9" w:themeFill="accent1" w:themeFillTint="66"/>
            <w:textDirection w:val="btLr"/>
          </w:tcPr>
          <w:p w14:paraId="45D05D03" w14:textId="77777777" w:rsidR="00496804" w:rsidRDefault="0037359D">
            <w:pPr>
              <w:tabs>
                <w:tab w:val="left" w:pos="426"/>
              </w:tabs>
              <w:spacing w:line="240" w:lineRule="auto"/>
              <w:ind w:left="113" w:right="113"/>
              <w:jc w:val="center"/>
              <w:rPr>
                <w:rFonts w:ascii="Times New Roman" w:hAnsi="Times New Roman"/>
                <w:sz w:val="20"/>
                <w:szCs w:val="20"/>
              </w:rPr>
            </w:pPr>
            <w:r>
              <w:rPr>
                <w:rFonts w:ascii="Times New Roman" w:hAnsi="Times New Roman"/>
                <w:sz w:val="20"/>
                <w:szCs w:val="20"/>
              </w:rPr>
              <w:t>UNUTARNJI FAKTORI</w:t>
            </w:r>
          </w:p>
        </w:tc>
        <w:tc>
          <w:tcPr>
            <w:tcW w:w="4562" w:type="dxa"/>
            <w:tcBorders>
              <w:top w:val="single" w:sz="4" w:space="0" w:color="auto"/>
              <w:left w:val="single" w:sz="4" w:space="0" w:color="auto"/>
              <w:bottom w:val="single" w:sz="4" w:space="0" w:color="auto"/>
              <w:right w:val="single" w:sz="4" w:space="0" w:color="auto"/>
            </w:tcBorders>
          </w:tcPr>
          <w:p w14:paraId="45D05D04"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Značajan kapacitet napuštenih prostora i zgrada u vlasništvu RH i JLPRS</w:t>
            </w:r>
          </w:p>
          <w:p w14:paraId="45D05D05"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Postojeća legislativa RH je zadovoljavajuća u dijelu koji se odnosi na tehničke smjernice i zahtjeve za energetskom obnovom zgrada</w:t>
            </w:r>
          </w:p>
          <w:p w14:paraId="45D05D06"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 xml:space="preserve">Člankom 5. Direktive 2012/27/EU definirana obveza obnove zgrada javnog sektora u vlasništvu središnje države u svim državama članicama </w:t>
            </w:r>
          </w:p>
          <w:p w14:paraId="45D05D07"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Direktiva 2009/28/EU propisuje obvezu uvođenja mjera za povećanje udjela energije iz obnovljivih izvora energije za sve države članice</w:t>
            </w:r>
          </w:p>
          <w:p w14:paraId="45D05D08"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Postignuti su značajni pomaci na podizanju svijesti javnosti o koristima energetske obnove ostvareni kroz provedbu programa</w:t>
            </w:r>
          </w:p>
          <w:p w14:paraId="45D05D09"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Stečeno iskustvo u dosadašnjem poticajima  energetske obnove</w:t>
            </w:r>
          </w:p>
          <w:p w14:paraId="45D05D0A"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 xml:space="preserve">Postojeće zgrade pogodne su za provođenje mjera kružnosti </w:t>
            </w:r>
          </w:p>
          <w:p w14:paraId="45D05D0B"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Postignuti su značajni pomaci na podizanju svijesti javnosti o koristima energetske učinkovitosti zgrada</w:t>
            </w:r>
          </w:p>
          <w:p w14:paraId="45D05D0C"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Mogućnosti sufinanciranja obnove fonda zgrada ESIF sredstvima</w:t>
            </w:r>
          </w:p>
          <w:p w14:paraId="45D05D0D" w14:textId="77777777" w:rsidR="00496804" w:rsidRDefault="00496804">
            <w:pPr>
              <w:tabs>
                <w:tab w:val="left" w:pos="174"/>
              </w:tabs>
              <w:spacing w:line="240" w:lineRule="auto"/>
              <w:rPr>
                <w:rFonts w:ascii="Times New Roman" w:hAnsi="Times New Roman"/>
                <w:bCs/>
                <w:sz w:val="20"/>
                <w:szCs w:val="20"/>
              </w:rPr>
            </w:pPr>
          </w:p>
        </w:tc>
        <w:tc>
          <w:tcPr>
            <w:tcW w:w="4562" w:type="dxa"/>
            <w:tcBorders>
              <w:top w:val="single" w:sz="4" w:space="0" w:color="auto"/>
              <w:left w:val="single" w:sz="4" w:space="0" w:color="auto"/>
              <w:bottom w:val="single" w:sz="4" w:space="0" w:color="auto"/>
              <w:right w:val="single" w:sz="4" w:space="0" w:color="auto"/>
            </w:tcBorders>
          </w:tcPr>
          <w:p w14:paraId="45D05D0E"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Nerazvijen sustav praćenja stope demolacije fonda zgrada (rušenje, privremeno napuštanje ili neregistrirano napuštanje)</w:t>
            </w:r>
          </w:p>
          <w:p w14:paraId="45D05D0F"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 xml:space="preserve">Nedostatak dostupnih podataka o stanju nacionalnog fonda zgrada </w:t>
            </w:r>
          </w:p>
          <w:p w14:paraId="45D05D10"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 xml:space="preserve">Nepotpuni podaci u Registru brownfield područja </w:t>
            </w:r>
          </w:p>
          <w:p w14:paraId="45D05D11"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Nedostatni financijski i administrativni kapaciteti u JLPRS</w:t>
            </w:r>
          </w:p>
          <w:p w14:paraId="45D05D12"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sz w:val="20"/>
                <w:szCs w:val="20"/>
              </w:rPr>
            </w:pPr>
            <w:r>
              <w:rPr>
                <w:rFonts w:ascii="Times New Roman" w:hAnsi="Times New Roman" w:cs="Times New Roman"/>
                <w:b w:val="0"/>
                <w:sz w:val="20"/>
                <w:szCs w:val="20"/>
              </w:rPr>
              <w:t>Neiskorištenost potencijala za oporabu građevnih proizvoda</w:t>
            </w:r>
          </w:p>
          <w:p w14:paraId="45D05D13"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Nije razvijena metoda procjene ekološkog učinaka zgrade na okoliš tijekom cjeloživotnog vijeka zgrade</w:t>
            </w:r>
          </w:p>
          <w:p w14:paraId="45D05D14"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 xml:space="preserve">Većina financijskih instrumenata usmjerena je na energetsku obnovu korištenih zgrada </w:t>
            </w:r>
          </w:p>
          <w:p w14:paraId="45D05D15" w14:textId="77777777" w:rsidR="00496804" w:rsidRDefault="00496804">
            <w:pPr>
              <w:pStyle w:val="Odlomakpopisa"/>
              <w:tabs>
                <w:tab w:val="left" w:pos="174"/>
              </w:tabs>
              <w:spacing w:line="240" w:lineRule="auto"/>
              <w:ind w:left="174"/>
              <w:rPr>
                <w:rFonts w:ascii="Times New Roman" w:hAnsi="Times New Roman" w:cs="Times New Roman"/>
                <w:b w:val="0"/>
                <w:bCs/>
                <w:sz w:val="20"/>
                <w:szCs w:val="20"/>
              </w:rPr>
            </w:pPr>
          </w:p>
        </w:tc>
      </w:tr>
      <w:tr w:rsidR="00496804" w14:paraId="45D05D1A" w14:textId="77777777">
        <w:trPr>
          <w:cantSplit/>
          <w:trHeight w:val="228"/>
        </w:trPr>
        <w:tc>
          <w:tcPr>
            <w:tcW w:w="498" w:type="dxa"/>
            <w:tcBorders>
              <w:top w:val="single" w:sz="4" w:space="0" w:color="auto"/>
              <w:left w:val="single" w:sz="4" w:space="0" w:color="auto"/>
              <w:bottom w:val="single" w:sz="4" w:space="0" w:color="auto"/>
              <w:right w:val="single" w:sz="4" w:space="0" w:color="auto"/>
            </w:tcBorders>
            <w:shd w:val="clear" w:color="auto" w:fill="B8C1E9" w:themeFill="accent1" w:themeFillTint="66"/>
            <w:textDirection w:val="btLr"/>
          </w:tcPr>
          <w:p w14:paraId="45D05D17" w14:textId="77777777" w:rsidR="00496804" w:rsidRDefault="00496804">
            <w:pPr>
              <w:tabs>
                <w:tab w:val="left" w:pos="426"/>
              </w:tabs>
              <w:spacing w:line="240" w:lineRule="auto"/>
              <w:ind w:left="113" w:right="113"/>
              <w:jc w:val="center"/>
              <w:rPr>
                <w:rFonts w:ascii="Times New Roman" w:hAnsi="Times New Roman"/>
                <w:sz w:val="20"/>
                <w:szCs w:val="20"/>
              </w:rPr>
            </w:pPr>
          </w:p>
        </w:tc>
        <w:tc>
          <w:tcPr>
            <w:tcW w:w="4562" w:type="dxa"/>
            <w:tcBorders>
              <w:top w:val="single" w:sz="4" w:space="0" w:color="auto"/>
              <w:left w:val="single" w:sz="4" w:space="0" w:color="auto"/>
              <w:bottom w:val="single" w:sz="4" w:space="0" w:color="auto"/>
              <w:right w:val="single" w:sz="4" w:space="0" w:color="auto"/>
            </w:tcBorders>
            <w:shd w:val="clear" w:color="auto" w:fill="B8C1E9" w:themeFill="accent1" w:themeFillTint="66"/>
          </w:tcPr>
          <w:p w14:paraId="45D05D18" w14:textId="77777777" w:rsidR="00496804" w:rsidRDefault="0037359D">
            <w:pPr>
              <w:tabs>
                <w:tab w:val="left" w:pos="426"/>
              </w:tabs>
              <w:spacing w:line="240" w:lineRule="auto"/>
              <w:jc w:val="center"/>
              <w:rPr>
                <w:rFonts w:ascii="Times New Roman" w:hAnsi="Times New Roman"/>
                <w:sz w:val="20"/>
                <w:szCs w:val="20"/>
              </w:rPr>
            </w:pPr>
            <w:r>
              <w:rPr>
                <w:rFonts w:ascii="Times New Roman" w:hAnsi="Times New Roman"/>
                <w:sz w:val="20"/>
                <w:szCs w:val="20"/>
              </w:rPr>
              <w:t>PRILIKE</w:t>
            </w:r>
          </w:p>
        </w:tc>
        <w:tc>
          <w:tcPr>
            <w:tcW w:w="4562" w:type="dxa"/>
            <w:tcBorders>
              <w:top w:val="single" w:sz="4" w:space="0" w:color="auto"/>
              <w:left w:val="single" w:sz="4" w:space="0" w:color="auto"/>
              <w:bottom w:val="single" w:sz="4" w:space="0" w:color="auto"/>
              <w:right w:val="single" w:sz="4" w:space="0" w:color="auto"/>
            </w:tcBorders>
            <w:shd w:val="clear" w:color="auto" w:fill="B8C1E9" w:themeFill="accent1" w:themeFillTint="66"/>
          </w:tcPr>
          <w:p w14:paraId="45D05D19" w14:textId="77777777" w:rsidR="00496804" w:rsidRDefault="0037359D">
            <w:pPr>
              <w:tabs>
                <w:tab w:val="left" w:pos="426"/>
              </w:tabs>
              <w:spacing w:line="240" w:lineRule="auto"/>
              <w:jc w:val="center"/>
              <w:rPr>
                <w:rFonts w:ascii="Times New Roman" w:hAnsi="Times New Roman"/>
                <w:sz w:val="20"/>
                <w:szCs w:val="20"/>
              </w:rPr>
            </w:pPr>
            <w:r>
              <w:rPr>
                <w:rFonts w:ascii="Times New Roman" w:hAnsi="Times New Roman"/>
                <w:sz w:val="20"/>
                <w:szCs w:val="20"/>
              </w:rPr>
              <w:t>PRIJETNJE</w:t>
            </w:r>
          </w:p>
        </w:tc>
      </w:tr>
      <w:tr w:rsidR="00496804" w14:paraId="45D05D2B" w14:textId="77777777">
        <w:trPr>
          <w:cantSplit/>
          <w:trHeight w:val="1134"/>
        </w:trPr>
        <w:tc>
          <w:tcPr>
            <w:tcW w:w="498" w:type="dxa"/>
            <w:tcBorders>
              <w:top w:val="single" w:sz="4" w:space="0" w:color="auto"/>
              <w:left w:val="single" w:sz="4" w:space="0" w:color="auto"/>
              <w:bottom w:val="single" w:sz="4" w:space="0" w:color="auto"/>
              <w:right w:val="single" w:sz="4" w:space="0" w:color="auto"/>
            </w:tcBorders>
            <w:shd w:val="clear" w:color="auto" w:fill="B8C1E9" w:themeFill="accent1" w:themeFillTint="66"/>
            <w:textDirection w:val="btLr"/>
          </w:tcPr>
          <w:p w14:paraId="45D05D1B" w14:textId="77777777" w:rsidR="00496804" w:rsidRDefault="0037359D">
            <w:pPr>
              <w:tabs>
                <w:tab w:val="left" w:pos="426"/>
              </w:tabs>
              <w:spacing w:line="240" w:lineRule="auto"/>
              <w:ind w:left="113" w:right="113"/>
              <w:jc w:val="center"/>
              <w:rPr>
                <w:rFonts w:ascii="Times New Roman" w:hAnsi="Times New Roman"/>
                <w:sz w:val="20"/>
                <w:szCs w:val="20"/>
              </w:rPr>
            </w:pPr>
            <w:r>
              <w:rPr>
                <w:rFonts w:ascii="Times New Roman" w:hAnsi="Times New Roman"/>
                <w:sz w:val="20"/>
                <w:szCs w:val="20"/>
              </w:rPr>
              <w:t>VANJSKI FAKTORI</w:t>
            </w:r>
          </w:p>
        </w:tc>
        <w:tc>
          <w:tcPr>
            <w:tcW w:w="4562" w:type="dxa"/>
            <w:tcBorders>
              <w:top w:val="single" w:sz="4" w:space="0" w:color="auto"/>
              <w:left w:val="single" w:sz="4" w:space="0" w:color="auto"/>
              <w:bottom w:val="single" w:sz="4" w:space="0" w:color="auto"/>
              <w:right w:val="single" w:sz="4" w:space="0" w:color="auto"/>
            </w:tcBorders>
          </w:tcPr>
          <w:p w14:paraId="45D05D1C"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 xml:space="preserve">Integriranje kružnog gospodarstva i energetske obnove </w:t>
            </w:r>
          </w:p>
          <w:p w14:paraId="45D05D1D"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 xml:space="preserve">Uštede prostornih resursa, materijala i energije uslijed obnove postojećeg fonda zgrada </w:t>
            </w:r>
          </w:p>
          <w:p w14:paraId="45D05D1E"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Povoljan svjetski trenutak zbog osviještenosti za borbu protiv klimatskih promjena</w:t>
            </w:r>
          </w:p>
          <w:p w14:paraId="45D05D1F"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Orijentacija na napuštene i nedovoljno iskorištene zgrade u javnom vlasništvu</w:t>
            </w:r>
          </w:p>
          <w:p w14:paraId="45D05D20"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Poticajne mjere za sve vidove održivog urbanog razvoja i smanjenja stakleničkih plinova</w:t>
            </w:r>
          </w:p>
          <w:p w14:paraId="45D05D21"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Obnavljanje karakteristika konstrukcije najmanje na razinu koju je imala u trenutku gradnje imajući u vidu propise iz područja gradnje, zaštite od požara, zaštite na radu, zaštite okoliša i tehničke zaštite</w:t>
            </w:r>
          </w:p>
          <w:p w14:paraId="45D05D22"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Uspostava participativnog modela u prepoznavanju javnog interesa KG-a prostorom i zgradama, uključivanje korisnika u procese planiranja što povećava uspješnost u realizaciji i korištenju u cilju osiguranja održivog društvenog razvoja</w:t>
            </w:r>
          </w:p>
          <w:p w14:paraId="45D05D23"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Mogućnost uvođenja principa kružnosti u postojeći regulatorni okvir i instrumente politike</w:t>
            </w:r>
          </w:p>
          <w:p w14:paraId="45D05D24"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Stimuliranje inovacija, novih tehnologija koje omogućuju recikliranje i oporabu komponenata bez utjecaja na životni vijek zgrade</w:t>
            </w:r>
          </w:p>
        </w:tc>
        <w:tc>
          <w:tcPr>
            <w:tcW w:w="4562" w:type="dxa"/>
            <w:tcBorders>
              <w:top w:val="single" w:sz="4" w:space="0" w:color="auto"/>
              <w:left w:val="single" w:sz="4" w:space="0" w:color="auto"/>
              <w:bottom w:val="single" w:sz="4" w:space="0" w:color="auto"/>
              <w:right w:val="single" w:sz="4" w:space="0" w:color="auto"/>
            </w:tcBorders>
          </w:tcPr>
          <w:p w14:paraId="45D05D25"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Nedostatni modeli i ograničene mogućnosti financiranja</w:t>
            </w:r>
          </w:p>
          <w:p w14:paraId="45D05D26"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Otežana provedba planova obnova zgrada/zona zbog neriješenih imovinsko-pravnih odnosa. Vlasnički odnosi višestambenih zgrada su iznimno složeni za razliku od zgrada javnog sektora, gdje su vlasnički odnosi relativno jednostavni</w:t>
            </w:r>
          </w:p>
          <w:p w14:paraId="45D05D27"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Nedostatni financijski i administrativni kapaciteti u JLPRS</w:t>
            </w:r>
          </w:p>
          <w:p w14:paraId="45D05D28"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 xml:space="preserve">Nedostatak i potkapacitiranost izvođačkih tvrtki </w:t>
            </w:r>
          </w:p>
          <w:p w14:paraId="45D05D29"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Katastrofalni događaji (potres, požar ili poplava)</w:t>
            </w:r>
          </w:p>
          <w:p w14:paraId="45D05D2A" w14:textId="77777777" w:rsidR="00496804" w:rsidRDefault="0037359D">
            <w:pPr>
              <w:pStyle w:val="Odlomakpopisa"/>
              <w:numPr>
                <w:ilvl w:val="0"/>
                <w:numId w:val="20"/>
              </w:numPr>
              <w:tabs>
                <w:tab w:val="left" w:pos="174"/>
              </w:tabs>
              <w:spacing w:line="240" w:lineRule="auto"/>
              <w:ind w:left="174" w:hanging="174"/>
              <w:rPr>
                <w:rFonts w:ascii="Times New Roman" w:hAnsi="Times New Roman" w:cs="Times New Roman"/>
                <w:b w:val="0"/>
                <w:bCs/>
                <w:sz w:val="20"/>
                <w:szCs w:val="20"/>
              </w:rPr>
            </w:pPr>
            <w:r>
              <w:rPr>
                <w:rFonts w:ascii="Times New Roman" w:hAnsi="Times New Roman" w:cs="Times New Roman"/>
                <w:b w:val="0"/>
                <w:bCs/>
                <w:sz w:val="20"/>
                <w:szCs w:val="20"/>
              </w:rPr>
              <w:t>Nedostatak potrebnih znanja i vještina svih dionika (vlasnici zgrada, projektanti, izvođači radova i krajnji korisnici)</w:t>
            </w:r>
          </w:p>
        </w:tc>
      </w:tr>
    </w:tbl>
    <w:p w14:paraId="45D05D2C" w14:textId="77777777" w:rsidR="00496804" w:rsidRDefault="00496804">
      <w:pPr>
        <w:spacing w:line="240" w:lineRule="auto"/>
        <w:rPr>
          <w:rFonts w:ascii="Times New Roman" w:hAnsi="Times New Roman"/>
          <w:sz w:val="24"/>
        </w:rPr>
      </w:pPr>
    </w:p>
    <w:p w14:paraId="45D05D2D" w14:textId="77777777" w:rsidR="00496804" w:rsidRDefault="0037359D">
      <w:pPr>
        <w:spacing w:line="240" w:lineRule="auto"/>
        <w:jc w:val="left"/>
        <w:rPr>
          <w:rFonts w:ascii="Times New Roman" w:hAnsi="Times New Roman"/>
          <w:sz w:val="24"/>
        </w:rPr>
      </w:pPr>
      <w:r>
        <w:rPr>
          <w:rFonts w:ascii="Times New Roman" w:hAnsi="Times New Roman"/>
          <w:sz w:val="24"/>
        </w:rPr>
        <w:br w:type="page"/>
      </w:r>
    </w:p>
    <w:p w14:paraId="45D05D2E" w14:textId="77777777" w:rsidR="00496804" w:rsidRDefault="0037359D">
      <w:pPr>
        <w:pStyle w:val="Naslov10"/>
        <w:spacing w:line="240" w:lineRule="auto"/>
        <w:ind w:left="426" w:hanging="426"/>
        <w:outlineLvl w:val="0"/>
        <w:rPr>
          <w:rFonts w:ascii="Times New Roman" w:hAnsi="Times New Roman" w:cs="Times New Roman"/>
          <w:sz w:val="24"/>
          <w:szCs w:val="24"/>
        </w:rPr>
      </w:pPr>
      <w:bookmarkStart w:id="153" w:name="_Toc51851648"/>
      <w:r>
        <w:rPr>
          <w:rFonts w:ascii="Times New Roman" w:hAnsi="Times New Roman" w:cs="Times New Roman"/>
          <w:sz w:val="24"/>
          <w:szCs w:val="24"/>
        </w:rPr>
        <w:lastRenderedPageBreak/>
        <w:t xml:space="preserve">OPIS PRIORITETA JAVNE POLITIKE U </w:t>
      </w:r>
      <w:bookmarkStart w:id="154" w:name="_Toc29083938"/>
      <w:bookmarkStart w:id="155" w:name="_Toc27948621"/>
      <w:r>
        <w:rPr>
          <w:rFonts w:ascii="Times New Roman" w:hAnsi="Times New Roman" w:cs="Times New Roman"/>
          <w:sz w:val="24"/>
          <w:szCs w:val="24"/>
        </w:rPr>
        <w:t>SREDNJOROČNOM RAZDOBLJU</w:t>
      </w:r>
      <w:bookmarkEnd w:id="153"/>
      <w:bookmarkEnd w:id="154"/>
      <w:bookmarkEnd w:id="155"/>
    </w:p>
    <w:p w14:paraId="45D05D2F" w14:textId="77777777" w:rsidR="00496804" w:rsidRDefault="00496804">
      <w:pPr>
        <w:spacing w:line="240" w:lineRule="auto"/>
        <w:rPr>
          <w:rFonts w:ascii="Times New Roman" w:hAnsi="Times New Roman"/>
          <w:sz w:val="24"/>
        </w:rPr>
      </w:pPr>
    </w:p>
    <w:p w14:paraId="45D05D30" w14:textId="1049691A" w:rsidR="00496804" w:rsidRDefault="0037359D">
      <w:pPr>
        <w:spacing w:line="240" w:lineRule="auto"/>
        <w:rPr>
          <w:rFonts w:ascii="Times New Roman" w:hAnsi="Times New Roman"/>
          <w:sz w:val="24"/>
        </w:rPr>
      </w:pPr>
      <w:r>
        <w:rPr>
          <w:rFonts w:ascii="Times New Roman" w:hAnsi="Times New Roman"/>
          <w:sz w:val="24"/>
        </w:rPr>
        <w:t xml:space="preserve">Prioriteti javnih politika u području kružnog gospodarenja prostorom i zgradama, energetske učinkovitosti i prostornog planiranja definirani su u okviru NRS 2030 i njenog razvojnog smjera </w:t>
      </w:r>
      <w:r>
        <w:rPr>
          <w:rFonts w:ascii="Times New Roman" w:hAnsi="Times New Roman"/>
          <w:i/>
          <w:iCs/>
          <w:sz w:val="24"/>
        </w:rPr>
        <w:t>Zelena i digitalna tranzicija</w:t>
      </w:r>
      <w:r>
        <w:rPr>
          <w:rFonts w:ascii="Times New Roman" w:hAnsi="Times New Roman"/>
          <w:sz w:val="24"/>
        </w:rPr>
        <w:t xml:space="preserve"> i strateškog cilja </w:t>
      </w:r>
      <w:r>
        <w:rPr>
          <w:rFonts w:ascii="Times New Roman" w:hAnsi="Times New Roman"/>
          <w:i/>
          <w:iCs/>
          <w:sz w:val="24"/>
        </w:rPr>
        <w:t>Nisko-ugljična energetska tranzicija i zaštita okoliša</w:t>
      </w:r>
      <w:r>
        <w:rPr>
          <w:rFonts w:ascii="Times New Roman" w:hAnsi="Times New Roman"/>
          <w:sz w:val="24"/>
        </w:rPr>
        <w:t xml:space="preserve">. NRS 2030 postavlja cilj da </w:t>
      </w:r>
      <w:r w:rsidR="001F04F1">
        <w:rPr>
          <w:rFonts w:ascii="Times New Roman" w:hAnsi="Times New Roman"/>
          <w:sz w:val="24"/>
        </w:rPr>
        <w:t>RH</w:t>
      </w:r>
      <w:r w:rsidR="001F04F1">
        <w:rPr>
          <w:rFonts w:ascii="Times New Roman" w:hAnsi="Times New Roman"/>
          <w:sz w:val="24"/>
        </w:rPr>
        <w:t xml:space="preserve"> </w:t>
      </w:r>
      <w:r>
        <w:rPr>
          <w:rFonts w:ascii="Times New Roman" w:hAnsi="Times New Roman"/>
          <w:sz w:val="24"/>
        </w:rPr>
        <w:t>do 2030. godine bude među europskim predvodnicima u promicanju prelaska na čistu energiju, zelenih i plavih ulaganja, samodostatnosti u hrani i razvoja kružnog gospodarstva, prilagodbe klimatskim promjenama, očuvanja i obnove eko sustava i bio-raznolikosti i održive i pametne mobilnosti i povezivosti.</w:t>
      </w:r>
      <w:r>
        <w:rPr>
          <w:rFonts w:ascii="Times New Roman" w:eastAsia="Calibri" w:hAnsi="Times New Roman"/>
          <w:sz w:val="24"/>
        </w:rPr>
        <w:t xml:space="preserve"> Iako </w:t>
      </w:r>
      <w:r w:rsidR="001F04F1">
        <w:rPr>
          <w:rFonts w:ascii="Times New Roman" w:eastAsia="Calibri" w:hAnsi="Times New Roman"/>
          <w:sz w:val="24"/>
        </w:rPr>
        <w:t>RH</w:t>
      </w:r>
      <w:r w:rsidR="001F04F1">
        <w:rPr>
          <w:rFonts w:ascii="Times New Roman" w:eastAsia="Calibri" w:hAnsi="Times New Roman"/>
          <w:sz w:val="24"/>
        </w:rPr>
        <w:t xml:space="preserve"> </w:t>
      </w:r>
      <w:r>
        <w:rPr>
          <w:rFonts w:ascii="Times New Roman" w:eastAsia="Calibri" w:hAnsi="Times New Roman"/>
          <w:sz w:val="24"/>
        </w:rPr>
        <w:t>nije značajan emiter stakleničkih plinova potrebno je razvoj usmjeravati prema zelenim tehnologijama u svim sektorima naročito u poljoprivred</w:t>
      </w:r>
      <w:r>
        <w:rPr>
          <w:rFonts w:ascii="Times New Roman" w:eastAsia="Calibri" w:hAnsi="Times New Roman"/>
          <w:sz w:val="24"/>
          <w:lang w:val="en-US"/>
        </w:rPr>
        <w:t>nom sektoru</w:t>
      </w:r>
      <w:r>
        <w:rPr>
          <w:rFonts w:ascii="Times New Roman" w:eastAsia="Calibri" w:hAnsi="Times New Roman"/>
          <w:sz w:val="24"/>
        </w:rPr>
        <w:t xml:space="preserve">, energetici, prometu i zgradarstvu. </w:t>
      </w:r>
      <w:r>
        <w:rPr>
          <w:rFonts w:ascii="Times New Roman" w:hAnsi="Times New Roman"/>
          <w:sz w:val="24"/>
        </w:rPr>
        <w:t xml:space="preserve">Među prioritetima </w:t>
      </w:r>
      <w:r>
        <w:rPr>
          <w:rFonts w:ascii="Times New Roman" w:eastAsiaTheme="minorEastAsia" w:hAnsi="Times New Roman"/>
          <w:sz w:val="24"/>
        </w:rPr>
        <w:t>provedbe javnih politika za strateški cilj 8. „Niskougljična energetska tranzicija i zaštita okoliša“</w:t>
      </w:r>
      <w:r>
        <w:rPr>
          <w:rFonts w:ascii="Times New Roman" w:hAnsi="Times New Roman"/>
          <w:sz w:val="24"/>
        </w:rPr>
        <w:t xml:space="preserve"> uvršteno je i poticanje zelenog prostornog planiranja i stvaranja zelenih gradova te razvoj zelene infrastrukture u urbanim područjima, kao i osnaživanje niskougljičnog rasta i djelotvorno upravljanje resursima s ciljem smanjivanja rizika za okoliš i povećanja otpornosti na klimatske promjene.</w:t>
      </w:r>
    </w:p>
    <w:p w14:paraId="45D05D31" w14:textId="77777777" w:rsidR="00496804" w:rsidRDefault="00496804">
      <w:pPr>
        <w:spacing w:line="240" w:lineRule="auto"/>
        <w:rPr>
          <w:rFonts w:ascii="Times New Roman" w:hAnsi="Times New Roman"/>
          <w:sz w:val="24"/>
        </w:rPr>
      </w:pPr>
    </w:p>
    <w:p w14:paraId="45D05D32" w14:textId="77777777" w:rsidR="00496804" w:rsidRDefault="0037359D">
      <w:pPr>
        <w:spacing w:line="240" w:lineRule="auto"/>
        <w:rPr>
          <w:rFonts w:ascii="Times New Roman" w:hAnsi="Times New Roman"/>
          <w:sz w:val="24"/>
        </w:rPr>
      </w:pPr>
      <w:r>
        <w:rPr>
          <w:rFonts w:ascii="Times New Roman" w:hAnsi="Times New Roman"/>
          <w:sz w:val="24"/>
        </w:rPr>
        <w:t>Slijedeći prioritete politike održivog okoliša u području kružnog gospodarenja prostorom i zgradama, Program razvoja KG definira tri prioriteta:</w:t>
      </w:r>
    </w:p>
    <w:p w14:paraId="45D05D33" w14:textId="77777777" w:rsidR="00496804" w:rsidRDefault="00496804">
      <w:pPr>
        <w:spacing w:line="240" w:lineRule="auto"/>
        <w:rPr>
          <w:rFonts w:ascii="Times New Roman" w:hAnsi="Times New Roman"/>
          <w:sz w:val="24"/>
        </w:rPr>
      </w:pPr>
    </w:p>
    <w:p w14:paraId="45D05D34" w14:textId="77777777" w:rsidR="00496804" w:rsidRDefault="0037359D">
      <w:pPr>
        <w:pStyle w:val="Odlomakpopisa"/>
        <w:numPr>
          <w:ilvl w:val="0"/>
          <w:numId w:val="21"/>
        </w:numPr>
        <w:spacing w:line="240" w:lineRule="auto"/>
        <w:ind w:left="426" w:hanging="284"/>
        <w:rPr>
          <w:rFonts w:ascii="Times New Roman" w:hAnsi="Times New Roman" w:cs="Times New Roman"/>
          <w:b w:val="0"/>
          <w:bCs/>
          <w:sz w:val="24"/>
        </w:rPr>
      </w:pPr>
      <w:r>
        <w:rPr>
          <w:rFonts w:ascii="Times New Roman" w:hAnsi="Times New Roman" w:cs="Times New Roman"/>
          <w:b w:val="0"/>
          <w:bCs/>
          <w:sz w:val="24"/>
        </w:rPr>
        <w:t xml:space="preserve">razvoj sustava kružnog gospodarenja prostorom i zgradama uz definiranu </w:t>
      </w:r>
      <w:r>
        <w:rPr>
          <w:rFonts w:ascii="Times New Roman" w:hAnsi="Times New Roman" w:cs="Times New Roman"/>
          <w:b w:val="0"/>
          <w:bCs/>
          <w:sz w:val="24"/>
          <w:lang w:eastAsia="hr-HR"/>
        </w:rPr>
        <w:t xml:space="preserve">metodologiju kružne obnove različitih tipologija nekorištenih prostora i zgrada, povećanu kvalitetu i dostupnost prostornih podataka, unaprjeđeno prostorno planiranje i sustav prostornog uređenja, razvoj i inovacije u primjeni kružnog gospodarenja prostorom i zgradama te </w:t>
      </w:r>
      <w:r>
        <w:rPr>
          <w:rFonts w:ascii="Times New Roman" w:hAnsi="Times New Roman" w:cs="Times New Roman"/>
          <w:b w:val="0"/>
          <w:bCs/>
          <w:sz w:val="24"/>
        </w:rPr>
        <w:t>unaprjeđenje zakonskog okvira i poticanje izrade strateških dokumenata razvoja,</w:t>
      </w:r>
    </w:p>
    <w:p w14:paraId="45D05D35" w14:textId="77777777" w:rsidR="00496804" w:rsidRDefault="0037359D">
      <w:pPr>
        <w:pStyle w:val="Odlomakpopisa"/>
        <w:numPr>
          <w:ilvl w:val="0"/>
          <w:numId w:val="21"/>
        </w:numPr>
        <w:spacing w:line="240" w:lineRule="auto"/>
        <w:ind w:left="426" w:hanging="284"/>
        <w:rPr>
          <w:rFonts w:ascii="Times New Roman" w:hAnsi="Times New Roman" w:cs="Times New Roman"/>
          <w:b w:val="0"/>
          <w:bCs/>
          <w:sz w:val="24"/>
        </w:rPr>
      </w:pPr>
      <w:r>
        <w:rPr>
          <w:rFonts w:ascii="Times New Roman" w:hAnsi="Times New Roman" w:cs="Times New Roman"/>
          <w:b w:val="0"/>
          <w:bCs/>
          <w:sz w:val="24"/>
        </w:rPr>
        <w:t>kružna obnova nekorištenih prostora i zgrada kroz provedbu pilot projekata te nakon toga kružnu obnovu širih razmjera na području cijele RH,</w:t>
      </w:r>
    </w:p>
    <w:p w14:paraId="45D05D36" w14:textId="77777777" w:rsidR="00496804" w:rsidRDefault="0037359D">
      <w:pPr>
        <w:pStyle w:val="Odlomakpopisa"/>
        <w:numPr>
          <w:ilvl w:val="0"/>
          <w:numId w:val="21"/>
        </w:numPr>
        <w:spacing w:line="240" w:lineRule="auto"/>
        <w:ind w:left="426" w:hanging="284"/>
        <w:rPr>
          <w:rFonts w:ascii="Times New Roman" w:hAnsi="Times New Roman" w:cs="Times New Roman"/>
          <w:b w:val="0"/>
          <w:bCs/>
          <w:sz w:val="24"/>
        </w:rPr>
      </w:pPr>
      <w:r>
        <w:rPr>
          <w:rFonts w:ascii="Times New Roman" w:hAnsi="Times New Roman" w:cs="Times New Roman"/>
          <w:b w:val="0"/>
          <w:bCs/>
          <w:sz w:val="24"/>
        </w:rPr>
        <w:t>razvoj visoke razine znanja i društvene svijesti o održivom razvoju urbanih područja kroz razvoj kružnog gospodarenja prostorom i zgradama uz informiranje javnosti te edukaciju o značaju kružnog gospodarenja</w:t>
      </w:r>
    </w:p>
    <w:p w14:paraId="45D05D37" w14:textId="77777777" w:rsidR="00496804" w:rsidRDefault="00496804">
      <w:pPr>
        <w:spacing w:line="240" w:lineRule="auto"/>
        <w:rPr>
          <w:rFonts w:ascii="Times New Roman" w:hAnsi="Times New Roman"/>
          <w:sz w:val="24"/>
        </w:rPr>
      </w:pPr>
    </w:p>
    <w:p w14:paraId="45D05D38" w14:textId="77777777" w:rsidR="00496804" w:rsidRDefault="0037359D">
      <w:pPr>
        <w:spacing w:line="240" w:lineRule="auto"/>
        <w:rPr>
          <w:rFonts w:ascii="Times New Roman" w:hAnsi="Times New Roman"/>
          <w:sz w:val="24"/>
        </w:rPr>
      </w:pPr>
      <w:r>
        <w:rPr>
          <w:rFonts w:ascii="Times New Roman" w:hAnsi="Times New Roman"/>
          <w:sz w:val="24"/>
        </w:rPr>
        <w:t>Svi navedeni ciljevi usklađeni su i s prioritetima EU definiranima za razdoblje do 2030. godine:</w:t>
      </w:r>
    </w:p>
    <w:p w14:paraId="45D05D39" w14:textId="77777777" w:rsidR="00496804" w:rsidRDefault="0037359D">
      <w:pPr>
        <w:pStyle w:val="Odlomakpopisa"/>
        <w:numPr>
          <w:ilvl w:val="0"/>
          <w:numId w:val="22"/>
        </w:numPr>
        <w:spacing w:line="240" w:lineRule="auto"/>
        <w:ind w:left="426" w:hanging="284"/>
        <w:rPr>
          <w:rFonts w:ascii="Times New Roman" w:hAnsi="Times New Roman" w:cs="Times New Roman"/>
          <w:b w:val="0"/>
          <w:bCs/>
          <w:sz w:val="24"/>
        </w:rPr>
      </w:pPr>
      <w:r>
        <w:rPr>
          <w:rFonts w:ascii="Times New Roman" w:hAnsi="Times New Roman" w:cs="Times New Roman"/>
          <w:b w:val="0"/>
          <w:bCs/>
          <w:sz w:val="24"/>
        </w:rPr>
        <w:t>smanjenje emisija stakleničkih plinova za 40% (s razine emisija iz 1990.)</w:t>
      </w:r>
    </w:p>
    <w:p w14:paraId="45D05D3A" w14:textId="77777777" w:rsidR="00496804" w:rsidRDefault="0037359D">
      <w:pPr>
        <w:pStyle w:val="Odlomakpopisa"/>
        <w:numPr>
          <w:ilvl w:val="0"/>
          <w:numId w:val="22"/>
        </w:numPr>
        <w:spacing w:line="240" w:lineRule="auto"/>
        <w:ind w:left="426" w:hanging="284"/>
        <w:rPr>
          <w:rFonts w:ascii="Times New Roman" w:hAnsi="Times New Roman" w:cs="Times New Roman"/>
          <w:b w:val="0"/>
          <w:bCs/>
          <w:sz w:val="24"/>
        </w:rPr>
      </w:pPr>
      <w:r>
        <w:rPr>
          <w:rFonts w:ascii="Times New Roman" w:hAnsi="Times New Roman" w:cs="Times New Roman"/>
          <w:b w:val="0"/>
          <w:bCs/>
          <w:sz w:val="24"/>
        </w:rPr>
        <w:t>27% energije u EU iz obnovljivih izvora</w:t>
      </w:r>
    </w:p>
    <w:p w14:paraId="45D05D3B" w14:textId="77777777" w:rsidR="00496804" w:rsidRDefault="0037359D">
      <w:pPr>
        <w:pStyle w:val="Odlomakpopisa"/>
        <w:numPr>
          <w:ilvl w:val="0"/>
          <w:numId w:val="22"/>
        </w:numPr>
        <w:spacing w:line="240" w:lineRule="auto"/>
        <w:ind w:left="426" w:hanging="284"/>
        <w:rPr>
          <w:rFonts w:ascii="Times New Roman" w:hAnsi="Times New Roman" w:cs="Times New Roman"/>
          <w:b w:val="0"/>
          <w:sz w:val="24"/>
        </w:rPr>
      </w:pPr>
      <w:r>
        <w:rPr>
          <w:rFonts w:ascii="Times New Roman" w:hAnsi="Times New Roman" w:cs="Times New Roman"/>
          <w:b w:val="0"/>
          <w:bCs/>
          <w:sz w:val="24"/>
        </w:rPr>
        <w:t>32,5% poboljšanje energetske učinkovitosti.</w:t>
      </w:r>
    </w:p>
    <w:p w14:paraId="45D05D3C" w14:textId="77777777" w:rsidR="00496804" w:rsidRDefault="00496804">
      <w:pPr>
        <w:spacing w:line="240" w:lineRule="auto"/>
        <w:rPr>
          <w:rFonts w:ascii="Times New Roman" w:hAnsi="Times New Roman"/>
          <w:sz w:val="24"/>
        </w:rPr>
      </w:pPr>
    </w:p>
    <w:p w14:paraId="7BD5BD09" w14:textId="6A378584" w:rsidR="00BF11F2" w:rsidRDefault="00F05C40">
      <w:pPr>
        <w:spacing w:line="240" w:lineRule="auto"/>
        <w:rPr>
          <w:rFonts w:ascii="Times New Roman" w:hAnsi="Times New Roman"/>
          <w:sz w:val="24"/>
        </w:rPr>
      </w:pPr>
      <w:r>
        <w:rPr>
          <w:rFonts w:ascii="Times New Roman" w:hAnsi="Times New Roman"/>
          <w:sz w:val="24"/>
        </w:rPr>
        <w:t>K</w:t>
      </w:r>
      <w:r w:rsidRPr="00944AD4">
        <w:rPr>
          <w:rFonts w:ascii="Times New Roman" w:hAnsi="Times New Roman"/>
          <w:sz w:val="24"/>
        </w:rPr>
        <w:t>ao dio Europskog zelenog plana, E</w:t>
      </w:r>
      <w:r>
        <w:rPr>
          <w:rFonts w:ascii="Times New Roman" w:hAnsi="Times New Roman"/>
          <w:sz w:val="24"/>
        </w:rPr>
        <w:t>K je</w:t>
      </w:r>
      <w:r w:rsidRPr="00944AD4">
        <w:rPr>
          <w:rFonts w:ascii="Times New Roman" w:hAnsi="Times New Roman"/>
          <w:sz w:val="24"/>
        </w:rPr>
        <w:t xml:space="preserve"> u rujnu 2020. </w:t>
      </w:r>
      <w:r>
        <w:rPr>
          <w:rFonts w:ascii="Times New Roman" w:hAnsi="Times New Roman"/>
          <w:sz w:val="24"/>
        </w:rPr>
        <w:t xml:space="preserve">godine </w:t>
      </w:r>
      <w:r w:rsidRPr="00944AD4">
        <w:rPr>
          <w:rFonts w:ascii="Times New Roman" w:hAnsi="Times New Roman"/>
          <w:sz w:val="24"/>
        </w:rPr>
        <w:t>predstavila sveobuhvatan plan za povećanje klimatskih ciljeva E</w:t>
      </w:r>
      <w:r>
        <w:rPr>
          <w:rFonts w:ascii="Times New Roman" w:hAnsi="Times New Roman"/>
          <w:sz w:val="24"/>
        </w:rPr>
        <w:t>U</w:t>
      </w:r>
      <w:r w:rsidRPr="00944AD4">
        <w:rPr>
          <w:rFonts w:ascii="Times New Roman" w:hAnsi="Times New Roman"/>
          <w:sz w:val="24"/>
        </w:rPr>
        <w:t xml:space="preserve"> do 2030. </w:t>
      </w:r>
      <w:r>
        <w:rPr>
          <w:rFonts w:ascii="Times New Roman" w:hAnsi="Times New Roman"/>
          <w:sz w:val="24"/>
        </w:rPr>
        <w:t>godine, kojim</w:t>
      </w:r>
      <w:r w:rsidRPr="00944AD4">
        <w:rPr>
          <w:rFonts w:ascii="Times New Roman" w:hAnsi="Times New Roman"/>
          <w:sz w:val="24"/>
        </w:rPr>
        <w:t xml:space="preserve"> se predlaže povećanje trenutačnog cilja sa najmanje 40% smanjenja emisija stakleničkih plinova na najmanje 50% ili 55% u usporedbi s razinama emisija iz 1990. godine.</w:t>
      </w:r>
    </w:p>
    <w:p w14:paraId="181FAD93" w14:textId="77777777" w:rsidR="00BF11F2" w:rsidRDefault="00BF11F2">
      <w:pPr>
        <w:spacing w:line="240" w:lineRule="auto"/>
        <w:rPr>
          <w:rFonts w:ascii="Times New Roman" w:hAnsi="Times New Roman"/>
          <w:sz w:val="24"/>
        </w:rPr>
      </w:pPr>
    </w:p>
    <w:p w14:paraId="45D05D3F" w14:textId="51C1EFF7" w:rsidR="00496804" w:rsidRDefault="0037359D">
      <w:pPr>
        <w:spacing w:line="240" w:lineRule="auto"/>
        <w:rPr>
          <w:rFonts w:ascii="Times New Roman" w:hAnsi="Times New Roman"/>
          <w:sz w:val="24"/>
        </w:rPr>
      </w:pPr>
      <w:r>
        <w:rPr>
          <w:rFonts w:ascii="Times New Roman" w:hAnsi="Times New Roman"/>
          <w:sz w:val="24"/>
        </w:rPr>
        <w:t>EZP kao jednu od svojih područja politika navodi "Izgradnju i obnovu" – Potreba za čišćim sektorom građevinarstva, unutar kojeg najavljuje početak "vala obnove" s naglaskom na cjenovno pristupačno stanovanje, škole i bolnice. Cilj su energetski učinkovite zgrade, projektiranje u skladu s kružnim gospodarstvom, viši stupanj digitalizacije, veća otpornost na klimatske promjene, stroga provedba pravila o energetskim svojstvima zgrade.</w:t>
      </w:r>
      <w:r>
        <w:rPr>
          <w:rFonts w:ascii="Times New Roman" w:hAnsi="Times New Roman"/>
          <w:sz w:val="24"/>
        </w:rPr>
        <w:br w:type="page"/>
      </w:r>
    </w:p>
    <w:p w14:paraId="45D05D40" w14:textId="77777777" w:rsidR="00496804" w:rsidRDefault="0037359D">
      <w:pPr>
        <w:pStyle w:val="Naslov10"/>
        <w:spacing w:line="240" w:lineRule="auto"/>
        <w:ind w:left="426" w:hanging="426"/>
        <w:outlineLvl w:val="0"/>
        <w:rPr>
          <w:rFonts w:ascii="Times New Roman" w:hAnsi="Times New Roman" w:cs="Times New Roman"/>
          <w:sz w:val="24"/>
          <w:szCs w:val="24"/>
        </w:rPr>
      </w:pPr>
      <w:bookmarkStart w:id="156" w:name="_Toc51851649"/>
      <w:r>
        <w:rPr>
          <w:rFonts w:ascii="Times New Roman" w:hAnsi="Times New Roman" w:cs="Times New Roman"/>
          <w:sz w:val="24"/>
          <w:szCs w:val="24"/>
        </w:rPr>
        <w:lastRenderedPageBreak/>
        <w:t>SREDNJOROČNA VIZIJA RAZVOJA</w:t>
      </w:r>
      <w:bookmarkEnd w:id="156"/>
    </w:p>
    <w:p w14:paraId="45D05D41" w14:textId="77777777" w:rsidR="00496804" w:rsidRDefault="00496804">
      <w:pPr>
        <w:pStyle w:val="tekst"/>
        <w:spacing w:line="240" w:lineRule="auto"/>
        <w:rPr>
          <w:rFonts w:ascii="Times New Roman" w:hAnsi="Times New Roman" w:cs="Times New Roman"/>
          <w:sz w:val="24"/>
          <w:szCs w:val="24"/>
        </w:rPr>
      </w:pPr>
    </w:p>
    <w:p w14:paraId="45D05D42" w14:textId="77777777" w:rsidR="00496804" w:rsidRDefault="0037359D">
      <w:pPr>
        <w:pBdr>
          <w:top w:val="single" w:sz="4" w:space="1" w:color="auto"/>
          <w:left w:val="single" w:sz="4" w:space="4" w:color="auto"/>
          <w:bottom w:val="single" w:sz="4" w:space="1" w:color="auto"/>
          <w:right w:val="single" w:sz="4" w:space="4" w:color="auto"/>
        </w:pBdr>
        <w:spacing w:line="240" w:lineRule="auto"/>
        <w:rPr>
          <w:rFonts w:ascii="Times New Roman" w:hAnsi="Times New Roman"/>
          <w:b/>
          <w:bCs/>
          <w:sz w:val="24"/>
          <w:lang w:eastAsia="hr-HR"/>
        </w:rPr>
      </w:pPr>
      <w:r>
        <w:rPr>
          <w:rFonts w:ascii="Times New Roman" w:hAnsi="Times New Roman"/>
          <w:b/>
          <w:iCs/>
          <w:sz w:val="24"/>
        </w:rPr>
        <w:t>Hrvatska u 2030. godini</w:t>
      </w:r>
      <w:r>
        <w:rPr>
          <w:rFonts w:ascii="Times New Roman" w:hAnsi="Times New Roman"/>
          <w:b/>
          <w:i/>
          <w:sz w:val="24"/>
        </w:rPr>
        <w:t xml:space="preserve"> </w:t>
      </w:r>
      <w:r>
        <w:rPr>
          <w:rFonts w:ascii="Times New Roman" w:hAnsi="Times New Roman"/>
          <w:b/>
          <w:iCs/>
          <w:sz w:val="24"/>
        </w:rPr>
        <w:t>je zemlja u čijim se urbanim područjima</w:t>
      </w:r>
      <w:r>
        <w:rPr>
          <w:rFonts w:ascii="Times New Roman" w:hAnsi="Times New Roman"/>
          <w:b/>
          <w:i/>
          <w:sz w:val="24"/>
        </w:rPr>
        <w:t xml:space="preserve"> </w:t>
      </w:r>
      <w:r>
        <w:rPr>
          <w:rFonts w:ascii="Times New Roman" w:hAnsi="Times New Roman"/>
          <w:b/>
          <w:bCs/>
          <w:sz w:val="24"/>
          <w:lang w:eastAsia="hr-HR"/>
        </w:rPr>
        <w:t xml:space="preserve">uspješno provodi model kružnog gospodarenja prostorom i zgradama, u kojemu se nekorišteni postojeći prostori i zgrade obnavljaju, smanjuje količina ukupno proizvedenog građevnog otpada, promiču inovacije u razvoju kružnih materijala i proizvoda, a u projektiranju i izvođenju zgrada primjenjuju se načela eko-dizajna. </w:t>
      </w:r>
    </w:p>
    <w:p w14:paraId="45D05D43" w14:textId="77777777" w:rsidR="00496804" w:rsidRDefault="0037359D">
      <w:pPr>
        <w:pBdr>
          <w:top w:val="single" w:sz="4" w:space="1" w:color="auto"/>
          <w:left w:val="single" w:sz="4" w:space="4" w:color="auto"/>
          <w:bottom w:val="single" w:sz="4" w:space="1" w:color="auto"/>
          <w:right w:val="single" w:sz="4" w:space="4" w:color="auto"/>
        </w:pBdr>
        <w:spacing w:line="240" w:lineRule="auto"/>
        <w:rPr>
          <w:rFonts w:ascii="Times New Roman" w:hAnsi="Times New Roman"/>
          <w:sz w:val="24"/>
        </w:rPr>
      </w:pPr>
      <w:r>
        <w:rPr>
          <w:rFonts w:ascii="Times New Roman" w:hAnsi="Times New Roman"/>
          <w:b/>
          <w:iCs/>
          <w:sz w:val="24"/>
        </w:rPr>
        <w:t>Hrvatska u 2030. godini je zemlja koja prepoznaje, revitalizira, unapređuje i vrednuje svoj izgrađeni prostor kao temeljni resurs, a građanima je osiguran</w:t>
      </w:r>
      <w:r>
        <w:rPr>
          <w:rFonts w:ascii="Times New Roman" w:hAnsi="Times New Roman"/>
          <w:iCs/>
          <w:sz w:val="24"/>
        </w:rPr>
        <w:t xml:space="preserve"> </w:t>
      </w:r>
      <w:r>
        <w:rPr>
          <w:rFonts w:ascii="Times New Roman" w:hAnsi="Times New Roman"/>
          <w:b/>
          <w:iCs/>
          <w:sz w:val="24"/>
        </w:rPr>
        <w:t>zdrav, društveno funkcionalan, siguran životni i radni okoliš</w:t>
      </w:r>
      <w:r>
        <w:rPr>
          <w:rFonts w:ascii="Times New Roman" w:hAnsi="Times New Roman"/>
          <w:b/>
          <w:i/>
          <w:sz w:val="24"/>
        </w:rPr>
        <w:t>.</w:t>
      </w:r>
    </w:p>
    <w:p w14:paraId="45D05D44" w14:textId="77777777" w:rsidR="00496804" w:rsidRDefault="00496804">
      <w:pPr>
        <w:spacing w:line="240" w:lineRule="auto"/>
        <w:jc w:val="left"/>
        <w:rPr>
          <w:rFonts w:ascii="Times New Roman" w:hAnsi="Times New Roman"/>
          <w:sz w:val="24"/>
        </w:rPr>
      </w:pPr>
    </w:p>
    <w:p w14:paraId="45D05D45" w14:textId="77777777" w:rsidR="00496804" w:rsidRDefault="0037359D">
      <w:pPr>
        <w:spacing w:line="240" w:lineRule="auto"/>
        <w:rPr>
          <w:rFonts w:ascii="Times New Roman" w:hAnsi="Times New Roman"/>
          <w:sz w:val="24"/>
          <w:lang w:eastAsia="hr-HR"/>
        </w:rPr>
      </w:pPr>
      <w:r>
        <w:rPr>
          <w:rFonts w:ascii="Times New Roman" w:hAnsi="Times New Roman"/>
          <w:sz w:val="24"/>
          <w:lang w:eastAsia="hr-HR"/>
        </w:rPr>
        <w:t>Ostvarenjem vizije razvoja kružnog gospodarenja prostorom i zgradama doprinosi se realizaciji temeljnih učinaka te unaprjeđenju svih aspekata djelovanja i razvoja prisutnih na području gradova i naselja, a koji su vidljivi u tri aspekta održivog razvoja – društveni, gospodarski i okolišni. U središtu vizije razvoja je ostvarivanje veće trajnosti zgrada u prostoru čime bi se ostvarili manji operativni troškovi i troškovi održavanja, sporija amortizacija, veća vrijednost imovine, ugodniji boravak za stanovnike, veća sigurnost stanovanja i dr. Povećanje trajnosti zgrada se postiže: pravilnim upravljanjem i održavanjem zgrada, ponovnim korištenjem nekorištenih zgrada, odgovornom i održivom upotrebom građevnih materijala i proizvoda, poticanjem montažne gradnje koja omogućava da se dijelovi zgrade relativno jednostavno mogu popraviti ili zamijeniti, a materijali iskoristiti za druge projekte, planiranjem alternativnih korištenja prilikom obnova nekorištenih zgrada, kako prostora tako i otpadnog materijala, planiranjem redovitih revizija i kontrole zgrada koje su prošle ciklus reprogramiranja. Ostvarenjem vizije povećala bi se primjena OIE te energetska učinkovitost u zgradarstvu što bi doprinijelo ostvarenju ciljeva energetske učinkovitosti NRS 2030. Ostvarenjem vizije utjecalo bi se na smanjenje građevnog otpada te povećanje njegove oporabe</w:t>
      </w:r>
      <w:r>
        <w:rPr>
          <w:rStyle w:val="Referencakomentara"/>
          <w:rFonts w:ascii="Times New Roman" w:eastAsia="Arial Unicode MS" w:hAnsi="Times New Roman"/>
          <w:sz w:val="24"/>
          <w:szCs w:val="24"/>
          <w:lang w:val="en-US" w:eastAsia="en-US"/>
        </w:rPr>
        <w:t>.</w:t>
      </w:r>
      <w:r>
        <w:rPr>
          <w:rFonts w:ascii="Times New Roman" w:hAnsi="Times New Roman"/>
          <w:sz w:val="24"/>
          <w:lang w:eastAsia="hr-HR"/>
        </w:rPr>
        <w:t xml:space="preserve"> Osim navedenog, vizija doprinosi razvoju inovacija u stvaranju novih materijala te uspostavljanje eko-dizajna. Ostvarenjem vizije ujedno će se pridonijeti ostvarenju vizije NRS 2030 koja ističe važnost zdravog i održivog razvoja, vrednovanje postojećih potencijala te visoku kvalitetu života i okoliša, a sve kroz usporavanje nepotrebnog širenja građevinskih područja, aktiviranjem zanemarenih prostora, učinkovitijim korištenjem prostora u okviru postojeće namjene te smanjenjem količine građevnog otpada.</w:t>
      </w:r>
    </w:p>
    <w:p w14:paraId="45D05D46" w14:textId="77777777" w:rsidR="00496804" w:rsidRDefault="00496804">
      <w:pPr>
        <w:spacing w:line="240" w:lineRule="auto"/>
        <w:rPr>
          <w:rFonts w:ascii="Times New Roman" w:hAnsi="Times New Roman"/>
          <w:sz w:val="24"/>
          <w:lang w:eastAsia="hr-HR"/>
        </w:rPr>
      </w:pPr>
    </w:p>
    <w:p w14:paraId="45D05D47" w14:textId="77777777" w:rsidR="00496804" w:rsidRDefault="00496804">
      <w:pPr>
        <w:spacing w:line="240" w:lineRule="auto"/>
        <w:jc w:val="left"/>
        <w:rPr>
          <w:rFonts w:ascii="Times New Roman" w:eastAsiaTheme="minorHAnsi" w:hAnsi="Times New Roman"/>
          <w:b/>
          <w:sz w:val="24"/>
          <w:lang w:eastAsia="hr-HR"/>
        </w:rPr>
      </w:pPr>
    </w:p>
    <w:p w14:paraId="45D05D48" w14:textId="77777777" w:rsidR="00496804" w:rsidRDefault="0037359D">
      <w:pPr>
        <w:pStyle w:val="Naslov2"/>
        <w:ind w:left="426" w:hanging="426"/>
        <w:rPr>
          <w:rFonts w:ascii="Times New Roman" w:hAnsi="Times New Roman" w:cs="Times New Roman"/>
          <w:color w:val="auto"/>
          <w:sz w:val="24"/>
          <w:szCs w:val="24"/>
        </w:rPr>
      </w:pPr>
      <w:bookmarkStart w:id="157" w:name="_Toc51851650"/>
      <w:bookmarkStart w:id="158" w:name="_Toc37155513"/>
      <w:r>
        <w:rPr>
          <w:rFonts w:ascii="Times New Roman" w:hAnsi="Times New Roman" w:cs="Times New Roman"/>
          <w:color w:val="auto"/>
          <w:sz w:val="24"/>
          <w:szCs w:val="24"/>
        </w:rPr>
        <w:t>TEMELJI VIZIJE RAZVOJA</w:t>
      </w:r>
      <w:bookmarkEnd w:id="157"/>
      <w:bookmarkEnd w:id="158"/>
    </w:p>
    <w:p w14:paraId="45D05D49" w14:textId="77777777" w:rsidR="00496804" w:rsidRDefault="00496804">
      <w:pPr>
        <w:spacing w:line="240" w:lineRule="auto"/>
        <w:rPr>
          <w:rFonts w:ascii="Times New Roman" w:hAnsi="Times New Roman"/>
          <w:sz w:val="24"/>
          <w:lang w:eastAsia="hr-HR"/>
        </w:rPr>
      </w:pPr>
    </w:p>
    <w:p w14:paraId="45D05D4A" w14:textId="77777777" w:rsidR="00496804" w:rsidRDefault="0037359D">
      <w:pPr>
        <w:spacing w:line="240" w:lineRule="auto"/>
        <w:rPr>
          <w:rFonts w:ascii="Times New Roman" w:hAnsi="Times New Roman"/>
          <w:sz w:val="24"/>
          <w:lang w:eastAsia="hr-HR"/>
        </w:rPr>
      </w:pPr>
      <w:r>
        <w:rPr>
          <w:rFonts w:ascii="Times New Roman" w:hAnsi="Times New Roman"/>
          <w:sz w:val="24"/>
          <w:lang w:eastAsia="hr-HR"/>
        </w:rPr>
        <w:t>Vizija razvoja kružnog gospodarenja prostorom i zgradama može se sagledati s aspekta temeljnih učinaka, koji pobliže definiraju koncept cjelokupnog strateškog okvira. Najznačajniji temelji su:</w:t>
      </w:r>
    </w:p>
    <w:p w14:paraId="45D05D4B" w14:textId="77777777" w:rsidR="00496804" w:rsidRDefault="00496804">
      <w:pPr>
        <w:spacing w:line="240" w:lineRule="auto"/>
        <w:rPr>
          <w:rFonts w:ascii="Times New Roman" w:hAnsi="Times New Roman"/>
          <w:sz w:val="24"/>
          <w:lang w:eastAsia="hr-HR"/>
        </w:rPr>
      </w:pPr>
    </w:p>
    <w:p w14:paraId="45D05D4C" w14:textId="77777777" w:rsidR="00496804" w:rsidRDefault="0037359D">
      <w:pPr>
        <w:spacing w:line="240" w:lineRule="auto"/>
        <w:rPr>
          <w:rFonts w:ascii="Times New Roman" w:hAnsi="Times New Roman"/>
          <w:b/>
          <w:bCs/>
          <w:sz w:val="24"/>
          <w:lang w:eastAsia="hr-HR"/>
        </w:rPr>
      </w:pPr>
      <w:r>
        <w:rPr>
          <w:rFonts w:ascii="Times New Roman" w:hAnsi="Times New Roman"/>
          <w:b/>
          <w:bCs/>
          <w:sz w:val="24"/>
          <w:lang w:eastAsia="hr-HR"/>
        </w:rPr>
        <w:t>Povećanje trajnosti zgrada u prostoru</w:t>
      </w:r>
    </w:p>
    <w:p w14:paraId="45D05D4D" w14:textId="77777777" w:rsidR="00496804" w:rsidRDefault="0037359D">
      <w:pPr>
        <w:spacing w:line="240" w:lineRule="auto"/>
        <w:rPr>
          <w:rFonts w:ascii="Times New Roman" w:hAnsi="Times New Roman"/>
          <w:sz w:val="24"/>
          <w:lang w:eastAsia="hr-HR"/>
        </w:rPr>
      </w:pPr>
      <w:r>
        <w:rPr>
          <w:rFonts w:ascii="Times New Roman" w:hAnsi="Times New Roman"/>
          <w:sz w:val="24"/>
          <w:lang w:eastAsia="hr-HR"/>
        </w:rPr>
        <w:t xml:space="preserve">Zgrade projektirane i izgrađene s ciljem povećanja trajnosti i smanjenja utjecaja na okoliš tijekom životnog vijeka stvaraju izravne gospodarske koristi poput manjih operativnih troškova i troškova održavanja, sporije amortizacije i veće vrijednosti imovine. Društveni učinci su ugodniji boravak, sigurnije korištenje i bolje zdravlje ljudi te povećanje produktivnosti. </w:t>
      </w:r>
    </w:p>
    <w:p w14:paraId="45D05D4E" w14:textId="77777777" w:rsidR="00496804" w:rsidRDefault="00496804">
      <w:pPr>
        <w:spacing w:line="240" w:lineRule="auto"/>
        <w:rPr>
          <w:rFonts w:ascii="Times New Roman" w:hAnsi="Times New Roman"/>
          <w:sz w:val="24"/>
          <w:lang w:eastAsia="hr-HR"/>
        </w:rPr>
      </w:pPr>
    </w:p>
    <w:p w14:paraId="45D05D4F" w14:textId="77777777" w:rsidR="00496804" w:rsidRDefault="0037359D">
      <w:pPr>
        <w:spacing w:line="240" w:lineRule="auto"/>
        <w:rPr>
          <w:rFonts w:ascii="Times New Roman" w:hAnsi="Times New Roman"/>
          <w:b/>
          <w:bCs/>
          <w:sz w:val="24"/>
          <w:lang w:eastAsia="hr-HR"/>
        </w:rPr>
      </w:pPr>
      <w:r>
        <w:rPr>
          <w:rFonts w:ascii="Times New Roman" w:hAnsi="Times New Roman"/>
          <w:b/>
          <w:bCs/>
          <w:sz w:val="24"/>
          <w:lang w:eastAsia="hr-HR"/>
        </w:rPr>
        <w:t xml:space="preserve">Povećanje energetske učinkovitosti </w:t>
      </w:r>
    </w:p>
    <w:p w14:paraId="45D05D50" w14:textId="77777777" w:rsidR="00496804" w:rsidRDefault="0037359D">
      <w:pPr>
        <w:spacing w:line="240" w:lineRule="auto"/>
        <w:rPr>
          <w:rFonts w:ascii="Times New Roman" w:hAnsi="Times New Roman"/>
          <w:sz w:val="24"/>
          <w:lang w:eastAsia="hr-HR"/>
        </w:rPr>
      </w:pPr>
      <w:r>
        <w:rPr>
          <w:rFonts w:ascii="Times New Roman" w:hAnsi="Times New Roman"/>
          <w:sz w:val="24"/>
          <w:lang w:eastAsia="hr-HR"/>
        </w:rPr>
        <w:t xml:space="preserve">Zgrade su odgovorne za otprilike 40% ukupne potrošnje energije u Europskoj uniji. Potrošnja energije u zgradama dijeli se na potrošnju operativne energije (faza korištenja zgrade) i ugrađene energije (proizvodnja građevnih proizvoda i izgradnja). Procjena je da je između 5 i 10% ukupne potrošnje energije u EU-u povezano s proizvodnjom građevnih proizvoda. Ukupni utjecaj zgrade na okoliš je značajan, od faze njene izgradnje, korištenja i uklanjanja. Ako se želi učinkovito riješiti utjecaj zgrade </w:t>
      </w:r>
      <w:r>
        <w:rPr>
          <w:rFonts w:ascii="Times New Roman" w:hAnsi="Times New Roman"/>
          <w:sz w:val="24"/>
          <w:lang w:eastAsia="hr-HR"/>
        </w:rPr>
        <w:lastRenderedPageBreak/>
        <w:t xml:space="preserve">na okoliš, treba razmotriti njezin cijeli životni vijek. U protivnom se utjecaji mogu previdjeti ili mogu nastati dodatni problemi u drugim dijelovima životnog vijeka zgrade. </w:t>
      </w:r>
    </w:p>
    <w:p w14:paraId="45D05D51" w14:textId="77777777" w:rsidR="00496804" w:rsidRDefault="00496804">
      <w:pPr>
        <w:spacing w:line="240" w:lineRule="auto"/>
        <w:rPr>
          <w:rFonts w:ascii="Times New Roman" w:hAnsi="Times New Roman"/>
          <w:sz w:val="24"/>
          <w:lang w:eastAsia="hr-HR"/>
        </w:rPr>
      </w:pPr>
    </w:p>
    <w:p w14:paraId="45D05D52" w14:textId="77777777" w:rsidR="00496804" w:rsidRDefault="0037359D">
      <w:pPr>
        <w:spacing w:line="240" w:lineRule="auto"/>
        <w:rPr>
          <w:rFonts w:ascii="Times New Roman" w:hAnsi="Times New Roman"/>
          <w:b/>
          <w:bCs/>
          <w:sz w:val="24"/>
          <w:lang w:eastAsia="hr-HR"/>
        </w:rPr>
      </w:pPr>
      <w:r>
        <w:rPr>
          <w:rFonts w:ascii="Times New Roman" w:hAnsi="Times New Roman"/>
          <w:b/>
          <w:bCs/>
          <w:sz w:val="24"/>
          <w:lang w:eastAsia="hr-HR"/>
        </w:rPr>
        <w:t>Povećanje primjene obnovljivih izvora energije</w:t>
      </w:r>
    </w:p>
    <w:p w14:paraId="45D05D53" w14:textId="77777777" w:rsidR="00496804" w:rsidRDefault="0037359D">
      <w:pPr>
        <w:spacing w:line="240" w:lineRule="auto"/>
        <w:rPr>
          <w:rFonts w:ascii="Times New Roman" w:hAnsi="Times New Roman"/>
          <w:sz w:val="24"/>
          <w:lang w:eastAsia="hr-HR"/>
        </w:rPr>
      </w:pPr>
      <w:r>
        <w:rPr>
          <w:rFonts w:ascii="Times New Roman" w:hAnsi="Times New Roman"/>
          <w:sz w:val="24"/>
          <w:lang w:eastAsia="hr-HR"/>
        </w:rPr>
        <w:t>Energiju je potrebno proizvoditi, skladištiti i koristiti na način da se minimalizira negativan utjecaj na okoliš. Prelazak na sustave za korištenje solarno termičke, solarne, geotermalne energije, biomase odnosno vode pridonijet će smanjenju emisija ugljikovog dioksida.</w:t>
      </w:r>
    </w:p>
    <w:p w14:paraId="45D05D54" w14:textId="77777777" w:rsidR="00496804" w:rsidRDefault="00496804">
      <w:pPr>
        <w:spacing w:line="240" w:lineRule="auto"/>
        <w:rPr>
          <w:rFonts w:ascii="Times New Roman" w:hAnsi="Times New Roman"/>
          <w:sz w:val="24"/>
          <w:lang w:eastAsia="hr-HR"/>
        </w:rPr>
      </w:pPr>
    </w:p>
    <w:p w14:paraId="45D05D55" w14:textId="77777777" w:rsidR="00496804" w:rsidRDefault="0037359D">
      <w:pPr>
        <w:spacing w:line="240" w:lineRule="auto"/>
        <w:rPr>
          <w:rFonts w:ascii="Times New Roman" w:hAnsi="Times New Roman"/>
          <w:b/>
          <w:bCs/>
          <w:sz w:val="24"/>
          <w:lang w:eastAsia="hr-HR"/>
        </w:rPr>
      </w:pPr>
      <w:r>
        <w:rPr>
          <w:rFonts w:ascii="Times New Roman" w:hAnsi="Times New Roman"/>
          <w:b/>
          <w:bCs/>
          <w:sz w:val="24"/>
          <w:lang w:eastAsia="hr-HR"/>
        </w:rPr>
        <w:t>Smanjenje građevnog otpada</w:t>
      </w:r>
    </w:p>
    <w:p w14:paraId="45D05D56" w14:textId="77777777" w:rsidR="00496804" w:rsidRDefault="0037359D">
      <w:pPr>
        <w:spacing w:line="240" w:lineRule="auto"/>
        <w:rPr>
          <w:rFonts w:ascii="Times New Roman" w:hAnsi="Times New Roman"/>
          <w:sz w:val="24"/>
          <w:lang w:eastAsia="hr-HR"/>
        </w:rPr>
      </w:pPr>
      <w:r>
        <w:rPr>
          <w:rFonts w:ascii="Times New Roman" w:hAnsi="Times New Roman"/>
          <w:sz w:val="24"/>
          <w:lang w:eastAsia="hr-HR"/>
        </w:rPr>
        <w:t>Prema Zakonu o gradnji jedan od temeljnih zahtjeva za građevinu odnosi se na održivu uporabu prirodnih izvora. Tim zahtjevom obavezuje se da sve građevine, pa tako i zgrade, moraju biti projektirane, izgrađene i uklonjene tako da je uporaba prirodnih izvora održiva, a posebno se mora zajamčiti ponovna upotreba ili mogućnost oporabe građevine, njezinih materijala i dijelova nakon uklanjanja, trajnost građevine i uporaba okolišu prihvatljivih sirovina i sekundarnih materijala.</w:t>
      </w:r>
    </w:p>
    <w:p w14:paraId="45D05D57" w14:textId="77777777" w:rsidR="00496804" w:rsidRDefault="0037359D">
      <w:pPr>
        <w:spacing w:line="240" w:lineRule="auto"/>
        <w:rPr>
          <w:rFonts w:ascii="Times New Roman" w:hAnsi="Times New Roman"/>
          <w:sz w:val="24"/>
          <w:lang w:eastAsia="hr-HR"/>
        </w:rPr>
      </w:pPr>
      <w:r>
        <w:rPr>
          <w:rFonts w:ascii="Times New Roman" w:hAnsi="Times New Roman"/>
          <w:sz w:val="24"/>
          <w:lang w:eastAsia="hr-HR"/>
        </w:rPr>
        <w:t xml:space="preserve">Kod izgradnje i korištenja zgrada u EU-u stvara se otprilike trećina količine ukupno proizvedenog otpada te je sektor graditeljstva povezan s pritiscima na okoliš do kojih dolazi u različitim fazama životnog vijeka zgrade, uključujući proizvodnju građevnih proizvoda, izgradnju zgrade, njezino korištenje i obnovu te fazu gospodarenja građevnim otpadom. </w:t>
      </w:r>
    </w:p>
    <w:p w14:paraId="45D05D58" w14:textId="77777777" w:rsidR="00496804" w:rsidRDefault="0037359D">
      <w:pPr>
        <w:spacing w:line="240" w:lineRule="auto"/>
        <w:rPr>
          <w:rFonts w:ascii="Times New Roman" w:hAnsi="Times New Roman"/>
          <w:sz w:val="24"/>
          <w:lang w:eastAsia="hr-HR"/>
        </w:rPr>
      </w:pPr>
      <w:r>
        <w:rPr>
          <w:rFonts w:ascii="Times New Roman" w:hAnsi="Times New Roman"/>
          <w:sz w:val="24"/>
          <w:lang w:eastAsia="hr-HR"/>
        </w:rPr>
        <w:t xml:space="preserve">Korištenje resursa uvelike je određeno odlukama i izborima donesenima tijekom projektiranja u vezi s građevnim materijalima. Velika većina građevnog otpada može se oporabiti čime se mogu ostvariti značajne koristi za resurse i okoliš. Oporaba ili ponovno korištenje materijala ili čak cijelih proizvoda sve su važniji za povećanje učinkovitosti korištenja materijala i za izbjegavanje negativnih utjecaja povezanih s neobrađenim materijalom. </w:t>
      </w:r>
    </w:p>
    <w:p w14:paraId="45D05D59" w14:textId="77777777" w:rsidR="00496804" w:rsidRDefault="00496804">
      <w:pPr>
        <w:spacing w:line="240" w:lineRule="auto"/>
        <w:rPr>
          <w:rFonts w:ascii="Times New Roman" w:hAnsi="Times New Roman"/>
          <w:sz w:val="24"/>
          <w:lang w:eastAsia="hr-HR"/>
        </w:rPr>
      </w:pPr>
    </w:p>
    <w:p w14:paraId="45D05D5A" w14:textId="77777777" w:rsidR="00496804" w:rsidRDefault="0037359D">
      <w:pPr>
        <w:spacing w:line="240" w:lineRule="auto"/>
        <w:rPr>
          <w:rFonts w:ascii="Times New Roman" w:hAnsi="Times New Roman"/>
          <w:b/>
          <w:bCs/>
          <w:sz w:val="24"/>
          <w:lang w:eastAsia="hr-HR"/>
        </w:rPr>
      </w:pPr>
      <w:r>
        <w:rPr>
          <w:rFonts w:ascii="Times New Roman" w:hAnsi="Times New Roman"/>
          <w:b/>
          <w:bCs/>
          <w:sz w:val="24"/>
          <w:lang w:eastAsia="hr-HR"/>
        </w:rPr>
        <w:t>Inovacija u razvoju novih materijala i proizvoda</w:t>
      </w:r>
    </w:p>
    <w:p w14:paraId="45D05D5B" w14:textId="77777777" w:rsidR="00496804" w:rsidRDefault="0037359D">
      <w:pPr>
        <w:spacing w:line="240" w:lineRule="auto"/>
        <w:rPr>
          <w:rFonts w:ascii="Times New Roman" w:hAnsi="Times New Roman"/>
          <w:sz w:val="24"/>
          <w:lang w:eastAsia="hr-HR"/>
        </w:rPr>
      </w:pPr>
      <w:r>
        <w:rPr>
          <w:rFonts w:ascii="Times New Roman" w:hAnsi="Times New Roman"/>
          <w:sz w:val="24"/>
          <w:lang w:eastAsia="hr-HR"/>
        </w:rPr>
        <w:t xml:space="preserve">I području razvoja novih materijala bit će potrebno: kontinuirano ulaganje u daljnja istraživanja i interdisciplinarni rad znanstvene zajednice, javnog i privatnog sektora, ispitivati i pratiti životni vijek građevina i sistematizirati materijale u odnosu na njihov očekivani životni vijek, performanse i mogućnost prenamjene, pružati podršku razvoju resursno učinkovitih proizvoda koji se lako popravljaju i demontiraju, poticati korištenje i razvoj materijala prema </w:t>
      </w:r>
      <w:r>
        <w:rPr>
          <w:rFonts w:ascii="Times New Roman" w:hAnsi="Times New Roman"/>
          <w:i/>
          <w:sz w:val="24"/>
          <w:lang w:eastAsia="hr-HR"/>
        </w:rPr>
        <w:t>Cradle to Cradle</w:t>
      </w:r>
      <w:r>
        <w:rPr>
          <w:rFonts w:ascii="Times New Roman" w:hAnsi="Times New Roman"/>
          <w:sz w:val="24"/>
          <w:lang w:eastAsia="hr-HR"/>
        </w:rPr>
        <w:t xml:space="preserve"> načelima te osigurati da svi novo razvijeni materijali i tehnike mogu biti popravljeni i ponovo upotrjebljeni.</w:t>
      </w:r>
    </w:p>
    <w:p w14:paraId="45D05D5C" w14:textId="77777777" w:rsidR="00496804" w:rsidRDefault="00496804">
      <w:pPr>
        <w:spacing w:line="240" w:lineRule="auto"/>
        <w:rPr>
          <w:rFonts w:ascii="Times New Roman" w:hAnsi="Times New Roman"/>
          <w:sz w:val="24"/>
          <w:lang w:eastAsia="hr-HR"/>
        </w:rPr>
      </w:pPr>
    </w:p>
    <w:p w14:paraId="45D05D5D" w14:textId="77777777" w:rsidR="00496804" w:rsidRDefault="0037359D">
      <w:pPr>
        <w:spacing w:line="240" w:lineRule="auto"/>
        <w:rPr>
          <w:rFonts w:ascii="Times New Roman" w:hAnsi="Times New Roman"/>
          <w:b/>
          <w:bCs/>
          <w:sz w:val="24"/>
          <w:lang w:eastAsia="hr-HR"/>
        </w:rPr>
      </w:pPr>
      <w:r>
        <w:rPr>
          <w:rFonts w:ascii="Times New Roman" w:hAnsi="Times New Roman"/>
          <w:b/>
          <w:bCs/>
          <w:sz w:val="24"/>
          <w:lang w:eastAsia="hr-HR"/>
        </w:rPr>
        <w:t>Uspostavljanje eko-dizajna</w:t>
      </w:r>
    </w:p>
    <w:p w14:paraId="45D05D5E" w14:textId="77777777" w:rsidR="00496804" w:rsidRDefault="0037359D">
      <w:pPr>
        <w:spacing w:line="240" w:lineRule="auto"/>
        <w:rPr>
          <w:rFonts w:ascii="Times New Roman" w:hAnsi="Times New Roman"/>
          <w:sz w:val="24"/>
          <w:lang w:eastAsia="hr-HR"/>
        </w:rPr>
      </w:pPr>
      <w:r>
        <w:rPr>
          <w:rFonts w:ascii="Times New Roman" w:hAnsi="Times New Roman"/>
          <w:sz w:val="24"/>
          <w:lang w:eastAsia="hr-HR"/>
        </w:rPr>
        <w:t xml:space="preserve">Intenziviranje primjena načela i pristupa eko-dizajna, koji u proces planiranja ugrađuje kriterije bitne za održivosti i zaštitu okoliša, kao što su energetska učinkovitost, oporabljivost proizvoda, trajnost, kako bi se izbalansirao odnos kvalitete proizvoda i njegovog </w:t>
      </w:r>
      <w:r>
        <w:rPr>
          <w:rFonts w:ascii="Times New Roman" w:hAnsi="Times New Roman"/>
          <w:sz w:val="24"/>
        </w:rPr>
        <w:t>cjeloživotnog</w:t>
      </w:r>
      <w:r>
        <w:rPr>
          <w:rFonts w:ascii="Times New Roman" w:hAnsi="Times New Roman"/>
          <w:sz w:val="24"/>
          <w:lang w:eastAsia="hr-HR"/>
        </w:rPr>
        <w:t xml:space="preserve"> vijeka u skladu s njegovom idealnom uporabom. </w:t>
      </w:r>
      <w:r>
        <w:rPr>
          <w:rFonts w:ascii="Times New Roman" w:hAnsi="Times New Roman"/>
          <w:sz w:val="24"/>
        </w:rPr>
        <w:t>Funkcionalnost, isplativost i kvaliteta zgrada tijekom cjeloživotnog vijeka trajanja ocjenjuju se postojećim sustavima certificiranja održive gradnje, a procjenama doprinosi razvijena metodologija izračuna ugljičnog otiska zgrada.</w:t>
      </w:r>
    </w:p>
    <w:p w14:paraId="45D05D5F" w14:textId="77777777" w:rsidR="00496804" w:rsidRDefault="00496804">
      <w:pPr>
        <w:spacing w:line="240" w:lineRule="auto"/>
        <w:rPr>
          <w:rFonts w:ascii="Times New Roman" w:hAnsi="Times New Roman"/>
          <w:sz w:val="24"/>
          <w:lang w:eastAsia="hr-HR"/>
        </w:rPr>
      </w:pPr>
    </w:p>
    <w:p w14:paraId="45D05D60" w14:textId="77777777" w:rsidR="00496804" w:rsidRDefault="00496804">
      <w:pPr>
        <w:spacing w:line="240" w:lineRule="auto"/>
        <w:rPr>
          <w:rFonts w:ascii="Times New Roman" w:hAnsi="Times New Roman"/>
          <w:sz w:val="24"/>
          <w:lang w:eastAsia="hr-HR"/>
        </w:rPr>
      </w:pPr>
    </w:p>
    <w:bookmarkEnd w:id="146"/>
    <w:p w14:paraId="45D05D61"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br w:type="page"/>
      </w:r>
    </w:p>
    <w:p w14:paraId="45D05D62" w14:textId="77777777" w:rsidR="00496804" w:rsidRDefault="0037359D">
      <w:pPr>
        <w:pStyle w:val="Naslov10"/>
        <w:spacing w:line="240" w:lineRule="auto"/>
        <w:ind w:left="426" w:hanging="426"/>
        <w:outlineLvl w:val="0"/>
        <w:rPr>
          <w:rFonts w:ascii="Times New Roman" w:hAnsi="Times New Roman" w:cs="Times New Roman"/>
          <w:sz w:val="24"/>
          <w:szCs w:val="24"/>
        </w:rPr>
      </w:pPr>
      <w:bookmarkStart w:id="159" w:name="_Toc51851651"/>
      <w:r>
        <w:rPr>
          <w:rFonts w:ascii="Times New Roman" w:hAnsi="Times New Roman" w:cs="Times New Roman"/>
          <w:sz w:val="24"/>
          <w:szCs w:val="24"/>
        </w:rPr>
        <w:lastRenderedPageBreak/>
        <w:t>POSEBNI CILJEVI</w:t>
      </w:r>
      <w:bookmarkEnd w:id="159"/>
    </w:p>
    <w:p w14:paraId="45D05D63" w14:textId="77777777" w:rsidR="00496804" w:rsidRDefault="00496804">
      <w:pPr>
        <w:pStyle w:val="Bezproreda"/>
        <w:jc w:val="both"/>
        <w:rPr>
          <w:lang w:val="hr-HR"/>
        </w:rPr>
      </w:pPr>
    </w:p>
    <w:p w14:paraId="45D05D64" w14:textId="77777777" w:rsidR="00496804" w:rsidRDefault="0037359D">
      <w:pPr>
        <w:spacing w:line="240" w:lineRule="auto"/>
        <w:rPr>
          <w:rFonts w:ascii="Times New Roman" w:hAnsi="Times New Roman"/>
          <w:sz w:val="24"/>
          <w:lang w:eastAsia="hr-HR"/>
        </w:rPr>
      </w:pPr>
      <w:r>
        <w:rPr>
          <w:rFonts w:ascii="Times New Roman" w:hAnsi="Times New Roman"/>
          <w:sz w:val="24"/>
          <w:lang w:eastAsia="hr-HR"/>
        </w:rPr>
        <w:t xml:space="preserve">Strateški okvir Programa razvoja KG sastoji se od posebnih ciljeva, mjera i aktivnosti te je koncept usklađen sa Zakonom o sustavu strateškog planiranja i upravljanja razvojem RH. </w:t>
      </w:r>
    </w:p>
    <w:p w14:paraId="45D05D65" w14:textId="77777777" w:rsidR="00496804" w:rsidRDefault="00496804">
      <w:pPr>
        <w:spacing w:line="240" w:lineRule="auto"/>
        <w:rPr>
          <w:rFonts w:ascii="Times New Roman" w:hAnsi="Times New Roman"/>
          <w:sz w:val="24"/>
          <w:lang w:eastAsia="hr-HR"/>
        </w:rPr>
      </w:pPr>
    </w:p>
    <w:p w14:paraId="45D05D66" w14:textId="77777777" w:rsidR="00496804" w:rsidRDefault="0037359D">
      <w:pPr>
        <w:spacing w:line="240" w:lineRule="auto"/>
        <w:rPr>
          <w:rFonts w:ascii="Times New Roman" w:hAnsi="Times New Roman"/>
          <w:sz w:val="24"/>
          <w:lang w:eastAsia="hr-HR"/>
        </w:rPr>
      </w:pPr>
      <w:r>
        <w:rPr>
          <w:rFonts w:ascii="Times New Roman" w:hAnsi="Times New Roman"/>
          <w:sz w:val="24"/>
          <w:lang w:eastAsia="hr-HR"/>
        </w:rPr>
        <w:t xml:space="preserve">Posebni ciljevi nadovezuju se na strateške ciljeve definirane u NRS 2030, a cjelokupan ovaj Program nadovezuje se na </w:t>
      </w:r>
      <w:r>
        <w:rPr>
          <w:rFonts w:ascii="Times New Roman" w:hAnsi="Times New Roman"/>
          <w:bCs/>
          <w:sz w:val="24"/>
          <w:lang w:eastAsia="hr-HR"/>
        </w:rPr>
        <w:t xml:space="preserve">strateški cilj </w:t>
      </w:r>
      <w:r>
        <w:rPr>
          <w:rFonts w:ascii="Times New Roman" w:hAnsi="Times New Roman"/>
          <w:bCs/>
          <w:i/>
          <w:iCs/>
          <w:sz w:val="24"/>
          <w:lang w:eastAsia="hr-HR"/>
        </w:rPr>
        <w:t>Ekološka i energetska tranzicija za klimatsku neutralnost</w:t>
      </w:r>
      <w:r>
        <w:rPr>
          <w:rFonts w:ascii="Times New Roman" w:hAnsi="Times New Roman"/>
          <w:sz w:val="24"/>
          <w:lang w:eastAsia="hr-HR"/>
        </w:rPr>
        <w:t xml:space="preserve"> koji se nalazi u okviru </w:t>
      </w:r>
      <w:r>
        <w:rPr>
          <w:rFonts w:ascii="Times New Roman" w:hAnsi="Times New Roman"/>
          <w:bCs/>
          <w:sz w:val="24"/>
          <w:lang w:eastAsia="hr-HR"/>
        </w:rPr>
        <w:t xml:space="preserve">razvojnog smjera </w:t>
      </w:r>
      <w:r>
        <w:rPr>
          <w:rFonts w:ascii="Times New Roman" w:hAnsi="Times New Roman"/>
          <w:bCs/>
          <w:i/>
          <w:iCs/>
          <w:sz w:val="24"/>
          <w:lang w:eastAsia="hr-HR"/>
        </w:rPr>
        <w:t>Zelena i digitalna tranzicija</w:t>
      </w:r>
      <w:r>
        <w:rPr>
          <w:rFonts w:ascii="Times New Roman" w:hAnsi="Times New Roman"/>
          <w:sz w:val="24"/>
          <w:lang w:eastAsia="hr-HR"/>
        </w:rPr>
        <w:t>. Navedeni razvojni smjer usmjeren je na jačanje otpornosti na klimatske promjene i smanjivanja rizika za okoliš postizanjem klimatske neutralnosti kroz održiv urbani razvoj, održivo upravljanje prostorom i održivu gradnju. U okviru navedenog strateškog cilja, nastoje se riješiti izazovi klimatskih promjena i posljedičnog uništavanja okoliša. Navedena je problematika prepoznata kao globalna, a zbog toga se zahtijevaju i globalni odgovori na rješavanje iste. U skladu s time, Hrvatska promiče svoje ekološke ciljeve i standarde koji su usklađeni s regulativom EU-a i UN-a te provedbom aktivnosti vezanih uz kružno gospodarenjem prostorom i zgradama pridonosi provedbi Europskog zelenog plana.</w:t>
      </w:r>
    </w:p>
    <w:p w14:paraId="45D05D67" w14:textId="77777777" w:rsidR="00496804" w:rsidRDefault="00496804">
      <w:pPr>
        <w:spacing w:line="240" w:lineRule="auto"/>
        <w:rPr>
          <w:rFonts w:ascii="Times New Roman" w:hAnsi="Times New Roman"/>
          <w:sz w:val="24"/>
          <w:lang w:eastAsia="hr-HR"/>
        </w:rPr>
      </w:pPr>
    </w:p>
    <w:p w14:paraId="45D05D68" w14:textId="77777777" w:rsidR="00496804" w:rsidRDefault="0037359D">
      <w:pPr>
        <w:spacing w:line="240" w:lineRule="auto"/>
        <w:rPr>
          <w:rFonts w:ascii="Times New Roman" w:hAnsi="Times New Roman"/>
          <w:sz w:val="24"/>
          <w:lang w:eastAsia="hr-HR"/>
        </w:rPr>
      </w:pPr>
      <w:r>
        <w:rPr>
          <w:rFonts w:ascii="Times New Roman" w:hAnsi="Times New Roman"/>
          <w:sz w:val="24"/>
          <w:lang w:eastAsia="hr-HR"/>
        </w:rPr>
        <w:t>Sukladno identificiranim razvojnim potrebama i potencijalima te utvrđenoj viziji razvoja, definirani su sljedeći posebni ciljevi razvoja kružnog gospodarenja prostorom i zgradama:</w:t>
      </w:r>
    </w:p>
    <w:p w14:paraId="45D05D69" w14:textId="77777777" w:rsidR="00496804" w:rsidRDefault="00496804">
      <w:pPr>
        <w:spacing w:line="240" w:lineRule="auto"/>
        <w:rPr>
          <w:rFonts w:ascii="Times New Roman" w:hAnsi="Times New Roman"/>
          <w:sz w:val="24"/>
          <w:lang w:eastAsia="hr-HR"/>
        </w:rPr>
      </w:pPr>
    </w:p>
    <w:p w14:paraId="45D05D6A" w14:textId="77777777" w:rsidR="00496804" w:rsidRDefault="0037359D">
      <w:pPr>
        <w:spacing w:line="240" w:lineRule="auto"/>
        <w:ind w:left="1560" w:hanging="1560"/>
        <w:rPr>
          <w:rFonts w:ascii="Times New Roman" w:hAnsi="Times New Roman"/>
          <w:sz w:val="24"/>
          <w:lang w:eastAsia="hr-HR"/>
        </w:rPr>
      </w:pPr>
      <w:r>
        <w:rPr>
          <w:rFonts w:ascii="Times New Roman" w:hAnsi="Times New Roman"/>
          <w:sz w:val="24"/>
          <w:lang w:eastAsia="hr-HR"/>
        </w:rPr>
        <w:t>Posebni cilj 1.</w:t>
      </w:r>
      <w:r>
        <w:rPr>
          <w:rFonts w:ascii="Times New Roman" w:hAnsi="Times New Roman"/>
          <w:sz w:val="24"/>
          <w:lang w:eastAsia="hr-HR"/>
        </w:rPr>
        <w:tab/>
        <w:t>Razvoj sustava kružnog gospodarenja prostorom i zgradama</w:t>
      </w:r>
    </w:p>
    <w:p w14:paraId="45D05D6B" w14:textId="77777777" w:rsidR="00496804" w:rsidRDefault="0037359D">
      <w:pPr>
        <w:spacing w:line="240" w:lineRule="auto"/>
        <w:ind w:left="1560" w:hanging="1560"/>
        <w:rPr>
          <w:rFonts w:ascii="Times New Roman" w:hAnsi="Times New Roman"/>
          <w:sz w:val="24"/>
          <w:lang w:eastAsia="hr-HR"/>
        </w:rPr>
      </w:pPr>
      <w:r>
        <w:rPr>
          <w:rFonts w:ascii="Times New Roman" w:hAnsi="Times New Roman"/>
          <w:sz w:val="24"/>
          <w:lang w:eastAsia="hr-HR"/>
        </w:rPr>
        <w:t>Posebni cilj 2.</w:t>
      </w:r>
      <w:r>
        <w:rPr>
          <w:rFonts w:ascii="Times New Roman" w:hAnsi="Times New Roman"/>
          <w:sz w:val="24"/>
          <w:lang w:eastAsia="hr-HR"/>
        </w:rPr>
        <w:tab/>
        <w:t>Kružna obnova nekorištenih prostora i zgrada</w:t>
      </w:r>
    </w:p>
    <w:p w14:paraId="45D05D6C" w14:textId="77777777" w:rsidR="00496804" w:rsidRDefault="0037359D">
      <w:pPr>
        <w:spacing w:line="240" w:lineRule="auto"/>
        <w:ind w:left="1560" w:hanging="1560"/>
        <w:rPr>
          <w:rFonts w:ascii="Times New Roman" w:hAnsi="Times New Roman"/>
          <w:sz w:val="24"/>
          <w:lang w:eastAsia="hr-HR"/>
        </w:rPr>
      </w:pPr>
      <w:r>
        <w:rPr>
          <w:rFonts w:ascii="Times New Roman" w:hAnsi="Times New Roman"/>
          <w:sz w:val="24"/>
          <w:lang w:eastAsia="hr-HR"/>
        </w:rPr>
        <w:t>Posebni cilj 3.</w:t>
      </w:r>
      <w:r>
        <w:rPr>
          <w:rFonts w:ascii="Times New Roman" w:hAnsi="Times New Roman"/>
          <w:sz w:val="24"/>
          <w:lang w:eastAsia="hr-HR"/>
        </w:rPr>
        <w:tab/>
        <w:t>Visoka razina znanja i društvene svijesti o kružnom gospodarenju prostorom i zgradama</w:t>
      </w:r>
    </w:p>
    <w:p w14:paraId="45D05D6D" w14:textId="77777777" w:rsidR="00496804" w:rsidRDefault="00496804">
      <w:pPr>
        <w:spacing w:line="240" w:lineRule="auto"/>
        <w:rPr>
          <w:rFonts w:ascii="Times New Roman" w:hAnsi="Times New Roman"/>
          <w:sz w:val="24"/>
          <w:lang w:eastAsia="hr-HR"/>
        </w:rPr>
      </w:pPr>
    </w:p>
    <w:p w14:paraId="45D05D6E" w14:textId="77777777" w:rsidR="00496804" w:rsidRDefault="0037359D">
      <w:pPr>
        <w:spacing w:line="240" w:lineRule="auto"/>
        <w:rPr>
          <w:rFonts w:ascii="Times New Roman" w:hAnsi="Times New Roman"/>
          <w:sz w:val="24"/>
        </w:rPr>
      </w:pPr>
      <w:r>
        <w:rPr>
          <w:rFonts w:ascii="Times New Roman" w:hAnsi="Times New Roman"/>
          <w:sz w:val="24"/>
        </w:rPr>
        <w:t>Sva tri navedena cilja međusobno su komplementarna te djeluju sinergijski prema ostvarenju utvrđene vizije. S obzirom na karakter ciljeva i njihovu međupovezanost, realizacijom istih doprinijet će se poticanju kružnog procesa koji će rezultirati kontinuiranim porastom interesa za provedbu projekata kružnog gospodarenja prostorom i zgradama.</w:t>
      </w:r>
    </w:p>
    <w:p w14:paraId="45D05D6F" w14:textId="77777777" w:rsidR="00496804" w:rsidRDefault="00496804">
      <w:pPr>
        <w:spacing w:line="240" w:lineRule="auto"/>
        <w:rPr>
          <w:rFonts w:ascii="Times New Roman" w:hAnsi="Times New Roman"/>
          <w:sz w:val="24"/>
          <w:lang w:eastAsia="hr-HR"/>
        </w:rPr>
      </w:pPr>
    </w:p>
    <w:p w14:paraId="45D05D70" w14:textId="77777777" w:rsidR="00496804" w:rsidRDefault="00496804">
      <w:pPr>
        <w:spacing w:line="240" w:lineRule="auto"/>
        <w:rPr>
          <w:rFonts w:ascii="Times New Roman" w:hAnsi="Times New Roman"/>
          <w:sz w:val="24"/>
          <w:lang w:eastAsia="hr-HR"/>
        </w:rPr>
      </w:pPr>
    </w:p>
    <w:p w14:paraId="45D05D71" w14:textId="77777777" w:rsidR="00496804" w:rsidRDefault="0037359D">
      <w:pPr>
        <w:shd w:val="clear" w:color="auto" w:fill="FFCCA6" w:themeFill="accent5" w:themeFillTint="66"/>
        <w:spacing w:line="240" w:lineRule="auto"/>
        <w:ind w:left="1985" w:hanging="1985"/>
      </w:pPr>
      <w:bookmarkStart w:id="160" w:name="_Toc35005235"/>
      <w:r>
        <w:rPr>
          <w:rFonts w:ascii="Times New Roman" w:hAnsi="Times New Roman"/>
          <w:b/>
          <w:bCs/>
          <w:sz w:val="24"/>
          <w:lang w:eastAsia="hr-HR"/>
        </w:rPr>
        <w:t>POSEBNI CILJ 1</w:t>
      </w:r>
      <w:bookmarkEnd w:id="160"/>
      <w:r>
        <w:rPr>
          <w:rFonts w:ascii="Times New Roman" w:hAnsi="Times New Roman"/>
          <w:b/>
          <w:bCs/>
          <w:sz w:val="24"/>
          <w:lang w:eastAsia="hr-HR"/>
        </w:rPr>
        <w:t>.</w:t>
      </w:r>
      <w:r>
        <w:rPr>
          <w:rFonts w:ascii="Times New Roman" w:hAnsi="Times New Roman"/>
          <w:b/>
          <w:bCs/>
          <w:sz w:val="24"/>
          <w:lang w:eastAsia="hr-HR"/>
        </w:rPr>
        <w:tab/>
        <w:t>RAZVOJ SUSTAVA KRUŽNOG GOSPODARENJA PROSTOROM I ZGRADAMA</w:t>
      </w:r>
    </w:p>
    <w:p w14:paraId="45D05D72" w14:textId="77777777" w:rsidR="00496804" w:rsidRDefault="00496804">
      <w:pPr>
        <w:pStyle w:val="tekst"/>
        <w:spacing w:line="240" w:lineRule="auto"/>
        <w:rPr>
          <w:rFonts w:ascii="Times New Roman" w:eastAsiaTheme="minorHAnsi" w:hAnsi="Times New Roman" w:cs="Times New Roman"/>
          <w:bCs/>
          <w:sz w:val="24"/>
          <w:szCs w:val="24"/>
        </w:rPr>
      </w:pPr>
    </w:p>
    <w:p w14:paraId="45D05D73" w14:textId="77777777" w:rsidR="00496804" w:rsidRDefault="0037359D">
      <w:pPr>
        <w:pStyle w:val="tekst"/>
        <w:spacing w:line="240" w:lineRule="auto"/>
        <w:rPr>
          <w:rFonts w:ascii="Times New Roman" w:hAnsi="Times New Roman" w:cs="Times New Roman"/>
          <w:sz w:val="24"/>
          <w:szCs w:val="24"/>
        </w:rPr>
      </w:pPr>
      <w:r>
        <w:rPr>
          <w:rFonts w:ascii="Times New Roman" w:eastAsiaTheme="minorHAnsi" w:hAnsi="Times New Roman" w:cs="Times New Roman"/>
          <w:bCs/>
          <w:sz w:val="24"/>
          <w:szCs w:val="24"/>
        </w:rPr>
        <w:t xml:space="preserve">Osnovni preduvjet uspješne provedbe </w:t>
      </w:r>
      <w:r>
        <w:rPr>
          <w:rFonts w:ascii="Times New Roman" w:hAnsi="Times New Roman" w:cs="Times New Roman"/>
          <w:sz w:val="24"/>
          <w:szCs w:val="24"/>
        </w:rPr>
        <w:t>kružnog gospodarenja prostorom i zgradama</w:t>
      </w:r>
      <w:r>
        <w:rPr>
          <w:rFonts w:ascii="Times New Roman" w:eastAsiaTheme="minorHAnsi" w:hAnsi="Times New Roman" w:cs="Times New Roman"/>
          <w:bCs/>
          <w:sz w:val="24"/>
          <w:szCs w:val="24"/>
        </w:rPr>
        <w:t xml:space="preserve"> čini razvoj i uspostavljanje učinkovitog sustava provedbe budućih projekata, ali i općenito poticanja značaja istog u širokoj mjeri. Navedeno obuhvaća ne samo razvoj organizacijske strukture, već i širok spektar aktivnosti koje će obuhvatiti razvoj sustava prikupljanja podataka i kontinuiranog praćenja stanja u prostoru, kao i razvoj smjernica i metodologija za primjenu kružnog gospodarenja prostorom i zgradama. Kako </w:t>
      </w:r>
      <w:r>
        <w:rPr>
          <w:rFonts w:ascii="Times New Roman" w:hAnsi="Times New Roman" w:cs="Times New Roman"/>
          <w:sz w:val="24"/>
          <w:szCs w:val="24"/>
        </w:rPr>
        <w:t xml:space="preserve">većina jedinica lokalne samouprave nema izrađene razvojne i planske dokumente usmjerene isključivo razvoju kružnog gospodarenja prostorom i zgradama, bit će potrebno potaknuti njihovo donošenje. </w:t>
      </w:r>
    </w:p>
    <w:p w14:paraId="45D05D74" w14:textId="77777777" w:rsidR="00496804" w:rsidRDefault="00496804">
      <w:pPr>
        <w:pStyle w:val="tekst"/>
        <w:spacing w:line="240" w:lineRule="auto"/>
        <w:rPr>
          <w:rFonts w:ascii="Times New Roman" w:eastAsiaTheme="minorHAnsi" w:hAnsi="Times New Roman" w:cs="Times New Roman"/>
          <w:bCs/>
          <w:sz w:val="24"/>
          <w:szCs w:val="24"/>
        </w:rPr>
      </w:pPr>
    </w:p>
    <w:p w14:paraId="45D05D75" w14:textId="77777777" w:rsidR="00496804" w:rsidRDefault="0037359D">
      <w:pPr>
        <w:spacing w:line="240" w:lineRule="auto"/>
        <w:rPr>
          <w:rFonts w:ascii="Times New Roman" w:hAnsi="Times New Roman"/>
          <w:sz w:val="24"/>
        </w:rPr>
      </w:pPr>
      <w:r>
        <w:rPr>
          <w:rFonts w:ascii="Times New Roman" w:hAnsi="Times New Roman"/>
          <w:sz w:val="24"/>
        </w:rPr>
        <w:t>Upravljanje kružnim gospodarenjem treba se voditi načelima međusektorske suradnje, izgradnji platforme dionika te aktivne razmjene znanja i iskustva. Nadalje, nužno je i kontinuirano unaprjeđivati znanja svih dionika uključenih u aktivnosti na svim razinama.</w:t>
      </w:r>
    </w:p>
    <w:p w14:paraId="45D05D76" w14:textId="77777777" w:rsidR="00496804" w:rsidRDefault="00496804">
      <w:pPr>
        <w:pStyle w:val="tekst"/>
        <w:spacing w:line="240" w:lineRule="auto"/>
        <w:rPr>
          <w:rFonts w:ascii="Times New Roman" w:hAnsi="Times New Roman" w:cs="Times New Roman"/>
          <w:sz w:val="24"/>
          <w:szCs w:val="24"/>
        </w:rPr>
      </w:pPr>
    </w:p>
    <w:p w14:paraId="45D05D77"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45D05D78" w14:textId="77777777" w:rsidR="00496804" w:rsidRDefault="00496804">
      <w:pPr>
        <w:pStyle w:val="tekst"/>
        <w:spacing w:line="240" w:lineRule="auto"/>
        <w:rPr>
          <w:rFonts w:ascii="Times New Roman" w:hAnsi="Times New Roman" w:cs="Times New Roman"/>
          <w:sz w:val="24"/>
          <w:szCs w:val="24"/>
        </w:rPr>
      </w:pPr>
    </w:p>
    <w:p w14:paraId="45D05D79" w14:textId="77777777" w:rsidR="00496804" w:rsidRDefault="0037359D">
      <w:pPr>
        <w:shd w:val="clear" w:color="auto" w:fill="FFCCA6" w:themeFill="accent5" w:themeFillTint="66"/>
        <w:spacing w:line="240" w:lineRule="auto"/>
        <w:ind w:left="1985" w:hanging="1985"/>
        <w:rPr>
          <w:rFonts w:ascii="Times New Roman" w:hAnsi="Times New Roman"/>
          <w:b/>
          <w:bCs/>
          <w:sz w:val="24"/>
          <w:lang w:eastAsia="hr-HR"/>
        </w:rPr>
      </w:pPr>
      <w:bookmarkStart w:id="161" w:name="_Toc35005236"/>
      <w:r>
        <w:rPr>
          <w:rFonts w:ascii="Times New Roman" w:hAnsi="Times New Roman"/>
          <w:b/>
          <w:bCs/>
          <w:sz w:val="24"/>
          <w:lang w:eastAsia="hr-HR"/>
        </w:rPr>
        <w:t>POSEBNI CILJ 2.</w:t>
      </w:r>
      <w:bookmarkEnd w:id="161"/>
      <w:r>
        <w:rPr>
          <w:rFonts w:ascii="Times New Roman" w:hAnsi="Times New Roman"/>
          <w:b/>
          <w:bCs/>
          <w:sz w:val="24"/>
          <w:lang w:eastAsia="hr-HR"/>
        </w:rPr>
        <w:tab/>
        <w:t>KRUŽNA OBNOVA NEKORIŠTENIH PROSTORA I ZGRADA</w:t>
      </w:r>
    </w:p>
    <w:p w14:paraId="45D05D7A" w14:textId="77777777" w:rsidR="00496804" w:rsidRDefault="00496804">
      <w:pPr>
        <w:pStyle w:val="tekst"/>
        <w:spacing w:line="240" w:lineRule="auto"/>
        <w:rPr>
          <w:rFonts w:ascii="Times New Roman" w:hAnsi="Times New Roman" w:cs="Times New Roman"/>
          <w:sz w:val="24"/>
          <w:szCs w:val="24"/>
        </w:rPr>
      </w:pPr>
    </w:p>
    <w:p w14:paraId="45D05D7B"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Značajan broj nekorištenih prostora i zgrada u vlasništvu je RH ili JLP(R)S. To su prostori i zgrade koje gube svoju osnovnu namjenu, u ruralnim područjima kao posljedica raseljavanja dok u urbanim područjima iz gospodarskih razloga. Mjere kružne obnove prikladne su upravo za zgrade pogodne za ponovnu upotrebu. Podjelu prostora i zgrada prema tipologijama i mjerilima čine:</w:t>
      </w:r>
    </w:p>
    <w:p w14:paraId="45D05D7C" w14:textId="77777777" w:rsidR="00496804" w:rsidRDefault="00496804">
      <w:pPr>
        <w:pStyle w:val="tekst"/>
        <w:spacing w:line="240" w:lineRule="auto"/>
        <w:rPr>
          <w:rFonts w:ascii="Times New Roman" w:hAnsi="Times New Roman" w:cs="Times New Roman"/>
          <w:sz w:val="24"/>
          <w:szCs w:val="24"/>
        </w:rPr>
      </w:pPr>
    </w:p>
    <w:p w14:paraId="45D05D7D" w14:textId="77777777" w:rsidR="00496804" w:rsidRDefault="0037359D">
      <w:pPr>
        <w:pStyle w:val="tekst"/>
        <w:numPr>
          <w:ilvl w:val="0"/>
          <w:numId w:val="23"/>
        </w:numPr>
        <w:spacing w:line="240" w:lineRule="auto"/>
        <w:ind w:left="426" w:hanging="284"/>
        <w:rPr>
          <w:rFonts w:ascii="Times New Roman" w:hAnsi="Times New Roman" w:cs="Times New Roman"/>
          <w:sz w:val="24"/>
          <w:szCs w:val="24"/>
        </w:rPr>
      </w:pPr>
      <w:r>
        <w:rPr>
          <w:rFonts w:ascii="Times New Roman" w:hAnsi="Times New Roman" w:cs="Times New Roman"/>
          <w:i/>
          <w:iCs/>
          <w:sz w:val="24"/>
          <w:szCs w:val="24"/>
        </w:rPr>
        <w:t>nekorištene zgrade</w:t>
      </w:r>
      <w:r>
        <w:rPr>
          <w:rFonts w:ascii="Times New Roman" w:hAnsi="Times New Roman" w:cs="Times New Roman"/>
          <w:sz w:val="24"/>
          <w:szCs w:val="24"/>
        </w:rPr>
        <w:t xml:space="preserve"> – napuštene pojedinačne zgrade</w:t>
      </w:r>
    </w:p>
    <w:p w14:paraId="45D05D7E" w14:textId="77777777" w:rsidR="00496804" w:rsidRDefault="0037359D">
      <w:pPr>
        <w:pStyle w:val="tekst"/>
        <w:numPr>
          <w:ilvl w:val="0"/>
          <w:numId w:val="23"/>
        </w:numPr>
        <w:spacing w:line="240" w:lineRule="auto"/>
        <w:ind w:left="426" w:hanging="284"/>
        <w:rPr>
          <w:rFonts w:ascii="Times New Roman" w:hAnsi="Times New Roman" w:cs="Times New Roman"/>
          <w:sz w:val="24"/>
          <w:szCs w:val="24"/>
        </w:rPr>
      </w:pPr>
      <w:r>
        <w:rPr>
          <w:rFonts w:ascii="Times New Roman" w:hAnsi="Times New Roman" w:cs="Times New Roman"/>
          <w:i/>
          <w:iCs/>
          <w:sz w:val="24"/>
          <w:szCs w:val="24"/>
        </w:rPr>
        <w:t>nekorištene zone</w:t>
      </w:r>
      <w:r>
        <w:rPr>
          <w:rFonts w:ascii="Times New Roman" w:hAnsi="Times New Roman" w:cs="Times New Roman"/>
          <w:sz w:val="24"/>
          <w:szCs w:val="24"/>
        </w:rPr>
        <w:t xml:space="preserve"> – zone napuštenih prostora i zgrada (monofunkcionalne ili polifunkcionalne)</w:t>
      </w:r>
    </w:p>
    <w:p w14:paraId="45D05D7F" w14:textId="77777777" w:rsidR="00496804" w:rsidRDefault="00496804">
      <w:pPr>
        <w:pStyle w:val="tekst"/>
        <w:spacing w:line="240" w:lineRule="auto"/>
        <w:rPr>
          <w:rFonts w:ascii="Times New Roman" w:hAnsi="Times New Roman"/>
          <w:sz w:val="24"/>
        </w:rPr>
      </w:pPr>
    </w:p>
    <w:p w14:paraId="45D05D80"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sz w:val="24"/>
        </w:rPr>
        <w:t xml:space="preserve">Kružno gospodarenje prostorom i zgradama uključuje niz aktivnosti kao što su pokretanje ulaganja u zelene tehnologije, održiva rješenja i inovacije na svim poljima graditeljstva, od polja planiranja, projektiranja i korištenja prostora i zgrada pa sve do mjerila građevnih materijala i proizvoda. </w:t>
      </w:r>
      <w:r>
        <w:rPr>
          <w:rFonts w:ascii="Times New Roman" w:hAnsi="Times New Roman" w:cs="Times New Roman"/>
          <w:sz w:val="24"/>
          <w:szCs w:val="24"/>
        </w:rPr>
        <w:t xml:space="preserve">Kružna obnova nekorištenih prostora i zgrada trebala bi potaknuti učinkovito korištenje prostornih resursa, odnosno doprinosa održivom korištenju zemljišta kroz smanjenje potrebe za širenjem građevinskih područja na trenutačno neizgrađena područja. Nadalje, cilj će pridonijeti smanjenju nastanka </w:t>
      </w:r>
      <w:r>
        <w:rPr>
          <w:rFonts w:ascii="Times New Roman" w:hAnsi="Times New Roman"/>
          <w:sz w:val="24"/>
        </w:rPr>
        <w:t>građevnog</w:t>
      </w:r>
      <w:r>
        <w:rPr>
          <w:rFonts w:ascii="Times New Roman" w:hAnsi="Times New Roman" w:cs="Times New Roman"/>
          <w:sz w:val="24"/>
          <w:szCs w:val="24"/>
        </w:rPr>
        <w:t xml:space="preserve"> otpada, poboljšanju energetskih svojstava zgrada, odnosno ukupnom očuvanju resursa korištenih u prostoru i zgradama te revitalizaciji prostora u kojem su zgrade izgrađene. </w:t>
      </w:r>
    </w:p>
    <w:p w14:paraId="45D05D81" w14:textId="77777777" w:rsidR="00496804" w:rsidRDefault="00496804">
      <w:pPr>
        <w:pStyle w:val="tekst"/>
        <w:spacing w:line="240" w:lineRule="auto"/>
        <w:rPr>
          <w:rFonts w:ascii="Times New Roman" w:hAnsi="Times New Roman" w:cs="Times New Roman"/>
          <w:sz w:val="24"/>
          <w:szCs w:val="24"/>
        </w:rPr>
      </w:pPr>
    </w:p>
    <w:p w14:paraId="45D05D82"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Razvoj </w:t>
      </w:r>
      <w:r>
        <w:rPr>
          <w:rFonts w:ascii="Times New Roman" w:hAnsi="Times New Roman"/>
          <w:sz w:val="24"/>
        </w:rPr>
        <w:t>kružnog gospodarenja prostorom i zgradama moguć je uz kontinuirano promicanje inovacija i primjene sustava certificiranja. Inovacije će podrazumijevati razvoj novih načina planiranja prostora i modela primjene kružnog gospodarenja prostorom i zgradama u odnosu na nove materijale i proizvode, načine projektiranja, gradnje, održavanja i obnove zgrada, kao i razvoj novih metoda, analitičkih alata, algoritamskih sustava, baza podataka i modela za cjelovitu procjenu učinaka. U tom smislu nužno je pružati podršku znanstvenoistraživačkim projektima koji će obraditi navedene teme.</w:t>
      </w:r>
    </w:p>
    <w:p w14:paraId="45D05D83" w14:textId="77777777" w:rsidR="00496804" w:rsidRDefault="00496804">
      <w:pPr>
        <w:pStyle w:val="tekst"/>
        <w:spacing w:line="240" w:lineRule="auto"/>
        <w:rPr>
          <w:rFonts w:ascii="Times New Roman" w:hAnsi="Times New Roman" w:cs="Times New Roman"/>
          <w:sz w:val="24"/>
          <w:szCs w:val="24"/>
        </w:rPr>
      </w:pPr>
    </w:p>
    <w:p w14:paraId="45D05D84" w14:textId="77777777" w:rsidR="00496804" w:rsidRDefault="0037359D">
      <w:pPr>
        <w:shd w:val="clear" w:color="auto" w:fill="FFCCA6" w:themeFill="accent5" w:themeFillTint="66"/>
        <w:spacing w:line="240" w:lineRule="auto"/>
        <w:ind w:left="1985" w:hanging="1985"/>
        <w:rPr>
          <w:rFonts w:ascii="Times New Roman" w:hAnsi="Times New Roman"/>
          <w:b/>
          <w:bCs/>
          <w:sz w:val="24"/>
          <w:lang w:eastAsia="hr-HR"/>
        </w:rPr>
      </w:pPr>
      <w:bookmarkStart w:id="162" w:name="_Toc35005237"/>
      <w:r>
        <w:rPr>
          <w:rFonts w:ascii="Times New Roman" w:hAnsi="Times New Roman"/>
          <w:b/>
          <w:bCs/>
          <w:sz w:val="24"/>
          <w:lang w:eastAsia="hr-HR"/>
        </w:rPr>
        <w:t>POSEBNI CILJ 3.</w:t>
      </w:r>
      <w:bookmarkEnd w:id="162"/>
      <w:r>
        <w:rPr>
          <w:rFonts w:ascii="Times New Roman" w:hAnsi="Times New Roman"/>
          <w:b/>
          <w:bCs/>
          <w:sz w:val="24"/>
          <w:lang w:eastAsia="hr-HR"/>
        </w:rPr>
        <w:tab/>
        <w:t>VISOKA RAZINA ZNANJA I DRUŠTVENE SVIJESTI O KRUŽNOM GOSPODARENJU PROSTOROM I ZGRADAMA</w:t>
      </w:r>
    </w:p>
    <w:p w14:paraId="45D05D85" w14:textId="77777777" w:rsidR="00496804" w:rsidRDefault="00496804">
      <w:pPr>
        <w:spacing w:line="240" w:lineRule="auto"/>
        <w:rPr>
          <w:rFonts w:ascii="Times New Roman" w:hAnsi="Times New Roman"/>
          <w:sz w:val="24"/>
        </w:rPr>
      </w:pPr>
    </w:p>
    <w:p w14:paraId="45D05D86" w14:textId="77777777" w:rsidR="00496804" w:rsidRDefault="0037359D">
      <w:pPr>
        <w:spacing w:line="240" w:lineRule="auto"/>
        <w:rPr>
          <w:rFonts w:ascii="Times New Roman" w:hAnsi="Times New Roman"/>
          <w:bCs/>
          <w:sz w:val="24"/>
        </w:rPr>
      </w:pPr>
      <w:r>
        <w:rPr>
          <w:rFonts w:ascii="Times New Roman" w:hAnsi="Times New Roman"/>
          <w:sz w:val="24"/>
        </w:rPr>
        <w:t xml:space="preserve">Podizanje razine informiranosti o važnosti održivog razvoja i uloge kružnog gospodarenja prostorom i zgradama na svim društvenim razinama ključan je preduvjet izgradnje učinkovitog sustava. Rezultati analize stanja pokazuju kako postoji potreba za upoznavanjem lokalne i regionalne samouprave i cjelokupne javnosti </w:t>
      </w:r>
      <w:r>
        <w:rPr>
          <w:rFonts w:ascii="Times New Roman" w:hAnsi="Times New Roman"/>
          <w:bCs/>
          <w:sz w:val="24"/>
        </w:rPr>
        <w:t>s temom kružnog gospodarenja prostorom i zgradama te su pozitivno ocijenjene mogućnosti njegove primjene.</w:t>
      </w:r>
    </w:p>
    <w:p w14:paraId="45D05D87" w14:textId="77777777" w:rsidR="00496804" w:rsidRDefault="00496804">
      <w:pPr>
        <w:spacing w:line="240" w:lineRule="auto"/>
        <w:rPr>
          <w:rFonts w:ascii="Times New Roman" w:hAnsi="Times New Roman"/>
          <w:sz w:val="24"/>
        </w:rPr>
      </w:pPr>
    </w:p>
    <w:p w14:paraId="45D05D88" w14:textId="77777777" w:rsidR="00496804" w:rsidRDefault="0037359D">
      <w:pPr>
        <w:spacing w:line="240" w:lineRule="auto"/>
        <w:rPr>
          <w:rFonts w:ascii="Times New Roman" w:hAnsi="Times New Roman"/>
          <w:sz w:val="24"/>
        </w:rPr>
      </w:pPr>
      <w:r>
        <w:rPr>
          <w:rFonts w:ascii="Times New Roman" w:hAnsi="Times New Roman"/>
          <w:sz w:val="24"/>
        </w:rPr>
        <w:t>Stoga je s ciljem podizanja svijesti o pozitivnom i kvalitetnom utjecaju kružnog gospodarenja prostorom i zgradama potrebno educirati sve relevantne dionike – stručnjake, donositelje odluka, investitore, ali i cjelokupnu javnost. Edukacijom i podizanjem svijesti o važnosti kružnog gospodarenja prostorom i zgradama, kao i odgovornom postupanju s okolišem, povećava se mogućnost održivog razvoja, posebice s aspekta održivog planiranja korištenja prostora. Jačanje osviještenosti kod stanovništva ujedno pozitivno djeluje na stvaranje „odozdo prema gore“ (bottom-up) inicijativa koje također mogu pospješiti razvoj sustava kružnog gospodarenja prostorom i zgradama.</w:t>
      </w:r>
    </w:p>
    <w:p w14:paraId="45D05D89" w14:textId="77777777" w:rsidR="00496804" w:rsidRDefault="0037359D">
      <w:pPr>
        <w:spacing w:line="240" w:lineRule="auto"/>
        <w:jc w:val="left"/>
        <w:rPr>
          <w:rFonts w:ascii="Times New Roman" w:hAnsi="Times New Roman"/>
          <w:sz w:val="24"/>
          <w:lang w:eastAsia="hr-HR"/>
        </w:rPr>
      </w:pPr>
      <w:r>
        <w:rPr>
          <w:rFonts w:ascii="Times New Roman" w:hAnsi="Times New Roman"/>
          <w:sz w:val="24"/>
        </w:rPr>
        <w:br w:type="page"/>
      </w:r>
    </w:p>
    <w:p w14:paraId="45D05D8A" w14:textId="77777777" w:rsidR="00496804" w:rsidRDefault="0037359D">
      <w:pPr>
        <w:pStyle w:val="Naslov10"/>
        <w:spacing w:line="240" w:lineRule="auto"/>
        <w:ind w:left="426" w:hanging="426"/>
        <w:outlineLvl w:val="0"/>
        <w:rPr>
          <w:rFonts w:ascii="Times New Roman" w:hAnsi="Times New Roman" w:cs="Times New Roman"/>
          <w:sz w:val="24"/>
          <w:szCs w:val="24"/>
        </w:rPr>
      </w:pPr>
      <w:bookmarkStart w:id="163" w:name="_Toc51851652"/>
      <w:bookmarkStart w:id="164" w:name="_Toc35005238"/>
      <w:bookmarkStart w:id="165" w:name="_Toc30851613"/>
      <w:r>
        <w:rPr>
          <w:rFonts w:ascii="Times New Roman" w:hAnsi="Times New Roman" w:cs="Times New Roman"/>
          <w:sz w:val="24"/>
          <w:szCs w:val="24"/>
        </w:rPr>
        <w:lastRenderedPageBreak/>
        <w:t>POKAZATELJI ISHODA POSEBNIH CILJEVA</w:t>
      </w:r>
      <w:bookmarkEnd w:id="163"/>
    </w:p>
    <w:p w14:paraId="45D05D8B" w14:textId="77777777" w:rsidR="00496804" w:rsidRDefault="00496804">
      <w:pPr>
        <w:pStyle w:val="Bezproreda"/>
        <w:jc w:val="both"/>
      </w:pPr>
    </w:p>
    <w:p w14:paraId="45D05D8C" w14:textId="77777777" w:rsidR="00496804" w:rsidRDefault="0037359D">
      <w:pPr>
        <w:pStyle w:val="Naslov2"/>
        <w:ind w:left="426" w:hanging="426"/>
        <w:rPr>
          <w:rFonts w:ascii="Times New Roman" w:hAnsi="Times New Roman" w:cs="Times New Roman"/>
          <w:color w:val="auto"/>
          <w:sz w:val="24"/>
          <w:szCs w:val="24"/>
        </w:rPr>
      </w:pPr>
      <w:bookmarkStart w:id="166" w:name="_Toc51851653"/>
      <w:r>
        <w:rPr>
          <w:rFonts w:ascii="Times New Roman" w:hAnsi="Times New Roman" w:cs="Times New Roman"/>
          <w:color w:val="auto"/>
          <w:sz w:val="24"/>
          <w:szCs w:val="24"/>
        </w:rPr>
        <w:t>ANALIZA DOSTUPNIH POKAZATELJA</w:t>
      </w:r>
      <w:bookmarkEnd w:id="164"/>
      <w:bookmarkEnd w:id="166"/>
    </w:p>
    <w:p w14:paraId="45D05D8D" w14:textId="77777777" w:rsidR="00496804" w:rsidRDefault="00496804">
      <w:pPr>
        <w:spacing w:line="240" w:lineRule="auto"/>
        <w:rPr>
          <w:rFonts w:ascii="Times New Roman" w:hAnsi="Times New Roman"/>
          <w:sz w:val="24"/>
        </w:rPr>
      </w:pPr>
    </w:p>
    <w:p w14:paraId="45D05D8E"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sz w:val="24"/>
        </w:rPr>
        <w:t>Komunikacija Komisije Europskom parlamentu, Vijeću, Europskom gospodarskom i socijalnom odboru i Odboru regija: Okvir za praćenje kružnog gospodarstva (COM(2018) 29 final) od 16.1.2018. godine</w:t>
      </w:r>
      <w:r>
        <w:rPr>
          <w:rStyle w:val="Referencafusnote"/>
          <w:rFonts w:ascii="Times New Roman" w:hAnsi="Times New Roman" w:cs="Times New Roman"/>
          <w:sz w:val="24"/>
          <w:szCs w:val="24"/>
        </w:rPr>
        <w:footnoteReference w:id="58"/>
      </w:r>
      <w:r>
        <w:rPr>
          <w:rFonts w:ascii="Times New Roman" w:hAnsi="Times New Roman" w:cs="Times New Roman"/>
          <w:bCs/>
          <w:sz w:val="24"/>
          <w:szCs w:val="24"/>
        </w:rPr>
        <w:t>,</w:t>
      </w:r>
      <w:r>
        <w:rPr>
          <w:rFonts w:ascii="Times New Roman" w:hAnsi="Times New Roman" w:cs="Times New Roman"/>
          <w:sz w:val="24"/>
          <w:szCs w:val="24"/>
        </w:rPr>
        <w:t xml:space="preserve"> koji je EK predstavila 2018. godine, predlaže 10 ključnih pokazatelja (EUROSTAT) za svaku fazu životnog vijeka proizvoda i aspekte konkurentnosti. Oni su podijeljeni u četiri kategorije koje obuhvaćaju sve faze životnog vijeka:</w:t>
      </w:r>
    </w:p>
    <w:p w14:paraId="45D05D8F" w14:textId="77777777" w:rsidR="00496804" w:rsidRDefault="00496804">
      <w:pPr>
        <w:pStyle w:val="Bezproreda"/>
        <w:jc w:val="both"/>
        <w:rPr>
          <w:lang w:val="hr-HR"/>
        </w:rPr>
      </w:pPr>
    </w:p>
    <w:p w14:paraId="45D05D90" w14:textId="77777777" w:rsidR="00496804" w:rsidRDefault="00496804">
      <w:pPr>
        <w:pStyle w:val="Bezproreda"/>
        <w:jc w:val="both"/>
        <w:rPr>
          <w:lang w:val="hr-HR"/>
        </w:rPr>
      </w:pPr>
    </w:p>
    <w:p w14:paraId="45D05D91" w14:textId="77777777" w:rsidR="00496804" w:rsidRDefault="0037359D">
      <w:pPr>
        <w:pStyle w:val="Opisslike"/>
        <w:rPr>
          <w:rFonts w:ascii="Times New Roman" w:hAnsi="Times New Roman"/>
          <w:b w:val="0"/>
          <w:bCs w:val="0"/>
          <w:i/>
          <w:iCs/>
          <w:sz w:val="24"/>
          <w:szCs w:val="24"/>
        </w:rPr>
      </w:pPr>
      <w:r>
        <w:rPr>
          <w:rFonts w:ascii="Times New Roman" w:hAnsi="Times New Roman"/>
          <w:b w:val="0"/>
          <w:bCs w:val="0"/>
          <w:i/>
          <w:iCs/>
          <w:sz w:val="24"/>
          <w:szCs w:val="24"/>
        </w:rPr>
        <w:t xml:space="preserve">Tablica 13. Ključni pokazatelji praćenja kružnog gospodarstva </w:t>
      </w:r>
    </w:p>
    <w:tbl>
      <w:tblPr>
        <w:tblStyle w:val="Reetkatablice"/>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715"/>
        <w:gridCol w:w="747"/>
        <w:gridCol w:w="6170"/>
      </w:tblGrid>
      <w:tr w:rsidR="00496804" w14:paraId="45D05D95" w14:textId="77777777">
        <w:tc>
          <w:tcPr>
            <w:tcW w:w="1409" w:type="pct"/>
            <w:vMerge w:val="restart"/>
            <w:tcBorders>
              <w:right w:val="single" w:sz="4" w:space="0" w:color="auto"/>
            </w:tcBorders>
            <w:shd w:val="clear" w:color="auto" w:fill="FFCCA6" w:themeFill="accent5" w:themeFillTint="66"/>
            <w:vAlign w:val="center"/>
          </w:tcPr>
          <w:p w14:paraId="45D05D92" w14:textId="77777777" w:rsidR="00496804" w:rsidRDefault="0037359D">
            <w:pPr>
              <w:spacing w:line="240" w:lineRule="auto"/>
              <w:jc w:val="left"/>
              <w:rPr>
                <w:rFonts w:ascii="Times New Roman" w:hAnsi="Times New Roman"/>
                <w:b/>
                <w:bCs/>
                <w:sz w:val="24"/>
              </w:rPr>
            </w:pPr>
            <w:r>
              <w:rPr>
                <w:rFonts w:ascii="Times New Roman" w:hAnsi="Times New Roman"/>
                <w:b/>
                <w:bCs/>
                <w:sz w:val="24"/>
              </w:rPr>
              <w:t>Proizvodnja i potrošnja</w:t>
            </w:r>
          </w:p>
        </w:tc>
        <w:tc>
          <w:tcPr>
            <w:tcW w:w="388" w:type="pct"/>
            <w:tcBorders>
              <w:left w:val="single" w:sz="4" w:space="0" w:color="auto"/>
            </w:tcBorders>
            <w:vAlign w:val="center"/>
          </w:tcPr>
          <w:p w14:paraId="45D05D93" w14:textId="77777777" w:rsidR="00496804" w:rsidRDefault="0037359D">
            <w:pPr>
              <w:spacing w:line="240" w:lineRule="auto"/>
              <w:jc w:val="right"/>
              <w:rPr>
                <w:rFonts w:ascii="Times New Roman" w:hAnsi="Times New Roman"/>
                <w:sz w:val="24"/>
              </w:rPr>
            </w:pPr>
            <w:r>
              <w:rPr>
                <w:rFonts w:ascii="Times New Roman" w:hAnsi="Times New Roman"/>
                <w:sz w:val="24"/>
              </w:rPr>
              <w:t>1.</w:t>
            </w:r>
          </w:p>
        </w:tc>
        <w:tc>
          <w:tcPr>
            <w:tcW w:w="3203" w:type="pct"/>
            <w:vAlign w:val="center"/>
          </w:tcPr>
          <w:p w14:paraId="45D05D94" w14:textId="77777777" w:rsidR="00496804" w:rsidRDefault="0037359D">
            <w:pPr>
              <w:spacing w:line="240" w:lineRule="auto"/>
              <w:jc w:val="left"/>
              <w:rPr>
                <w:rFonts w:ascii="Times New Roman" w:hAnsi="Times New Roman"/>
                <w:sz w:val="24"/>
              </w:rPr>
            </w:pPr>
            <w:r>
              <w:rPr>
                <w:rFonts w:ascii="Times New Roman" w:hAnsi="Times New Roman"/>
                <w:sz w:val="24"/>
              </w:rPr>
              <w:t xml:space="preserve">Samodostatnost EU-a kad je riječ o sirovinama </w:t>
            </w:r>
          </w:p>
        </w:tc>
      </w:tr>
      <w:tr w:rsidR="00496804" w14:paraId="45D05D99" w14:textId="77777777">
        <w:tc>
          <w:tcPr>
            <w:tcW w:w="1409" w:type="pct"/>
            <w:vMerge/>
            <w:tcBorders>
              <w:right w:val="single" w:sz="4" w:space="0" w:color="auto"/>
            </w:tcBorders>
            <w:shd w:val="clear" w:color="auto" w:fill="FFCCA6" w:themeFill="accent5" w:themeFillTint="66"/>
            <w:vAlign w:val="center"/>
          </w:tcPr>
          <w:p w14:paraId="45D05D96" w14:textId="77777777" w:rsidR="00496804" w:rsidRDefault="00496804">
            <w:pPr>
              <w:spacing w:line="240" w:lineRule="auto"/>
              <w:jc w:val="left"/>
              <w:rPr>
                <w:rFonts w:ascii="Times New Roman" w:hAnsi="Times New Roman"/>
                <w:b/>
                <w:bCs/>
                <w:sz w:val="24"/>
              </w:rPr>
            </w:pPr>
          </w:p>
        </w:tc>
        <w:tc>
          <w:tcPr>
            <w:tcW w:w="388" w:type="pct"/>
            <w:tcBorders>
              <w:left w:val="single" w:sz="4" w:space="0" w:color="auto"/>
            </w:tcBorders>
            <w:vAlign w:val="center"/>
          </w:tcPr>
          <w:p w14:paraId="45D05D97" w14:textId="77777777" w:rsidR="00496804" w:rsidRDefault="0037359D">
            <w:pPr>
              <w:spacing w:line="240" w:lineRule="auto"/>
              <w:jc w:val="right"/>
              <w:rPr>
                <w:rFonts w:ascii="Times New Roman" w:hAnsi="Times New Roman"/>
                <w:sz w:val="24"/>
              </w:rPr>
            </w:pPr>
            <w:r>
              <w:rPr>
                <w:rFonts w:ascii="Times New Roman" w:hAnsi="Times New Roman"/>
                <w:sz w:val="24"/>
              </w:rPr>
              <w:t>2.</w:t>
            </w:r>
          </w:p>
        </w:tc>
        <w:tc>
          <w:tcPr>
            <w:tcW w:w="3203" w:type="pct"/>
            <w:vAlign w:val="center"/>
          </w:tcPr>
          <w:p w14:paraId="45D05D98" w14:textId="77777777" w:rsidR="00496804" w:rsidRDefault="0037359D">
            <w:pPr>
              <w:spacing w:line="240" w:lineRule="auto"/>
              <w:jc w:val="left"/>
              <w:rPr>
                <w:rFonts w:ascii="Times New Roman" w:hAnsi="Times New Roman"/>
                <w:sz w:val="24"/>
              </w:rPr>
            </w:pPr>
            <w:r>
              <w:rPr>
                <w:rFonts w:ascii="Times New Roman" w:hAnsi="Times New Roman"/>
                <w:sz w:val="24"/>
              </w:rPr>
              <w:t xml:space="preserve">Zelena javna nabava </w:t>
            </w:r>
          </w:p>
        </w:tc>
      </w:tr>
      <w:tr w:rsidR="00496804" w14:paraId="45D05D9D" w14:textId="77777777">
        <w:tc>
          <w:tcPr>
            <w:tcW w:w="1409" w:type="pct"/>
            <w:vMerge/>
            <w:tcBorders>
              <w:right w:val="single" w:sz="4" w:space="0" w:color="auto"/>
            </w:tcBorders>
            <w:shd w:val="clear" w:color="auto" w:fill="FFCCA6" w:themeFill="accent5" w:themeFillTint="66"/>
            <w:vAlign w:val="center"/>
          </w:tcPr>
          <w:p w14:paraId="45D05D9A" w14:textId="77777777" w:rsidR="00496804" w:rsidRDefault="00496804">
            <w:pPr>
              <w:spacing w:line="240" w:lineRule="auto"/>
              <w:jc w:val="left"/>
              <w:rPr>
                <w:rFonts w:ascii="Times New Roman" w:hAnsi="Times New Roman"/>
                <w:b/>
                <w:bCs/>
                <w:sz w:val="24"/>
              </w:rPr>
            </w:pPr>
          </w:p>
        </w:tc>
        <w:tc>
          <w:tcPr>
            <w:tcW w:w="388" w:type="pct"/>
            <w:tcBorders>
              <w:left w:val="single" w:sz="4" w:space="0" w:color="auto"/>
            </w:tcBorders>
            <w:vAlign w:val="center"/>
          </w:tcPr>
          <w:p w14:paraId="45D05D9B" w14:textId="77777777" w:rsidR="00496804" w:rsidRDefault="0037359D">
            <w:pPr>
              <w:spacing w:line="240" w:lineRule="auto"/>
              <w:jc w:val="right"/>
              <w:rPr>
                <w:rFonts w:ascii="Times New Roman" w:hAnsi="Times New Roman"/>
                <w:sz w:val="24"/>
              </w:rPr>
            </w:pPr>
            <w:r>
              <w:rPr>
                <w:rFonts w:ascii="Times New Roman" w:hAnsi="Times New Roman"/>
                <w:sz w:val="24"/>
              </w:rPr>
              <w:t>3.a-c</w:t>
            </w:r>
          </w:p>
        </w:tc>
        <w:tc>
          <w:tcPr>
            <w:tcW w:w="3203" w:type="pct"/>
            <w:vAlign w:val="center"/>
          </w:tcPr>
          <w:p w14:paraId="45D05D9C" w14:textId="77777777" w:rsidR="00496804" w:rsidRDefault="0037359D">
            <w:pPr>
              <w:spacing w:line="240" w:lineRule="auto"/>
              <w:jc w:val="left"/>
              <w:rPr>
                <w:rFonts w:ascii="Times New Roman" w:hAnsi="Times New Roman"/>
                <w:sz w:val="24"/>
              </w:rPr>
            </w:pPr>
            <w:r>
              <w:rPr>
                <w:rFonts w:ascii="Times New Roman" w:hAnsi="Times New Roman"/>
                <w:sz w:val="24"/>
              </w:rPr>
              <w:t xml:space="preserve">Stvaranje otpada </w:t>
            </w:r>
          </w:p>
        </w:tc>
      </w:tr>
      <w:tr w:rsidR="00496804" w14:paraId="45D05DA1" w14:textId="77777777">
        <w:tc>
          <w:tcPr>
            <w:tcW w:w="1409" w:type="pct"/>
            <w:vMerge/>
            <w:tcBorders>
              <w:right w:val="single" w:sz="4" w:space="0" w:color="auto"/>
            </w:tcBorders>
            <w:shd w:val="clear" w:color="auto" w:fill="FFCCA6" w:themeFill="accent5" w:themeFillTint="66"/>
            <w:vAlign w:val="center"/>
          </w:tcPr>
          <w:p w14:paraId="45D05D9E" w14:textId="77777777" w:rsidR="00496804" w:rsidRDefault="00496804">
            <w:pPr>
              <w:spacing w:line="240" w:lineRule="auto"/>
              <w:jc w:val="left"/>
              <w:rPr>
                <w:rFonts w:ascii="Times New Roman" w:hAnsi="Times New Roman"/>
                <w:b/>
                <w:bCs/>
                <w:sz w:val="24"/>
              </w:rPr>
            </w:pPr>
          </w:p>
        </w:tc>
        <w:tc>
          <w:tcPr>
            <w:tcW w:w="388" w:type="pct"/>
            <w:tcBorders>
              <w:left w:val="single" w:sz="4" w:space="0" w:color="auto"/>
            </w:tcBorders>
            <w:vAlign w:val="center"/>
          </w:tcPr>
          <w:p w14:paraId="45D05D9F" w14:textId="77777777" w:rsidR="00496804" w:rsidRDefault="0037359D">
            <w:pPr>
              <w:spacing w:line="240" w:lineRule="auto"/>
              <w:jc w:val="right"/>
              <w:rPr>
                <w:rFonts w:ascii="Times New Roman" w:hAnsi="Times New Roman"/>
                <w:sz w:val="24"/>
              </w:rPr>
            </w:pPr>
            <w:r>
              <w:rPr>
                <w:rFonts w:ascii="Times New Roman" w:hAnsi="Times New Roman"/>
                <w:sz w:val="24"/>
              </w:rPr>
              <w:t>4.</w:t>
            </w:r>
          </w:p>
        </w:tc>
        <w:tc>
          <w:tcPr>
            <w:tcW w:w="3203" w:type="pct"/>
            <w:vAlign w:val="center"/>
          </w:tcPr>
          <w:p w14:paraId="45D05DA0" w14:textId="77777777" w:rsidR="00496804" w:rsidRDefault="0037359D">
            <w:pPr>
              <w:spacing w:line="240" w:lineRule="auto"/>
              <w:jc w:val="left"/>
              <w:rPr>
                <w:rFonts w:ascii="Times New Roman" w:hAnsi="Times New Roman"/>
                <w:sz w:val="24"/>
              </w:rPr>
            </w:pPr>
            <w:r>
              <w:rPr>
                <w:rFonts w:ascii="Times New Roman" w:hAnsi="Times New Roman"/>
                <w:sz w:val="24"/>
              </w:rPr>
              <w:t xml:space="preserve">Rasipanje hrane </w:t>
            </w:r>
          </w:p>
        </w:tc>
      </w:tr>
      <w:tr w:rsidR="00496804" w14:paraId="45D05DA5" w14:textId="77777777">
        <w:tc>
          <w:tcPr>
            <w:tcW w:w="1409" w:type="pct"/>
            <w:vMerge w:val="restart"/>
            <w:tcBorders>
              <w:right w:val="single" w:sz="4" w:space="0" w:color="auto"/>
            </w:tcBorders>
            <w:shd w:val="clear" w:color="auto" w:fill="FFCCA6" w:themeFill="accent5" w:themeFillTint="66"/>
            <w:vAlign w:val="center"/>
          </w:tcPr>
          <w:p w14:paraId="45D05DA2" w14:textId="77777777" w:rsidR="00496804" w:rsidRDefault="0037359D">
            <w:pPr>
              <w:spacing w:line="240" w:lineRule="auto"/>
              <w:jc w:val="left"/>
              <w:rPr>
                <w:rFonts w:ascii="Times New Roman" w:hAnsi="Times New Roman"/>
                <w:b/>
                <w:bCs/>
                <w:sz w:val="24"/>
              </w:rPr>
            </w:pPr>
            <w:r>
              <w:rPr>
                <w:rFonts w:ascii="Times New Roman" w:hAnsi="Times New Roman"/>
                <w:b/>
                <w:bCs/>
                <w:sz w:val="24"/>
              </w:rPr>
              <w:t>Gospodarenje otpadom</w:t>
            </w:r>
          </w:p>
        </w:tc>
        <w:tc>
          <w:tcPr>
            <w:tcW w:w="388" w:type="pct"/>
            <w:tcBorders>
              <w:left w:val="single" w:sz="4" w:space="0" w:color="auto"/>
            </w:tcBorders>
            <w:vAlign w:val="center"/>
          </w:tcPr>
          <w:p w14:paraId="45D05DA3" w14:textId="77777777" w:rsidR="00496804" w:rsidRDefault="0037359D">
            <w:pPr>
              <w:spacing w:line="240" w:lineRule="auto"/>
              <w:jc w:val="right"/>
              <w:rPr>
                <w:rFonts w:ascii="Times New Roman" w:hAnsi="Times New Roman"/>
                <w:sz w:val="24"/>
              </w:rPr>
            </w:pPr>
            <w:r>
              <w:rPr>
                <w:rFonts w:ascii="Times New Roman" w:hAnsi="Times New Roman"/>
                <w:sz w:val="24"/>
              </w:rPr>
              <w:t>5.a-b</w:t>
            </w:r>
          </w:p>
        </w:tc>
        <w:tc>
          <w:tcPr>
            <w:tcW w:w="3203" w:type="pct"/>
            <w:vAlign w:val="center"/>
          </w:tcPr>
          <w:p w14:paraId="45D05DA4" w14:textId="77777777" w:rsidR="00496804" w:rsidRDefault="0037359D">
            <w:pPr>
              <w:spacing w:line="240" w:lineRule="auto"/>
              <w:jc w:val="left"/>
              <w:rPr>
                <w:rFonts w:ascii="Times New Roman" w:hAnsi="Times New Roman"/>
                <w:sz w:val="24"/>
              </w:rPr>
            </w:pPr>
            <w:r>
              <w:rPr>
                <w:rFonts w:ascii="Times New Roman" w:hAnsi="Times New Roman"/>
                <w:sz w:val="24"/>
              </w:rPr>
              <w:t xml:space="preserve">Ukupna stopa recikliranja </w:t>
            </w:r>
          </w:p>
        </w:tc>
      </w:tr>
      <w:tr w:rsidR="00496804" w14:paraId="45D05DA9" w14:textId="77777777">
        <w:tc>
          <w:tcPr>
            <w:tcW w:w="1409" w:type="pct"/>
            <w:vMerge/>
            <w:tcBorders>
              <w:right w:val="single" w:sz="4" w:space="0" w:color="auto"/>
            </w:tcBorders>
            <w:shd w:val="clear" w:color="auto" w:fill="FFCCA6" w:themeFill="accent5" w:themeFillTint="66"/>
            <w:vAlign w:val="center"/>
          </w:tcPr>
          <w:p w14:paraId="45D05DA6" w14:textId="77777777" w:rsidR="00496804" w:rsidRDefault="00496804">
            <w:pPr>
              <w:spacing w:line="240" w:lineRule="auto"/>
              <w:jc w:val="left"/>
              <w:rPr>
                <w:rFonts w:ascii="Times New Roman" w:hAnsi="Times New Roman"/>
                <w:b/>
                <w:bCs/>
                <w:sz w:val="24"/>
              </w:rPr>
            </w:pPr>
          </w:p>
        </w:tc>
        <w:tc>
          <w:tcPr>
            <w:tcW w:w="388" w:type="pct"/>
            <w:tcBorders>
              <w:left w:val="single" w:sz="4" w:space="0" w:color="auto"/>
            </w:tcBorders>
            <w:vAlign w:val="center"/>
          </w:tcPr>
          <w:p w14:paraId="45D05DA7" w14:textId="77777777" w:rsidR="00496804" w:rsidRDefault="0037359D">
            <w:pPr>
              <w:spacing w:line="240" w:lineRule="auto"/>
              <w:jc w:val="right"/>
              <w:rPr>
                <w:rFonts w:ascii="Times New Roman" w:hAnsi="Times New Roman"/>
                <w:sz w:val="24"/>
              </w:rPr>
            </w:pPr>
            <w:r>
              <w:rPr>
                <w:rFonts w:ascii="Times New Roman" w:hAnsi="Times New Roman"/>
                <w:sz w:val="24"/>
              </w:rPr>
              <w:t>6.a-f</w:t>
            </w:r>
          </w:p>
        </w:tc>
        <w:tc>
          <w:tcPr>
            <w:tcW w:w="3203" w:type="pct"/>
            <w:vAlign w:val="center"/>
          </w:tcPr>
          <w:p w14:paraId="45D05DA8" w14:textId="77777777" w:rsidR="00496804" w:rsidRDefault="0037359D">
            <w:pPr>
              <w:spacing w:line="240" w:lineRule="auto"/>
              <w:jc w:val="left"/>
              <w:rPr>
                <w:rFonts w:ascii="Times New Roman" w:hAnsi="Times New Roman"/>
                <w:sz w:val="24"/>
              </w:rPr>
            </w:pPr>
            <w:r>
              <w:rPr>
                <w:rFonts w:ascii="Times New Roman" w:hAnsi="Times New Roman"/>
                <w:sz w:val="24"/>
              </w:rPr>
              <w:t xml:space="preserve">Stope recikliranja za posebne tokove otpada </w:t>
            </w:r>
          </w:p>
        </w:tc>
      </w:tr>
      <w:tr w:rsidR="00496804" w14:paraId="45D05DAD" w14:textId="77777777">
        <w:tc>
          <w:tcPr>
            <w:tcW w:w="1409" w:type="pct"/>
            <w:vMerge w:val="restart"/>
            <w:tcBorders>
              <w:right w:val="single" w:sz="4" w:space="0" w:color="auto"/>
            </w:tcBorders>
            <w:shd w:val="clear" w:color="auto" w:fill="FFCCA6" w:themeFill="accent5" w:themeFillTint="66"/>
            <w:vAlign w:val="center"/>
          </w:tcPr>
          <w:p w14:paraId="45D05DAA" w14:textId="77777777" w:rsidR="00496804" w:rsidRDefault="0037359D">
            <w:pPr>
              <w:spacing w:line="240" w:lineRule="auto"/>
              <w:jc w:val="left"/>
              <w:rPr>
                <w:rFonts w:ascii="Times New Roman" w:hAnsi="Times New Roman"/>
                <w:b/>
                <w:bCs/>
                <w:sz w:val="24"/>
              </w:rPr>
            </w:pPr>
            <w:r>
              <w:rPr>
                <w:rFonts w:ascii="Times New Roman" w:hAnsi="Times New Roman"/>
                <w:b/>
                <w:bCs/>
                <w:sz w:val="24"/>
              </w:rPr>
              <w:t>Sekundarne sirovine</w:t>
            </w:r>
          </w:p>
        </w:tc>
        <w:tc>
          <w:tcPr>
            <w:tcW w:w="388" w:type="pct"/>
            <w:tcBorders>
              <w:left w:val="single" w:sz="4" w:space="0" w:color="auto"/>
            </w:tcBorders>
            <w:vAlign w:val="center"/>
          </w:tcPr>
          <w:p w14:paraId="45D05DAB" w14:textId="77777777" w:rsidR="00496804" w:rsidRDefault="0037359D">
            <w:pPr>
              <w:spacing w:line="240" w:lineRule="auto"/>
              <w:jc w:val="right"/>
              <w:rPr>
                <w:rFonts w:ascii="Times New Roman" w:hAnsi="Times New Roman"/>
                <w:sz w:val="24"/>
              </w:rPr>
            </w:pPr>
            <w:r>
              <w:rPr>
                <w:rFonts w:ascii="Times New Roman" w:hAnsi="Times New Roman"/>
                <w:sz w:val="24"/>
              </w:rPr>
              <w:t>7.a-b</w:t>
            </w:r>
          </w:p>
        </w:tc>
        <w:tc>
          <w:tcPr>
            <w:tcW w:w="3203" w:type="pct"/>
            <w:vAlign w:val="center"/>
          </w:tcPr>
          <w:p w14:paraId="45D05DAC" w14:textId="77777777" w:rsidR="00496804" w:rsidRDefault="0037359D">
            <w:pPr>
              <w:spacing w:line="240" w:lineRule="auto"/>
              <w:jc w:val="left"/>
              <w:rPr>
                <w:rFonts w:ascii="Times New Roman" w:hAnsi="Times New Roman"/>
                <w:sz w:val="24"/>
              </w:rPr>
            </w:pPr>
            <w:r>
              <w:rPr>
                <w:rFonts w:ascii="Times New Roman" w:hAnsi="Times New Roman"/>
                <w:sz w:val="24"/>
              </w:rPr>
              <w:t xml:space="preserve">Udio recikliranog materijala u potražnji za sirovinama </w:t>
            </w:r>
          </w:p>
        </w:tc>
      </w:tr>
      <w:tr w:rsidR="00496804" w14:paraId="45D05DB1" w14:textId="77777777">
        <w:tc>
          <w:tcPr>
            <w:tcW w:w="1409" w:type="pct"/>
            <w:vMerge/>
            <w:tcBorders>
              <w:right w:val="single" w:sz="4" w:space="0" w:color="auto"/>
            </w:tcBorders>
            <w:shd w:val="clear" w:color="auto" w:fill="FFCCA6" w:themeFill="accent5" w:themeFillTint="66"/>
            <w:vAlign w:val="center"/>
          </w:tcPr>
          <w:p w14:paraId="45D05DAE" w14:textId="77777777" w:rsidR="00496804" w:rsidRDefault="00496804">
            <w:pPr>
              <w:spacing w:line="240" w:lineRule="auto"/>
              <w:jc w:val="left"/>
              <w:rPr>
                <w:rFonts w:ascii="Times New Roman" w:hAnsi="Times New Roman"/>
                <w:b/>
                <w:bCs/>
                <w:sz w:val="24"/>
              </w:rPr>
            </w:pPr>
          </w:p>
        </w:tc>
        <w:tc>
          <w:tcPr>
            <w:tcW w:w="388" w:type="pct"/>
            <w:tcBorders>
              <w:left w:val="single" w:sz="4" w:space="0" w:color="auto"/>
            </w:tcBorders>
            <w:vAlign w:val="center"/>
          </w:tcPr>
          <w:p w14:paraId="45D05DAF" w14:textId="77777777" w:rsidR="00496804" w:rsidRDefault="0037359D">
            <w:pPr>
              <w:spacing w:line="240" w:lineRule="auto"/>
              <w:jc w:val="right"/>
              <w:rPr>
                <w:rFonts w:ascii="Times New Roman" w:hAnsi="Times New Roman"/>
                <w:sz w:val="24"/>
              </w:rPr>
            </w:pPr>
            <w:r>
              <w:rPr>
                <w:rFonts w:ascii="Times New Roman" w:hAnsi="Times New Roman"/>
                <w:sz w:val="24"/>
              </w:rPr>
              <w:t>8.</w:t>
            </w:r>
          </w:p>
        </w:tc>
        <w:tc>
          <w:tcPr>
            <w:tcW w:w="3203" w:type="pct"/>
            <w:vAlign w:val="center"/>
          </w:tcPr>
          <w:p w14:paraId="45D05DB0" w14:textId="77777777" w:rsidR="00496804" w:rsidRDefault="0037359D">
            <w:pPr>
              <w:spacing w:line="240" w:lineRule="auto"/>
              <w:jc w:val="left"/>
              <w:rPr>
                <w:rFonts w:ascii="Times New Roman" w:hAnsi="Times New Roman"/>
                <w:sz w:val="24"/>
              </w:rPr>
            </w:pPr>
            <w:r>
              <w:rPr>
                <w:rFonts w:ascii="Times New Roman" w:hAnsi="Times New Roman"/>
                <w:sz w:val="24"/>
              </w:rPr>
              <w:t xml:space="preserve">Trgovina sirovinama koje se mogu reciklirati </w:t>
            </w:r>
          </w:p>
        </w:tc>
      </w:tr>
      <w:tr w:rsidR="00496804" w14:paraId="45D05DB5" w14:textId="77777777">
        <w:tc>
          <w:tcPr>
            <w:tcW w:w="1409" w:type="pct"/>
            <w:vMerge w:val="restart"/>
            <w:tcBorders>
              <w:right w:val="single" w:sz="4" w:space="0" w:color="auto"/>
            </w:tcBorders>
            <w:shd w:val="clear" w:color="auto" w:fill="FFCCA6" w:themeFill="accent5" w:themeFillTint="66"/>
            <w:vAlign w:val="center"/>
          </w:tcPr>
          <w:p w14:paraId="45D05DB2" w14:textId="77777777" w:rsidR="00496804" w:rsidRDefault="0037359D">
            <w:pPr>
              <w:spacing w:line="240" w:lineRule="auto"/>
              <w:jc w:val="left"/>
              <w:rPr>
                <w:rFonts w:ascii="Times New Roman" w:hAnsi="Times New Roman"/>
                <w:b/>
                <w:bCs/>
                <w:sz w:val="24"/>
              </w:rPr>
            </w:pPr>
            <w:r>
              <w:rPr>
                <w:rFonts w:ascii="Times New Roman" w:hAnsi="Times New Roman"/>
                <w:b/>
                <w:bCs/>
                <w:sz w:val="24"/>
              </w:rPr>
              <w:t>Konkurentnost i inovacije</w:t>
            </w:r>
          </w:p>
        </w:tc>
        <w:tc>
          <w:tcPr>
            <w:tcW w:w="388" w:type="pct"/>
            <w:tcBorders>
              <w:left w:val="single" w:sz="4" w:space="0" w:color="auto"/>
            </w:tcBorders>
            <w:vAlign w:val="center"/>
          </w:tcPr>
          <w:p w14:paraId="45D05DB3" w14:textId="77777777" w:rsidR="00496804" w:rsidRDefault="0037359D">
            <w:pPr>
              <w:spacing w:line="240" w:lineRule="auto"/>
              <w:jc w:val="right"/>
              <w:rPr>
                <w:rFonts w:ascii="Times New Roman" w:hAnsi="Times New Roman"/>
                <w:sz w:val="24"/>
              </w:rPr>
            </w:pPr>
            <w:r>
              <w:rPr>
                <w:rFonts w:ascii="Times New Roman" w:hAnsi="Times New Roman"/>
                <w:sz w:val="24"/>
              </w:rPr>
              <w:t>9.a-c</w:t>
            </w:r>
          </w:p>
        </w:tc>
        <w:tc>
          <w:tcPr>
            <w:tcW w:w="3203" w:type="pct"/>
            <w:vAlign w:val="center"/>
          </w:tcPr>
          <w:p w14:paraId="45D05DB4" w14:textId="77777777" w:rsidR="00496804" w:rsidRDefault="0037359D">
            <w:pPr>
              <w:spacing w:line="240" w:lineRule="auto"/>
              <w:jc w:val="left"/>
              <w:rPr>
                <w:rFonts w:ascii="Times New Roman" w:hAnsi="Times New Roman"/>
                <w:sz w:val="24"/>
              </w:rPr>
            </w:pPr>
            <w:r>
              <w:rPr>
                <w:rFonts w:ascii="Times New Roman" w:hAnsi="Times New Roman"/>
                <w:sz w:val="24"/>
              </w:rPr>
              <w:t xml:space="preserve">Privatna ulaganja, radna mjesta i bruto dodana vrijednost </w:t>
            </w:r>
          </w:p>
        </w:tc>
      </w:tr>
      <w:tr w:rsidR="00496804" w14:paraId="45D05DB9" w14:textId="77777777">
        <w:trPr>
          <w:trHeight w:val="97"/>
        </w:trPr>
        <w:tc>
          <w:tcPr>
            <w:tcW w:w="1409" w:type="pct"/>
            <w:vMerge/>
            <w:tcBorders>
              <w:right w:val="single" w:sz="4" w:space="0" w:color="auto"/>
            </w:tcBorders>
            <w:shd w:val="clear" w:color="auto" w:fill="FFCCA6" w:themeFill="accent5" w:themeFillTint="66"/>
            <w:vAlign w:val="center"/>
          </w:tcPr>
          <w:p w14:paraId="45D05DB6" w14:textId="77777777" w:rsidR="00496804" w:rsidRDefault="00496804">
            <w:pPr>
              <w:spacing w:line="240" w:lineRule="auto"/>
              <w:jc w:val="left"/>
              <w:rPr>
                <w:rFonts w:ascii="Times New Roman" w:hAnsi="Times New Roman"/>
                <w:b/>
                <w:bCs/>
                <w:sz w:val="24"/>
              </w:rPr>
            </w:pPr>
          </w:p>
        </w:tc>
        <w:tc>
          <w:tcPr>
            <w:tcW w:w="388" w:type="pct"/>
            <w:tcBorders>
              <w:left w:val="single" w:sz="4" w:space="0" w:color="auto"/>
            </w:tcBorders>
            <w:vAlign w:val="center"/>
          </w:tcPr>
          <w:p w14:paraId="45D05DB7" w14:textId="77777777" w:rsidR="00496804" w:rsidRDefault="0037359D">
            <w:pPr>
              <w:spacing w:line="240" w:lineRule="auto"/>
              <w:jc w:val="right"/>
              <w:rPr>
                <w:rFonts w:ascii="Times New Roman" w:hAnsi="Times New Roman"/>
                <w:sz w:val="24"/>
              </w:rPr>
            </w:pPr>
            <w:r>
              <w:rPr>
                <w:rFonts w:ascii="Times New Roman" w:hAnsi="Times New Roman"/>
                <w:sz w:val="24"/>
              </w:rPr>
              <w:t>10.</w:t>
            </w:r>
          </w:p>
        </w:tc>
        <w:tc>
          <w:tcPr>
            <w:tcW w:w="3203" w:type="pct"/>
            <w:vAlign w:val="center"/>
          </w:tcPr>
          <w:p w14:paraId="45D05DB8" w14:textId="77777777" w:rsidR="00496804" w:rsidRDefault="0037359D">
            <w:pPr>
              <w:spacing w:line="240" w:lineRule="auto"/>
              <w:jc w:val="left"/>
              <w:rPr>
                <w:rFonts w:ascii="Times New Roman" w:hAnsi="Times New Roman"/>
                <w:sz w:val="24"/>
              </w:rPr>
            </w:pPr>
            <w:r>
              <w:rPr>
                <w:rFonts w:ascii="Times New Roman" w:hAnsi="Times New Roman"/>
                <w:sz w:val="24"/>
              </w:rPr>
              <w:t>Patenti</w:t>
            </w:r>
          </w:p>
        </w:tc>
      </w:tr>
    </w:tbl>
    <w:p w14:paraId="45D05DBA" w14:textId="77777777" w:rsidR="00496804" w:rsidRDefault="00496804">
      <w:pPr>
        <w:pStyle w:val="Bezproreda"/>
        <w:jc w:val="both"/>
        <w:rPr>
          <w:lang w:val="hr-HR"/>
        </w:rPr>
      </w:pPr>
    </w:p>
    <w:p w14:paraId="45D05DBB"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Ovi pokazatelji slijede općenitu logiku i strukturu akcijskog plana za kružno gospodarstvo te nisu direktno primjenjivi na praćenje kružnog gospodarenja prostorom i zgradama.</w:t>
      </w:r>
    </w:p>
    <w:p w14:paraId="45D05DBC" w14:textId="77777777" w:rsidR="00496804" w:rsidRDefault="00496804">
      <w:pPr>
        <w:pStyle w:val="tekst"/>
        <w:spacing w:line="240" w:lineRule="auto"/>
        <w:rPr>
          <w:rFonts w:ascii="Times New Roman" w:hAnsi="Times New Roman" w:cs="Times New Roman"/>
          <w:sz w:val="24"/>
          <w:szCs w:val="24"/>
        </w:rPr>
      </w:pPr>
    </w:p>
    <w:p w14:paraId="45D05DBD"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Kako je kružno gospodarstvo u ranoj fazi razvoja na razini čitave EU, EK kontinuirano radi na poboljšanju baze znanja i dostupnosti podataka za mjerenje napretka u kružnom gospodarstvu. Također, razvija se metodologija prikupljanja podataka koji se mogu upotrijebiti za pokazatelje. U okviru paketa o kružnom gospodarstvu iz 2015. godine nastoji se poboljšati kvaliteta statističkih podataka EU-a o otpadu, a EK predlaže usklađivanje metodologija za izračun stopa recikliranja za komunalni i ambalažni otpad. Obveza RH je pratiti razvoj pokazatelja kružnog gospodarstva definiranih na razini EU i paralelno razvijati sustav prikupljanja podataka potrebnih za njihovo praćenje.</w:t>
      </w:r>
    </w:p>
    <w:p w14:paraId="45D05DBE" w14:textId="77777777" w:rsidR="00496804" w:rsidRDefault="00496804">
      <w:pPr>
        <w:pStyle w:val="tekst"/>
        <w:spacing w:line="240" w:lineRule="auto"/>
        <w:rPr>
          <w:rFonts w:ascii="Times New Roman" w:hAnsi="Times New Roman" w:cs="Times New Roman"/>
          <w:sz w:val="24"/>
          <w:szCs w:val="24"/>
        </w:rPr>
      </w:pPr>
    </w:p>
    <w:p w14:paraId="45D05DBF"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Uvidom u prijedlog biblioteke pokazatelja EFRR &amp; KF</w:t>
      </w:r>
      <w:r>
        <w:rPr>
          <w:rStyle w:val="Referencafusnote"/>
          <w:rFonts w:ascii="Times New Roman" w:hAnsi="Times New Roman" w:cs="Times New Roman"/>
          <w:sz w:val="24"/>
          <w:szCs w:val="24"/>
        </w:rPr>
        <w:footnoteReference w:id="59"/>
      </w:r>
      <w:r>
        <w:rPr>
          <w:rFonts w:ascii="Times New Roman" w:hAnsi="Times New Roman" w:cs="Times New Roman"/>
          <w:sz w:val="24"/>
          <w:szCs w:val="24"/>
        </w:rPr>
        <w:t xml:space="preserve"> prilažemo listu pokazatelja vezanih na PO2. ”Zelenija Europa s niskom razinom emisija ugljika“ koji su kompatibilni za primjenu u praćenju Programa razvoja KG.</w:t>
      </w:r>
    </w:p>
    <w:p w14:paraId="45D05DC0" w14:textId="1BF1696E" w:rsidR="00496804" w:rsidRDefault="0037359D">
      <w:pPr>
        <w:spacing w:line="240" w:lineRule="auto"/>
        <w:jc w:val="left"/>
        <w:rPr>
          <w:rFonts w:ascii="Times New Roman" w:hAnsi="Times New Roman"/>
          <w:sz w:val="24"/>
          <w:lang w:eastAsia="hr-HR"/>
        </w:rPr>
      </w:pPr>
      <w:r>
        <w:rPr>
          <w:rFonts w:ascii="Times New Roman" w:hAnsi="Times New Roman"/>
          <w:sz w:val="24"/>
        </w:rPr>
        <w:br w:type="page"/>
      </w:r>
    </w:p>
    <w:p w14:paraId="45D05DC1" w14:textId="77777777" w:rsidR="00496804" w:rsidRDefault="00496804">
      <w:pPr>
        <w:pStyle w:val="tekst"/>
        <w:spacing w:line="240" w:lineRule="auto"/>
        <w:rPr>
          <w:rFonts w:ascii="Times New Roman" w:hAnsi="Times New Roman" w:cs="Times New Roman"/>
          <w:sz w:val="24"/>
          <w:szCs w:val="24"/>
        </w:rPr>
      </w:pPr>
    </w:p>
    <w:p w14:paraId="45D05DC2" w14:textId="77777777" w:rsidR="00496804" w:rsidRDefault="0037359D">
      <w:pPr>
        <w:pStyle w:val="Opisslike"/>
        <w:rPr>
          <w:rFonts w:ascii="Times New Roman" w:hAnsi="Times New Roman"/>
          <w:b w:val="0"/>
          <w:bCs w:val="0"/>
          <w:i/>
          <w:iCs/>
          <w:sz w:val="24"/>
          <w:szCs w:val="24"/>
        </w:rPr>
      </w:pPr>
      <w:r>
        <w:rPr>
          <w:rFonts w:ascii="Times New Roman" w:hAnsi="Times New Roman"/>
          <w:b w:val="0"/>
          <w:bCs w:val="0"/>
          <w:i/>
          <w:iCs/>
          <w:sz w:val="24"/>
          <w:szCs w:val="24"/>
        </w:rPr>
        <w:t xml:space="preserve">Tablica 14. Pokazatelji EFRR &amp; KF kompatibilni za korištenje u ovom Programu </w:t>
      </w:r>
    </w:p>
    <w:tbl>
      <w:tblPr>
        <w:tblStyle w:val="Reetkatablice"/>
        <w:tblW w:w="9492" w:type="dxa"/>
        <w:tblBorders>
          <w:left w:val="none" w:sz="0" w:space="0" w:color="auto"/>
          <w:right w:val="none" w:sz="0" w:space="0" w:color="auto"/>
        </w:tblBorders>
        <w:tblLayout w:type="fixed"/>
        <w:tblLook w:val="04A0" w:firstRow="1" w:lastRow="0" w:firstColumn="1" w:lastColumn="0" w:noHBand="0" w:noVBand="1"/>
      </w:tblPr>
      <w:tblGrid>
        <w:gridCol w:w="2675"/>
        <w:gridCol w:w="5525"/>
        <w:gridCol w:w="1292"/>
      </w:tblGrid>
      <w:tr w:rsidR="00496804" w14:paraId="45D05DC6" w14:textId="77777777">
        <w:trPr>
          <w:trHeight w:val="191"/>
        </w:trPr>
        <w:tc>
          <w:tcPr>
            <w:tcW w:w="2675" w:type="dxa"/>
            <w:shd w:val="clear" w:color="auto" w:fill="FFCCA6" w:themeFill="accent5" w:themeFillTint="66"/>
          </w:tcPr>
          <w:p w14:paraId="45D05DC3" w14:textId="77777777" w:rsidR="00496804" w:rsidRDefault="0037359D">
            <w:pPr>
              <w:spacing w:line="240" w:lineRule="auto"/>
              <w:jc w:val="left"/>
              <w:rPr>
                <w:rFonts w:ascii="Times New Roman" w:hAnsi="Times New Roman"/>
                <w:b/>
                <w:bCs/>
                <w:sz w:val="24"/>
              </w:rPr>
            </w:pPr>
            <w:r>
              <w:rPr>
                <w:rFonts w:ascii="Times New Roman" w:hAnsi="Times New Roman"/>
                <w:b/>
                <w:bCs/>
                <w:sz w:val="24"/>
              </w:rPr>
              <w:t>Kategorija</w:t>
            </w:r>
          </w:p>
        </w:tc>
        <w:tc>
          <w:tcPr>
            <w:tcW w:w="5525" w:type="dxa"/>
          </w:tcPr>
          <w:p w14:paraId="45D05DC4" w14:textId="77777777" w:rsidR="00496804" w:rsidRDefault="0037359D">
            <w:pPr>
              <w:spacing w:line="240" w:lineRule="auto"/>
              <w:jc w:val="left"/>
              <w:rPr>
                <w:rFonts w:ascii="Times New Roman" w:hAnsi="Times New Roman"/>
                <w:b/>
                <w:bCs/>
                <w:sz w:val="24"/>
              </w:rPr>
            </w:pPr>
            <w:r>
              <w:rPr>
                <w:rFonts w:ascii="Times New Roman" w:hAnsi="Times New Roman"/>
                <w:b/>
                <w:bCs/>
                <w:sz w:val="24"/>
              </w:rPr>
              <w:t>Opis pokazatelja</w:t>
            </w:r>
          </w:p>
        </w:tc>
        <w:tc>
          <w:tcPr>
            <w:tcW w:w="1292" w:type="dxa"/>
          </w:tcPr>
          <w:p w14:paraId="45D05DC5" w14:textId="77777777" w:rsidR="00496804" w:rsidRDefault="0037359D">
            <w:pPr>
              <w:spacing w:line="240" w:lineRule="auto"/>
              <w:jc w:val="center"/>
              <w:rPr>
                <w:rFonts w:ascii="Times New Roman" w:hAnsi="Times New Roman"/>
                <w:b/>
                <w:bCs/>
                <w:sz w:val="24"/>
              </w:rPr>
            </w:pPr>
            <w:r>
              <w:rPr>
                <w:rFonts w:ascii="Times New Roman" w:hAnsi="Times New Roman"/>
                <w:b/>
                <w:bCs/>
                <w:sz w:val="24"/>
              </w:rPr>
              <w:t>Jedinica</w:t>
            </w:r>
          </w:p>
        </w:tc>
      </w:tr>
      <w:tr w:rsidR="00496804" w14:paraId="45D05DCA" w14:textId="77777777">
        <w:trPr>
          <w:trHeight w:val="249"/>
        </w:trPr>
        <w:tc>
          <w:tcPr>
            <w:tcW w:w="2675" w:type="dxa"/>
            <w:vMerge w:val="restart"/>
            <w:shd w:val="clear" w:color="auto" w:fill="FFCCA6" w:themeFill="accent5" w:themeFillTint="66"/>
            <w:vAlign w:val="center"/>
          </w:tcPr>
          <w:p w14:paraId="45D05DC7" w14:textId="77777777" w:rsidR="00496804" w:rsidRDefault="0037359D">
            <w:pPr>
              <w:spacing w:line="240" w:lineRule="auto"/>
              <w:jc w:val="left"/>
              <w:rPr>
                <w:rFonts w:ascii="Times New Roman" w:hAnsi="Times New Roman"/>
                <w:b/>
                <w:bCs/>
                <w:sz w:val="24"/>
              </w:rPr>
            </w:pPr>
            <w:r>
              <w:rPr>
                <w:rFonts w:ascii="Times New Roman" w:hAnsi="Times New Roman"/>
                <w:b/>
                <w:bCs/>
                <w:sz w:val="24"/>
              </w:rPr>
              <w:t>Promicanje mjera energetske učinkovitosti</w:t>
            </w:r>
          </w:p>
        </w:tc>
        <w:tc>
          <w:tcPr>
            <w:tcW w:w="5525" w:type="dxa"/>
            <w:vAlign w:val="center"/>
          </w:tcPr>
          <w:p w14:paraId="45D05DC8" w14:textId="77777777" w:rsidR="00496804" w:rsidRDefault="0037359D">
            <w:pPr>
              <w:spacing w:line="240" w:lineRule="auto"/>
              <w:jc w:val="left"/>
              <w:rPr>
                <w:rFonts w:ascii="Times New Roman" w:hAnsi="Times New Roman"/>
                <w:sz w:val="24"/>
              </w:rPr>
            </w:pPr>
            <w:r>
              <w:rPr>
                <w:rFonts w:ascii="Times New Roman" w:hAnsi="Times New Roman"/>
                <w:sz w:val="24"/>
              </w:rPr>
              <w:t>Kućanstva s poboljšanim energetskim svojstvima</w:t>
            </w:r>
          </w:p>
        </w:tc>
        <w:tc>
          <w:tcPr>
            <w:tcW w:w="1292" w:type="dxa"/>
          </w:tcPr>
          <w:p w14:paraId="45D05DC9" w14:textId="77777777" w:rsidR="00496804" w:rsidRDefault="0037359D">
            <w:pPr>
              <w:spacing w:line="240" w:lineRule="auto"/>
              <w:jc w:val="center"/>
              <w:rPr>
                <w:rFonts w:ascii="Times New Roman" w:hAnsi="Times New Roman"/>
                <w:sz w:val="24"/>
              </w:rPr>
            </w:pPr>
            <w:r>
              <w:rPr>
                <w:rFonts w:ascii="Times New Roman" w:hAnsi="Times New Roman"/>
                <w:sz w:val="24"/>
              </w:rPr>
              <w:t>kućanstva</w:t>
            </w:r>
          </w:p>
        </w:tc>
      </w:tr>
      <w:tr w:rsidR="00496804" w14:paraId="45D05DCE" w14:textId="77777777">
        <w:trPr>
          <w:trHeight w:val="251"/>
        </w:trPr>
        <w:tc>
          <w:tcPr>
            <w:tcW w:w="2675" w:type="dxa"/>
            <w:vMerge/>
            <w:shd w:val="clear" w:color="auto" w:fill="FFCCA6" w:themeFill="accent5" w:themeFillTint="66"/>
            <w:vAlign w:val="center"/>
          </w:tcPr>
          <w:p w14:paraId="45D05DCB" w14:textId="77777777" w:rsidR="00496804" w:rsidRDefault="00496804">
            <w:pPr>
              <w:spacing w:line="240" w:lineRule="auto"/>
              <w:jc w:val="left"/>
              <w:rPr>
                <w:rFonts w:ascii="Times New Roman" w:hAnsi="Times New Roman"/>
                <w:sz w:val="24"/>
              </w:rPr>
            </w:pPr>
          </w:p>
        </w:tc>
        <w:tc>
          <w:tcPr>
            <w:tcW w:w="5525" w:type="dxa"/>
            <w:vAlign w:val="center"/>
          </w:tcPr>
          <w:p w14:paraId="45D05DCC" w14:textId="77777777" w:rsidR="00496804" w:rsidRDefault="0037359D">
            <w:pPr>
              <w:spacing w:line="240" w:lineRule="auto"/>
              <w:jc w:val="left"/>
              <w:rPr>
                <w:rFonts w:ascii="Times New Roman" w:hAnsi="Times New Roman"/>
                <w:sz w:val="24"/>
              </w:rPr>
            </w:pPr>
            <w:r>
              <w:rPr>
                <w:rFonts w:ascii="Times New Roman" w:hAnsi="Times New Roman"/>
                <w:sz w:val="24"/>
              </w:rPr>
              <w:t>Zgrade javnog sektora s poboljšanim energetskim svojstvima</w:t>
            </w:r>
          </w:p>
        </w:tc>
        <w:tc>
          <w:tcPr>
            <w:tcW w:w="1292" w:type="dxa"/>
          </w:tcPr>
          <w:p w14:paraId="45D05DCD" w14:textId="77777777" w:rsidR="00496804" w:rsidRDefault="0037359D">
            <w:pPr>
              <w:spacing w:line="240" w:lineRule="auto"/>
              <w:jc w:val="center"/>
              <w:rPr>
                <w:rFonts w:ascii="Times New Roman" w:hAnsi="Times New Roman"/>
                <w:sz w:val="24"/>
              </w:rPr>
            </w:pPr>
            <w:r>
              <w:rPr>
                <w:rFonts w:ascii="Times New Roman" w:hAnsi="Times New Roman"/>
                <w:sz w:val="24"/>
              </w:rPr>
              <w:t>m</w:t>
            </w:r>
            <w:r>
              <w:rPr>
                <w:rFonts w:ascii="Times New Roman" w:hAnsi="Times New Roman"/>
                <w:sz w:val="24"/>
                <w:vertAlign w:val="superscript"/>
              </w:rPr>
              <w:t>2</w:t>
            </w:r>
          </w:p>
        </w:tc>
      </w:tr>
      <w:tr w:rsidR="00496804" w14:paraId="45D05DD2" w14:textId="77777777">
        <w:trPr>
          <w:trHeight w:val="251"/>
        </w:trPr>
        <w:tc>
          <w:tcPr>
            <w:tcW w:w="2675" w:type="dxa"/>
            <w:vMerge/>
            <w:shd w:val="clear" w:color="auto" w:fill="FFCCA6" w:themeFill="accent5" w:themeFillTint="66"/>
            <w:vAlign w:val="center"/>
          </w:tcPr>
          <w:p w14:paraId="45D05DCF" w14:textId="77777777" w:rsidR="00496804" w:rsidRDefault="00496804">
            <w:pPr>
              <w:spacing w:line="240" w:lineRule="auto"/>
              <w:jc w:val="left"/>
              <w:rPr>
                <w:rFonts w:ascii="Times New Roman" w:hAnsi="Times New Roman"/>
                <w:sz w:val="24"/>
              </w:rPr>
            </w:pPr>
          </w:p>
        </w:tc>
        <w:tc>
          <w:tcPr>
            <w:tcW w:w="5525" w:type="dxa"/>
            <w:vAlign w:val="center"/>
          </w:tcPr>
          <w:p w14:paraId="45D05DD0" w14:textId="77777777" w:rsidR="00496804" w:rsidRDefault="0037359D">
            <w:pPr>
              <w:spacing w:line="240" w:lineRule="auto"/>
              <w:jc w:val="left"/>
              <w:rPr>
                <w:rFonts w:ascii="Times New Roman" w:hAnsi="Times New Roman"/>
                <w:sz w:val="24"/>
              </w:rPr>
            </w:pPr>
            <w:r>
              <w:rPr>
                <w:rFonts w:ascii="Times New Roman" w:hAnsi="Times New Roman"/>
                <w:sz w:val="24"/>
              </w:rPr>
              <w:t>Godišnja potrošnja primarne energije (stambene, javne, komercijalne)</w:t>
            </w:r>
          </w:p>
        </w:tc>
        <w:tc>
          <w:tcPr>
            <w:tcW w:w="1292" w:type="dxa"/>
          </w:tcPr>
          <w:p w14:paraId="45D05DD1" w14:textId="77777777" w:rsidR="00496804" w:rsidRDefault="0037359D">
            <w:pPr>
              <w:spacing w:line="240" w:lineRule="auto"/>
              <w:jc w:val="center"/>
              <w:rPr>
                <w:rFonts w:ascii="Times New Roman" w:hAnsi="Times New Roman"/>
                <w:sz w:val="24"/>
              </w:rPr>
            </w:pPr>
            <w:r>
              <w:rPr>
                <w:rFonts w:ascii="Times New Roman" w:hAnsi="Times New Roman"/>
                <w:sz w:val="24"/>
              </w:rPr>
              <w:t>MWh/god.</w:t>
            </w:r>
          </w:p>
        </w:tc>
      </w:tr>
      <w:tr w:rsidR="00496804" w14:paraId="45D05DD6" w14:textId="77777777">
        <w:trPr>
          <w:trHeight w:val="233"/>
        </w:trPr>
        <w:tc>
          <w:tcPr>
            <w:tcW w:w="2675" w:type="dxa"/>
            <w:vMerge/>
            <w:shd w:val="clear" w:color="auto" w:fill="FFCCA6" w:themeFill="accent5" w:themeFillTint="66"/>
            <w:vAlign w:val="center"/>
          </w:tcPr>
          <w:p w14:paraId="45D05DD3" w14:textId="77777777" w:rsidR="00496804" w:rsidRDefault="00496804">
            <w:pPr>
              <w:spacing w:line="240" w:lineRule="auto"/>
              <w:jc w:val="left"/>
              <w:rPr>
                <w:rFonts w:ascii="Times New Roman" w:hAnsi="Times New Roman"/>
                <w:sz w:val="24"/>
              </w:rPr>
            </w:pPr>
          </w:p>
        </w:tc>
        <w:tc>
          <w:tcPr>
            <w:tcW w:w="5525" w:type="dxa"/>
            <w:vAlign w:val="center"/>
          </w:tcPr>
          <w:p w14:paraId="45D05DD4" w14:textId="77777777" w:rsidR="00496804" w:rsidRDefault="0037359D">
            <w:pPr>
              <w:spacing w:line="240" w:lineRule="auto"/>
              <w:jc w:val="left"/>
              <w:rPr>
                <w:rFonts w:ascii="Times New Roman" w:hAnsi="Times New Roman"/>
                <w:sz w:val="24"/>
              </w:rPr>
            </w:pPr>
            <w:r>
              <w:rPr>
                <w:rFonts w:ascii="Times New Roman" w:hAnsi="Times New Roman"/>
                <w:sz w:val="24"/>
              </w:rPr>
              <w:t>Procjena emisije stakleničkih plinova</w:t>
            </w:r>
          </w:p>
        </w:tc>
        <w:tc>
          <w:tcPr>
            <w:tcW w:w="1292" w:type="dxa"/>
          </w:tcPr>
          <w:p w14:paraId="45D05DD5" w14:textId="77777777" w:rsidR="00496804" w:rsidRDefault="0037359D">
            <w:pPr>
              <w:spacing w:line="240" w:lineRule="auto"/>
              <w:jc w:val="center"/>
              <w:rPr>
                <w:rFonts w:ascii="Times New Roman" w:hAnsi="Times New Roman"/>
                <w:sz w:val="24"/>
              </w:rPr>
            </w:pPr>
            <w:r>
              <w:rPr>
                <w:rFonts w:ascii="Times New Roman" w:hAnsi="Times New Roman"/>
                <w:sz w:val="24"/>
              </w:rPr>
              <w:t>t CO2/god.</w:t>
            </w:r>
          </w:p>
        </w:tc>
      </w:tr>
      <w:tr w:rsidR="00496804" w14:paraId="45D05DDA" w14:textId="77777777">
        <w:trPr>
          <w:trHeight w:val="233"/>
        </w:trPr>
        <w:tc>
          <w:tcPr>
            <w:tcW w:w="2675" w:type="dxa"/>
            <w:shd w:val="clear" w:color="auto" w:fill="FFCCA6" w:themeFill="accent5" w:themeFillTint="66"/>
            <w:vAlign w:val="center"/>
          </w:tcPr>
          <w:p w14:paraId="45D05DD7" w14:textId="77777777" w:rsidR="00496804" w:rsidRDefault="0037359D">
            <w:pPr>
              <w:spacing w:line="240" w:lineRule="auto"/>
              <w:jc w:val="left"/>
              <w:rPr>
                <w:rFonts w:ascii="Times New Roman" w:hAnsi="Times New Roman"/>
                <w:b/>
                <w:bCs/>
                <w:sz w:val="24"/>
              </w:rPr>
            </w:pPr>
            <w:r>
              <w:rPr>
                <w:rFonts w:ascii="Times New Roman" w:hAnsi="Times New Roman"/>
                <w:b/>
                <w:bCs/>
                <w:sz w:val="24"/>
              </w:rPr>
              <w:t>Promicanje prilagodbe klimatskim promjenama</w:t>
            </w:r>
          </w:p>
        </w:tc>
        <w:tc>
          <w:tcPr>
            <w:tcW w:w="5525" w:type="dxa"/>
            <w:vAlign w:val="center"/>
          </w:tcPr>
          <w:p w14:paraId="45D05DD8" w14:textId="77777777" w:rsidR="00496804" w:rsidRDefault="0037359D">
            <w:pPr>
              <w:spacing w:line="240" w:lineRule="auto"/>
              <w:jc w:val="left"/>
              <w:rPr>
                <w:rFonts w:ascii="Times New Roman" w:hAnsi="Times New Roman"/>
                <w:sz w:val="24"/>
              </w:rPr>
            </w:pPr>
            <w:r>
              <w:rPr>
                <w:rFonts w:ascii="Times New Roman" w:hAnsi="Times New Roman"/>
                <w:sz w:val="24"/>
              </w:rPr>
              <w:t>Stanovništvo koje ima koristi od mjera zaštite od prirodnih rizika koji nisu vezani uz klimatske promjene te od rizika povezanih s ljudskim aktivnostima</w:t>
            </w:r>
          </w:p>
        </w:tc>
        <w:tc>
          <w:tcPr>
            <w:tcW w:w="1292" w:type="dxa"/>
          </w:tcPr>
          <w:p w14:paraId="45D05DD9" w14:textId="77777777" w:rsidR="00496804" w:rsidRDefault="0037359D">
            <w:pPr>
              <w:spacing w:line="240" w:lineRule="auto"/>
              <w:jc w:val="center"/>
              <w:rPr>
                <w:rFonts w:ascii="Times New Roman" w:hAnsi="Times New Roman"/>
                <w:sz w:val="24"/>
              </w:rPr>
            </w:pPr>
            <w:r>
              <w:rPr>
                <w:rFonts w:ascii="Times New Roman" w:hAnsi="Times New Roman"/>
                <w:sz w:val="24"/>
              </w:rPr>
              <w:t>osobe</w:t>
            </w:r>
          </w:p>
        </w:tc>
      </w:tr>
      <w:tr w:rsidR="00496804" w14:paraId="45D05DDF" w14:textId="77777777">
        <w:trPr>
          <w:trHeight w:val="233"/>
        </w:trPr>
        <w:tc>
          <w:tcPr>
            <w:tcW w:w="2675" w:type="dxa"/>
            <w:shd w:val="clear" w:color="auto" w:fill="FFCCA6" w:themeFill="accent5" w:themeFillTint="66"/>
            <w:vAlign w:val="center"/>
          </w:tcPr>
          <w:p w14:paraId="45D05DDB" w14:textId="77777777" w:rsidR="00496804" w:rsidRDefault="0037359D">
            <w:pPr>
              <w:spacing w:line="240" w:lineRule="auto"/>
              <w:jc w:val="left"/>
              <w:rPr>
                <w:rFonts w:ascii="Times New Roman" w:hAnsi="Times New Roman"/>
                <w:b/>
                <w:bCs/>
                <w:sz w:val="24"/>
              </w:rPr>
            </w:pPr>
            <w:r>
              <w:rPr>
                <w:rFonts w:ascii="Times New Roman" w:hAnsi="Times New Roman"/>
                <w:b/>
                <w:bCs/>
                <w:sz w:val="24"/>
              </w:rPr>
              <w:t xml:space="preserve">Promicanje prelaska na </w:t>
            </w:r>
          </w:p>
          <w:p w14:paraId="45D05DDC" w14:textId="77777777" w:rsidR="00496804" w:rsidRDefault="0037359D">
            <w:pPr>
              <w:spacing w:line="240" w:lineRule="auto"/>
              <w:jc w:val="left"/>
              <w:rPr>
                <w:rFonts w:ascii="Times New Roman" w:hAnsi="Times New Roman"/>
                <w:b/>
                <w:bCs/>
                <w:sz w:val="24"/>
              </w:rPr>
            </w:pPr>
            <w:r>
              <w:rPr>
                <w:rFonts w:ascii="Times New Roman" w:hAnsi="Times New Roman"/>
                <w:b/>
                <w:bCs/>
                <w:sz w:val="24"/>
              </w:rPr>
              <w:t>kružno gospodarstvo</w:t>
            </w:r>
          </w:p>
        </w:tc>
        <w:tc>
          <w:tcPr>
            <w:tcW w:w="5525" w:type="dxa"/>
            <w:vAlign w:val="center"/>
          </w:tcPr>
          <w:p w14:paraId="45D05DDD" w14:textId="77777777" w:rsidR="00496804" w:rsidRDefault="0037359D">
            <w:pPr>
              <w:spacing w:line="240" w:lineRule="auto"/>
              <w:jc w:val="left"/>
              <w:rPr>
                <w:rFonts w:ascii="Times New Roman" w:hAnsi="Times New Roman"/>
                <w:sz w:val="24"/>
              </w:rPr>
            </w:pPr>
            <w:r>
              <w:rPr>
                <w:rFonts w:ascii="Times New Roman" w:hAnsi="Times New Roman"/>
                <w:sz w:val="24"/>
              </w:rPr>
              <w:t>Oporabljeni otpad koji se koristi kao sirovina</w:t>
            </w:r>
          </w:p>
        </w:tc>
        <w:tc>
          <w:tcPr>
            <w:tcW w:w="1292" w:type="dxa"/>
          </w:tcPr>
          <w:p w14:paraId="45D05DDE" w14:textId="77777777" w:rsidR="00496804" w:rsidRDefault="0037359D">
            <w:pPr>
              <w:spacing w:line="240" w:lineRule="auto"/>
              <w:jc w:val="center"/>
              <w:rPr>
                <w:rFonts w:ascii="Times New Roman" w:hAnsi="Times New Roman"/>
                <w:sz w:val="24"/>
              </w:rPr>
            </w:pPr>
            <w:r>
              <w:rPr>
                <w:rFonts w:ascii="Times New Roman" w:hAnsi="Times New Roman"/>
                <w:sz w:val="24"/>
              </w:rPr>
              <w:t>t/god.</w:t>
            </w:r>
          </w:p>
        </w:tc>
      </w:tr>
    </w:tbl>
    <w:p w14:paraId="45D05DE0" w14:textId="77777777" w:rsidR="00496804" w:rsidRDefault="00496804">
      <w:pPr>
        <w:pStyle w:val="Bezproreda"/>
        <w:jc w:val="both"/>
        <w:rPr>
          <w:lang w:val="hr-HR"/>
        </w:rPr>
      </w:pPr>
    </w:p>
    <w:p w14:paraId="45D05DE1" w14:textId="77777777" w:rsidR="00496804" w:rsidRDefault="00496804">
      <w:pPr>
        <w:pStyle w:val="tekst"/>
        <w:spacing w:line="240" w:lineRule="auto"/>
        <w:rPr>
          <w:rFonts w:ascii="Times New Roman" w:hAnsi="Times New Roman" w:cs="Times New Roman"/>
          <w:sz w:val="24"/>
          <w:szCs w:val="24"/>
        </w:rPr>
      </w:pPr>
    </w:p>
    <w:p w14:paraId="45D05DE2" w14:textId="77777777" w:rsidR="00496804" w:rsidRDefault="0037359D">
      <w:pPr>
        <w:pStyle w:val="Bezproreda"/>
        <w:jc w:val="both"/>
        <w:rPr>
          <w:lang w:val="hr-HR"/>
        </w:rPr>
      </w:pPr>
      <w:r>
        <w:rPr>
          <w:lang w:val="hr-HR"/>
        </w:rPr>
        <w:t>Kružnom obnovom nekorištenih zgrada poboljšavaju se energetska svojstva zgrada. Međutim, nekorištene zgrade ne sudjeluju u potrošnji energije te se energetskom obnovom takvih zgrada ne ostvaruju uštede energije prilikom ponovnog korištenja zgrade. Naprotiv, potrošnja energije u korištenju zgrade se povećava. S obzirom na navedeno, pokazatelj koji se odnosi na godišnju potrošnja primarne energije nije primjenjiv za kružnu obnovu nekorištenih zgrada. Primjenjivi su pokazatelji koji iskazuju poboljšanje energetskih svojstava zgrada, čije se ostvarenje dokazuje glavnim projektom zgrade i završnim izvješćem nadzornog inženjera kojim se potvrđuje da su radovi kružne obnove izvedeni sukladno glavnom projektu.</w:t>
      </w:r>
    </w:p>
    <w:p w14:paraId="45D05DE3" w14:textId="77777777" w:rsidR="00496804" w:rsidRDefault="00496804">
      <w:pPr>
        <w:pStyle w:val="Bezproreda"/>
        <w:jc w:val="both"/>
        <w:rPr>
          <w:lang w:val="hr-HR"/>
        </w:rPr>
      </w:pPr>
    </w:p>
    <w:p w14:paraId="45D05DE6" w14:textId="77777777" w:rsidR="00496804" w:rsidRDefault="0037359D">
      <w:pPr>
        <w:pStyle w:val="Bezproreda"/>
        <w:jc w:val="both"/>
        <w:rPr>
          <w:lang w:val="hr-HR"/>
        </w:rPr>
      </w:pPr>
      <w:r>
        <w:rPr>
          <w:lang w:val="hr-HR"/>
        </w:rPr>
        <w:t>Stanovništvo koje ima koristi od mjera zaštite od prirodnih rizika koji nisu vezani uz klimatske promjene te od rizika povezanih s ljudskim aktivnostima odnosi se na broj korisnika zgrada koje će u sklopu kružne obnove primijeniti mjere zaštite od prirodnih rizika, primjerice ojačanja na djelovanje potresa.</w:t>
      </w:r>
    </w:p>
    <w:p w14:paraId="45D05DE7" w14:textId="77777777" w:rsidR="00496804" w:rsidRDefault="00496804">
      <w:pPr>
        <w:pStyle w:val="Bezproreda"/>
        <w:jc w:val="both"/>
        <w:rPr>
          <w:lang w:val="hr-HR"/>
        </w:rPr>
      </w:pPr>
    </w:p>
    <w:p w14:paraId="45D05DE8" w14:textId="77777777" w:rsidR="00496804" w:rsidRDefault="0037359D">
      <w:pPr>
        <w:pStyle w:val="Bezproreda"/>
        <w:jc w:val="both"/>
      </w:pPr>
      <w:r>
        <w:rPr>
          <w:lang w:val="hr-HR"/>
        </w:rPr>
        <w:t xml:space="preserve">Pokazatelj koji se odnosi na oporabljeni otpad koji se koristi kao sirovina iskazuje dodatnu godišnju tonažu otpada koji se koristi kao sirovina kao rezultat podržanih projekata. Ponovna upotreba otpada odnosi se na sve operacije kojima se proizvodi ili komponente (materijali) koje nisu otpad ponovno upotrebljavaju u istu svrhu za koju su bili zamišljeni. Kružnom obnovom zgrada materijali konstrukcije zgrade upotrebljavaju se ponovno u istu svrhu za koju su bili zamišljeni te se sprječava nastanak </w:t>
      </w:r>
      <w:r>
        <w:t>građevnog</w:t>
      </w:r>
      <w:r>
        <w:rPr>
          <w:lang w:val="hr-HR"/>
        </w:rPr>
        <w:t xml:space="preserve"> otpada u količini koja je ekvivalentna volumenu nerazgrađene konstrukcije zgrade. Prilikom izrade projektne dokumentacije moguće je iskazati volumen (u tonama) postojeće konstrukcije zgrade koja će se zadržati nakon kružne obnove, čije se ostvarenje dokazuje glavnim projektom zgrade i završnim izvješćem nadzornog inženjera kojim se potvrđuje da su radovi kružne obnove izvedeni sukladno glavnom projektu.</w:t>
      </w:r>
      <w:r>
        <w:br w:type="page"/>
      </w:r>
    </w:p>
    <w:p w14:paraId="45D05DE9" w14:textId="77777777" w:rsidR="00496804" w:rsidRDefault="0037359D">
      <w:pPr>
        <w:pStyle w:val="Naslov2"/>
        <w:ind w:left="426" w:hanging="426"/>
        <w:rPr>
          <w:rFonts w:ascii="Times New Roman" w:hAnsi="Times New Roman" w:cs="Times New Roman"/>
          <w:color w:val="auto"/>
          <w:sz w:val="24"/>
          <w:szCs w:val="24"/>
        </w:rPr>
      </w:pPr>
      <w:bookmarkStart w:id="167" w:name="_Toc51851654"/>
      <w:r>
        <w:rPr>
          <w:rFonts w:ascii="Times New Roman" w:hAnsi="Times New Roman" w:cs="Times New Roman"/>
          <w:color w:val="auto"/>
          <w:sz w:val="24"/>
          <w:szCs w:val="24"/>
        </w:rPr>
        <w:lastRenderedPageBreak/>
        <w:t>POKAZATELJI ISHODA POSEBNIH CILJEVA PROGRAMA</w:t>
      </w:r>
      <w:bookmarkEnd w:id="167"/>
    </w:p>
    <w:p w14:paraId="45D05DEA" w14:textId="77777777" w:rsidR="00496804" w:rsidRDefault="00496804">
      <w:pPr>
        <w:pStyle w:val="Bezproreda"/>
        <w:jc w:val="both"/>
        <w:rPr>
          <w:rFonts w:eastAsia="Times New Roman"/>
          <w:lang w:val="hr-HR" w:eastAsia="en-GB"/>
        </w:rPr>
      </w:pPr>
    </w:p>
    <w:p w14:paraId="45D05DEB" w14:textId="77777777" w:rsidR="00496804" w:rsidRDefault="0037359D">
      <w:pPr>
        <w:spacing w:line="240" w:lineRule="auto"/>
        <w:rPr>
          <w:rFonts w:ascii="Times New Roman" w:hAnsi="Times New Roman"/>
          <w:i/>
          <w:iCs/>
          <w:sz w:val="24"/>
        </w:rPr>
      </w:pPr>
      <w:r>
        <w:rPr>
          <w:rFonts w:ascii="Times New Roman" w:hAnsi="Times New Roman"/>
          <w:i/>
          <w:iCs/>
          <w:sz w:val="24"/>
        </w:rPr>
        <w:t>Tablica 15. Prikaz pokazatelja ishoda posebnih ciljeva</w:t>
      </w:r>
    </w:p>
    <w:tbl>
      <w:tblPr>
        <w:tblStyle w:val="Reetkatablice"/>
        <w:tblW w:w="0" w:type="auto"/>
        <w:tblLook w:val="04A0" w:firstRow="1" w:lastRow="0" w:firstColumn="1" w:lastColumn="0" w:noHBand="0" w:noVBand="1"/>
      </w:tblPr>
      <w:tblGrid>
        <w:gridCol w:w="5382"/>
        <w:gridCol w:w="1417"/>
        <w:gridCol w:w="1418"/>
        <w:gridCol w:w="1405"/>
      </w:tblGrid>
      <w:tr w:rsidR="00496804" w14:paraId="45D05DEE" w14:textId="77777777">
        <w:trPr>
          <w:trHeight w:val="930"/>
        </w:trPr>
        <w:tc>
          <w:tcPr>
            <w:tcW w:w="9622" w:type="dxa"/>
            <w:gridSpan w:val="4"/>
            <w:shd w:val="clear" w:color="auto" w:fill="FFCCA6" w:themeFill="accent5" w:themeFillTint="66"/>
            <w:vAlign w:val="center"/>
          </w:tcPr>
          <w:p w14:paraId="45D05DEC" w14:textId="77777777" w:rsidR="00496804" w:rsidRDefault="0037359D">
            <w:pPr>
              <w:pStyle w:val="Odlomakpopisa"/>
              <w:tabs>
                <w:tab w:val="left" w:pos="426"/>
              </w:tabs>
              <w:ind w:left="0"/>
              <w:rPr>
                <w:rFonts w:ascii="Times New Roman" w:hAnsi="Times New Roman" w:cs="Times New Roman"/>
                <w:bCs/>
                <w:sz w:val="24"/>
              </w:rPr>
            </w:pPr>
            <w:r>
              <w:rPr>
                <w:rFonts w:ascii="Times New Roman" w:hAnsi="Times New Roman" w:cs="Times New Roman"/>
                <w:bCs/>
                <w:sz w:val="24"/>
              </w:rPr>
              <w:t xml:space="preserve">Strateški cilj NRS 2030: </w:t>
            </w:r>
          </w:p>
          <w:p w14:paraId="45D05DED" w14:textId="77777777" w:rsidR="00496804" w:rsidRDefault="0037359D">
            <w:pPr>
              <w:pStyle w:val="Odlomakpopisa"/>
              <w:tabs>
                <w:tab w:val="left" w:pos="426"/>
              </w:tabs>
              <w:ind w:left="0"/>
              <w:rPr>
                <w:rFonts w:ascii="Times New Roman" w:hAnsi="Times New Roman" w:cs="Times New Roman"/>
                <w:b w:val="0"/>
                <w:bCs/>
                <w:sz w:val="24"/>
              </w:rPr>
            </w:pPr>
            <w:r>
              <w:rPr>
                <w:rFonts w:ascii="Times New Roman" w:hAnsi="Times New Roman" w:cs="Times New Roman"/>
                <w:bCs/>
                <w:sz w:val="24"/>
              </w:rPr>
              <w:t>NISKO-UGLJIČNA ENERGETSKA TRANZICIJA I ZAŠTITA OKOLIŠA</w:t>
            </w:r>
          </w:p>
        </w:tc>
      </w:tr>
      <w:tr w:rsidR="00496804" w14:paraId="45D05DF3" w14:textId="77777777">
        <w:trPr>
          <w:trHeight w:val="560"/>
        </w:trPr>
        <w:tc>
          <w:tcPr>
            <w:tcW w:w="5382" w:type="dxa"/>
            <w:vAlign w:val="center"/>
          </w:tcPr>
          <w:p w14:paraId="45D05DEF" w14:textId="77777777" w:rsidR="00496804" w:rsidRDefault="0037359D">
            <w:pPr>
              <w:pStyle w:val="Odlomakpopisa"/>
              <w:tabs>
                <w:tab w:val="left" w:pos="426"/>
              </w:tabs>
              <w:spacing w:line="240" w:lineRule="auto"/>
              <w:ind w:left="0"/>
              <w:rPr>
                <w:rFonts w:ascii="Times New Roman" w:hAnsi="Times New Roman" w:cs="Times New Roman"/>
                <w:b w:val="0"/>
                <w:sz w:val="24"/>
              </w:rPr>
            </w:pPr>
            <w:r>
              <w:rPr>
                <w:rFonts w:ascii="Times New Roman" w:hAnsi="Times New Roman" w:cs="Times New Roman"/>
                <w:b w:val="0"/>
                <w:sz w:val="24"/>
              </w:rPr>
              <w:t>Pokazatelji učinka</w:t>
            </w:r>
          </w:p>
        </w:tc>
        <w:tc>
          <w:tcPr>
            <w:tcW w:w="1417" w:type="dxa"/>
            <w:vAlign w:val="center"/>
          </w:tcPr>
          <w:p w14:paraId="45D05DF0" w14:textId="77777777" w:rsidR="00496804" w:rsidRDefault="0037359D">
            <w:pPr>
              <w:pStyle w:val="Odlomakpopisa"/>
              <w:tabs>
                <w:tab w:val="left" w:pos="426"/>
              </w:tabs>
              <w:spacing w:line="240" w:lineRule="auto"/>
              <w:ind w:left="0"/>
              <w:jc w:val="center"/>
              <w:rPr>
                <w:rFonts w:ascii="Times New Roman" w:hAnsi="Times New Roman" w:cs="Times New Roman"/>
                <w:b w:val="0"/>
                <w:sz w:val="24"/>
              </w:rPr>
            </w:pPr>
            <w:r>
              <w:rPr>
                <w:rFonts w:ascii="Times New Roman" w:hAnsi="Times New Roman" w:cs="Times New Roman"/>
                <w:b w:val="0"/>
                <w:sz w:val="24"/>
              </w:rPr>
              <w:t>Mjerna jedinica</w:t>
            </w:r>
          </w:p>
        </w:tc>
        <w:tc>
          <w:tcPr>
            <w:tcW w:w="1418" w:type="dxa"/>
            <w:vAlign w:val="center"/>
          </w:tcPr>
          <w:p w14:paraId="45D05DF1" w14:textId="77777777" w:rsidR="00496804" w:rsidRDefault="0037359D">
            <w:pPr>
              <w:pStyle w:val="Odlomakpopisa"/>
              <w:tabs>
                <w:tab w:val="left" w:pos="426"/>
              </w:tabs>
              <w:spacing w:line="240" w:lineRule="auto"/>
              <w:ind w:left="0"/>
              <w:jc w:val="center"/>
              <w:rPr>
                <w:rFonts w:ascii="Times New Roman" w:hAnsi="Times New Roman" w:cs="Times New Roman"/>
                <w:b w:val="0"/>
                <w:sz w:val="24"/>
              </w:rPr>
            </w:pPr>
            <w:r>
              <w:rPr>
                <w:rFonts w:ascii="Times New Roman" w:hAnsi="Times New Roman" w:cs="Times New Roman"/>
                <w:b w:val="0"/>
                <w:sz w:val="24"/>
              </w:rPr>
              <w:t>Početna vrijednost</w:t>
            </w:r>
          </w:p>
        </w:tc>
        <w:tc>
          <w:tcPr>
            <w:tcW w:w="1405" w:type="dxa"/>
            <w:vAlign w:val="center"/>
          </w:tcPr>
          <w:p w14:paraId="45D05DF2" w14:textId="77777777" w:rsidR="00496804" w:rsidRDefault="0037359D">
            <w:pPr>
              <w:pStyle w:val="Odlomakpopisa"/>
              <w:tabs>
                <w:tab w:val="left" w:pos="426"/>
              </w:tabs>
              <w:spacing w:line="240" w:lineRule="auto"/>
              <w:ind w:left="0"/>
              <w:jc w:val="center"/>
              <w:rPr>
                <w:rFonts w:ascii="Times New Roman" w:hAnsi="Times New Roman" w:cs="Times New Roman"/>
                <w:b w:val="0"/>
                <w:sz w:val="24"/>
              </w:rPr>
            </w:pPr>
            <w:r>
              <w:rPr>
                <w:rFonts w:ascii="Times New Roman" w:hAnsi="Times New Roman" w:cs="Times New Roman"/>
                <w:b w:val="0"/>
                <w:sz w:val="24"/>
              </w:rPr>
              <w:t>Ciljana vrijednost 2030.</w:t>
            </w:r>
          </w:p>
        </w:tc>
      </w:tr>
      <w:tr w:rsidR="00496804" w14:paraId="45D05DF8" w14:textId="77777777">
        <w:tc>
          <w:tcPr>
            <w:tcW w:w="5382" w:type="dxa"/>
            <w:vAlign w:val="center"/>
          </w:tcPr>
          <w:p w14:paraId="45D05DF4" w14:textId="77777777" w:rsidR="00496804" w:rsidRDefault="0037359D">
            <w:pPr>
              <w:tabs>
                <w:tab w:val="left" w:pos="426"/>
              </w:tabs>
              <w:spacing w:line="240" w:lineRule="auto"/>
              <w:rPr>
                <w:rFonts w:ascii="Times New Roman" w:hAnsi="Times New Roman"/>
                <w:sz w:val="24"/>
              </w:rPr>
            </w:pPr>
            <w:r>
              <w:rPr>
                <w:rFonts w:ascii="Times New Roman" w:hAnsi="Times New Roman"/>
                <w:sz w:val="24"/>
              </w:rPr>
              <w:t>1. Emisije stakleničkih plinova (bazna godina 1990.)</w:t>
            </w:r>
          </w:p>
        </w:tc>
        <w:tc>
          <w:tcPr>
            <w:tcW w:w="1417" w:type="dxa"/>
            <w:vAlign w:val="center"/>
          </w:tcPr>
          <w:p w14:paraId="45D05DF5" w14:textId="77777777" w:rsidR="00496804" w:rsidRDefault="0037359D">
            <w:pPr>
              <w:pStyle w:val="Odlomakpopisa"/>
              <w:tabs>
                <w:tab w:val="left" w:pos="426"/>
              </w:tabs>
              <w:spacing w:line="240" w:lineRule="auto"/>
              <w:ind w:left="0"/>
              <w:jc w:val="center"/>
              <w:rPr>
                <w:rFonts w:ascii="Times New Roman" w:hAnsi="Times New Roman" w:cs="Times New Roman"/>
                <w:b w:val="0"/>
                <w:bCs/>
                <w:sz w:val="24"/>
              </w:rPr>
            </w:pPr>
            <w:r>
              <w:rPr>
                <w:rFonts w:ascii="Times New Roman" w:hAnsi="Times New Roman" w:cs="Times New Roman"/>
                <w:b w:val="0"/>
                <w:bCs/>
                <w:sz w:val="24"/>
              </w:rPr>
              <w:t>%</w:t>
            </w:r>
          </w:p>
        </w:tc>
        <w:tc>
          <w:tcPr>
            <w:tcW w:w="1418" w:type="dxa"/>
            <w:vAlign w:val="center"/>
          </w:tcPr>
          <w:p w14:paraId="45D05DF6" w14:textId="77777777" w:rsidR="00496804" w:rsidRDefault="0037359D">
            <w:pPr>
              <w:pStyle w:val="Odlomakpopisa"/>
              <w:tabs>
                <w:tab w:val="left" w:pos="426"/>
              </w:tabs>
              <w:spacing w:line="240" w:lineRule="auto"/>
              <w:ind w:left="0"/>
              <w:jc w:val="center"/>
              <w:rPr>
                <w:rFonts w:ascii="Times New Roman" w:hAnsi="Times New Roman" w:cs="Times New Roman"/>
                <w:b w:val="0"/>
                <w:bCs/>
                <w:sz w:val="24"/>
              </w:rPr>
            </w:pPr>
            <w:r>
              <w:rPr>
                <w:rFonts w:ascii="Times New Roman" w:hAnsi="Times New Roman" w:cs="Times New Roman"/>
                <w:b w:val="0"/>
                <w:bCs/>
                <w:sz w:val="24"/>
              </w:rPr>
              <w:t>75,20 % (2018.)</w:t>
            </w:r>
          </w:p>
        </w:tc>
        <w:tc>
          <w:tcPr>
            <w:tcW w:w="1405" w:type="dxa"/>
            <w:vAlign w:val="center"/>
          </w:tcPr>
          <w:p w14:paraId="45D05DF7" w14:textId="77777777" w:rsidR="00496804" w:rsidRDefault="0037359D">
            <w:pPr>
              <w:pStyle w:val="Odlomakpopisa"/>
              <w:tabs>
                <w:tab w:val="left" w:pos="426"/>
              </w:tabs>
              <w:spacing w:line="240" w:lineRule="auto"/>
              <w:ind w:left="0"/>
              <w:jc w:val="center"/>
              <w:rPr>
                <w:rFonts w:ascii="Times New Roman" w:hAnsi="Times New Roman" w:cs="Times New Roman"/>
                <w:b w:val="0"/>
                <w:bCs/>
                <w:sz w:val="24"/>
              </w:rPr>
            </w:pPr>
            <w:r>
              <w:rPr>
                <w:rFonts w:ascii="Times New Roman" w:hAnsi="Times New Roman" w:cs="Times New Roman"/>
                <w:b w:val="0"/>
                <w:bCs/>
                <w:sz w:val="24"/>
              </w:rPr>
              <w:t>65 %</w:t>
            </w:r>
          </w:p>
        </w:tc>
      </w:tr>
      <w:tr w:rsidR="00496804" w14:paraId="45D05DFB" w14:textId="77777777">
        <w:trPr>
          <w:trHeight w:val="845"/>
        </w:trPr>
        <w:tc>
          <w:tcPr>
            <w:tcW w:w="9622" w:type="dxa"/>
            <w:gridSpan w:val="4"/>
            <w:shd w:val="clear" w:color="auto" w:fill="FFCCA6" w:themeFill="accent5" w:themeFillTint="66"/>
            <w:vAlign w:val="center"/>
          </w:tcPr>
          <w:p w14:paraId="45D05DF9" w14:textId="77777777" w:rsidR="00496804" w:rsidRDefault="0037359D">
            <w:pPr>
              <w:pStyle w:val="Odlomakpopisa"/>
              <w:tabs>
                <w:tab w:val="left" w:pos="426"/>
              </w:tabs>
              <w:ind w:left="0"/>
              <w:rPr>
                <w:rFonts w:ascii="Times New Roman" w:hAnsi="Times New Roman" w:cs="Times New Roman"/>
                <w:bCs/>
                <w:sz w:val="24"/>
              </w:rPr>
            </w:pPr>
            <w:r>
              <w:rPr>
                <w:rFonts w:ascii="Times New Roman" w:hAnsi="Times New Roman" w:cs="Times New Roman"/>
                <w:bCs/>
                <w:sz w:val="24"/>
              </w:rPr>
              <w:t xml:space="preserve">Posebni cilj 1: </w:t>
            </w:r>
          </w:p>
          <w:p w14:paraId="45D05DFA" w14:textId="77777777" w:rsidR="00496804" w:rsidRDefault="0037359D">
            <w:pPr>
              <w:pStyle w:val="Odlomakpopisa"/>
              <w:tabs>
                <w:tab w:val="left" w:pos="426"/>
              </w:tabs>
              <w:ind w:left="0"/>
              <w:rPr>
                <w:rFonts w:ascii="Times New Roman" w:hAnsi="Times New Roman" w:cs="Times New Roman"/>
                <w:b w:val="0"/>
                <w:bCs/>
                <w:sz w:val="24"/>
              </w:rPr>
            </w:pPr>
            <w:r>
              <w:rPr>
                <w:rFonts w:ascii="Times New Roman" w:hAnsi="Times New Roman" w:cs="Times New Roman"/>
                <w:bCs/>
                <w:sz w:val="24"/>
              </w:rPr>
              <w:t xml:space="preserve">RAZVOJ SUSTAVA KRUŽNOG GOSPODARENJA PROSTOROM I ZGRADAMA  </w:t>
            </w:r>
          </w:p>
        </w:tc>
      </w:tr>
      <w:tr w:rsidR="00496804" w14:paraId="45D05E00" w14:textId="77777777">
        <w:trPr>
          <w:trHeight w:val="838"/>
        </w:trPr>
        <w:tc>
          <w:tcPr>
            <w:tcW w:w="5382" w:type="dxa"/>
            <w:vAlign w:val="center"/>
          </w:tcPr>
          <w:p w14:paraId="45D05DFC" w14:textId="77777777" w:rsidR="00496804" w:rsidRDefault="0037359D">
            <w:pPr>
              <w:pStyle w:val="Odlomakpopisa"/>
              <w:tabs>
                <w:tab w:val="left" w:pos="426"/>
              </w:tabs>
              <w:spacing w:line="240" w:lineRule="auto"/>
              <w:ind w:left="0"/>
              <w:rPr>
                <w:rFonts w:ascii="Times New Roman" w:hAnsi="Times New Roman" w:cs="Times New Roman"/>
                <w:b w:val="0"/>
                <w:sz w:val="24"/>
              </w:rPr>
            </w:pPr>
            <w:r>
              <w:rPr>
                <w:rFonts w:ascii="Times New Roman" w:hAnsi="Times New Roman" w:cs="Times New Roman"/>
                <w:b w:val="0"/>
                <w:sz w:val="24"/>
              </w:rPr>
              <w:t>Pokazatelji ishoda</w:t>
            </w:r>
          </w:p>
        </w:tc>
        <w:tc>
          <w:tcPr>
            <w:tcW w:w="1417" w:type="dxa"/>
            <w:vAlign w:val="center"/>
          </w:tcPr>
          <w:p w14:paraId="45D05DFD" w14:textId="77777777" w:rsidR="00496804" w:rsidRDefault="0037359D">
            <w:pPr>
              <w:pStyle w:val="Odlomakpopisa"/>
              <w:tabs>
                <w:tab w:val="left" w:pos="426"/>
              </w:tabs>
              <w:spacing w:line="240" w:lineRule="auto"/>
              <w:ind w:left="0"/>
              <w:jc w:val="center"/>
              <w:rPr>
                <w:rFonts w:ascii="Times New Roman" w:hAnsi="Times New Roman" w:cs="Times New Roman"/>
                <w:b w:val="0"/>
                <w:sz w:val="24"/>
              </w:rPr>
            </w:pPr>
            <w:r>
              <w:rPr>
                <w:rFonts w:ascii="Times New Roman" w:hAnsi="Times New Roman" w:cs="Times New Roman"/>
                <w:b w:val="0"/>
                <w:sz w:val="24"/>
              </w:rPr>
              <w:t>Mjerna jedinica</w:t>
            </w:r>
          </w:p>
        </w:tc>
        <w:tc>
          <w:tcPr>
            <w:tcW w:w="1418" w:type="dxa"/>
            <w:vAlign w:val="center"/>
          </w:tcPr>
          <w:p w14:paraId="45D05DFE" w14:textId="77777777" w:rsidR="00496804" w:rsidRDefault="0037359D">
            <w:pPr>
              <w:pStyle w:val="Odlomakpopisa"/>
              <w:tabs>
                <w:tab w:val="left" w:pos="426"/>
              </w:tabs>
              <w:spacing w:line="240" w:lineRule="auto"/>
              <w:ind w:left="0"/>
              <w:jc w:val="center"/>
              <w:rPr>
                <w:rFonts w:ascii="Times New Roman" w:hAnsi="Times New Roman" w:cs="Times New Roman"/>
                <w:b w:val="0"/>
                <w:sz w:val="24"/>
              </w:rPr>
            </w:pPr>
            <w:r>
              <w:rPr>
                <w:rFonts w:ascii="Times New Roman" w:hAnsi="Times New Roman" w:cs="Times New Roman"/>
                <w:b w:val="0"/>
                <w:sz w:val="24"/>
              </w:rPr>
              <w:t>Početna vrijednost</w:t>
            </w:r>
          </w:p>
        </w:tc>
        <w:tc>
          <w:tcPr>
            <w:tcW w:w="1405" w:type="dxa"/>
            <w:vAlign w:val="center"/>
          </w:tcPr>
          <w:p w14:paraId="45D05DFF" w14:textId="77777777" w:rsidR="00496804" w:rsidRDefault="0037359D">
            <w:pPr>
              <w:pStyle w:val="Odlomakpopisa"/>
              <w:tabs>
                <w:tab w:val="left" w:pos="426"/>
              </w:tabs>
              <w:spacing w:line="240" w:lineRule="auto"/>
              <w:ind w:left="0"/>
              <w:jc w:val="center"/>
              <w:rPr>
                <w:rFonts w:ascii="Times New Roman" w:hAnsi="Times New Roman" w:cs="Times New Roman"/>
                <w:b w:val="0"/>
                <w:sz w:val="24"/>
              </w:rPr>
            </w:pPr>
            <w:r>
              <w:rPr>
                <w:rFonts w:ascii="Times New Roman" w:hAnsi="Times New Roman" w:cs="Times New Roman"/>
                <w:b w:val="0"/>
                <w:sz w:val="24"/>
              </w:rPr>
              <w:t>Ciljana vrijednost 2030.</w:t>
            </w:r>
          </w:p>
        </w:tc>
      </w:tr>
      <w:tr w:rsidR="00496804" w14:paraId="45D05E05" w14:textId="77777777">
        <w:tc>
          <w:tcPr>
            <w:tcW w:w="5382" w:type="dxa"/>
            <w:vAlign w:val="center"/>
          </w:tcPr>
          <w:p w14:paraId="45D05E01" w14:textId="77777777" w:rsidR="00496804" w:rsidRDefault="0037359D">
            <w:pPr>
              <w:tabs>
                <w:tab w:val="left" w:pos="426"/>
              </w:tabs>
              <w:spacing w:line="240" w:lineRule="auto"/>
              <w:ind w:left="306" w:hanging="306"/>
              <w:rPr>
                <w:rFonts w:ascii="Times New Roman" w:hAnsi="Times New Roman"/>
                <w:sz w:val="24"/>
              </w:rPr>
            </w:pPr>
            <w:r>
              <w:rPr>
                <w:rFonts w:ascii="Times New Roman" w:hAnsi="Times New Roman"/>
                <w:sz w:val="24"/>
              </w:rPr>
              <w:t xml:space="preserve">1. </w:t>
            </w:r>
            <w:r>
              <w:rPr>
                <w:rFonts w:ascii="Times New Roman" w:hAnsi="Times New Roman"/>
                <w:sz w:val="24"/>
              </w:rPr>
              <w:tab/>
              <w:t>Razvoj digitalnih javnih usluga za kružno gospodarenje prostorom i zgradama</w:t>
            </w:r>
          </w:p>
        </w:tc>
        <w:tc>
          <w:tcPr>
            <w:tcW w:w="1417" w:type="dxa"/>
            <w:vAlign w:val="center"/>
          </w:tcPr>
          <w:p w14:paraId="45D05E02" w14:textId="77777777" w:rsidR="00496804" w:rsidRDefault="0037359D">
            <w:pPr>
              <w:pStyle w:val="Odlomakpopisa"/>
              <w:tabs>
                <w:tab w:val="left" w:pos="426"/>
              </w:tabs>
              <w:spacing w:line="240" w:lineRule="auto"/>
              <w:ind w:left="0"/>
              <w:jc w:val="center"/>
              <w:rPr>
                <w:rFonts w:ascii="Times New Roman" w:hAnsi="Times New Roman" w:cs="Times New Roman"/>
                <w:b w:val="0"/>
                <w:bCs/>
                <w:sz w:val="24"/>
              </w:rPr>
            </w:pPr>
            <w:r>
              <w:rPr>
                <w:rFonts w:ascii="Times New Roman" w:hAnsi="Times New Roman" w:cs="Times New Roman"/>
                <w:b w:val="0"/>
                <w:bCs/>
                <w:sz w:val="24"/>
              </w:rPr>
              <w:t>broj</w:t>
            </w:r>
          </w:p>
        </w:tc>
        <w:tc>
          <w:tcPr>
            <w:tcW w:w="1418" w:type="dxa"/>
            <w:vAlign w:val="center"/>
          </w:tcPr>
          <w:p w14:paraId="45D05E03" w14:textId="77777777" w:rsidR="00496804" w:rsidRDefault="0037359D">
            <w:pPr>
              <w:pStyle w:val="Odlomakpopisa"/>
              <w:tabs>
                <w:tab w:val="left" w:pos="426"/>
              </w:tabs>
              <w:spacing w:line="240" w:lineRule="auto"/>
              <w:ind w:left="0"/>
              <w:jc w:val="center"/>
              <w:rPr>
                <w:rFonts w:ascii="Times New Roman" w:hAnsi="Times New Roman" w:cs="Times New Roman"/>
                <w:b w:val="0"/>
                <w:bCs/>
                <w:sz w:val="24"/>
              </w:rPr>
            </w:pPr>
            <w:r>
              <w:rPr>
                <w:rFonts w:ascii="Times New Roman" w:hAnsi="Times New Roman" w:cs="Times New Roman"/>
                <w:b w:val="0"/>
                <w:bCs/>
                <w:sz w:val="24"/>
              </w:rPr>
              <w:t>0</w:t>
            </w:r>
          </w:p>
        </w:tc>
        <w:tc>
          <w:tcPr>
            <w:tcW w:w="1405" w:type="dxa"/>
            <w:vAlign w:val="center"/>
          </w:tcPr>
          <w:p w14:paraId="45D05E04" w14:textId="77777777" w:rsidR="00496804" w:rsidRDefault="0037359D">
            <w:pPr>
              <w:pStyle w:val="Odlomakpopisa"/>
              <w:tabs>
                <w:tab w:val="left" w:pos="426"/>
              </w:tabs>
              <w:spacing w:line="240" w:lineRule="auto"/>
              <w:ind w:left="0"/>
              <w:jc w:val="center"/>
              <w:rPr>
                <w:rFonts w:ascii="Times New Roman" w:hAnsi="Times New Roman" w:cs="Times New Roman"/>
                <w:b w:val="0"/>
                <w:bCs/>
                <w:sz w:val="24"/>
              </w:rPr>
            </w:pPr>
            <w:r>
              <w:rPr>
                <w:rFonts w:ascii="Times New Roman" w:hAnsi="Times New Roman" w:cs="Times New Roman"/>
                <w:b w:val="0"/>
                <w:bCs/>
                <w:sz w:val="24"/>
              </w:rPr>
              <w:t>2</w:t>
            </w:r>
          </w:p>
        </w:tc>
      </w:tr>
      <w:tr w:rsidR="00496804" w14:paraId="45D05E08" w14:textId="77777777">
        <w:trPr>
          <w:trHeight w:val="859"/>
        </w:trPr>
        <w:tc>
          <w:tcPr>
            <w:tcW w:w="9622" w:type="dxa"/>
            <w:gridSpan w:val="4"/>
            <w:shd w:val="clear" w:color="auto" w:fill="FFCCA6" w:themeFill="accent5" w:themeFillTint="66"/>
            <w:vAlign w:val="center"/>
          </w:tcPr>
          <w:p w14:paraId="45D05E06" w14:textId="77777777" w:rsidR="00496804" w:rsidRDefault="0037359D">
            <w:pPr>
              <w:pStyle w:val="Odlomakpopisa"/>
              <w:tabs>
                <w:tab w:val="left" w:pos="426"/>
              </w:tabs>
              <w:ind w:left="0"/>
              <w:rPr>
                <w:rFonts w:ascii="Times New Roman" w:hAnsi="Times New Roman" w:cs="Times New Roman"/>
                <w:bCs/>
                <w:sz w:val="24"/>
              </w:rPr>
            </w:pPr>
            <w:r>
              <w:rPr>
                <w:rFonts w:ascii="Times New Roman" w:hAnsi="Times New Roman" w:cs="Times New Roman"/>
                <w:bCs/>
                <w:sz w:val="24"/>
              </w:rPr>
              <w:t xml:space="preserve">Posebni cilj 2: </w:t>
            </w:r>
          </w:p>
          <w:p w14:paraId="45D05E07" w14:textId="77777777" w:rsidR="00496804" w:rsidRDefault="0037359D">
            <w:pPr>
              <w:pStyle w:val="Odlomakpopisa"/>
              <w:tabs>
                <w:tab w:val="left" w:pos="426"/>
              </w:tabs>
              <w:ind w:left="0"/>
              <w:rPr>
                <w:rFonts w:ascii="Times New Roman" w:hAnsi="Times New Roman" w:cs="Times New Roman"/>
                <w:b w:val="0"/>
                <w:bCs/>
                <w:sz w:val="24"/>
              </w:rPr>
            </w:pPr>
            <w:r>
              <w:rPr>
                <w:rFonts w:ascii="Times New Roman" w:hAnsi="Times New Roman" w:cs="Times New Roman"/>
                <w:bCs/>
                <w:sz w:val="24"/>
              </w:rPr>
              <w:t>KRUŽNA OBNOVA NEKORIŠTENIH PROSTORA I ZGRADA</w:t>
            </w:r>
          </w:p>
        </w:tc>
      </w:tr>
      <w:tr w:rsidR="00496804" w14:paraId="45D05E0D" w14:textId="77777777">
        <w:trPr>
          <w:trHeight w:val="838"/>
        </w:trPr>
        <w:tc>
          <w:tcPr>
            <w:tcW w:w="5382" w:type="dxa"/>
            <w:vAlign w:val="center"/>
          </w:tcPr>
          <w:p w14:paraId="45D05E09" w14:textId="77777777" w:rsidR="00496804" w:rsidRDefault="0037359D">
            <w:pPr>
              <w:pStyle w:val="Odlomakpopisa"/>
              <w:tabs>
                <w:tab w:val="left" w:pos="426"/>
              </w:tabs>
              <w:spacing w:line="240" w:lineRule="auto"/>
              <w:ind w:left="0"/>
              <w:rPr>
                <w:rFonts w:ascii="Times New Roman" w:hAnsi="Times New Roman" w:cs="Times New Roman"/>
                <w:b w:val="0"/>
                <w:sz w:val="24"/>
              </w:rPr>
            </w:pPr>
            <w:r>
              <w:rPr>
                <w:rFonts w:ascii="Times New Roman" w:hAnsi="Times New Roman" w:cs="Times New Roman"/>
                <w:b w:val="0"/>
                <w:sz w:val="24"/>
              </w:rPr>
              <w:t>Pokazatelji ishoda</w:t>
            </w:r>
          </w:p>
        </w:tc>
        <w:tc>
          <w:tcPr>
            <w:tcW w:w="1417" w:type="dxa"/>
            <w:vAlign w:val="center"/>
          </w:tcPr>
          <w:p w14:paraId="45D05E0A" w14:textId="77777777" w:rsidR="00496804" w:rsidRDefault="0037359D">
            <w:pPr>
              <w:pStyle w:val="Odlomakpopisa"/>
              <w:tabs>
                <w:tab w:val="left" w:pos="426"/>
              </w:tabs>
              <w:spacing w:line="240" w:lineRule="auto"/>
              <w:ind w:left="0"/>
              <w:jc w:val="center"/>
              <w:rPr>
                <w:rFonts w:ascii="Times New Roman" w:hAnsi="Times New Roman" w:cs="Times New Roman"/>
                <w:b w:val="0"/>
                <w:sz w:val="24"/>
              </w:rPr>
            </w:pPr>
            <w:r>
              <w:rPr>
                <w:rFonts w:ascii="Times New Roman" w:hAnsi="Times New Roman" w:cs="Times New Roman"/>
                <w:b w:val="0"/>
                <w:sz w:val="24"/>
              </w:rPr>
              <w:t>Mjerna jedinica</w:t>
            </w:r>
          </w:p>
        </w:tc>
        <w:tc>
          <w:tcPr>
            <w:tcW w:w="1418" w:type="dxa"/>
            <w:vAlign w:val="center"/>
          </w:tcPr>
          <w:p w14:paraId="45D05E0B" w14:textId="77777777" w:rsidR="00496804" w:rsidRDefault="0037359D">
            <w:pPr>
              <w:pStyle w:val="Odlomakpopisa"/>
              <w:tabs>
                <w:tab w:val="left" w:pos="426"/>
              </w:tabs>
              <w:spacing w:line="240" w:lineRule="auto"/>
              <w:ind w:left="0"/>
              <w:jc w:val="center"/>
              <w:rPr>
                <w:rFonts w:ascii="Times New Roman" w:hAnsi="Times New Roman" w:cs="Times New Roman"/>
                <w:b w:val="0"/>
                <w:sz w:val="24"/>
              </w:rPr>
            </w:pPr>
            <w:r>
              <w:rPr>
                <w:rFonts w:ascii="Times New Roman" w:hAnsi="Times New Roman" w:cs="Times New Roman"/>
                <w:b w:val="0"/>
                <w:sz w:val="24"/>
              </w:rPr>
              <w:t>Početna vrijednost</w:t>
            </w:r>
          </w:p>
        </w:tc>
        <w:tc>
          <w:tcPr>
            <w:tcW w:w="1405" w:type="dxa"/>
            <w:vAlign w:val="center"/>
          </w:tcPr>
          <w:p w14:paraId="45D05E0C" w14:textId="77777777" w:rsidR="00496804" w:rsidRDefault="0037359D">
            <w:pPr>
              <w:pStyle w:val="Odlomakpopisa"/>
              <w:tabs>
                <w:tab w:val="left" w:pos="426"/>
              </w:tabs>
              <w:spacing w:line="240" w:lineRule="auto"/>
              <w:ind w:left="0"/>
              <w:jc w:val="center"/>
              <w:rPr>
                <w:rFonts w:ascii="Times New Roman" w:hAnsi="Times New Roman" w:cs="Times New Roman"/>
                <w:b w:val="0"/>
                <w:sz w:val="24"/>
              </w:rPr>
            </w:pPr>
            <w:r>
              <w:rPr>
                <w:rFonts w:ascii="Times New Roman" w:hAnsi="Times New Roman" w:cs="Times New Roman"/>
                <w:b w:val="0"/>
                <w:sz w:val="24"/>
              </w:rPr>
              <w:t>Ciljana vrijednost 2030.</w:t>
            </w:r>
          </w:p>
        </w:tc>
      </w:tr>
      <w:tr w:rsidR="00496804" w14:paraId="45D05E12" w14:textId="77777777">
        <w:trPr>
          <w:trHeight w:val="607"/>
        </w:trPr>
        <w:tc>
          <w:tcPr>
            <w:tcW w:w="5382" w:type="dxa"/>
            <w:vAlign w:val="center"/>
          </w:tcPr>
          <w:p w14:paraId="45D05E0E" w14:textId="77777777" w:rsidR="00496804" w:rsidRDefault="0037359D">
            <w:pPr>
              <w:tabs>
                <w:tab w:val="left" w:pos="426"/>
              </w:tabs>
              <w:spacing w:line="240" w:lineRule="auto"/>
              <w:ind w:left="306" w:hanging="306"/>
              <w:rPr>
                <w:rFonts w:ascii="Times New Roman" w:hAnsi="Times New Roman"/>
                <w:sz w:val="24"/>
              </w:rPr>
            </w:pPr>
            <w:r>
              <w:rPr>
                <w:rFonts w:ascii="Times New Roman" w:hAnsi="Times New Roman"/>
                <w:sz w:val="24"/>
              </w:rPr>
              <w:t xml:space="preserve">1. </w:t>
            </w:r>
            <w:r>
              <w:rPr>
                <w:rFonts w:ascii="Times New Roman" w:hAnsi="Times New Roman"/>
                <w:sz w:val="24"/>
              </w:rPr>
              <w:tab/>
              <w:t>Kružno obnovljene zgrade u okviru pilot projekata i poziva</w:t>
            </w:r>
          </w:p>
        </w:tc>
        <w:tc>
          <w:tcPr>
            <w:tcW w:w="1417" w:type="dxa"/>
            <w:vAlign w:val="center"/>
          </w:tcPr>
          <w:p w14:paraId="45D05E0F" w14:textId="77777777" w:rsidR="00496804" w:rsidRDefault="0037359D">
            <w:pPr>
              <w:pStyle w:val="Odlomakpopisa"/>
              <w:tabs>
                <w:tab w:val="left" w:pos="426"/>
              </w:tabs>
              <w:spacing w:line="240" w:lineRule="auto"/>
              <w:ind w:left="0"/>
              <w:jc w:val="center"/>
              <w:rPr>
                <w:rFonts w:ascii="Times New Roman" w:hAnsi="Times New Roman" w:cs="Times New Roman"/>
                <w:b w:val="0"/>
                <w:bCs/>
                <w:sz w:val="24"/>
              </w:rPr>
            </w:pPr>
            <w:r>
              <w:rPr>
                <w:rFonts w:ascii="Times New Roman" w:hAnsi="Times New Roman" w:cs="Times New Roman"/>
                <w:b w:val="0"/>
                <w:bCs/>
                <w:sz w:val="24"/>
              </w:rPr>
              <w:t>broj</w:t>
            </w:r>
          </w:p>
        </w:tc>
        <w:tc>
          <w:tcPr>
            <w:tcW w:w="1418" w:type="dxa"/>
            <w:vAlign w:val="center"/>
          </w:tcPr>
          <w:p w14:paraId="45D05E10" w14:textId="77777777" w:rsidR="00496804" w:rsidRDefault="0037359D">
            <w:pPr>
              <w:pStyle w:val="Odlomakpopisa"/>
              <w:tabs>
                <w:tab w:val="left" w:pos="426"/>
              </w:tabs>
              <w:spacing w:line="240" w:lineRule="auto"/>
              <w:ind w:left="0"/>
              <w:jc w:val="center"/>
              <w:rPr>
                <w:rFonts w:ascii="Times New Roman" w:hAnsi="Times New Roman" w:cs="Times New Roman"/>
                <w:b w:val="0"/>
                <w:bCs/>
                <w:sz w:val="24"/>
              </w:rPr>
            </w:pPr>
            <w:r>
              <w:rPr>
                <w:rFonts w:ascii="Times New Roman" w:hAnsi="Times New Roman" w:cs="Times New Roman"/>
                <w:b w:val="0"/>
                <w:bCs/>
                <w:sz w:val="24"/>
              </w:rPr>
              <w:t>0</w:t>
            </w:r>
          </w:p>
        </w:tc>
        <w:tc>
          <w:tcPr>
            <w:tcW w:w="1405" w:type="dxa"/>
            <w:vAlign w:val="center"/>
          </w:tcPr>
          <w:p w14:paraId="45D05E11" w14:textId="77777777" w:rsidR="00496804" w:rsidRDefault="0037359D">
            <w:pPr>
              <w:pStyle w:val="Odlomakpopisa"/>
              <w:spacing w:line="240" w:lineRule="auto"/>
              <w:ind w:left="0"/>
              <w:jc w:val="center"/>
              <w:rPr>
                <w:rFonts w:ascii="Times New Roman" w:hAnsi="Times New Roman" w:cs="Times New Roman"/>
                <w:b w:val="0"/>
                <w:bCs/>
                <w:sz w:val="24"/>
              </w:rPr>
            </w:pPr>
            <w:r>
              <w:rPr>
                <w:rFonts w:ascii="Times New Roman" w:hAnsi="Times New Roman" w:cs="Times New Roman"/>
                <w:b w:val="0"/>
                <w:bCs/>
                <w:sz w:val="24"/>
              </w:rPr>
              <w:t>300</w:t>
            </w:r>
          </w:p>
        </w:tc>
      </w:tr>
      <w:tr w:rsidR="00496804" w14:paraId="45D05E15" w14:textId="77777777">
        <w:trPr>
          <w:trHeight w:val="1157"/>
        </w:trPr>
        <w:tc>
          <w:tcPr>
            <w:tcW w:w="9622" w:type="dxa"/>
            <w:gridSpan w:val="4"/>
            <w:shd w:val="clear" w:color="auto" w:fill="FFCCA6" w:themeFill="accent5" w:themeFillTint="66"/>
            <w:vAlign w:val="center"/>
          </w:tcPr>
          <w:p w14:paraId="45D05E13" w14:textId="77777777" w:rsidR="00496804" w:rsidRDefault="0037359D">
            <w:pPr>
              <w:pStyle w:val="Odlomakpopisa"/>
              <w:tabs>
                <w:tab w:val="left" w:pos="426"/>
              </w:tabs>
              <w:ind w:left="0"/>
              <w:rPr>
                <w:rFonts w:ascii="Times New Roman" w:hAnsi="Times New Roman" w:cs="Times New Roman"/>
                <w:bCs/>
                <w:sz w:val="24"/>
              </w:rPr>
            </w:pPr>
            <w:r>
              <w:rPr>
                <w:rFonts w:ascii="Times New Roman" w:hAnsi="Times New Roman" w:cs="Times New Roman"/>
                <w:bCs/>
                <w:sz w:val="24"/>
              </w:rPr>
              <w:t xml:space="preserve">Posebni cilj 3: </w:t>
            </w:r>
          </w:p>
          <w:p w14:paraId="45D05E14" w14:textId="77777777" w:rsidR="00496804" w:rsidRDefault="0037359D">
            <w:pPr>
              <w:pStyle w:val="Odlomakpopisa"/>
              <w:tabs>
                <w:tab w:val="left" w:pos="426"/>
              </w:tabs>
              <w:ind w:left="0"/>
              <w:rPr>
                <w:rFonts w:ascii="Times New Roman" w:hAnsi="Times New Roman" w:cs="Times New Roman"/>
                <w:b w:val="0"/>
                <w:bCs/>
                <w:sz w:val="24"/>
              </w:rPr>
            </w:pPr>
            <w:r>
              <w:rPr>
                <w:rFonts w:ascii="Times New Roman" w:hAnsi="Times New Roman" w:cs="Times New Roman"/>
                <w:bCs/>
                <w:sz w:val="24"/>
              </w:rPr>
              <w:t>VISOKA RAZINA ZNANJA I DRUŠTVENE SVIJESTI O KRUŽNOM GOSPODARENJU PROSTOROM I ZGRADAMA</w:t>
            </w:r>
          </w:p>
        </w:tc>
      </w:tr>
      <w:tr w:rsidR="00496804" w14:paraId="45D05E1A" w14:textId="77777777">
        <w:trPr>
          <w:trHeight w:val="838"/>
        </w:trPr>
        <w:tc>
          <w:tcPr>
            <w:tcW w:w="5382" w:type="dxa"/>
            <w:vAlign w:val="center"/>
          </w:tcPr>
          <w:p w14:paraId="45D05E16" w14:textId="77777777" w:rsidR="00496804" w:rsidRDefault="0037359D">
            <w:pPr>
              <w:pStyle w:val="Odlomakpopisa"/>
              <w:tabs>
                <w:tab w:val="left" w:pos="426"/>
              </w:tabs>
              <w:spacing w:line="240" w:lineRule="auto"/>
              <w:ind w:left="0"/>
              <w:rPr>
                <w:rFonts w:ascii="Times New Roman" w:hAnsi="Times New Roman" w:cs="Times New Roman"/>
                <w:b w:val="0"/>
                <w:sz w:val="24"/>
              </w:rPr>
            </w:pPr>
            <w:r>
              <w:rPr>
                <w:rFonts w:ascii="Times New Roman" w:hAnsi="Times New Roman" w:cs="Times New Roman"/>
                <w:b w:val="0"/>
                <w:sz w:val="24"/>
              </w:rPr>
              <w:t>Pokazatelji ishoda</w:t>
            </w:r>
          </w:p>
        </w:tc>
        <w:tc>
          <w:tcPr>
            <w:tcW w:w="1417" w:type="dxa"/>
            <w:vAlign w:val="center"/>
          </w:tcPr>
          <w:p w14:paraId="45D05E17" w14:textId="77777777" w:rsidR="00496804" w:rsidRDefault="0037359D">
            <w:pPr>
              <w:pStyle w:val="Odlomakpopisa"/>
              <w:tabs>
                <w:tab w:val="left" w:pos="426"/>
              </w:tabs>
              <w:spacing w:line="240" w:lineRule="auto"/>
              <w:ind w:left="0"/>
              <w:jc w:val="center"/>
              <w:rPr>
                <w:rFonts w:ascii="Times New Roman" w:hAnsi="Times New Roman" w:cs="Times New Roman"/>
                <w:b w:val="0"/>
                <w:sz w:val="24"/>
              </w:rPr>
            </w:pPr>
            <w:r>
              <w:rPr>
                <w:rFonts w:ascii="Times New Roman" w:hAnsi="Times New Roman" w:cs="Times New Roman"/>
                <w:b w:val="0"/>
                <w:sz w:val="24"/>
              </w:rPr>
              <w:t>Mjerna jedinica</w:t>
            </w:r>
          </w:p>
        </w:tc>
        <w:tc>
          <w:tcPr>
            <w:tcW w:w="1418" w:type="dxa"/>
            <w:vAlign w:val="center"/>
          </w:tcPr>
          <w:p w14:paraId="45D05E18" w14:textId="77777777" w:rsidR="00496804" w:rsidRDefault="0037359D">
            <w:pPr>
              <w:pStyle w:val="Odlomakpopisa"/>
              <w:tabs>
                <w:tab w:val="left" w:pos="426"/>
              </w:tabs>
              <w:spacing w:line="240" w:lineRule="auto"/>
              <w:ind w:left="0"/>
              <w:jc w:val="center"/>
              <w:rPr>
                <w:rFonts w:ascii="Times New Roman" w:hAnsi="Times New Roman" w:cs="Times New Roman"/>
                <w:b w:val="0"/>
                <w:sz w:val="24"/>
              </w:rPr>
            </w:pPr>
            <w:r>
              <w:rPr>
                <w:rFonts w:ascii="Times New Roman" w:hAnsi="Times New Roman" w:cs="Times New Roman"/>
                <w:b w:val="0"/>
                <w:sz w:val="24"/>
              </w:rPr>
              <w:t>Početna vrijednost</w:t>
            </w:r>
          </w:p>
        </w:tc>
        <w:tc>
          <w:tcPr>
            <w:tcW w:w="1405" w:type="dxa"/>
            <w:vAlign w:val="center"/>
          </w:tcPr>
          <w:p w14:paraId="45D05E19" w14:textId="77777777" w:rsidR="00496804" w:rsidRDefault="0037359D">
            <w:pPr>
              <w:pStyle w:val="Odlomakpopisa"/>
              <w:tabs>
                <w:tab w:val="left" w:pos="426"/>
              </w:tabs>
              <w:spacing w:line="240" w:lineRule="auto"/>
              <w:ind w:left="0"/>
              <w:jc w:val="center"/>
              <w:rPr>
                <w:rFonts w:ascii="Times New Roman" w:hAnsi="Times New Roman" w:cs="Times New Roman"/>
                <w:b w:val="0"/>
                <w:sz w:val="24"/>
              </w:rPr>
            </w:pPr>
            <w:r>
              <w:rPr>
                <w:rFonts w:ascii="Times New Roman" w:hAnsi="Times New Roman" w:cs="Times New Roman"/>
                <w:b w:val="0"/>
                <w:sz w:val="24"/>
              </w:rPr>
              <w:t>Ciljana vrijednost 2030.</w:t>
            </w:r>
          </w:p>
        </w:tc>
      </w:tr>
      <w:tr w:rsidR="00496804" w14:paraId="45D05E1F" w14:textId="77777777">
        <w:trPr>
          <w:trHeight w:val="70"/>
        </w:trPr>
        <w:tc>
          <w:tcPr>
            <w:tcW w:w="5382" w:type="dxa"/>
            <w:vAlign w:val="center"/>
          </w:tcPr>
          <w:p w14:paraId="45D05E1B" w14:textId="77777777" w:rsidR="00496804" w:rsidRDefault="0037359D">
            <w:pPr>
              <w:tabs>
                <w:tab w:val="left" w:pos="426"/>
              </w:tabs>
              <w:spacing w:line="240" w:lineRule="auto"/>
              <w:ind w:left="306" w:hanging="306"/>
              <w:rPr>
                <w:rFonts w:ascii="Times New Roman" w:hAnsi="Times New Roman"/>
                <w:sz w:val="24"/>
              </w:rPr>
            </w:pPr>
            <w:r>
              <w:rPr>
                <w:rFonts w:ascii="Times New Roman" w:hAnsi="Times New Roman"/>
                <w:sz w:val="24"/>
              </w:rPr>
              <w:t xml:space="preserve">1. </w:t>
            </w:r>
            <w:r>
              <w:rPr>
                <w:rFonts w:ascii="Times New Roman" w:hAnsi="Times New Roman"/>
                <w:sz w:val="24"/>
              </w:rPr>
              <w:tab/>
              <w:t>Stanovništvo koje je imalo izravan doticaj s informacijama o kružnom gospodarenju prostorom i zgradama, kroz objave u stručnim publikacijama, sudjelovanjem na održanim radionicama, konferencijama i sl.</w:t>
            </w:r>
          </w:p>
        </w:tc>
        <w:tc>
          <w:tcPr>
            <w:tcW w:w="1417" w:type="dxa"/>
            <w:vAlign w:val="center"/>
          </w:tcPr>
          <w:p w14:paraId="45D05E1C" w14:textId="77777777" w:rsidR="00496804" w:rsidRDefault="0037359D">
            <w:pPr>
              <w:pStyle w:val="Odlomakpopisa"/>
              <w:tabs>
                <w:tab w:val="left" w:pos="426"/>
              </w:tabs>
              <w:spacing w:line="240" w:lineRule="auto"/>
              <w:ind w:left="0"/>
              <w:jc w:val="center"/>
              <w:rPr>
                <w:rFonts w:ascii="Times New Roman" w:hAnsi="Times New Roman" w:cs="Times New Roman"/>
                <w:b w:val="0"/>
                <w:bCs/>
                <w:sz w:val="24"/>
              </w:rPr>
            </w:pPr>
            <w:r>
              <w:rPr>
                <w:rFonts w:ascii="Times New Roman" w:hAnsi="Times New Roman" w:cs="Times New Roman"/>
                <w:b w:val="0"/>
                <w:bCs/>
                <w:sz w:val="24"/>
              </w:rPr>
              <w:t>broj</w:t>
            </w:r>
          </w:p>
        </w:tc>
        <w:tc>
          <w:tcPr>
            <w:tcW w:w="1418" w:type="dxa"/>
            <w:vAlign w:val="center"/>
          </w:tcPr>
          <w:p w14:paraId="45D05E1D" w14:textId="77777777" w:rsidR="00496804" w:rsidRDefault="0037359D">
            <w:pPr>
              <w:pStyle w:val="Odlomakpopisa"/>
              <w:tabs>
                <w:tab w:val="left" w:pos="426"/>
              </w:tabs>
              <w:spacing w:line="240" w:lineRule="auto"/>
              <w:ind w:left="0"/>
              <w:jc w:val="center"/>
              <w:rPr>
                <w:rFonts w:ascii="Times New Roman" w:hAnsi="Times New Roman" w:cs="Times New Roman"/>
                <w:b w:val="0"/>
                <w:bCs/>
                <w:sz w:val="24"/>
              </w:rPr>
            </w:pPr>
            <w:r>
              <w:rPr>
                <w:rFonts w:ascii="Times New Roman" w:hAnsi="Times New Roman" w:cs="Times New Roman"/>
                <w:b w:val="0"/>
                <w:bCs/>
                <w:sz w:val="24"/>
              </w:rPr>
              <w:t>0</w:t>
            </w:r>
          </w:p>
        </w:tc>
        <w:tc>
          <w:tcPr>
            <w:tcW w:w="1405" w:type="dxa"/>
            <w:vAlign w:val="center"/>
          </w:tcPr>
          <w:p w14:paraId="45D05E1E" w14:textId="77777777" w:rsidR="00496804" w:rsidRDefault="0037359D">
            <w:pPr>
              <w:pStyle w:val="Odlomakpopisa"/>
              <w:tabs>
                <w:tab w:val="left" w:pos="426"/>
              </w:tabs>
              <w:spacing w:line="240" w:lineRule="auto"/>
              <w:ind w:left="0"/>
              <w:jc w:val="center"/>
              <w:rPr>
                <w:rFonts w:ascii="Times New Roman" w:hAnsi="Times New Roman" w:cs="Times New Roman"/>
                <w:b w:val="0"/>
                <w:bCs/>
                <w:sz w:val="24"/>
              </w:rPr>
            </w:pPr>
            <w:r>
              <w:rPr>
                <w:rFonts w:ascii="Times New Roman" w:hAnsi="Times New Roman" w:cs="Times New Roman"/>
                <w:b w:val="0"/>
                <w:bCs/>
                <w:sz w:val="24"/>
              </w:rPr>
              <w:t>10.000</w:t>
            </w:r>
          </w:p>
        </w:tc>
      </w:tr>
    </w:tbl>
    <w:p w14:paraId="45D05E20" w14:textId="77777777" w:rsidR="00496804" w:rsidRDefault="00496804">
      <w:pPr>
        <w:spacing w:line="240" w:lineRule="auto"/>
        <w:rPr>
          <w:rFonts w:ascii="Times New Roman" w:hAnsi="Times New Roman"/>
          <w:sz w:val="24"/>
        </w:rPr>
      </w:pPr>
    </w:p>
    <w:p w14:paraId="45D05E21" w14:textId="77777777" w:rsidR="00496804" w:rsidRDefault="0037359D">
      <w:pPr>
        <w:spacing w:line="240" w:lineRule="auto"/>
        <w:jc w:val="left"/>
        <w:rPr>
          <w:rFonts w:ascii="Times New Roman" w:hAnsi="Times New Roman"/>
          <w:sz w:val="24"/>
        </w:rPr>
      </w:pPr>
      <w:r>
        <w:rPr>
          <w:rFonts w:ascii="Times New Roman" w:hAnsi="Times New Roman"/>
          <w:sz w:val="24"/>
        </w:rPr>
        <w:br w:type="page"/>
      </w:r>
    </w:p>
    <w:p w14:paraId="45D05E22" w14:textId="77777777" w:rsidR="00496804" w:rsidRDefault="0037359D">
      <w:pPr>
        <w:pStyle w:val="Naslov10"/>
        <w:spacing w:line="240" w:lineRule="auto"/>
        <w:ind w:left="426" w:hanging="426"/>
        <w:outlineLvl w:val="0"/>
        <w:rPr>
          <w:rFonts w:ascii="Times New Roman" w:hAnsi="Times New Roman" w:cs="Times New Roman"/>
          <w:sz w:val="24"/>
          <w:szCs w:val="24"/>
        </w:rPr>
      </w:pPr>
      <w:bookmarkStart w:id="168" w:name="_Toc31287522"/>
      <w:bookmarkStart w:id="169" w:name="_Toc31287673"/>
      <w:bookmarkStart w:id="170" w:name="_Toc31287825"/>
      <w:bookmarkStart w:id="171" w:name="_Toc31287977"/>
      <w:bookmarkStart w:id="172" w:name="_Toc31288129"/>
      <w:bookmarkStart w:id="173" w:name="_Toc31287523"/>
      <w:bookmarkStart w:id="174" w:name="_Toc31287674"/>
      <w:bookmarkStart w:id="175" w:name="_Toc31287826"/>
      <w:bookmarkStart w:id="176" w:name="_Toc31287978"/>
      <w:bookmarkStart w:id="177" w:name="_Toc31288130"/>
      <w:bookmarkStart w:id="178" w:name="_Toc31287524"/>
      <w:bookmarkStart w:id="179" w:name="_Toc31287675"/>
      <w:bookmarkStart w:id="180" w:name="_Toc31287827"/>
      <w:bookmarkStart w:id="181" w:name="_Toc31287979"/>
      <w:bookmarkStart w:id="182" w:name="_Toc31288131"/>
      <w:bookmarkStart w:id="183" w:name="_Toc31287525"/>
      <w:bookmarkStart w:id="184" w:name="_Toc31287676"/>
      <w:bookmarkStart w:id="185" w:name="_Toc31287828"/>
      <w:bookmarkStart w:id="186" w:name="_Toc31287980"/>
      <w:bookmarkStart w:id="187" w:name="_Toc31288132"/>
      <w:bookmarkStart w:id="188" w:name="_Toc31287526"/>
      <w:bookmarkStart w:id="189" w:name="_Toc31287677"/>
      <w:bookmarkStart w:id="190" w:name="_Toc31287829"/>
      <w:bookmarkStart w:id="191" w:name="_Toc31287981"/>
      <w:bookmarkStart w:id="192" w:name="_Toc31288133"/>
      <w:bookmarkStart w:id="193" w:name="_Toc31287527"/>
      <w:bookmarkStart w:id="194" w:name="_Toc31287678"/>
      <w:bookmarkStart w:id="195" w:name="_Toc31287830"/>
      <w:bookmarkStart w:id="196" w:name="_Toc31287982"/>
      <w:bookmarkStart w:id="197" w:name="_Toc31288134"/>
      <w:bookmarkStart w:id="198" w:name="_Toc31287528"/>
      <w:bookmarkStart w:id="199" w:name="_Toc31287679"/>
      <w:bookmarkStart w:id="200" w:name="_Toc31287831"/>
      <w:bookmarkStart w:id="201" w:name="_Toc31287983"/>
      <w:bookmarkStart w:id="202" w:name="_Toc31288135"/>
      <w:bookmarkStart w:id="203" w:name="_Toc31287529"/>
      <w:bookmarkStart w:id="204" w:name="_Toc31287680"/>
      <w:bookmarkStart w:id="205" w:name="_Toc31287832"/>
      <w:bookmarkStart w:id="206" w:name="_Toc31287984"/>
      <w:bookmarkStart w:id="207" w:name="_Toc31288136"/>
      <w:bookmarkStart w:id="208" w:name="_Toc31287530"/>
      <w:bookmarkStart w:id="209" w:name="_Toc31287681"/>
      <w:bookmarkStart w:id="210" w:name="_Toc31287833"/>
      <w:bookmarkStart w:id="211" w:name="_Toc31287985"/>
      <w:bookmarkStart w:id="212" w:name="_Toc31288137"/>
      <w:bookmarkStart w:id="213" w:name="_Toc31287538"/>
      <w:bookmarkStart w:id="214" w:name="_Toc31287689"/>
      <w:bookmarkStart w:id="215" w:name="_Toc31287841"/>
      <w:bookmarkStart w:id="216" w:name="_Toc31287993"/>
      <w:bookmarkStart w:id="217" w:name="_Toc31288145"/>
      <w:bookmarkStart w:id="218" w:name="_Toc51851655"/>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Pr>
          <w:rFonts w:ascii="Times New Roman" w:hAnsi="Times New Roman" w:cs="Times New Roman"/>
          <w:sz w:val="24"/>
          <w:szCs w:val="24"/>
        </w:rPr>
        <w:lastRenderedPageBreak/>
        <w:t>RAZVOJNE MJERE</w:t>
      </w:r>
      <w:bookmarkEnd w:id="218"/>
    </w:p>
    <w:p w14:paraId="45D05E23" w14:textId="77777777" w:rsidR="00496804" w:rsidRDefault="00496804">
      <w:pPr>
        <w:pStyle w:val="tekst"/>
        <w:spacing w:line="240" w:lineRule="auto"/>
        <w:rPr>
          <w:rFonts w:ascii="Times New Roman" w:hAnsi="Times New Roman" w:cs="Times New Roman"/>
          <w:b/>
          <w:bCs/>
          <w:sz w:val="24"/>
          <w:szCs w:val="24"/>
        </w:rPr>
      </w:pPr>
    </w:p>
    <w:p w14:paraId="45D05E24" w14:textId="77777777" w:rsidR="00496804" w:rsidRDefault="0037359D">
      <w:pPr>
        <w:shd w:val="clear" w:color="auto" w:fill="FFCCA6" w:themeFill="accent5" w:themeFillTint="66"/>
        <w:spacing w:line="240" w:lineRule="auto"/>
        <w:ind w:left="1985" w:hanging="1985"/>
        <w:rPr>
          <w:rFonts w:ascii="Times New Roman" w:hAnsi="Times New Roman"/>
          <w:b/>
          <w:bCs/>
          <w:sz w:val="24"/>
        </w:rPr>
      </w:pPr>
      <w:r>
        <w:rPr>
          <w:rFonts w:ascii="Times New Roman" w:hAnsi="Times New Roman"/>
          <w:b/>
          <w:bCs/>
          <w:sz w:val="24"/>
          <w:lang w:eastAsia="hr-HR"/>
        </w:rPr>
        <w:t>POSEBNI CILJ 1.</w:t>
      </w:r>
      <w:r>
        <w:rPr>
          <w:rFonts w:ascii="Times New Roman" w:hAnsi="Times New Roman"/>
          <w:b/>
          <w:bCs/>
          <w:sz w:val="24"/>
          <w:lang w:eastAsia="hr-HR"/>
        </w:rPr>
        <w:tab/>
        <w:t>RAZVOJ SUSTAVA KRUŽNOG GOSPODARENJA PROSTOROM I ZGRADAMA</w:t>
      </w:r>
    </w:p>
    <w:p w14:paraId="45D05E25" w14:textId="77777777" w:rsidR="00496804" w:rsidRDefault="00496804">
      <w:pPr>
        <w:pStyle w:val="tekst"/>
        <w:spacing w:line="240" w:lineRule="auto"/>
        <w:rPr>
          <w:rFonts w:ascii="Times New Roman" w:hAnsi="Times New Roman" w:cs="Times New Roman"/>
          <w:b/>
          <w:bCs/>
          <w:sz w:val="24"/>
          <w:szCs w:val="24"/>
        </w:rPr>
      </w:pPr>
    </w:p>
    <w:p w14:paraId="45D05E26" w14:textId="77777777" w:rsidR="00496804" w:rsidRDefault="0037359D">
      <w:pPr>
        <w:pStyle w:val="tekst"/>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MJERA 1.1. </w:t>
      </w:r>
    </w:p>
    <w:p w14:paraId="45D05E27" w14:textId="77777777" w:rsidR="00496804" w:rsidRDefault="0037359D">
      <w:pPr>
        <w:pStyle w:val="tekst"/>
        <w:pBdr>
          <w:bottom w:val="single" w:sz="4" w:space="1" w:color="auto"/>
        </w:pBdr>
        <w:spacing w:line="240" w:lineRule="auto"/>
        <w:rPr>
          <w:rFonts w:ascii="Times New Roman" w:hAnsi="Times New Roman" w:cs="Times New Roman"/>
          <w:b/>
          <w:bCs/>
          <w:sz w:val="24"/>
          <w:szCs w:val="24"/>
        </w:rPr>
      </w:pPr>
      <w:r>
        <w:rPr>
          <w:rFonts w:ascii="Times New Roman" w:hAnsi="Times New Roman" w:cs="Times New Roman"/>
          <w:b/>
          <w:bCs/>
          <w:sz w:val="24"/>
          <w:szCs w:val="24"/>
        </w:rPr>
        <w:t>Evidentiranje podataka kružnog gospodarenja prostorom i zgradama u RH</w:t>
      </w:r>
    </w:p>
    <w:p w14:paraId="45D05E28" w14:textId="77777777" w:rsidR="00496804" w:rsidRDefault="00496804">
      <w:pPr>
        <w:pStyle w:val="tekst"/>
        <w:spacing w:line="240" w:lineRule="auto"/>
        <w:rPr>
          <w:rFonts w:ascii="Times New Roman" w:hAnsi="Times New Roman" w:cs="Times New Roman"/>
          <w:sz w:val="24"/>
          <w:szCs w:val="24"/>
        </w:rPr>
      </w:pPr>
    </w:p>
    <w:p w14:paraId="45D05E29" w14:textId="77777777" w:rsidR="00496804" w:rsidRDefault="0037359D">
      <w:pPr>
        <w:pStyle w:val="tekst"/>
        <w:spacing w:line="240" w:lineRule="auto"/>
        <w:rPr>
          <w:rFonts w:ascii="Times New Roman" w:hAnsi="Times New Roman"/>
          <w:sz w:val="24"/>
        </w:rPr>
      </w:pPr>
      <w:r>
        <w:rPr>
          <w:rFonts w:ascii="Times New Roman" w:hAnsi="Times New Roman"/>
          <w:sz w:val="24"/>
        </w:rPr>
        <w:t>Kako bi se mogli izraditi strateški i planski dokumenti, potrebno je utvrditi početno stanje kružnog gospodarenja prostorom i zgradama u gradovima i općinama u RH. Potrebno je utvrditi početno stanje kružnog gospodarenja prostorom i zgradama temeljem čega će se odrediti modeli planiranja, projektiranja, gradnje, održavanja, rekonstrukcije, obnove prostora i zgrada kod kojih se primjenjuje model kružnog gospodarenja. Izazov predstavlja nedostupnost svih potrebnih podataka s obzirom na to da trenutno ne postoje potpuni i relevantni brojčani i/ili grafički podaci na području RH. Dobiveni podaci će poslužiti za izradu zajedničke metodologije i smjernica za kružno gospodarenje prostorom i zgradama te ujedno za izradu baze podataka i uspostavu računalnog rješenja za praćenje stanja, bilo nadogradnjom Registra brownfield područja potrebnim funkcionalnostima i/ili izradom novog modula unutar ISPU.</w:t>
      </w:r>
    </w:p>
    <w:p w14:paraId="45D05E2A" w14:textId="77777777" w:rsidR="00496804" w:rsidRDefault="00496804">
      <w:pPr>
        <w:tabs>
          <w:tab w:val="left" w:pos="426"/>
        </w:tabs>
        <w:spacing w:line="240" w:lineRule="auto"/>
        <w:ind w:left="709" w:hanging="709"/>
        <w:rPr>
          <w:rFonts w:ascii="Times New Roman" w:hAnsi="Times New Roman"/>
          <w:sz w:val="24"/>
        </w:rPr>
      </w:pPr>
    </w:p>
    <w:p w14:paraId="45D05E2B" w14:textId="77777777" w:rsidR="00496804" w:rsidRDefault="0037359D">
      <w:pPr>
        <w:pStyle w:val="tekst"/>
        <w:spacing w:line="240" w:lineRule="auto"/>
        <w:rPr>
          <w:rFonts w:ascii="Times New Roman" w:hAnsi="Times New Roman" w:cs="Times New Roman"/>
          <w:b/>
          <w:bCs/>
          <w:sz w:val="24"/>
          <w:szCs w:val="24"/>
        </w:rPr>
      </w:pPr>
      <w:r>
        <w:rPr>
          <w:rFonts w:ascii="Times New Roman" w:hAnsi="Times New Roman" w:cs="Times New Roman"/>
          <w:b/>
          <w:bCs/>
          <w:sz w:val="24"/>
          <w:szCs w:val="24"/>
        </w:rPr>
        <w:t>Aktivnosti:</w:t>
      </w:r>
    </w:p>
    <w:p w14:paraId="45D05E2C" w14:textId="77777777" w:rsidR="00496804" w:rsidRDefault="0037359D">
      <w:pPr>
        <w:pStyle w:val="Odlomakpopisa"/>
        <w:numPr>
          <w:ilvl w:val="2"/>
          <w:numId w:val="24"/>
        </w:numPr>
        <w:spacing w:line="240" w:lineRule="auto"/>
        <w:ind w:left="709" w:hanging="709"/>
        <w:rPr>
          <w:rFonts w:ascii="Times New Roman" w:hAnsi="Times New Roman"/>
          <w:b w:val="0"/>
          <w:bCs/>
          <w:sz w:val="24"/>
        </w:rPr>
      </w:pPr>
      <w:r>
        <w:rPr>
          <w:rFonts w:ascii="Times New Roman" w:hAnsi="Times New Roman"/>
          <w:b w:val="0"/>
          <w:bCs/>
          <w:sz w:val="24"/>
        </w:rPr>
        <w:t>Izrada projektnog zadatka za izradu analize postojećeg stanja nekorištenih prostora i zgrada u RH</w:t>
      </w:r>
    </w:p>
    <w:p w14:paraId="45D05E2D" w14:textId="77777777" w:rsidR="00496804" w:rsidRDefault="0037359D">
      <w:pPr>
        <w:pStyle w:val="Odlomakpopisa"/>
        <w:numPr>
          <w:ilvl w:val="2"/>
          <w:numId w:val="24"/>
        </w:numPr>
        <w:spacing w:line="240" w:lineRule="auto"/>
        <w:ind w:left="709" w:hanging="709"/>
        <w:rPr>
          <w:rFonts w:ascii="Times New Roman" w:hAnsi="Times New Roman"/>
          <w:b w:val="0"/>
          <w:bCs/>
          <w:sz w:val="24"/>
        </w:rPr>
      </w:pPr>
      <w:r>
        <w:rPr>
          <w:rFonts w:ascii="Times New Roman" w:hAnsi="Times New Roman"/>
          <w:b w:val="0"/>
          <w:bCs/>
          <w:sz w:val="24"/>
        </w:rPr>
        <w:t>Izrada analize/studije postojećeg stanja nekorištenih prostora i zgrada u RH</w:t>
      </w:r>
    </w:p>
    <w:p w14:paraId="45D05E2E" w14:textId="77777777" w:rsidR="00496804" w:rsidRDefault="0037359D">
      <w:pPr>
        <w:pStyle w:val="Odlomakpopisa"/>
        <w:numPr>
          <w:ilvl w:val="2"/>
          <w:numId w:val="24"/>
        </w:numPr>
        <w:spacing w:line="240" w:lineRule="auto"/>
        <w:ind w:left="709" w:hanging="709"/>
        <w:rPr>
          <w:rFonts w:ascii="Times New Roman" w:hAnsi="Times New Roman"/>
          <w:b w:val="0"/>
          <w:bCs/>
          <w:sz w:val="24"/>
        </w:rPr>
      </w:pPr>
      <w:r>
        <w:rPr>
          <w:rFonts w:ascii="Times New Roman" w:hAnsi="Times New Roman"/>
          <w:b w:val="0"/>
          <w:bCs/>
          <w:sz w:val="24"/>
        </w:rPr>
        <w:t xml:space="preserve">Stručni nadzor nad izradom analize/studije postojećeg stanja nekorištenih prostora i zgrada u RH </w:t>
      </w:r>
    </w:p>
    <w:p w14:paraId="45D05E2F" w14:textId="77777777" w:rsidR="00496804" w:rsidRDefault="0037359D">
      <w:pPr>
        <w:pStyle w:val="Odlomakpopisa"/>
        <w:numPr>
          <w:ilvl w:val="2"/>
          <w:numId w:val="24"/>
        </w:numPr>
        <w:spacing w:line="240" w:lineRule="auto"/>
        <w:ind w:left="709" w:hanging="709"/>
        <w:rPr>
          <w:rFonts w:ascii="Times New Roman" w:hAnsi="Times New Roman"/>
          <w:b w:val="0"/>
          <w:bCs/>
          <w:sz w:val="24"/>
        </w:rPr>
      </w:pPr>
      <w:r>
        <w:rPr>
          <w:rFonts w:ascii="Times New Roman" w:hAnsi="Times New Roman"/>
          <w:b w:val="0"/>
          <w:bCs/>
          <w:sz w:val="24"/>
        </w:rPr>
        <w:t xml:space="preserve">Izrada projektnog zadatka za izradu računalnog rješenja za mapiranje postojećeg stanja (evidentiranje postojećeg stanja nekorištenih prostora i zgrada) i praćenje razvoja kružnog gospodarenja prostorom i zgradama, kroz nadogradnju ISPU modula potrebnim funkcionalnostima (Registar brownfield područja) te prema potrebi izradu novog ISPU modula </w:t>
      </w:r>
    </w:p>
    <w:p w14:paraId="45D05E30" w14:textId="77777777" w:rsidR="00496804" w:rsidRDefault="0037359D">
      <w:pPr>
        <w:pStyle w:val="Odlomakpopisa"/>
        <w:numPr>
          <w:ilvl w:val="2"/>
          <w:numId w:val="24"/>
        </w:numPr>
        <w:spacing w:line="240" w:lineRule="auto"/>
        <w:ind w:left="709" w:hanging="709"/>
        <w:rPr>
          <w:rFonts w:ascii="Times New Roman" w:hAnsi="Times New Roman"/>
          <w:b w:val="0"/>
          <w:bCs/>
          <w:sz w:val="24"/>
        </w:rPr>
      </w:pPr>
      <w:r>
        <w:rPr>
          <w:rFonts w:ascii="Times New Roman" w:hAnsi="Times New Roman"/>
          <w:b w:val="0"/>
          <w:bCs/>
          <w:sz w:val="24"/>
        </w:rPr>
        <w:t>Izrada računalnog rješenja za mapiranje postojećeg stanja i praćenje razvoja kružnog gospodarenja prostorom i zgradama</w:t>
      </w:r>
    </w:p>
    <w:p w14:paraId="45D05E31" w14:textId="77777777" w:rsidR="00496804" w:rsidRDefault="0037359D">
      <w:pPr>
        <w:pStyle w:val="Odlomakpopisa"/>
        <w:numPr>
          <w:ilvl w:val="2"/>
          <w:numId w:val="24"/>
        </w:numPr>
        <w:spacing w:line="240" w:lineRule="auto"/>
        <w:ind w:left="709" w:hanging="709"/>
        <w:rPr>
          <w:rFonts w:ascii="Times New Roman" w:hAnsi="Times New Roman"/>
          <w:b w:val="0"/>
          <w:bCs/>
          <w:sz w:val="24"/>
        </w:rPr>
      </w:pPr>
      <w:r>
        <w:rPr>
          <w:rFonts w:ascii="Times New Roman" w:hAnsi="Times New Roman"/>
          <w:b w:val="0"/>
          <w:bCs/>
          <w:sz w:val="24"/>
        </w:rPr>
        <w:t>Stručni nadzor nad izradom računalnog rješenja za mapiranje postojećeg stanja i praćenje razvoja kružnog gospodarenja prostorom i zgradama</w:t>
      </w:r>
    </w:p>
    <w:p w14:paraId="45D05E32" w14:textId="77777777" w:rsidR="00496804" w:rsidRDefault="0037359D">
      <w:pPr>
        <w:pStyle w:val="Odlomakpopisa"/>
        <w:numPr>
          <w:ilvl w:val="2"/>
          <w:numId w:val="24"/>
        </w:numPr>
        <w:spacing w:line="240" w:lineRule="auto"/>
        <w:ind w:left="709" w:hanging="709"/>
        <w:rPr>
          <w:rFonts w:ascii="Times New Roman" w:hAnsi="Times New Roman"/>
          <w:b w:val="0"/>
          <w:bCs/>
          <w:sz w:val="24"/>
        </w:rPr>
      </w:pPr>
      <w:r>
        <w:rPr>
          <w:rFonts w:ascii="Times New Roman" w:hAnsi="Times New Roman"/>
          <w:b w:val="0"/>
          <w:bCs/>
          <w:sz w:val="24"/>
        </w:rPr>
        <w:t xml:space="preserve">Definiranje obveznika unosa, njihovih uloga i edukacija djelatnika zaduženih za unošenje podataka o kružnom gospodarenju prostorom i zgradama u ISPU </w:t>
      </w:r>
    </w:p>
    <w:p w14:paraId="45D05E33" w14:textId="77777777" w:rsidR="00496804" w:rsidRDefault="0037359D">
      <w:pPr>
        <w:pStyle w:val="Odlomakpopisa"/>
        <w:numPr>
          <w:ilvl w:val="2"/>
          <w:numId w:val="24"/>
        </w:numPr>
        <w:spacing w:line="240" w:lineRule="auto"/>
        <w:ind w:left="709" w:hanging="709"/>
        <w:rPr>
          <w:rFonts w:ascii="Times New Roman" w:hAnsi="Times New Roman"/>
          <w:b w:val="0"/>
          <w:bCs/>
          <w:sz w:val="24"/>
        </w:rPr>
      </w:pPr>
      <w:r>
        <w:rPr>
          <w:rFonts w:ascii="Times New Roman" w:hAnsi="Times New Roman"/>
          <w:b w:val="0"/>
          <w:bCs/>
          <w:sz w:val="24"/>
        </w:rPr>
        <w:t xml:space="preserve">Izrada projektnog zadatka za izradu i popunjavanje baze podataka (evidentiranje i mapiranje) kružnog gospodarenja prostorom i zgradama </w:t>
      </w:r>
    </w:p>
    <w:p w14:paraId="45D05E34" w14:textId="77777777" w:rsidR="00496804" w:rsidRDefault="0037359D">
      <w:pPr>
        <w:pStyle w:val="Odlomakpopisa"/>
        <w:numPr>
          <w:ilvl w:val="2"/>
          <w:numId w:val="24"/>
        </w:numPr>
        <w:spacing w:line="240" w:lineRule="auto"/>
        <w:ind w:left="709" w:hanging="709"/>
        <w:rPr>
          <w:rFonts w:ascii="Times New Roman" w:hAnsi="Times New Roman"/>
          <w:b w:val="0"/>
          <w:bCs/>
          <w:sz w:val="24"/>
        </w:rPr>
      </w:pPr>
      <w:r>
        <w:rPr>
          <w:rFonts w:ascii="Times New Roman" w:hAnsi="Times New Roman"/>
          <w:b w:val="0"/>
          <w:bCs/>
          <w:sz w:val="24"/>
        </w:rPr>
        <w:t>Izrada i popunjavanje baze podataka (evidentiranje i mapiranje) kružnog gospodarenja prostorom i zgradama – utvrđivanje postojećeg stanja i praćenje razvoja kružnog gospodarenja prostorom i zgradama</w:t>
      </w:r>
    </w:p>
    <w:p w14:paraId="45D05E35" w14:textId="77777777" w:rsidR="00496804" w:rsidRDefault="00496804">
      <w:pPr>
        <w:spacing w:line="240" w:lineRule="auto"/>
        <w:jc w:val="left"/>
        <w:rPr>
          <w:rFonts w:ascii="Times New Roman" w:hAnsi="Times New Roman"/>
          <w:sz w:val="24"/>
          <w:lang w:eastAsia="hr-HR"/>
        </w:rPr>
      </w:pPr>
    </w:p>
    <w:p w14:paraId="45D05E36" w14:textId="77777777" w:rsidR="00496804" w:rsidRDefault="00496804">
      <w:pPr>
        <w:pStyle w:val="tekst"/>
        <w:spacing w:line="240" w:lineRule="auto"/>
        <w:rPr>
          <w:rFonts w:ascii="Times New Roman" w:hAnsi="Times New Roman" w:cs="Times New Roman"/>
          <w:sz w:val="24"/>
          <w:szCs w:val="24"/>
        </w:rPr>
      </w:pPr>
    </w:p>
    <w:p w14:paraId="45D05E37" w14:textId="77777777" w:rsidR="00496804" w:rsidRDefault="0037359D">
      <w:pPr>
        <w:spacing w:line="240" w:lineRule="auto"/>
        <w:rPr>
          <w:rFonts w:ascii="Times New Roman" w:hAnsi="Times New Roman"/>
          <w:sz w:val="24"/>
        </w:rPr>
      </w:pPr>
      <w:r>
        <w:rPr>
          <w:rFonts w:ascii="Times New Roman" w:hAnsi="Times New Roman"/>
          <w:i/>
          <w:iCs/>
          <w:sz w:val="24"/>
        </w:rPr>
        <w:t>Tablica 16. Prikaz pokazatelja rezultata provedbe mjere 1.1.</w:t>
      </w:r>
    </w:p>
    <w:tbl>
      <w:tblPr>
        <w:tblStyle w:val="Reetkatablice13"/>
        <w:tblW w:w="0" w:type="auto"/>
        <w:tblLook w:val="04A0" w:firstRow="1" w:lastRow="0" w:firstColumn="1" w:lastColumn="0" w:noHBand="0" w:noVBand="1"/>
      </w:tblPr>
      <w:tblGrid>
        <w:gridCol w:w="4520"/>
        <w:gridCol w:w="1414"/>
        <w:gridCol w:w="1702"/>
        <w:gridCol w:w="1986"/>
      </w:tblGrid>
      <w:tr w:rsidR="00496804" w14:paraId="45D05E3C" w14:textId="77777777">
        <w:tc>
          <w:tcPr>
            <w:tcW w:w="4520" w:type="dxa"/>
            <w:shd w:val="clear" w:color="auto" w:fill="FFCCA6" w:themeFill="accent5" w:themeFillTint="66"/>
          </w:tcPr>
          <w:p w14:paraId="45D05E38" w14:textId="77777777" w:rsidR="00496804" w:rsidRDefault="0037359D">
            <w:pPr>
              <w:tabs>
                <w:tab w:val="left" w:pos="426"/>
              </w:tabs>
              <w:spacing w:before="240" w:after="200" w:line="240" w:lineRule="auto"/>
              <w:rPr>
                <w:rFonts w:ascii="Times New Roman" w:eastAsia="Calibri" w:hAnsi="Times New Roman"/>
                <w:b/>
                <w:bCs/>
                <w:sz w:val="24"/>
                <w:lang w:eastAsia="en-US"/>
              </w:rPr>
            </w:pPr>
            <w:bookmarkStart w:id="219" w:name="_Hlk36712088"/>
            <w:r>
              <w:rPr>
                <w:rFonts w:ascii="Times New Roman" w:eastAsia="Calibri" w:hAnsi="Times New Roman"/>
                <w:b/>
                <w:bCs/>
                <w:sz w:val="24"/>
                <w:lang w:eastAsia="en-US"/>
              </w:rPr>
              <w:t>Pokazatelj rezultata provedbe mjere</w:t>
            </w:r>
          </w:p>
        </w:tc>
        <w:tc>
          <w:tcPr>
            <w:tcW w:w="1414" w:type="dxa"/>
            <w:shd w:val="clear" w:color="auto" w:fill="FFCCA6" w:themeFill="accent5" w:themeFillTint="66"/>
          </w:tcPr>
          <w:p w14:paraId="45D05E39"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Mjerna jedinica</w:t>
            </w:r>
          </w:p>
        </w:tc>
        <w:tc>
          <w:tcPr>
            <w:tcW w:w="1702" w:type="dxa"/>
            <w:shd w:val="clear" w:color="auto" w:fill="FFCCA6" w:themeFill="accent5" w:themeFillTint="66"/>
          </w:tcPr>
          <w:p w14:paraId="45D05E3A"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Početna vrijednost</w:t>
            </w:r>
          </w:p>
        </w:tc>
        <w:tc>
          <w:tcPr>
            <w:tcW w:w="1986" w:type="dxa"/>
            <w:shd w:val="clear" w:color="auto" w:fill="FFCCA6" w:themeFill="accent5" w:themeFillTint="66"/>
          </w:tcPr>
          <w:p w14:paraId="45D05E3B"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Ciljana vrijednost 2030.</w:t>
            </w:r>
          </w:p>
        </w:tc>
      </w:tr>
      <w:tr w:rsidR="00496804" w14:paraId="45D05E41" w14:textId="77777777">
        <w:tc>
          <w:tcPr>
            <w:tcW w:w="4520" w:type="dxa"/>
            <w:vAlign w:val="center"/>
          </w:tcPr>
          <w:p w14:paraId="45D05E3D" w14:textId="77777777" w:rsidR="00496804" w:rsidRDefault="0037359D">
            <w:pPr>
              <w:tabs>
                <w:tab w:val="left" w:pos="426"/>
              </w:tabs>
              <w:spacing w:before="120" w:after="120" w:line="240" w:lineRule="auto"/>
              <w:jc w:val="left"/>
              <w:rPr>
                <w:rFonts w:ascii="Times New Roman" w:eastAsia="Calibri" w:hAnsi="Times New Roman"/>
                <w:sz w:val="24"/>
                <w:lang w:eastAsia="en-US"/>
              </w:rPr>
            </w:pPr>
            <w:r>
              <w:rPr>
                <w:rFonts w:ascii="Times New Roman" w:eastAsia="Calibri" w:hAnsi="Times New Roman"/>
                <w:sz w:val="24"/>
                <w:lang w:eastAsia="en-US"/>
              </w:rPr>
              <w:t>Izrađena nacionalna baza podataka kružnog gospodarenja prostorom i zgradama u RH</w:t>
            </w:r>
          </w:p>
        </w:tc>
        <w:tc>
          <w:tcPr>
            <w:tcW w:w="1414" w:type="dxa"/>
            <w:vAlign w:val="center"/>
          </w:tcPr>
          <w:p w14:paraId="45D05E3E"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broj</w:t>
            </w:r>
          </w:p>
        </w:tc>
        <w:tc>
          <w:tcPr>
            <w:tcW w:w="1702" w:type="dxa"/>
          </w:tcPr>
          <w:p w14:paraId="45D05E3F"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0</w:t>
            </w:r>
          </w:p>
        </w:tc>
        <w:tc>
          <w:tcPr>
            <w:tcW w:w="1986" w:type="dxa"/>
            <w:vAlign w:val="center"/>
          </w:tcPr>
          <w:p w14:paraId="45D05E40"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1</w:t>
            </w:r>
          </w:p>
        </w:tc>
      </w:tr>
      <w:bookmarkEnd w:id="219"/>
    </w:tbl>
    <w:p w14:paraId="45D05E42" w14:textId="77777777" w:rsidR="00496804" w:rsidRDefault="00496804">
      <w:pPr>
        <w:pStyle w:val="tekst"/>
        <w:spacing w:line="240" w:lineRule="auto"/>
        <w:rPr>
          <w:rFonts w:ascii="Times New Roman" w:hAnsi="Times New Roman" w:cs="Times New Roman"/>
          <w:b/>
          <w:bCs/>
          <w:sz w:val="24"/>
          <w:szCs w:val="24"/>
        </w:rPr>
      </w:pPr>
    </w:p>
    <w:p w14:paraId="45D05E43" w14:textId="77777777" w:rsidR="00496804" w:rsidRDefault="0037359D">
      <w:pPr>
        <w:pStyle w:val="tekst"/>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MJERA 1.2. </w:t>
      </w:r>
    </w:p>
    <w:p w14:paraId="45D05E44" w14:textId="77777777" w:rsidR="00496804" w:rsidRDefault="0037359D">
      <w:pPr>
        <w:pStyle w:val="tekst"/>
        <w:pBdr>
          <w:bottom w:val="single" w:sz="4" w:space="1" w:color="auto"/>
        </w:pBdr>
        <w:spacing w:line="240" w:lineRule="auto"/>
        <w:rPr>
          <w:rFonts w:ascii="Times New Roman" w:hAnsi="Times New Roman" w:cs="Times New Roman"/>
          <w:b/>
          <w:bCs/>
          <w:sz w:val="24"/>
          <w:szCs w:val="24"/>
        </w:rPr>
      </w:pPr>
      <w:r>
        <w:rPr>
          <w:rFonts w:ascii="Times New Roman" w:hAnsi="Times New Roman" w:cs="Times New Roman"/>
          <w:b/>
          <w:bCs/>
          <w:sz w:val="24"/>
          <w:szCs w:val="24"/>
        </w:rPr>
        <w:t>Osiguranje preduvjeta za razvoj kružnog gospodarenja prostorom i zgradama</w:t>
      </w:r>
    </w:p>
    <w:p w14:paraId="45D05E45" w14:textId="77777777" w:rsidR="00496804" w:rsidRDefault="00496804">
      <w:pPr>
        <w:pStyle w:val="tekst"/>
        <w:spacing w:line="240" w:lineRule="auto"/>
        <w:rPr>
          <w:rFonts w:ascii="Times New Roman" w:hAnsi="Times New Roman" w:cs="Times New Roman"/>
          <w:sz w:val="24"/>
          <w:szCs w:val="24"/>
        </w:rPr>
      </w:pPr>
    </w:p>
    <w:p w14:paraId="45D05E46"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Kako bi se stvorili temeljni preduvjeti za razvoj kružnog gospodarenja prostorom i zgradama i potakla ulaganja na svim razinama, potrebno je utvrditi smjernice za planiranje prostora na načelima kružnog gospodarenja, smjernice za projektiranje, gradnju i održavanje zgrada na načelima kružnog gospodarenja te metodologiju i smjernice analize ugljičnog otiska zgrade. Mjera je usmjerena i na razvoj metodologije koja će poslužiti prilikom utvrđivanja potreba i mogućnosti kružne obnove nekorištenih prostora i zgrada i smjernica za kružnu obnovu. Pritom će se fokus staviti na utvrđivanje potreba i interesa lokalne zajednice, RH i privatnih investitora za revitalizaciju nekretnina u fazi definiranja mogućnosti revitalizacije.</w:t>
      </w:r>
    </w:p>
    <w:p w14:paraId="45D05E47" w14:textId="77777777" w:rsidR="00496804" w:rsidRDefault="00496804">
      <w:pPr>
        <w:pStyle w:val="tekst"/>
        <w:spacing w:line="240" w:lineRule="auto"/>
        <w:rPr>
          <w:rFonts w:ascii="Times New Roman" w:hAnsi="Times New Roman" w:cs="Times New Roman"/>
          <w:sz w:val="24"/>
          <w:szCs w:val="24"/>
        </w:rPr>
      </w:pPr>
    </w:p>
    <w:p w14:paraId="45D05E48" w14:textId="77777777" w:rsidR="00496804" w:rsidRDefault="0037359D">
      <w:pPr>
        <w:pStyle w:val="tekst"/>
        <w:spacing w:line="240" w:lineRule="auto"/>
        <w:rPr>
          <w:rFonts w:ascii="Times New Roman" w:hAnsi="Times New Roman" w:cs="Times New Roman"/>
          <w:b/>
          <w:bCs/>
          <w:sz w:val="24"/>
          <w:szCs w:val="24"/>
        </w:rPr>
      </w:pPr>
      <w:r>
        <w:rPr>
          <w:rFonts w:ascii="Times New Roman" w:hAnsi="Times New Roman" w:cs="Times New Roman"/>
          <w:b/>
          <w:bCs/>
          <w:sz w:val="24"/>
          <w:szCs w:val="24"/>
        </w:rPr>
        <w:t>Aktivnosti:</w:t>
      </w:r>
    </w:p>
    <w:p w14:paraId="45D05E49" w14:textId="77777777" w:rsidR="00496804" w:rsidRDefault="0037359D">
      <w:pPr>
        <w:pStyle w:val="Odlomakpopisa"/>
        <w:numPr>
          <w:ilvl w:val="2"/>
          <w:numId w:val="25"/>
        </w:numPr>
        <w:spacing w:line="240" w:lineRule="auto"/>
        <w:ind w:left="851" w:hanging="851"/>
        <w:rPr>
          <w:rFonts w:ascii="Times New Roman" w:hAnsi="Times New Roman"/>
          <w:b w:val="0"/>
          <w:bCs/>
          <w:sz w:val="24"/>
        </w:rPr>
      </w:pPr>
      <w:r>
        <w:rPr>
          <w:rFonts w:ascii="Times New Roman" w:hAnsi="Times New Roman"/>
          <w:b w:val="0"/>
          <w:bCs/>
          <w:sz w:val="24"/>
        </w:rPr>
        <w:t>Izrada projektnog zadatka za razvoj smjernica za planiranje prostora na načelima kružnog gospodarenja</w:t>
      </w:r>
    </w:p>
    <w:p w14:paraId="45D05E4A" w14:textId="77777777" w:rsidR="00496804" w:rsidRDefault="0037359D">
      <w:pPr>
        <w:pStyle w:val="Odlomakpopisa"/>
        <w:numPr>
          <w:ilvl w:val="2"/>
          <w:numId w:val="25"/>
        </w:numPr>
        <w:spacing w:line="240" w:lineRule="auto"/>
        <w:ind w:left="851" w:hanging="851"/>
        <w:rPr>
          <w:rFonts w:ascii="Times New Roman" w:hAnsi="Times New Roman"/>
          <w:b w:val="0"/>
          <w:bCs/>
          <w:sz w:val="24"/>
        </w:rPr>
      </w:pPr>
      <w:r>
        <w:rPr>
          <w:rFonts w:ascii="Times New Roman" w:hAnsi="Times New Roman"/>
          <w:b w:val="0"/>
          <w:bCs/>
          <w:sz w:val="24"/>
        </w:rPr>
        <w:t>Razvoj (izrada) smjernica za planiranje prostora na načelima kružnog gospodarenja</w:t>
      </w:r>
    </w:p>
    <w:p w14:paraId="45D05E4B" w14:textId="77777777" w:rsidR="00496804" w:rsidRDefault="0037359D">
      <w:pPr>
        <w:pStyle w:val="Odlomakpopisa"/>
        <w:numPr>
          <w:ilvl w:val="2"/>
          <w:numId w:val="25"/>
        </w:numPr>
        <w:spacing w:line="240" w:lineRule="auto"/>
        <w:ind w:left="851" w:hanging="851"/>
        <w:rPr>
          <w:rFonts w:ascii="Times New Roman" w:hAnsi="Times New Roman"/>
          <w:b w:val="0"/>
          <w:bCs/>
          <w:sz w:val="24"/>
        </w:rPr>
      </w:pPr>
      <w:r>
        <w:rPr>
          <w:rFonts w:ascii="Times New Roman" w:hAnsi="Times New Roman"/>
          <w:b w:val="0"/>
          <w:bCs/>
          <w:sz w:val="24"/>
        </w:rPr>
        <w:t>Stručni nadzor nad izradom smjernica za planiranje prostora na načelima kružnog gospodarenja</w:t>
      </w:r>
    </w:p>
    <w:p w14:paraId="45D05E4C" w14:textId="77777777" w:rsidR="00496804" w:rsidRDefault="0037359D">
      <w:pPr>
        <w:pStyle w:val="Odlomakpopisa"/>
        <w:numPr>
          <w:ilvl w:val="2"/>
          <w:numId w:val="25"/>
        </w:numPr>
        <w:spacing w:line="240" w:lineRule="auto"/>
        <w:ind w:left="851" w:hanging="851"/>
        <w:rPr>
          <w:rFonts w:ascii="Times New Roman" w:hAnsi="Times New Roman"/>
          <w:b w:val="0"/>
          <w:bCs/>
          <w:sz w:val="24"/>
        </w:rPr>
      </w:pPr>
      <w:r>
        <w:rPr>
          <w:rFonts w:ascii="Times New Roman" w:hAnsi="Times New Roman"/>
          <w:b w:val="0"/>
          <w:bCs/>
          <w:sz w:val="24"/>
        </w:rPr>
        <w:t>Izrada projektnog zadatka za razvoj smjernica za projektiranje, gradnju i održavanje zgrada na načelima kružnog gospodarenja</w:t>
      </w:r>
    </w:p>
    <w:p w14:paraId="45D05E4D" w14:textId="77777777" w:rsidR="00496804" w:rsidRDefault="0037359D">
      <w:pPr>
        <w:pStyle w:val="Odlomakpopisa"/>
        <w:numPr>
          <w:ilvl w:val="2"/>
          <w:numId w:val="25"/>
        </w:numPr>
        <w:spacing w:line="240" w:lineRule="auto"/>
        <w:ind w:left="851" w:hanging="851"/>
        <w:rPr>
          <w:rFonts w:ascii="Times New Roman" w:hAnsi="Times New Roman"/>
          <w:b w:val="0"/>
          <w:bCs/>
          <w:sz w:val="24"/>
        </w:rPr>
      </w:pPr>
      <w:r>
        <w:rPr>
          <w:rFonts w:ascii="Times New Roman" w:hAnsi="Times New Roman"/>
          <w:b w:val="0"/>
          <w:bCs/>
          <w:sz w:val="24"/>
        </w:rPr>
        <w:t>Razvoj (izrada) smjernica za projektiranje, gradnju i održavanje zgrada na načelima kružnog gospodarenja</w:t>
      </w:r>
    </w:p>
    <w:p w14:paraId="45D05E4E" w14:textId="77777777" w:rsidR="00496804" w:rsidRDefault="0037359D">
      <w:pPr>
        <w:pStyle w:val="Odlomakpopisa"/>
        <w:numPr>
          <w:ilvl w:val="2"/>
          <w:numId w:val="25"/>
        </w:numPr>
        <w:spacing w:line="240" w:lineRule="auto"/>
        <w:ind w:left="851" w:hanging="851"/>
        <w:rPr>
          <w:rFonts w:ascii="Times New Roman" w:hAnsi="Times New Roman"/>
          <w:b w:val="0"/>
          <w:bCs/>
          <w:sz w:val="24"/>
        </w:rPr>
      </w:pPr>
      <w:r>
        <w:rPr>
          <w:rFonts w:ascii="Times New Roman" w:hAnsi="Times New Roman"/>
          <w:b w:val="0"/>
          <w:bCs/>
          <w:sz w:val="24"/>
        </w:rPr>
        <w:t>Stručni nadzor nad izradom smjernica za projektiranje, gradnju i održavanje zgrada na načelima kružnog gospodarenja</w:t>
      </w:r>
    </w:p>
    <w:p w14:paraId="45D05E4F" w14:textId="77777777" w:rsidR="00496804" w:rsidRDefault="0037359D">
      <w:pPr>
        <w:pStyle w:val="Odlomakpopisa"/>
        <w:numPr>
          <w:ilvl w:val="2"/>
          <w:numId w:val="25"/>
        </w:numPr>
        <w:spacing w:line="240" w:lineRule="auto"/>
        <w:ind w:left="851" w:hanging="851"/>
        <w:rPr>
          <w:rFonts w:ascii="Times New Roman" w:hAnsi="Times New Roman"/>
          <w:b w:val="0"/>
          <w:bCs/>
          <w:sz w:val="24"/>
        </w:rPr>
      </w:pPr>
      <w:r>
        <w:rPr>
          <w:rFonts w:ascii="Times New Roman" w:hAnsi="Times New Roman"/>
          <w:b w:val="0"/>
          <w:bCs/>
          <w:sz w:val="24"/>
        </w:rPr>
        <w:t>Izrada projektnog zadatka za razvoj metodologije i smjernica kružne obnove različitih tipologija nekorištenih prostora i zgrada</w:t>
      </w:r>
    </w:p>
    <w:p w14:paraId="45D05E50" w14:textId="77777777" w:rsidR="00496804" w:rsidRDefault="0037359D">
      <w:pPr>
        <w:pStyle w:val="Odlomakpopisa"/>
        <w:numPr>
          <w:ilvl w:val="2"/>
          <w:numId w:val="25"/>
        </w:numPr>
        <w:spacing w:line="240" w:lineRule="auto"/>
        <w:ind w:left="851" w:hanging="851"/>
        <w:rPr>
          <w:rFonts w:ascii="Times New Roman" w:hAnsi="Times New Roman"/>
          <w:b w:val="0"/>
          <w:bCs/>
          <w:sz w:val="24"/>
        </w:rPr>
      </w:pPr>
      <w:r>
        <w:rPr>
          <w:rFonts w:ascii="Times New Roman" w:hAnsi="Times New Roman"/>
          <w:b w:val="0"/>
          <w:bCs/>
          <w:sz w:val="24"/>
        </w:rPr>
        <w:t>Razvoj (izrada) metodologije i smjernica kružne obnove različitih tipologija nekorištenih prostora i zgrada (npr. nekorištene zgrade, monofunkcionalne zone napuštenih prostora i zgrada, polifunkcionalne zone napuštenih prostora i zgrada)</w:t>
      </w:r>
    </w:p>
    <w:p w14:paraId="45D05E51" w14:textId="77777777" w:rsidR="00496804" w:rsidRDefault="0037359D">
      <w:pPr>
        <w:pStyle w:val="Odlomakpopisa"/>
        <w:numPr>
          <w:ilvl w:val="2"/>
          <w:numId w:val="25"/>
        </w:numPr>
        <w:spacing w:line="240" w:lineRule="auto"/>
        <w:ind w:left="851" w:hanging="851"/>
        <w:rPr>
          <w:rFonts w:ascii="Times New Roman" w:hAnsi="Times New Roman"/>
          <w:b w:val="0"/>
          <w:bCs/>
          <w:sz w:val="24"/>
        </w:rPr>
      </w:pPr>
      <w:r>
        <w:rPr>
          <w:rFonts w:ascii="Times New Roman" w:hAnsi="Times New Roman"/>
          <w:b w:val="0"/>
          <w:bCs/>
          <w:sz w:val="24"/>
        </w:rPr>
        <w:t>Stručni nadzor nad izradom metodologije i smjernica kružne obnove različitih tipologija nekorištenih prostora i zgrada</w:t>
      </w:r>
    </w:p>
    <w:p w14:paraId="45D05E52" w14:textId="77777777" w:rsidR="00496804" w:rsidRDefault="0037359D">
      <w:pPr>
        <w:pStyle w:val="Odlomakpopisa"/>
        <w:numPr>
          <w:ilvl w:val="2"/>
          <w:numId w:val="25"/>
        </w:numPr>
        <w:spacing w:line="240" w:lineRule="auto"/>
        <w:ind w:left="851" w:hanging="851"/>
        <w:rPr>
          <w:rFonts w:ascii="Times New Roman" w:hAnsi="Times New Roman"/>
          <w:b w:val="0"/>
          <w:bCs/>
          <w:sz w:val="24"/>
        </w:rPr>
      </w:pPr>
      <w:r>
        <w:rPr>
          <w:rFonts w:ascii="Times New Roman" w:hAnsi="Times New Roman"/>
          <w:b w:val="0"/>
          <w:bCs/>
          <w:sz w:val="24"/>
        </w:rPr>
        <w:t>Izrada projektnog zadatka za razvoj metodologije i smjernica analize ugljičnog otiska</w:t>
      </w:r>
    </w:p>
    <w:p w14:paraId="45D05E53" w14:textId="77777777" w:rsidR="00496804" w:rsidRDefault="0037359D">
      <w:pPr>
        <w:pStyle w:val="Odlomakpopisa"/>
        <w:numPr>
          <w:ilvl w:val="2"/>
          <w:numId w:val="25"/>
        </w:numPr>
        <w:spacing w:line="240" w:lineRule="auto"/>
        <w:ind w:left="851" w:hanging="851"/>
        <w:rPr>
          <w:rFonts w:ascii="Times New Roman" w:hAnsi="Times New Roman"/>
          <w:b w:val="0"/>
          <w:bCs/>
          <w:sz w:val="24"/>
        </w:rPr>
      </w:pPr>
      <w:r>
        <w:rPr>
          <w:rFonts w:ascii="Times New Roman" w:hAnsi="Times New Roman"/>
          <w:b w:val="0"/>
          <w:bCs/>
          <w:sz w:val="24"/>
        </w:rPr>
        <w:t>Razvoj (izrada) metodologije i smjernica analize ugljičnog otiska</w:t>
      </w:r>
    </w:p>
    <w:p w14:paraId="45D05E54" w14:textId="77777777" w:rsidR="00496804" w:rsidRDefault="0037359D">
      <w:pPr>
        <w:pStyle w:val="Odlomakpopisa"/>
        <w:numPr>
          <w:ilvl w:val="2"/>
          <w:numId w:val="25"/>
        </w:numPr>
        <w:spacing w:line="240" w:lineRule="auto"/>
        <w:ind w:left="851" w:hanging="851"/>
        <w:rPr>
          <w:rFonts w:ascii="Times New Roman" w:hAnsi="Times New Roman"/>
          <w:b w:val="0"/>
          <w:bCs/>
          <w:sz w:val="24"/>
        </w:rPr>
      </w:pPr>
      <w:r>
        <w:rPr>
          <w:rFonts w:ascii="Times New Roman" w:hAnsi="Times New Roman"/>
          <w:b w:val="0"/>
          <w:bCs/>
          <w:sz w:val="24"/>
        </w:rPr>
        <w:t>Stručni nadzor na izradom metodologije i smjernica analize ugljičnog otiska</w:t>
      </w:r>
    </w:p>
    <w:p w14:paraId="45D05E55" w14:textId="77777777" w:rsidR="00496804" w:rsidRDefault="00496804">
      <w:pPr>
        <w:spacing w:line="240" w:lineRule="auto"/>
        <w:rPr>
          <w:rFonts w:ascii="Times New Roman" w:hAnsi="Times New Roman"/>
          <w:bCs/>
          <w:sz w:val="24"/>
        </w:rPr>
      </w:pPr>
    </w:p>
    <w:p w14:paraId="45D05E56" w14:textId="77777777" w:rsidR="00496804" w:rsidRDefault="0037359D">
      <w:pPr>
        <w:spacing w:line="240" w:lineRule="auto"/>
        <w:rPr>
          <w:rFonts w:ascii="Times New Roman" w:hAnsi="Times New Roman"/>
          <w:sz w:val="24"/>
        </w:rPr>
      </w:pPr>
      <w:r>
        <w:rPr>
          <w:rFonts w:ascii="Times New Roman" w:hAnsi="Times New Roman"/>
          <w:i/>
          <w:iCs/>
          <w:sz w:val="24"/>
        </w:rPr>
        <w:t>Tablica 17. Prikaz pokazatelja rezultata provedbe mjere 1.2.</w:t>
      </w:r>
    </w:p>
    <w:tbl>
      <w:tblPr>
        <w:tblStyle w:val="Reetkatablice14"/>
        <w:tblW w:w="0" w:type="auto"/>
        <w:tblLook w:val="04A0" w:firstRow="1" w:lastRow="0" w:firstColumn="1" w:lastColumn="0" w:noHBand="0" w:noVBand="1"/>
      </w:tblPr>
      <w:tblGrid>
        <w:gridCol w:w="4520"/>
        <w:gridCol w:w="1414"/>
        <w:gridCol w:w="1702"/>
        <w:gridCol w:w="1986"/>
      </w:tblGrid>
      <w:tr w:rsidR="00496804" w14:paraId="45D05E5B" w14:textId="77777777">
        <w:tc>
          <w:tcPr>
            <w:tcW w:w="4520" w:type="dxa"/>
            <w:shd w:val="clear" w:color="auto" w:fill="FFCCA6" w:themeFill="accent5" w:themeFillTint="66"/>
          </w:tcPr>
          <w:p w14:paraId="45D05E57" w14:textId="77777777" w:rsidR="00496804" w:rsidRDefault="0037359D">
            <w:pPr>
              <w:tabs>
                <w:tab w:val="left" w:pos="426"/>
              </w:tabs>
              <w:spacing w:before="240" w:after="200" w:line="240" w:lineRule="auto"/>
              <w:rPr>
                <w:rFonts w:ascii="Times New Roman" w:eastAsia="Calibri" w:hAnsi="Times New Roman"/>
                <w:b/>
                <w:bCs/>
                <w:sz w:val="24"/>
                <w:lang w:eastAsia="en-US"/>
              </w:rPr>
            </w:pPr>
            <w:r>
              <w:rPr>
                <w:rFonts w:ascii="Times New Roman" w:eastAsia="Calibri" w:hAnsi="Times New Roman"/>
                <w:b/>
                <w:bCs/>
                <w:sz w:val="24"/>
                <w:lang w:eastAsia="en-US"/>
              </w:rPr>
              <w:t>Pokazatelj rezultata provedbe mjere</w:t>
            </w:r>
          </w:p>
        </w:tc>
        <w:tc>
          <w:tcPr>
            <w:tcW w:w="1414" w:type="dxa"/>
            <w:shd w:val="clear" w:color="auto" w:fill="FFCCA6" w:themeFill="accent5" w:themeFillTint="66"/>
            <w:vAlign w:val="center"/>
          </w:tcPr>
          <w:p w14:paraId="45D05E58"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Mjerna jedinica</w:t>
            </w:r>
          </w:p>
        </w:tc>
        <w:tc>
          <w:tcPr>
            <w:tcW w:w="1702" w:type="dxa"/>
            <w:shd w:val="clear" w:color="auto" w:fill="FFCCA6" w:themeFill="accent5" w:themeFillTint="66"/>
            <w:vAlign w:val="center"/>
          </w:tcPr>
          <w:p w14:paraId="45D05E59"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Početna vrijednost</w:t>
            </w:r>
          </w:p>
        </w:tc>
        <w:tc>
          <w:tcPr>
            <w:tcW w:w="1986" w:type="dxa"/>
            <w:shd w:val="clear" w:color="auto" w:fill="FFCCA6" w:themeFill="accent5" w:themeFillTint="66"/>
            <w:vAlign w:val="center"/>
          </w:tcPr>
          <w:p w14:paraId="45D05E5A"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Ciljana vrijednost 2030.</w:t>
            </w:r>
          </w:p>
        </w:tc>
      </w:tr>
      <w:tr w:rsidR="00496804" w14:paraId="45D05E60" w14:textId="77777777">
        <w:tc>
          <w:tcPr>
            <w:tcW w:w="4520" w:type="dxa"/>
            <w:vAlign w:val="center"/>
          </w:tcPr>
          <w:p w14:paraId="45D05E5C" w14:textId="77777777" w:rsidR="00496804" w:rsidRDefault="0037359D">
            <w:pPr>
              <w:spacing w:before="120" w:after="120" w:line="240" w:lineRule="auto"/>
              <w:jc w:val="left"/>
              <w:rPr>
                <w:rFonts w:ascii="Times New Roman" w:eastAsia="Calibri" w:hAnsi="Times New Roman"/>
                <w:strike/>
                <w:sz w:val="24"/>
                <w:lang w:eastAsia="en-US"/>
              </w:rPr>
            </w:pPr>
            <w:r>
              <w:rPr>
                <w:rFonts w:ascii="Times New Roman" w:eastAsia="Calibri" w:hAnsi="Times New Roman"/>
                <w:sz w:val="24"/>
                <w:lang w:eastAsia="en-US"/>
              </w:rPr>
              <w:t>Izrađeni dokumenti kojima se definiraju metodologije i smjernice za razvoj kružnog gospodarenja prostorom i zgradama</w:t>
            </w:r>
          </w:p>
        </w:tc>
        <w:tc>
          <w:tcPr>
            <w:tcW w:w="1414" w:type="dxa"/>
            <w:vAlign w:val="center"/>
          </w:tcPr>
          <w:p w14:paraId="45D05E5D"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broj</w:t>
            </w:r>
          </w:p>
        </w:tc>
        <w:tc>
          <w:tcPr>
            <w:tcW w:w="1702" w:type="dxa"/>
            <w:vAlign w:val="center"/>
          </w:tcPr>
          <w:p w14:paraId="45D05E5E" w14:textId="77777777" w:rsidR="00496804" w:rsidRDefault="0037359D">
            <w:pPr>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0</w:t>
            </w:r>
          </w:p>
        </w:tc>
        <w:tc>
          <w:tcPr>
            <w:tcW w:w="1986" w:type="dxa"/>
            <w:vAlign w:val="center"/>
          </w:tcPr>
          <w:p w14:paraId="45D05E5F" w14:textId="77777777" w:rsidR="00496804" w:rsidRDefault="0037359D">
            <w:pPr>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4</w:t>
            </w:r>
          </w:p>
        </w:tc>
      </w:tr>
    </w:tbl>
    <w:p w14:paraId="45D05E61" w14:textId="77777777" w:rsidR="00496804" w:rsidRDefault="00496804">
      <w:pPr>
        <w:spacing w:line="240" w:lineRule="auto"/>
        <w:rPr>
          <w:rFonts w:ascii="Times New Roman" w:hAnsi="Times New Roman"/>
          <w:sz w:val="24"/>
        </w:rPr>
      </w:pPr>
    </w:p>
    <w:p w14:paraId="45D05E62" w14:textId="77777777" w:rsidR="00496804" w:rsidRDefault="0037359D">
      <w:pPr>
        <w:spacing w:line="240" w:lineRule="auto"/>
        <w:jc w:val="left"/>
        <w:rPr>
          <w:rFonts w:ascii="Times New Roman" w:hAnsi="Times New Roman"/>
          <w:sz w:val="24"/>
        </w:rPr>
      </w:pPr>
      <w:r>
        <w:rPr>
          <w:rFonts w:ascii="Times New Roman" w:hAnsi="Times New Roman"/>
          <w:sz w:val="24"/>
        </w:rPr>
        <w:br w:type="page"/>
      </w:r>
    </w:p>
    <w:p w14:paraId="45D05E63" w14:textId="77777777" w:rsidR="00496804" w:rsidRDefault="0037359D">
      <w:pPr>
        <w:pStyle w:val="tekst"/>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MJERA 1.3. </w:t>
      </w:r>
    </w:p>
    <w:p w14:paraId="45D05E64" w14:textId="77777777" w:rsidR="00496804" w:rsidRDefault="0037359D">
      <w:pPr>
        <w:pStyle w:val="tekst"/>
        <w:pBdr>
          <w:bottom w:val="single" w:sz="4" w:space="1" w:color="auto"/>
        </w:pBdr>
        <w:spacing w:line="240" w:lineRule="auto"/>
        <w:rPr>
          <w:rFonts w:ascii="Times New Roman" w:hAnsi="Times New Roman" w:cs="Times New Roman"/>
          <w:b/>
          <w:bCs/>
          <w:sz w:val="24"/>
          <w:szCs w:val="24"/>
        </w:rPr>
      </w:pPr>
      <w:r>
        <w:rPr>
          <w:rFonts w:ascii="Times New Roman" w:hAnsi="Times New Roman" w:cs="Times New Roman"/>
          <w:b/>
          <w:bCs/>
          <w:sz w:val="24"/>
          <w:szCs w:val="24"/>
        </w:rPr>
        <w:t>Izrada strateških dokumenata razvoja kružnog gospodarenja prostorom i zgradama</w:t>
      </w:r>
    </w:p>
    <w:p w14:paraId="45D05E65" w14:textId="77777777" w:rsidR="00496804" w:rsidRDefault="00496804">
      <w:pPr>
        <w:pStyle w:val="tekst"/>
        <w:spacing w:line="240" w:lineRule="auto"/>
        <w:rPr>
          <w:rFonts w:ascii="Times New Roman" w:hAnsi="Times New Roman" w:cs="Times New Roman"/>
          <w:sz w:val="24"/>
          <w:szCs w:val="24"/>
        </w:rPr>
      </w:pPr>
    </w:p>
    <w:p w14:paraId="45D05E66"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Dobro upravljanje i provedbu kružnog gospodarenja prostorom i zgradama moguće je ostvariti uz potporu dobro definiranih dokumenata u obliku zakonskih i strateških okvira. Potrebno je kontinuirano pratiti izmjene i dopune EU strateškog i regulatornog okvira i prema njemu usklađivati nacionalni okvir kako bi se osigurala nesmetana i uspješna provedba. Istovremeno, potrebno je razvijati strateške dokumente na lokalnoj i regionalnoj razini, kao i poticati izradu novih ili izmjenu i dopunu postojećih planova kružnog gospodarenja prostorom i zgradama.</w:t>
      </w:r>
    </w:p>
    <w:p w14:paraId="45D05E67" w14:textId="77777777" w:rsidR="00496804" w:rsidRDefault="00496804">
      <w:pPr>
        <w:pStyle w:val="tekst"/>
        <w:spacing w:line="240" w:lineRule="auto"/>
        <w:rPr>
          <w:rFonts w:ascii="Times New Roman" w:hAnsi="Times New Roman" w:cs="Times New Roman"/>
          <w:sz w:val="24"/>
          <w:szCs w:val="24"/>
        </w:rPr>
      </w:pPr>
    </w:p>
    <w:p w14:paraId="45D05E68" w14:textId="77777777" w:rsidR="00496804" w:rsidRDefault="0037359D">
      <w:pPr>
        <w:pStyle w:val="tekst"/>
        <w:spacing w:line="240" w:lineRule="auto"/>
        <w:rPr>
          <w:rFonts w:ascii="Times New Roman" w:hAnsi="Times New Roman" w:cs="Times New Roman"/>
          <w:b/>
          <w:bCs/>
          <w:sz w:val="24"/>
          <w:szCs w:val="24"/>
        </w:rPr>
      </w:pPr>
      <w:r>
        <w:rPr>
          <w:rFonts w:ascii="Times New Roman" w:hAnsi="Times New Roman" w:cs="Times New Roman"/>
          <w:b/>
          <w:bCs/>
          <w:sz w:val="24"/>
          <w:szCs w:val="24"/>
        </w:rPr>
        <w:t>Aktivnosti:</w:t>
      </w:r>
    </w:p>
    <w:p w14:paraId="45D05E69" w14:textId="77777777" w:rsidR="00496804" w:rsidRDefault="0037359D">
      <w:pPr>
        <w:pStyle w:val="Odlomakpopisa"/>
        <w:numPr>
          <w:ilvl w:val="2"/>
          <w:numId w:val="26"/>
        </w:numPr>
        <w:spacing w:line="240" w:lineRule="auto"/>
        <w:ind w:left="851" w:hanging="851"/>
        <w:rPr>
          <w:rFonts w:ascii="Times New Roman" w:hAnsi="Times New Roman"/>
          <w:b w:val="0"/>
          <w:bCs/>
          <w:sz w:val="24"/>
        </w:rPr>
      </w:pPr>
      <w:r>
        <w:rPr>
          <w:rFonts w:ascii="Times New Roman" w:hAnsi="Times New Roman"/>
          <w:b w:val="0"/>
          <w:bCs/>
          <w:sz w:val="24"/>
        </w:rPr>
        <w:t xml:space="preserve">Izrada projektnog zadatka za izradu metodologije evaluacije provedbe Programa razvoja KG </w:t>
      </w:r>
    </w:p>
    <w:p w14:paraId="45D05E6A" w14:textId="77777777" w:rsidR="00496804" w:rsidRDefault="0037359D">
      <w:pPr>
        <w:pStyle w:val="Odlomakpopisa"/>
        <w:numPr>
          <w:ilvl w:val="2"/>
          <w:numId w:val="26"/>
        </w:numPr>
        <w:spacing w:line="240" w:lineRule="auto"/>
        <w:ind w:left="851" w:hanging="851"/>
        <w:rPr>
          <w:rFonts w:ascii="Times New Roman" w:hAnsi="Times New Roman"/>
          <w:b w:val="0"/>
          <w:bCs/>
          <w:sz w:val="24"/>
        </w:rPr>
      </w:pPr>
      <w:r>
        <w:rPr>
          <w:rFonts w:ascii="Times New Roman" w:hAnsi="Times New Roman"/>
          <w:b w:val="0"/>
          <w:bCs/>
          <w:sz w:val="24"/>
        </w:rPr>
        <w:t>Izrada metodologije za evaluaciju provedbe Programa razvoja KG</w:t>
      </w:r>
    </w:p>
    <w:p w14:paraId="45D05E6B" w14:textId="77777777" w:rsidR="00496804" w:rsidRDefault="0037359D">
      <w:pPr>
        <w:pStyle w:val="Odlomakpopisa"/>
        <w:numPr>
          <w:ilvl w:val="2"/>
          <w:numId w:val="26"/>
        </w:numPr>
        <w:spacing w:line="240" w:lineRule="auto"/>
        <w:ind w:left="851" w:hanging="851"/>
        <w:rPr>
          <w:rFonts w:ascii="Times New Roman" w:hAnsi="Times New Roman"/>
          <w:b w:val="0"/>
          <w:bCs/>
          <w:sz w:val="24"/>
        </w:rPr>
      </w:pPr>
      <w:r>
        <w:rPr>
          <w:rFonts w:ascii="Times New Roman" w:hAnsi="Times New Roman"/>
          <w:b w:val="0"/>
          <w:bCs/>
          <w:sz w:val="24"/>
        </w:rPr>
        <w:t xml:space="preserve">Evaluacija provedbe Programa razvoja KG </w:t>
      </w:r>
    </w:p>
    <w:p w14:paraId="45D05E6C" w14:textId="77777777" w:rsidR="00496804" w:rsidRDefault="0037359D">
      <w:pPr>
        <w:pStyle w:val="Odlomakpopisa"/>
        <w:numPr>
          <w:ilvl w:val="2"/>
          <w:numId w:val="26"/>
        </w:numPr>
        <w:spacing w:line="240" w:lineRule="auto"/>
        <w:ind w:left="851" w:hanging="851"/>
        <w:rPr>
          <w:rFonts w:ascii="Times New Roman" w:hAnsi="Times New Roman"/>
          <w:b w:val="0"/>
          <w:bCs/>
          <w:sz w:val="24"/>
        </w:rPr>
      </w:pPr>
      <w:r>
        <w:rPr>
          <w:rFonts w:ascii="Times New Roman" w:hAnsi="Times New Roman"/>
          <w:b w:val="0"/>
          <w:bCs/>
          <w:sz w:val="24"/>
        </w:rPr>
        <w:t>Stručni nadzor nad evaluacijom provedbe Programa razvoja KG</w:t>
      </w:r>
    </w:p>
    <w:p w14:paraId="45D05E6D" w14:textId="77777777" w:rsidR="00496804" w:rsidRDefault="0037359D">
      <w:pPr>
        <w:pStyle w:val="Odlomakpopisa"/>
        <w:numPr>
          <w:ilvl w:val="2"/>
          <w:numId w:val="26"/>
        </w:numPr>
        <w:spacing w:line="240" w:lineRule="auto"/>
        <w:ind w:left="851" w:hanging="851"/>
        <w:rPr>
          <w:rFonts w:ascii="Times New Roman" w:hAnsi="Times New Roman"/>
          <w:b w:val="0"/>
          <w:bCs/>
          <w:sz w:val="24"/>
        </w:rPr>
      </w:pPr>
      <w:r>
        <w:rPr>
          <w:rFonts w:ascii="Times New Roman" w:hAnsi="Times New Roman"/>
          <w:b w:val="0"/>
          <w:bCs/>
          <w:sz w:val="24"/>
        </w:rPr>
        <w:t>Izrada projektnog zadatka za izradu izmjena i dopuna Programa razvoja KG sukladno rezultatima evaluacije provedbe Programa</w:t>
      </w:r>
    </w:p>
    <w:p w14:paraId="45D05E6E" w14:textId="77777777" w:rsidR="00496804" w:rsidRDefault="0037359D">
      <w:pPr>
        <w:pStyle w:val="Odlomakpopisa"/>
        <w:numPr>
          <w:ilvl w:val="2"/>
          <w:numId w:val="26"/>
        </w:numPr>
        <w:spacing w:line="240" w:lineRule="auto"/>
        <w:ind w:left="851" w:hanging="851"/>
        <w:rPr>
          <w:rFonts w:ascii="Times New Roman" w:hAnsi="Times New Roman"/>
          <w:b w:val="0"/>
          <w:bCs/>
          <w:sz w:val="24"/>
        </w:rPr>
      </w:pPr>
      <w:r>
        <w:rPr>
          <w:rFonts w:ascii="Times New Roman" w:hAnsi="Times New Roman"/>
          <w:b w:val="0"/>
          <w:bCs/>
          <w:sz w:val="24"/>
        </w:rPr>
        <w:t>Izrada izmjena i dopuna Programa razvoja KG sukladno rezultatima evaluacije provedbe Programa</w:t>
      </w:r>
    </w:p>
    <w:p w14:paraId="45D05E6F" w14:textId="77777777" w:rsidR="00496804" w:rsidRDefault="0037359D">
      <w:pPr>
        <w:pStyle w:val="Odlomakpopisa"/>
        <w:numPr>
          <w:ilvl w:val="2"/>
          <w:numId w:val="26"/>
        </w:numPr>
        <w:spacing w:line="240" w:lineRule="auto"/>
        <w:ind w:left="851" w:hanging="851"/>
        <w:rPr>
          <w:rFonts w:ascii="Times New Roman" w:hAnsi="Times New Roman"/>
          <w:b w:val="0"/>
          <w:bCs/>
          <w:sz w:val="24"/>
        </w:rPr>
      </w:pPr>
      <w:r>
        <w:rPr>
          <w:rFonts w:ascii="Times New Roman" w:hAnsi="Times New Roman"/>
          <w:b w:val="0"/>
          <w:bCs/>
          <w:sz w:val="24"/>
        </w:rPr>
        <w:t>Stručni nadzor nad izradom izmjena i dopuna Programa razvoja KG</w:t>
      </w:r>
    </w:p>
    <w:p w14:paraId="45D05E70" w14:textId="77777777" w:rsidR="00496804" w:rsidRDefault="0037359D">
      <w:pPr>
        <w:pStyle w:val="Odlomakpopisa"/>
        <w:numPr>
          <w:ilvl w:val="2"/>
          <w:numId w:val="26"/>
        </w:numPr>
        <w:spacing w:line="240" w:lineRule="auto"/>
        <w:ind w:left="851" w:hanging="851"/>
        <w:rPr>
          <w:rFonts w:ascii="Times New Roman" w:hAnsi="Times New Roman"/>
          <w:b w:val="0"/>
          <w:bCs/>
          <w:sz w:val="24"/>
        </w:rPr>
      </w:pPr>
      <w:r>
        <w:rPr>
          <w:rFonts w:ascii="Times New Roman" w:hAnsi="Times New Roman"/>
          <w:b w:val="0"/>
          <w:bCs/>
          <w:sz w:val="24"/>
        </w:rPr>
        <w:t>Izrada projektnog zadatka za izradu priručnika za izradu novih ili izmjenu i dopunu postojećih studija, strategija i/ili planova kružnog gospodarenja prostorom i zgradama na lokalnoj i regionalnoj razini</w:t>
      </w:r>
    </w:p>
    <w:p w14:paraId="45D05E71" w14:textId="77777777" w:rsidR="00496804" w:rsidRDefault="0037359D">
      <w:pPr>
        <w:pStyle w:val="Odlomakpopisa"/>
        <w:numPr>
          <w:ilvl w:val="2"/>
          <w:numId w:val="26"/>
        </w:numPr>
        <w:spacing w:line="240" w:lineRule="auto"/>
        <w:ind w:left="851" w:hanging="851"/>
        <w:rPr>
          <w:rFonts w:ascii="Times New Roman" w:hAnsi="Times New Roman"/>
          <w:b w:val="0"/>
          <w:bCs/>
          <w:sz w:val="24"/>
        </w:rPr>
      </w:pPr>
      <w:r>
        <w:rPr>
          <w:rFonts w:ascii="Times New Roman" w:hAnsi="Times New Roman"/>
          <w:b w:val="0"/>
          <w:bCs/>
          <w:sz w:val="24"/>
        </w:rPr>
        <w:t>Izrada priručnika za izradu novih ili izmjenu i dopunu postojećih studija, strategija i/ili planova kružnog gospodarenja prostorom i zgradama na lokalnoj i regionalnoj razini</w:t>
      </w:r>
    </w:p>
    <w:p w14:paraId="45D05E72" w14:textId="77777777" w:rsidR="00496804" w:rsidRDefault="0037359D">
      <w:pPr>
        <w:pStyle w:val="Odlomakpopisa"/>
        <w:numPr>
          <w:ilvl w:val="2"/>
          <w:numId w:val="26"/>
        </w:numPr>
        <w:spacing w:line="240" w:lineRule="auto"/>
        <w:ind w:left="851" w:hanging="851"/>
        <w:rPr>
          <w:rFonts w:ascii="Times New Roman" w:hAnsi="Times New Roman"/>
          <w:b w:val="0"/>
          <w:bCs/>
          <w:sz w:val="24"/>
        </w:rPr>
      </w:pPr>
      <w:r>
        <w:rPr>
          <w:rFonts w:ascii="Times New Roman" w:hAnsi="Times New Roman"/>
          <w:b w:val="0"/>
          <w:bCs/>
          <w:sz w:val="24"/>
        </w:rPr>
        <w:t>Stručni nadzor nad izradom priručnika za izradu novih ili izmjenu i dopunu postojećih studija, strategija i/ili planova kružnog gospodarenja prostorom i zgradama na lokalnoj i regionalnoj razini</w:t>
      </w:r>
    </w:p>
    <w:p w14:paraId="45D05E73" w14:textId="77777777" w:rsidR="00496804" w:rsidRDefault="0037359D">
      <w:pPr>
        <w:pStyle w:val="Odlomakpopisa"/>
        <w:numPr>
          <w:ilvl w:val="2"/>
          <w:numId w:val="26"/>
        </w:numPr>
        <w:spacing w:line="240" w:lineRule="auto"/>
        <w:ind w:left="851" w:hanging="851"/>
        <w:rPr>
          <w:rFonts w:ascii="Times New Roman" w:hAnsi="Times New Roman"/>
          <w:b w:val="0"/>
          <w:bCs/>
          <w:sz w:val="24"/>
        </w:rPr>
      </w:pPr>
      <w:r>
        <w:rPr>
          <w:rFonts w:ascii="Times New Roman" w:hAnsi="Times New Roman"/>
          <w:b w:val="0"/>
          <w:bCs/>
          <w:sz w:val="24"/>
        </w:rPr>
        <w:t>Poticanje izrade novih ili izmjene i dopune postojećih studija, strategija i/ili planova kružnog gospodarenja prostorom i zgradama na lokalnoj i regionalnoj razini</w:t>
      </w:r>
    </w:p>
    <w:p w14:paraId="45D05E74" w14:textId="77777777" w:rsidR="00496804" w:rsidRDefault="00496804">
      <w:pPr>
        <w:spacing w:line="240" w:lineRule="auto"/>
        <w:ind w:left="851" w:hanging="851"/>
        <w:rPr>
          <w:rFonts w:ascii="Times New Roman" w:hAnsi="Times New Roman"/>
          <w:sz w:val="24"/>
        </w:rPr>
      </w:pPr>
    </w:p>
    <w:p w14:paraId="45D05E75" w14:textId="77777777" w:rsidR="00496804" w:rsidRDefault="0037359D">
      <w:pPr>
        <w:spacing w:line="240" w:lineRule="auto"/>
        <w:rPr>
          <w:rFonts w:ascii="Times New Roman" w:hAnsi="Times New Roman"/>
          <w:sz w:val="24"/>
        </w:rPr>
      </w:pPr>
      <w:r>
        <w:rPr>
          <w:rFonts w:ascii="Times New Roman" w:hAnsi="Times New Roman"/>
          <w:i/>
          <w:iCs/>
          <w:sz w:val="24"/>
        </w:rPr>
        <w:t>Tablica 18. Prikaz pokazatelja rezultata provedbe mjere 1.3.</w:t>
      </w:r>
    </w:p>
    <w:tbl>
      <w:tblPr>
        <w:tblStyle w:val="Reetkatablice12"/>
        <w:tblW w:w="0" w:type="auto"/>
        <w:tblLook w:val="04A0" w:firstRow="1" w:lastRow="0" w:firstColumn="1" w:lastColumn="0" w:noHBand="0" w:noVBand="1"/>
      </w:tblPr>
      <w:tblGrid>
        <w:gridCol w:w="4520"/>
        <w:gridCol w:w="1414"/>
        <w:gridCol w:w="1702"/>
        <w:gridCol w:w="1986"/>
      </w:tblGrid>
      <w:tr w:rsidR="00496804" w14:paraId="45D05E7A" w14:textId="77777777">
        <w:tc>
          <w:tcPr>
            <w:tcW w:w="4520" w:type="dxa"/>
            <w:shd w:val="clear" w:color="auto" w:fill="FFCCA6" w:themeFill="accent5" w:themeFillTint="66"/>
          </w:tcPr>
          <w:p w14:paraId="45D05E76" w14:textId="77777777" w:rsidR="00496804" w:rsidRDefault="0037359D">
            <w:pPr>
              <w:tabs>
                <w:tab w:val="left" w:pos="426"/>
              </w:tabs>
              <w:spacing w:before="240" w:after="200" w:line="240" w:lineRule="auto"/>
              <w:rPr>
                <w:rFonts w:ascii="Times New Roman" w:eastAsia="Calibri" w:hAnsi="Times New Roman"/>
                <w:b/>
                <w:bCs/>
                <w:sz w:val="24"/>
                <w:lang w:eastAsia="en-US"/>
              </w:rPr>
            </w:pPr>
            <w:r>
              <w:rPr>
                <w:rFonts w:ascii="Times New Roman" w:eastAsia="Calibri" w:hAnsi="Times New Roman"/>
                <w:b/>
                <w:bCs/>
                <w:sz w:val="24"/>
                <w:lang w:eastAsia="en-US"/>
              </w:rPr>
              <w:t>Pokazatelj rezultata provedbe mjere</w:t>
            </w:r>
          </w:p>
        </w:tc>
        <w:tc>
          <w:tcPr>
            <w:tcW w:w="1414" w:type="dxa"/>
            <w:shd w:val="clear" w:color="auto" w:fill="FFCCA6" w:themeFill="accent5" w:themeFillTint="66"/>
          </w:tcPr>
          <w:p w14:paraId="45D05E77"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Mjerna jedinica</w:t>
            </w:r>
          </w:p>
        </w:tc>
        <w:tc>
          <w:tcPr>
            <w:tcW w:w="1702" w:type="dxa"/>
            <w:shd w:val="clear" w:color="auto" w:fill="FFCCA6" w:themeFill="accent5" w:themeFillTint="66"/>
          </w:tcPr>
          <w:p w14:paraId="45D05E78"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Početna vrijednost</w:t>
            </w:r>
          </w:p>
        </w:tc>
        <w:tc>
          <w:tcPr>
            <w:tcW w:w="1986" w:type="dxa"/>
            <w:shd w:val="clear" w:color="auto" w:fill="FFCCA6" w:themeFill="accent5" w:themeFillTint="66"/>
          </w:tcPr>
          <w:p w14:paraId="45D05E79"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Ciljana vrijednost 2030.</w:t>
            </w:r>
          </w:p>
        </w:tc>
      </w:tr>
      <w:tr w:rsidR="00496804" w14:paraId="45D05E7F" w14:textId="77777777">
        <w:tc>
          <w:tcPr>
            <w:tcW w:w="4520" w:type="dxa"/>
            <w:vAlign w:val="center"/>
          </w:tcPr>
          <w:p w14:paraId="45D05E7B" w14:textId="77777777" w:rsidR="00496804" w:rsidRDefault="0037359D">
            <w:pPr>
              <w:tabs>
                <w:tab w:val="left" w:pos="426"/>
              </w:tabs>
              <w:spacing w:before="120" w:after="120" w:line="240" w:lineRule="auto"/>
              <w:jc w:val="left"/>
              <w:rPr>
                <w:rFonts w:ascii="Times New Roman" w:eastAsia="Calibri" w:hAnsi="Times New Roman"/>
                <w:sz w:val="24"/>
                <w:lang w:eastAsia="en-US"/>
              </w:rPr>
            </w:pPr>
            <w:r>
              <w:rPr>
                <w:rFonts w:ascii="Times New Roman" w:eastAsia="Calibri" w:hAnsi="Times New Roman"/>
                <w:sz w:val="24"/>
                <w:lang w:eastAsia="en-US"/>
              </w:rPr>
              <w:t>Izrađeni strateški dokumenti razvoja kružnog gospodarenja prostorom i zgradama</w:t>
            </w:r>
          </w:p>
        </w:tc>
        <w:tc>
          <w:tcPr>
            <w:tcW w:w="1414" w:type="dxa"/>
            <w:vAlign w:val="center"/>
          </w:tcPr>
          <w:p w14:paraId="45D05E7C"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broj</w:t>
            </w:r>
          </w:p>
        </w:tc>
        <w:tc>
          <w:tcPr>
            <w:tcW w:w="1702" w:type="dxa"/>
          </w:tcPr>
          <w:p w14:paraId="45D05E7D"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0</w:t>
            </w:r>
          </w:p>
        </w:tc>
        <w:tc>
          <w:tcPr>
            <w:tcW w:w="1986" w:type="dxa"/>
            <w:vAlign w:val="center"/>
          </w:tcPr>
          <w:p w14:paraId="45D05E7E"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100</w:t>
            </w:r>
          </w:p>
        </w:tc>
      </w:tr>
    </w:tbl>
    <w:p w14:paraId="45D05E80" w14:textId="77777777" w:rsidR="00496804" w:rsidRDefault="00496804">
      <w:pPr>
        <w:spacing w:line="240" w:lineRule="auto"/>
        <w:rPr>
          <w:rFonts w:ascii="Times New Roman" w:hAnsi="Times New Roman"/>
          <w:sz w:val="24"/>
        </w:rPr>
      </w:pPr>
    </w:p>
    <w:p w14:paraId="45D05E81" w14:textId="77777777" w:rsidR="00496804" w:rsidRDefault="0037359D">
      <w:pPr>
        <w:spacing w:line="240" w:lineRule="auto"/>
        <w:jc w:val="left"/>
        <w:rPr>
          <w:rFonts w:ascii="Times New Roman" w:hAnsi="Times New Roman"/>
          <w:sz w:val="24"/>
        </w:rPr>
      </w:pPr>
      <w:r>
        <w:rPr>
          <w:rFonts w:ascii="Times New Roman" w:hAnsi="Times New Roman"/>
          <w:sz w:val="24"/>
        </w:rPr>
        <w:br w:type="page"/>
      </w:r>
    </w:p>
    <w:p w14:paraId="45D05E82" w14:textId="77777777" w:rsidR="00496804" w:rsidRDefault="0037359D">
      <w:pPr>
        <w:pStyle w:val="tekst"/>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MJERA 1.4. </w:t>
      </w:r>
    </w:p>
    <w:p w14:paraId="45D05E83" w14:textId="77777777" w:rsidR="00496804" w:rsidRDefault="0037359D">
      <w:pPr>
        <w:pBdr>
          <w:bottom w:val="single" w:sz="4" w:space="1" w:color="auto"/>
        </w:pBdr>
        <w:spacing w:line="240" w:lineRule="auto"/>
        <w:rPr>
          <w:rFonts w:ascii="Times New Roman" w:hAnsi="Times New Roman"/>
          <w:sz w:val="24"/>
        </w:rPr>
      </w:pPr>
      <w:r>
        <w:rPr>
          <w:rFonts w:ascii="Times New Roman" w:hAnsi="Times New Roman"/>
          <w:b/>
          <w:bCs/>
          <w:sz w:val="24"/>
        </w:rPr>
        <w:t>Razvoj i izrada digitalne baze projekata</w:t>
      </w:r>
    </w:p>
    <w:p w14:paraId="45D05E84" w14:textId="77777777" w:rsidR="00496804" w:rsidRDefault="00496804">
      <w:pPr>
        <w:spacing w:line="240" w:lineRule="auto"/>
        <w:rPr>
          <w:rFonts w:ascii="Times New Roman" w:hAnsi="Times New Roman"/>
          <w:sz w:val="24"/>
        </w:rPr>
      </w:pPr>
    </w:p>
    <w:p w14:paraId="45D05E85" w14:textId="77777777" w:rsidR="00496804" w:rsidRDefault="0037359D">
      <w:pPr>
        <w:spacing w:line="240" w:lineRule="auto"/>
        <w:rPr>
          <w:rFonts w:ascii="Times New Roman" w:hAnsi="Times New Roman"/>
          <w:sz w:val="24"/>
        </w:rPr>
      </w:pPr>
      <w:r>
        <w:rPr>
          <w:rFonts w:ascii="Times New Roman" w:hAnsi="Times New Roman"/>
          <w:sz w:val="24"/>
        </w:rPr>
        <w:t xml:space="preserve">Važne odrednice dobrog sustava kružnog gospodarenja prostorom i zgradama i provedbe ovog Programa su kvaliteta i dostupnost podataka koji omogućuju praćenje planiranih i projekata u provedbi te praćenje i analizu pokazatelja kružnog gospodarenja. Zbog toga je potrebno dati posebnu pozornost razvoju i uređivanju baza podataka. Razvoj digitalnih baza podataka koje bi bile dostupne javnosti te pogodne za razmjenu između informacijskih sustava zasigurno može doprinijeti boljem informiranju i uključenosti dionika u proces kružnog gospodarenja prostora i zgrada. Putem ove mjere nastoji se ujedno pratiti učinak postignutih rezultata provedenih projekata. </w:t>
      </w:r>
    </w:p>
    <w:p w14:paraId="45D05E86" w14:textId="77777777" w:rsidR="00496804" w:rsidRDefault="00496804">
      <w:pPr>
        <w:spacing w:line="240" w:lineRule="auto"/>
        <w:rPr>
          <w:rFonts w:ascii="Times New Roman" w:hAnsi="Times New Roman"/>
          <w:sz w:val="24"/>
        </w:rPr>
      </w:pPr>
    </w:p>
    <w:p w14:paraId="45D05E87" w14:textId="77777777" w:rsidR="00496804" w:rsidRDefault="0037359D">
      <w:pPr>
        <w:spacing w:line="240" w:lineRule="auto"/>
        <w:rPr>
          <w:rFonts w:ascii="Times New Roman" w:hAnsi="Times New Roman"/>
          <w:b/>
          <w:bCs/>
          <w:sz w:val="24"/>
        </w:rPr>
      </w:pPr>
      <w:r>
        <w:rPr>
          <w:rFonts w:ascii="Times New Roman" w:hAnsi="Times New Roman"/>
          <w:b/>
          <w:bCs/>
          <w:sz w:val="24"/>
        </w:rPr>
        <w:t>Aktivnosti:</w:t>
      </w:r>
    </w:p>
    <w:p w14:paraId="45D05E88" w14:textId="77777777" w:rsidR="00496804" w:rsidRDefault="0037359D">
      <w:pPr>
        <w:pStyle w:val="Odlomakpopisa"/>
        <w:numPr>
          <w:ilvl w:val="2"/>
          <w:numId w:val="27"/>
        </w:numPr>
        <w:spacing w:line="240" w:lineRule="auto"/>
        <w:ind w:hanging="646"/>
        <w:rPr>
          <w:rFonts w:ascii="Times New Roman" w:hAnsi="Times New Roman"/>
          <w:b w:val="0"/>
          <w:bCs/>
          <w:sz w:val="24"/>
        </w:rPr>
      </w:pPr>
      <w:r>
        <w:rPr>
          <w:rFonts w:ascii="Times New Roman" w:hAnsi="Times New Roman"/>
          <w:b w:val="0"/>
          <w:bCs/>
          <w:sz w:val="24"/>
        </w:rPr>
        <w:t>Izrada projektnog zadatka za razvoj (izradu) metodologije sustava praćenja provedbe projekata kružnog gospodarenja prostorom i zgradama, koja obuhvaća definiranje obveznika unosa podataka u digitalnu bazu projekata i njihovih uloga te definiranje i metodologiju izrade digitalne baze projekata</w:t>
      </w:r>
    </w:p>
    <w:p w14:paraId="45D05E89" w14:textId="77777777" w:rsidR="00496804" w:rsidRDefault="0037359D">
      <w:pPr>
        <w:pStyle w:val="Odlomakpopisa"/>
        <w:numPr>
          <w:ilvl w:val="2"/>
          <w:numId w:val="27"/>
        </w:numPr>
        <w:spacing w:line="240" w:lineRule="auto"/>
        <w:ind w:hanging="646"/>
        <w:rPr>
          <w:rFonts w:ascii="Times New Roman" w:hAnsi="Times New Roman"/>
          <w:b w:val="0"/>
          <w:bCs/>
          <w:sz w:val="24"/>
        </w:rPr>
      </w:pPr>
      <w:r>
        <w:rPr>
          <w:rFonts w:ascii="Times New Roman" w:hAnsi="Times New Roman"/>
          <w:b w:val="0"/>
          <w:bCs/>
          <w:sz w:val="24"/>
        </w:rPr>
        <w:t>Razvoj (izrada) metodologije sustava praćenja provedbe projekata kružnog gospodarenja prostorom i zgradama</w:t>
      </w:r>
    </w:p>
    <w:p w14:paraId="45D05E8A" w14:textId="77777777" w:rsidR="00496804" w:rsidRDefault="0037359D">
      <w:pPr>
        <w:pStyle w:val="Odlomakpopisa"/>
        <w:numPr>
          <w:ilvl w:val="2"/>
          <w:numId w:val="27"/>
        </w:numPr>
        <w:spacing w:line="240" w:lineRule="auto"/>
        <w:ind w:hanging="646"/>
        <w:rPr>
          <w:rFonts w:ascii="Times New Roman" w:hAnsi="Times New Roman"/>
          <w:b w:val="0"/>
          <w:bCs/>
          <w:sz w:val="24"/>
        </w:rPr>
      </w:pPr>
      <w:r>
        <w:rPr>
          <w:rFonts w:ascii="Times New Roman" w:hAnsi="Times New Roman"/>
          <w:b w:val="0"/>
          <w:bCs/>
          <w:sz w:val="24"/>
        </w:rPr>
        <w:t>Stručni nadzor nad izradom metodologije sustava praćenja provedbe projekata kružnog gospodarenja prostorom i zgradama</w:t>
      </w:r>
    </w:p>
    <w:p w14:paraId="45D05E8B" w14:textId="77777777" w:rsidR="00496804" w:rsidRDefault="0037359D">
      <w:pPr>
        <w:pStyle w:val="Odlomakpopisa"/>
        <w:numPr>
          <w:ilvl w:val="2"/>
          <w:numId w:val="27"/>
        </w:numPr>
        <w:spacing w:line="240" w:lineRule="auto"/>
        <w:ind w:hanging="646"/>
        <w:rPr>
          <w:rFonts w:ascii="Times New Roman" w:hAnsi="Times New Roman"/>
          <w:b w:val="0"/>
          <w:bCs/>
          <w:sz w:val="24"/>
        </w:rPr>
      </w:pPr>
      <w:r>
        <w:rPr>
          <w:rFonts w:ascii="Times New Roman" w:hAnsi="Times New Roman"/>
          <w:b w:val="0"/>
          <w:bCs/>
          <w:sz w:val="24"/>
        </w:rPr>
        <w:t>Izrada digitalne baze projekata razvoja kružnog gospodarenja prostorom i zgradama</w:t>
      </w:r>
    </w:p>
    <w:p w14:paraId="45D05E8C" w14:textId="77777777" w:rsidR="00496804" w:rsidRDefault="0037359D">
      <w:pPr>
        <w:pStyle w:val="Odlomakpopisa"/>
        <w:numPr>
          <w:ilvl w:val="2"/>
          <w:numId w:val="27"/>
        </w:numPr>
        <w:spacing w:line="240" w:lineRule="auto"/>
        <w:ind w:hanging="646"/>
        <w:rPr>
          <w:rFonts w:ascii="Times New Roman" w:hAnsi="Times New Roman"/>
          <w:b w:val="0"/>
          <w:bCs/>
          <w:sz w:val="24"/>
        </w:rPr>
      </w:pPr>
      <w:r>
        <w:rPr>
          <w:rFonts w:ascii="Times New Roman" w:hAnsi="Times New Roman"/>
          <w:b w:val="0"/>
          <w:bCs/>
          <w:sz w:val="24"/>
        </w:rPr>
        <w:t>Stručni nadzor nad izradom digitalne baze projekata razvoja kružnog gospodarenja prostorom i zgradama</w:t>
      </w:r>
    </w:p>
    <w:p w14:paraId="45D05E8D" w14:textId="77777777" w:rsidR="00496804" w:rsidRDefault="0037359D">
      <w:pPr>
        <w:pStyle w:val="Odlomakpopisa"/>
        <w:numPr>
          <w:ilvl w:val="2"/>
          <w:numId w:val="27"/>
        </w:numPr>
        <w:spacing w:line="240" w:lineRule="auto"/>
        <w:ind w:hanging="646"/>
        <w:rPr>
          <w:rFonts w:ascii="Times New Roman" w:hAnsi="Times New Roman"/>
          <w:b w:val="0"/>
          <w:bCs/>
          <w:sz w:val="24"/>
        </w:rPr>
      </w:pPr>
      <w:r>
        <w:rPr>
          <w:rFonts w:ascii="Times New Roman" w:hAnsi="Times New Roman"/>
          <w:b w:val="0"/>
          <w:bCs/>
          <w:sz w:val="24"/>
        </w:rPr>
        <w:t>Izrada programa edukacije korisnika digitalne baze projekata, koja uključuje i djelatnike zadužene za unos podataka</w:t>
      </w:r>
    </w:p>
    <w:p w14:paraId="45D05E8E" w14:textId="77777777" w:rsidR="00496804" w:rsidRDefault="0037359D">
      <w:pPr>
        <w:pStyle w:val="Odlomakpopisa"/>
        <w:numPr>
          <w:ilvl w:val="2"/>
          <w:numId w:val="27"/>
        </w:numPr>
        <w:spacing w:line="240" w:lineRule="auto"/>
        <w:ind w:hanging="646"/>
        <w:rPr>
          <w:rFonts w:ascii="Times New Roman" w:hAnsi="Times New Roman"/>
          <w:b w:val="0"/>
          <w:bCs/>
          <w:sz w:val="24"/>
        </w:rPr>
      </w:pPr>
      <w:r>
        <w:rPr>
          <w:rFonts w:ascii="Times New Roman" w:hAnsi="Times New Roman"/>
          <w:b w:val="0"/>
          <w:bCs/>
          <w:sz w:val="24"/>
        </w:rPr>
        <w:t>Edukacija korisnika digitalne baze projekata</w:t>
      </w:r>
    </w:p>
    <w:p w14:paraId="45D05E8F" w14:textId="77777777" w:rsidR="00496804" w:rsidRDefault="0037359D">
      <w:pPr>
        <w:pStyle w:val="Odlomakpopisa"/>
        <w:numPr>
          <w:ilvl w:val="2"/>
          <w:numId w:val="27"/>
        </w:numPr>
        <w:spacing w:line="240" w:lineRule="auto"/>
        <w:ind w:hanging="646"/>
        <w:rPr>
          <w:rFonts w:ascii="Times New Roman" w:hAnsi="Times New Roman"/>
          <w:b w:val="0"/>
          <w:bCs/>
          <w:sz w:val="24"/>
        </w:rPr>
      </w:pPr>
      <w:r>
        <w:rPr>
          <w:rFonts w:ascii="Times New Roman" w:hAnsi="Times New Roman"/>
          <w:b w:val="0"/>
          <w:bCs/>
          <w:sz w:val="24"/>
        </w:rPr>
        <w:t>Evidentiranje projekata kružnog gospodarenja prostorom i zgradama unutar digitalne baze projekata</w:t>
      </w:r>
    </w:p>
    <w:p w14:paraId="45D05E90" w14:textId="77777777" w:rsidR="00496804" w:rsidRDefault="00496804">
      <w:pPr>
        <w:spacing w:line="240" w:lineRule="auto"/>
        <w:ind w:left="709" w:hanging="709"/>
        <w:rPr>
          <w:rFonts w:ascii="Times New Roman" w:hAnsi="Times New Roman"/>
          <w:sz w:val="24"/>
        </w:rPr>
      </w:pPr>
    </w:p>
    <w:p w14:paraId="45D05E91" w14:textId="77777777" w:rsidR="00496804" w:rsidRDefault="0037359D">
      <w:pPr>
        <w:spacing w:line="240" w:lineRule="auto"/>
        <w:rPr>
          <w:rFonts w:ascii="Times New Roman" w:hAnsi="Times New Roman"/>
          <w:sz w:val="24"/>
        </w:rPr>
      </w:pPr>
      <w:r>
        <w:rPr>
          <w:rFonts w:ascii="Times New Roman" w:hAnsi="Times New Roman"/>
          <w:i/>
          <w:iCs/>
          <w:sz w:val="24"/>
        </w:rPr>
        <w:t>Tablica 19. Prikaz pokazatelja rezultata provedbe mjere 1.4.</w:t>
      </w:r>
    </w:p>
    <w:tbl>
      <w:tblPr>
        <w:tblStyle w:val="Reetkatablice9"/>
        <w:tblW w:w="0" w:type="auto"/>
        <w:tblLook w:val="04A0" w:firstRow="1" w:lastRow="0" w:firstColumn="1" w:lastColumn="0" w:noHBand="0" w:noVBand="1"/>
      </w:tblPr>
      <w:tblGrid>
        <w:gridCol w:w="4520"/>
        <w:gridCol w:w="1414"/>
        <w:gridCol w:w="1702"/>
        <w:gridCol w:w="1986"/>
      </w:tblGrid>
      <w:tr w:rsidR="00496804" w14:paraId="45D05E96" w14:textId="77777777">
        <w:tc>
          <w:tcPr>
            <w:tcW w:w="4520" w:type="dxa"/>
            <w:shd w:val="clear" w:color="auto" w:fill="FFCCA6" w:themeFill="accent5" w:themeFillTint="66"/>
            <w:vAlign w:val="center"/>
          </w:tcPr>
          <w:p w14:paraId="45D05E92" w14:textId="77777777" w:rsidR="00496804" w:rsidRDefault="0037359D">
            <w:pPr>
              <w:tabs>
                <w:tab w:val="left" w:pos="426"/>
              </w:tabs>
              <w:spacing w:before="240" w:after="200" w:line="240" w:lineRule="auto"/>
              <w:rPr>
                <w:rFonts w:ascii="Times New Roman" w:eastAsia="Calibri" w:hAnsi="Times New Roman"/>
                <w:b/>
                <w:bCs/>
                <w:sz w:val="24"/>
                <w:lang w:eastAsia="en-US"/>
              </w:rPr>
            </w:pPr>
            <w:r>
              <w:rPr>
                <w:rFonts w:ascii="Times New Roman" w:eastAsia="Calibri" w:hAnsi="Times New Roman"/>
                <w:b/>
                <w:bCs/>
                <w:sz w:val="24"/>
                <w:lang w:eastAsia="en-US"/>
              </w:rPr>
              <w:t>Pokazatelj rezultata provedbe mjere</w:t>
            </w:r>
          </w:p>
        </w:tc>
        <w:tc>
          <w:tcPr>
            <w:tcW w:w="1414" w:type="dxa"/>
            <w:shd w:val="clear" w:color="auto" w:fill="FFCCA6" w:themeFill="accent5" w:themeFillTint="66"/>
            <w:vAlign w:val="center"/>
          </w:tcPr>
          <w:p w14:paraId="45D05E93"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Mjerna jedinica</w:t>
            </w:r>
          </w:p>
        </w:tc>
        <w:tc>
          <w:tcPr>
            <w:tcW w:w="1702" w:type="dxa"/>
            <w:shd w:val="clear" w:color="auto" w:fill="FFCCA6" w:themeFill="accent5" w:themeFillTint="66"/>
            <w:vAlign w:val="center"/>
          </w:tcPr>
          <w:p w14:paraId="45D05E94"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Početna vrijednost</w:t>
            </w:r>
          </w:p>
        </w:tc>
        <w:tc>
          <w:tcPr>
            <w:tcW w:w="1986" w:type="dxa"/>
            <w:shd w:val="clear" w:color="auto" w:fill="FFCCA6" w:themeFill="accent5" w:themeFillTint="66"/>
            <w:vAlign w:val="center"/>
          </w:tcPr>
          <w:p w14:paraId="45D05E95"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Ciljana vrijednost 2030.</w:t>
            </w:r>
          </w:p>
        </w:tc>
      </w:tr>
      <w:tr w:rsidR="00496804" w14:paraId="45D05E9B" w14:textId="77777777">
        <w:tc>
          <w:tcPr>
            <w:tcW w:w="4520" w:type="dxa"/>
            <w:vAlign w:val="center"/>
          </w:tcPr>
          <w:p w14:paraId="45D05E97" w14:textId="77777777" w:rsidR="00496804" w:rsidRDefault="0037359D">
            <w:pPr>
              <w:tabs>
                <w:tab w:val="left" w:pos="426"/>
              </w:tabs>
              <w:spacing w:before="120" w:after="120" w:line="240" w:lineRule="auto"/>
              <w:jc w:val="left"/>
              <w:rPr>
                <w:rFonts w:ascii="Times New Roman" w:eastAsia="Calibri" w:hAnsi="Times New Roman"/>
                <w:sz w:val="24"/>
                <w:lang w:eastAsia="en-US"/>
              </w:rPr>
            </w:pPr>
            <w:r>
              <w:rPr>
                <w:rFonts w:ascii="Times New Roman" w:eastAsia="Calibri" w:hAnsi="Times New Roman"/>
                <w:sz w:val="24"/>
                <w:lang w:eastAsia="en-US"/>
              </w:rPr>
              <w:t>Izrađena digitalna baza projekata kružnog gospodarenja prostorom i zgradama</w:t>
            </w:r>
          </w:p>
        </w:tc>
        <w:tc>
          <w:tcPr>
            <w:tcW w:w="1414" w:type="dxa"/>
            <w:vAlign w:val="center"/>
          </w:tcPr>
          <w:p w14:paraId="45D05E98"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broj</w:t>
            </w:r>
          </w:p>
        </w:tc>
        <w:tc>
          <w:tcPr>
            <w:tcW w:w="1702" w:type="dxa"/>
            <w:vAlign w:val="center"/>
          </w:tcPr>
          <w:p w14:paraId="45D05E99"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0</w:t>
            </w:r>
          </w:p>
        </w:tc>
        <w:tc>
          <w:tcPr>
            <w:tcW w:w="1986" w:type="dxa"/>
            <w:vAlign w:val="center"/>
          </w:tcPr>
          <w:p w14:paraId="45D05E9A"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1</w:t>
            </w:r>
          </w:p>
        </w:tc>
      </w:tr>
    </w:tbl>
    <w:p w14:paraId="45D05E9C" w14:textId="77777777" w:rsidR="00496804" w:rsidRDefault="00496804">
      <w:pPr>
        <w:spacing w:line="240" w:lineRule="auto"/>
        <w:ind w:left="709" w:hanging="709"/>
        <w:rPr>
          <w:rFonts w:ascii="Times New Roman" w:hAnsi="Times New Roman"/>
          <w:sz w:val="24"/>
        </w:rPr>
      </w:pPr>
    </w:p>
    <w:p w14:paraId="45D05E9D" w14:textId="77777777" w:rsidR="00496804" w:rsidRDefault="0037359D">
      <w:pPr>
        <w:spacing w:line="240" w:lineRule="auto"/>
        <w:jc w:val="left"/>
        <w:rPr>
          <w:rFonts w:ascii="Times New Roman" w:hAnsi="Times New Roman"/>
          <w:sz w:val="24"/>
        </w:rPr>
      </w:pPr>
      <w:r>
        <w:rPr>
          <w:rFonts w:ascii="Times New Roman" w:hAnsi="Times New Roman"/>
          <w:sz w:val="24"/>
        </w:rPr>
        <w:br w:type="page"/>
      </w:r>
    </w:p>
    <w:p w14:paraId="45D05E9E" w14:textId="77777777" w:rsidR="00496804" w:rsidRDefault="0037359D">
      <w:pPr>
        <w:tabs>
          <w:tab w:val="left" w:pos="426"/>
        </w:tabs>
        <w:spacing w:line="240" w:lineRule="auto"/>
        <w:rPr>
          <w:rFonts w:ascii="Times New Roman" w:eastAsia="Calibri" w:hAnsi="Times New Roman"/>
          <w:b/>
          <w:bCs/>
          <w:sz w:val="24"/>
          <w:lang w:eastAsia="en-US"/>
        </w:rPr>
      </w:pPr>
      <w:r>
        <w:rPr>
          <w:rFonts w:ascii="Times New Roman" w:eastAsia="Calibri" w:hAnsi="Times New Roman"/>
          <w:b/>
          <w:bCs/>
          <w:sz w:val="24"/>
          <w:lang w:eastAsia="en-US"/>
        </w:rPr>
        <w:lastRenderedPageBreak/>
        <w:t xml:space="preserve">MJERA 1.5. </w:t>
      </w:r>
    </w:p>
    <w:p w14:paraId="45D05E9F" w14:textId="77777777" w:rsidR="00496804" w:rsidRDefault="0037359D">
      <w:pPr>
        <w:pBdr>
          <w:bottom w:val="single" w:sz="4" w:space="1" w:color="auto"/>
        </w:pBdr>
        <w:tabs>
          <w:tab w:val="left" w:pos="426"/>
        </w:tabs>
        <w:spacing w:line="240" w:lineRule="auto"/>
        <w:rPr>
          <w:rFonts w:ascii="Times New Roman" w:eastAsia="Calibri" w:hAnsi="Times New Roman"/>
          <w:b/>
          <w:bCs/>
          <w:sz w:val="24"/>
          <w:lang w:eastAsia="en-US"/>
        </w:rPr>
      </w:pPr>
      <w:r>
        <w:rPr>
          <w:rFonts w:ascii="Times New Roman" w:eastAsia="Calibri" w:hAnsi="Times New Roman"/>
          <w:b/>
          <w:bCs/>
          <w:sz w:val="24"/>
          <w:lang w:eastAsia="en-US"/>
        </w:rPr>
        <w:t xml:space="preserve">Unaprjeđenje međusektorske i međunarodne suradnje </w:t>
      </w:r>
    </w:p>
    <w:p w14:paraId="45D05EA0" w14:textId="77777777" w:rsidR="00496804" w:rsidRDefault="00496804">
      <w:pPr>
        <w:spacing w:line="240" w:lineRule="auto"/>
        <w:rPr>
          <w:rFonts w:ascii="Times New Roman" w:eastAsia="Calibri" w:hAnsi="Times New Roman"/>
          <w:sz w:val="24"/>
          <w:lang w:eastAsia="en-US"/>
        </w:rPr>
      </w:pPr>
    </w:p>
    <w:p w14:paraId="45D05EA1" w14:textId="77777777" w:rsidR="00496804" w:rsidRDefault="0037359D">
      <w:pPr>
        <w:spacing w:after="120" w:line="240" w:lineRule="auto"/>
        <w:rPr>
          <w:rFonts w:ascii="Times New Roman" w:eastAsia="Calibri" w:hAnsi="Times New Roman"/>
          <w:sz w:val="24"/>
          <w:lang w:eastAsia="en-US"/>
        </w:rPr>
      </w:pPr>
      <w:r>
        <w:rPr>
          <w:rFonts w:ascii="Times New Roman" w:eastAsia="Calibri" w:hAnsi="Times New Roman"/>
          <w:sz w:val="24"/>
          <w:lang w:eastAsia="en-US"/>
        </w:rPr>
        <w:t xml:space="preserve">U svrhu ostvarenja cilja kvalitetnog upravljanja razvojem kružnog gospodarenja prostorom i zgradama, ističe se potreba za unaprjeđenjem međusektorske europske i međunarodne suradnje s različitim relevantnim dionicima, koja uključuje obostranu razmjenu znanja i iskustava. </w:t>
      </w:r>
      <w:r>
        <w:rPr>
          <w:rFonts w:ascii="Times New Roman" w:hAnsi="Times New Roman"/>
          <w:sz w:val="24"/>
        </w:rPr>
        <w:t>Razvoj novih instrumenata prostornog planiranja može omogućiti društvenu koheziju i gospodarsku stabilnost kroz poticanje održivog razvoja i međusektorsku suradnju te uključivanje različitih dionika.</w:t>
      </w:r>
    </w:p>
    <w:p w14:paraId="45D05EA2" w14:textId="77777777" w:rsidR="00496804" w:rsidRDefault="00496804">
      <w:pPr>
        <w:spacing w:line="240" w:lineRule="auto"/>
        <w:rPr>
          <w:rFonts w:ascii="Times New Roman" w:eastAsia="Calibri" w:hAnsi="Times New Roman"/>
          <w:sz w:val="24"/>
          <w:lang w:eastAsia="en-US"/>
        </w:rPr>
      </w:pPr>
    </w:p>
    <w:p w14:paraId="45D05EA3" w14:textId="77777777" w:rsidR="00496804" w:rsidRDefault="0037359D">
      <w:pPr>
        <w:spacing w:line="259" w:lineRule="auto"/>
        <w:rPr>
          <w:rFonts w:ascii="Times New Roman" w:eastAsia="Calibri" w:hAnsi="Times New Roman"/>
          <w:b/>
          <w:bCs/>
          <w:sz w:val="24"/>
          <w:lang w:eastAsia="en-US"/>
        </w:rPr>
      </w:pPr>
      <w:r>
        <w:rPr>
          <w:rFonts w:ascii="Times New Roman" w:eastAsia="Calibri" w:hAnsi="Times New Roman"/>
          <w:b/>
          <w:bCs/>
          <w:sz w:val="24"/>
          <w:lang w:eastAsia="en-US"/>
        </w:rPr>
        <w:t>Aktivnosti:</w:t>
      </w:r>
    </w:p>
    <w:p w14:paraId="45D05EA4" w14:textId="77777777" w:rsidR="00496804" w:rsidRDefault="0037359D">
      <w:pPr>
        <w:pStyle w:val="Odlomakpopisa"/>
        <w:numPr>
          <w:ilvl w:val="2"/>
          <w:numId w:val="28"/>
        </w:numPr>
        <w:spacing w:line="240" w:lineRule="auto"/>
        <w:ind w:hanging="646"/>
        <w:rPr>
          <w:rFonts w:ascii="Times New Roman" w:hAnsi="Times New Roman"/>
          <w:b w:val="0"/>
          <w:bCs/>
          <w:sz w:val="24"/>
        </w:rPr>
      </w:pPr>
      <w:r>
        <w:rPr>
          <w:rFonts w:ascii="Times New Roman" w:hAnsi="Times New Roman"/>
          <w:b w:val="0"/>
          <w:bCs/>
          <w:sz w:val="24"/>
        </w:rPr>
        <w:t>Poticanje suradnje unutar platforme dionika za istraživanje, implementaciju, komunikaciju i suradnju dionika u kružnom gospodarenju prostorom i zgradama</w:t>
      </w:r>
    </w:p>
    <w:p w14:paraId="45D05EA5" w14:textId="77777777" w:rsidR="00496804" w:rsidRDefault="0037359D">
      <w:pPr>
        <w:pStyle w:val="Odlomakpopisa"/>
        <w:numPr>
          <w:ilvl w:val="2"/>
          <w:numId w:val="28"/>
        </w:numPr>
        <w:spacing w:line="240" w:lineRule="auto"/>
        <w:ind w:hanging="646"/>
        <w:rPr>
          <w:rFonts w:ascii="Times New Roman" w:hAnsi="Times New Roman"/>
          <w:b w:val="0"/>
          <w:bCs/>
          <w:sz w:val="24"/>
        </w:rPr>
      </w:pPr>
      <w:r>
        <w:rPr>
          <w:rFonts w:ascii="Times New Roman" w:hAnsi="Times New Roman"/>
          <w:b w:val="0"/>
          <w:bCs/>
          <w:sz w:val="24"/>
        </w:rPr>
        <w:t>Izrada programa međunarodne suradnje</w:t>
      </w:r>
    </w:p>
    <w:p w14:paraId="45D05EA6" w14:textId="77777777" w:rsidR="00496804" w:rsidRDefault="0037359D">
      <w:pPr>
        <w:pStyle w:val="Odlomakpopisa"/>
        <w:numPr>
          <w:ilvl w:val="2"/>
          <w:numId w:val="28"/>
        </w:numPr>
        <w:spacing w:line="240" w:lineRule="auto"/>
        <w:ind w:hanging="646"/>
        <w:rPr>
          <w:rFonts w:ascii="Times New Roman" w:hAnsi="Times New Roman"/>
          <w:b w:val="0"/>
          <w:bCs/>
          <w:sz w:val="24"/>
        </w:rPr>
      </w:pPr>
      <w:r>
        <w:rPr>
          <w:rFonts w:ascii="Times New Roman" w:hAnsi="Times New Roman"/>
          <w:b w:val="0"/>
          <w:bCs/>
          <w:sz w:val="24"/>
        </w:rPr>
        <w:t>Suradnja s međunarodnim institucijama i stručnjacima na razvoju integralnog pristupa održivom razvoju urbanih područja kroz kružno gospodarenje prostorom i zgradama koji integralno sagledava zgrade i njihov okoliš, energetsku učinkovitost i razvoj zelene infrastrukture</w:t>
      </w:r>
    </w:p>
    <w:p w14:paraId="45D05EA7" w14:textId="77777777" w:rsidR="00496804" w:rsidRDefault="0037359D">
      <w:pPr>
        <w:pStyle w:val="Odlomakpopisa"/>
        <w:numPr>
          <w:ilvl w:val="2"/>
          <w:numId w:val="28"/>
        </w:numPr>
        <w:spacing w:line="240" w:lineRule="auto"/>
        <w:ind w:hanging="646"/>
        <w:rPr>
          <w:rFonts w:ascii="Times New Roman" w:hAnsi="Times New Roman"/>
          <w:b w:val="0"/>
          <w:bCs/>
          <w:sz w:val="24"/>
        </w:rPr>
      </w:pPr>
      <w:r>
        <w:rPr>
          <w:rFonts w:ascii="Times New Roman" w:hAnsi="Times New Roman"/>
          <w:b w:val="0"/>
          <w:bCs/>
          <w:sz w:val="24"/>
        </w:rPr>
        <w:t xml:space="preserve">Organiziranje skupova (kao npr. konferencije, seminari, radionice, studijski posjeti, sajmovi, okrugli stolovi, rasprave) za stručnjake i stručnu javnost, s ciljem razmjene znanja i iskustava te educiranja na temelju primjera dobre prakse </w:t>
      </w:r>
    </w:p>
    <w:p w14:paraId="45D05EA8" w14:textId="77777777" w:rsidR="00496804" w:rsidRDefault="0037359D">
      <w:pPr>
        <w:pStyle w:val="Odlomakpopisa"/>
        <w:numPr>
          <w:ilvl w:val="2"/>
          <w:numId w:val="28"/>
        </w:numPr>
        <w:spacing w:line="240" w:lineRule="auto"/>
        <w:ind w:hanging="646"/>
        <w:rPr>
          <w:rFonts w:ascii="Times New Roman" w:hAnsi="Times New Roman"/>
          <w:b w:val="0"/>
          <w:bCs/>
          <w:sz w:val="24"/>
        </w:rPr>
      </w:pPr>
      <w:r>
        <w:rPr>
          <w:rFonts w:ascii="Times New Roman" w:hAnsi="Times New Roman"/>
          <w:b w:val="0"/>
          <w:bCs/>
          <w:sz w:val="24"/>
        </w:rPr>
        <w:t xml:space="preserve">Sudjelovanje na skupovima (npr. konferencije, seminari, radionice, studijski posjeti, sajmovi, okrugli stolovi, rasprave) za stručnjake i stručnu javnost, s ciljem razmjene znanja i iskustava te educiranja na temelju primjera dobre prakse  </w:t>
      </w:r>
    </w:p>
    <w:p w14:paraId="45D05EA9" w14:textId="77777777" w:rsidR="00496804" w:rsidRDefault="0037359D">
      <w:pPr>
        <w:pStyle w:val="Odlomakpopisa"/>
        <w:numPr>
          <w:ilvl w:val="2"/>
          <w:numId w:val="28"/>
        </w:numPr>
        <w:spacing w:line="240" w:lineRule="auto"/>
        <w:ind w:hanging="646"/>
        <w:rPr>
          <w:rFonts w:ascii="Times New Roman" w:hAnsi="Times New Roman"/>
          <w:b w:val="0"/>
          <w:bCs/>
          <w:sz w:val="24"/>
        </w:rPr>
      </w:pPr>
      <w:r>
        <w:rPr>
          <w:rFonts w:ascii="Times New Roman" w:hAnsi="Times New Roman"/>
          <w:b w:val="0"/>
          <w:bCs/>
          <w:sz w:val="24"/>
        </w:rPr>
        <w:t>Povećanje društvene kohezije i gospodarske stabilnosti kroz alate prostornog planiranja</w:t>
      </w:r>
    </w:p>
    <w:p w14:paraId="45D05EAA" w14:textId="77777777" w:rsidR="00496804" w:rsidRDefault="00496804">
      <w:pPr>
        <w:spacing w:line="240" w:lineRule="auto"/>
        <w:rPr>
          <w:rFonts w:ascii="Times New Roman" w:hAnsi="Times New Roman"/>
          <w:sz w:val="24"/>
        </w:rPr>
      </w:pPr>
    </w:p>
    <w:p w14:paraId="45D05EAB" w14:textId="77777777" w:rsidR="00496804" w:rsidRDefault="0037359D">
      <w:pPr>
        <w:spacing w:line="240" w:lineRule="auto"/>
        <w:rPr>
          <w:rFonts w:ascii="Times New Roman" w:hAnsi="Times New Roman"/>
          <w:sz w:val="24"/>
        </w:rPr>
      </w:pPr>
      <w:r>
        <w:rPr>
          <w:rFonts w:ascii="Times New Roman" w:hAnsi="Times New Roman"/>
          <w:i/>
          <w:iCs/>
          <w:sz w:val="24"/>
        </w:rPr>
        <w:t>Tablica 20. Prikaz pokazatelja rezultata provedbe mjere 1.5.</w:t>
      </w:r>
    </w:p>
    <w:tbl>
      <w:tblPr>
        <w:tblStyle w:val="Reetkatablice11"/>
        <w:tblW w:w="0" w:type="auto"/>
        <w:tblLook w:val="04A0" w:firstRow="1" w:lastRow="0" w:firstColumn="1" w:lastColumn="0" w:noHBand="0" w:noVBand="1"/>
      </w:tblPr>
      <w:tblGrid>
        <w:gridCol w:w="4542"/>
        <w:gridCol w:w="1411"/>
        <w:gridCol w:w="1689"/>
        <w:gridCol w:w="1980"/>
      </w:tblGrid>
      <w:tr w:rsidR="00496804" w14:paraId="45D05EB0" w14:textId="77777777">
        <w:tc>
          <w:tcPr>
            <w:tcW w:w="4542" w:type="dxa"/>
            <w:shd w:val="clear" w:color="auto" w:fill="FFCCA6" w:themeFill="accent5" w:themeFillTint="66"/>
          </w:tcPr>
          <w:p w14:paraId="45D05EAC" w14:textId="77777777" w:rsidR="00496804" w:rsidRDefault="0037359D">
            <w:pPr>
              <w:tabs>
                <w:tab w:val="left" w:pos="426"/>
              </w:tabs>
              <w:spacing w:before="240" w:after="200" w:line="240" w:lineRule="auto"/>
              <w:rPr>
                <w:rFonts w:ascii="Times New Roman" w:eastAsia="Calibri" w:hAnsi="Times New Roman"/>
                <w:b/>
                <w:bCs/>
                <w:sz w:val="24"/>
                <w:lang w:eastAsia="en-US"/>
              </w:rPr>
            </w:pPr>
            <w:r>
              <w:rPr>
                <w:rFonts w:ascii="Times New Roman" w:eastAsia="Calibri" w:hAnsi="Times New Roman"/>
                <w:b/>
                <w:bCs/>
                <w:sz w:val="24"/>
                <w:lang w:eastAsia="en-US"/>
              </w:rPr>
              <w:t>Pokazatelj rezultata provedbe mjere</w:t>
            </w:r>
          </w:p>
        </w:tc>
        <w:tc>
          <w:tcPr>
            <w:tcW w:w="1411" w:type="dxa"/>
            <w:shd w:val="clear" w:color="auto" w:fill="FFCCA6" w:themeFill="accent5" w:themeFillTint="66"/>
          </w:tcPr>
          <w:p w14:paraId="45D05EAD"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Mjerna jedinica</w:t>
            </w:r>
          </w:p>
        </w:tc>
        <w:tc>
          <w:tcPr>
            <w:tcW w:w="1689" w:type="dxa"/>
            <w:shd w:val="clear" w:color="auto" w:fill="FFCCA6" w:themeFill="accent5" w:themeFillTint="66"/>
            <w:vAlign w:val="center"/>
          </w:tcPr>
          <w:p w14:paraId="45D05EAE"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Početna vrijednost</w:t>
            </w:r>
          </w:p>
        </w:tc>
        <w:tc>
          <w:tcPr>
            <w:tcW w:w="1980" w:type="dxa"/>
            <w:shd w:val="clear" w:color="auto" w:fill="FFCCA6" w:themeFill="accent5" w:themeFillTint="66"/>
          </w:tcPr>
          <w:p w14:paraId="45D05EAF"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Ciljana vrijednost 2030.</w:t>
            </w:r>
          </w:p>
        </w:tc>
      </w:tr>
      <w:tr w:rsidR="00496804" w14:paraId="45D05EB5" w14:textId="77777777">
        <w:tc>
          <w:tcPr>
            <w:tcW w:w="4542" w:type="dxa"/>
            <w:vAlign w:val="center"/>
          </w:tcPr>
          <w:p w14:paraId="45D05EB1" w14:textId="77777777" w:rsidR="00496804" w:rsidRDefault="0037359D">
            <w:pPr>
              <w:tabs>
                <w:tab w:val="left" w:pos="426"/>
              </w:tabs>
              <w:spacing w:before="120" w:after="120" w:line="240" w:lineRule="auto"/>
              <w:jc w:val="left"/>
              <w:rPr>
                <w:rFonts w:ascii="Times New Roman" w:eastAsia="Calibri" w:hAnsi="Times New Roman"/>
                <w:sz w:val="24"/>
                <w:lang w:eastAsia="en-US"/>
              </w:rPr>
            </w:pPr>
            <w:r>
              <w:rPr>
                <w:rFonts w:ascii="Times New Roman" w:eastAsia="Calibri" w:hAnsi="Times New Roman"/>
                <w:sz w:val="24"/>
                <w:lang w:eastAsia="en-US"/>
              </w:rPr>
              <w:t xml:space="preserve">Organizirana vlastita međunarodna događanja od strane tijela nadležnog za izradu i provedbu ovog Programa i sudjelovanja djelatnika nadležnog tijela na međunarodnim događanjima u inozemstvu, na temu kružnog gospodarenja prostorom i zgradama i povezanih tema </w:t>
            </w:r>
          </w:p>
        </w:tc>
        <w:tc>
          <w:tcPr>
            <w:tcW w:w="1411" w:type="dxa"/>
            <w:vAlign w:val="center"/>
          </w:tcPr>
          <w:p w14:paraId="45D05EB2"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broj</w:t>
            </w:r>
          </w:p>
        </w:tc>
        <w:tc>
          <w:tcPr>
            <w:tcW w:w="1689" w:type="dxa"/>
            <w:vAlign w:val="center"/>
          </w:tcPr>
          <w:p w14:paraId="45D05EB3"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0</w:t>
            </w:r>
          </w:p>
        </w:tc>
        <w:tc>
          <w:tcPr>
            <w:tcW w:w="1980" w:type="dxa"/>
            <w:vAlign w:val="center"/>
          </w:tcPr>
          <w:p w14:paraId="45D05EB4"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20</w:t>
            </w:r>
          </w:p>
        </w:tc>
      </w:tr>
    </w:tbl>
    <w:p w14:paraId="45D05EB6" w14:textId="77777777" w:rsidR="00496804" w:rsidRDefault="00496804">
      <w:pPr>
        <w:spacing w:line="240" w:lineRule="auto"/>
        <w:rPr>
          <w:rFonts w:ascii="Times New Roman" w:hAnsi="Times New Roman"/>
          <w:sz w:val="24"/>
        </w:rPr>
      </w:pPr>
    </w:p>
    <w:p w14:paraId="45D05EB7" w14:textId="77777777" w:rsidR="00496804" w:rsidRDefault="0037359D">
      <w:pPr>
        <w:spacing w:line="240" w:lineRule="auto"/>
        <w:jc w:val="left"/>
        <w:rPr>
          <w:rFonts w:ascii="Times New Roman" w:hAnsi="Times New Roman"/>
          <w:sz w:val="24"/>
        </w:rPr>
      </w:pPr>
      <w:r>
        <w:rPr>
          <w:rFonts w:ascii="Times New Roman" w:hAnsi="Times New Roman"/>
          <w:sz w:val="24"/>
        </w:rPr>
        <w:br w:type="page"/>
      </w:r>
    </w:p>
    <w:p w14:paraId="45D05EB8" w14:textId="77777777" w:rsidR="00496804" w:rsidRDefault="0037359D">
      <w:pPr>
        <w:pStyle w:val="tekst"/>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POSEBNI CILJ 2.</w:t>
      </w:r>
      <w:r>
        <w:rPr>
          <w:rFonts w:ascii="Times New Roman" w:hAnsi="Times New Roman" w:cs="Times New Roman"/>
          <w:b/>
          <w:bCs/>
          <w:sz w:val="24"/>
          <w:szCs w:val="24"/>
        </w:rPr>
        <w:tab/>
        <w:t>KRUŽNA OBNOVA NEKORIŠTENIH PROSTORA I ZGRADA</w:t>
      </w:r>
    </w:p>
    <w:p w14:paraId="45D05EB9" w14:textId="77777777" w:rsidR="00496804" w:rsidRDefault="00496804">
      <w:pPr>
        <w:spacing w:line="240" w:lineRule="auto"/>
        <w:rPr>
          <w:rFonts w:ascii="Times New Roman" w:hAnsi="Times New Roman"/>
          <w:b/>
          <w:bCs/>
          <w:sz w:val="24"/>
        </w:rPr>
      </w:pPr>
    </w:p>
    <w:p w14:paraId="45D05EBA" w14:textId="77777777" w:rsidR="00496804" w:rsidRDefault="0037359D">
      <w:pPr>
        <w:spacing w:line="240" w:lineRule="auto"/>
        <w:rPr>
          <w:rFonts w:ascii="Times New Roman" w:hAnsi="Times New Roman"/>
          <w:b/>
          <w:bCs/>
          <w:sz w:val="24"/>
        </w:rPr>
      </w:pPr>
      <w:r>
        <w:rPr>
          <w:rFonts w:ascii="Times New Roman" w:hAnsi="Times New Roman"/>
          <w:b/>
          <w:bCs/>
          <w:sz w:val="24"/>
        </w:rPr>
        <w:t xml:space="preserve">MJERA 2.1. </w:t>
      </w:r>
    </w:p>
    <w:p w14:paraId="45D05EBB" w14:textId="77777777" w:rsidR="00496804" w:rsidRDefault="0037359D">
      <w:pPr>
        <w:pBdr>
          <w:bottom w:val="single" w:sz="4" w:space="1" w:color="auto"/>
        </w:pBdr>
        <w:spacing w:line="240" w:lineRule="auto"/>
        <w:rPr>
          <w:rFonts w:ascii="Times New Roman" w:hAnsi="Times New Roman"/>
          <w:b/>
          <w:bCs/>
          <w:sz w:val="24"/>
        </w:rPr>
      </w:pPr>
      <w:r>
        <w:rPr>
          <w:rFonts w:ascii="Times New Roman" w:hAnsi="Times New Roman"/>
          <w:b/>
          <w:bCs/>
          <w:sz w:val="24"/>
        </w:rPr>
        <w:t>Provedba pilot projekata</w:t>
      </w:r>
    </w:p>
    <w:p w14:paraId="45D05EBC" w14:textId="77777777" w:rsidR="00496804" w:rsidRDefault="00496804">
      <w:pPr>
        <w:spacing w:line="240" w:lineRule="auto"/>
        <w:rPr>
          <w:rFonts w:ascii="Times New Roman" w:hAnsi="Times New Roman"/>
          <w:sz w:val="24"/>
        </w:rPr>
      </w:pPr>
    </w:p>
    <w:p w14:paraId="45D05EBD" w14:textId="77777777" w:rsidR="00496804" w:rsidRDefault="0037359D">
      <w:pPr>
        <w:spacing w:line="240" w:lineRule="auto"/>
        <w:rPr>
          <w:rFonts w:ascii="Times New Roman" w:hAnsi="Times New Roman"/>
          <w:sz w:val="24"/>
        </w:rPr>
      </w:pPr>
      <w:r>
        <w:rPr>
          <w:rFonts w:ascii="Times New Roman" w:hAnsi="Times New Roman"/>
          <w:sz w:val="24"/>
        </w:rPr>
        <w:t xml:space="preserve">Mjera je usmjerena na raspisivanje pilot poziva koji će poslužiti za razradu metodologije i smjernica za kružno gospodarenje prostorom i zgradama. Projekti iz pilot poziva će biti usmjereni na dvije najvažnije stavke ovog cilja: kružnu obnovu nekorištenih zgrada te kružnu obnovu nekorištenih zona (monofunkcionalnih ili polifunkcionalnih zona). Predviđa se i pilot projekt kroz koji će se omogućiti umrežavanje maksimalno 10 jedinica lokalne ili regionalne samouprave. Projektni partneri će u okviru projekta razmijeniti svoja iskustva te slijedom provedene razmjene izraditi svoje studije, strategije i/ili planove kružnog gospodarenja prostorom i zgradama lokalne ili regionalne razine. </w:t>
      </w:r>
    </w:p>
    <w:p w14:paraId="45D05EBE" w14:textId="77777777" w:rsidR="00496804" w:rsidRDefault="00496804">
      <w:pPr>
        <w:spacing w:line="240" w:lineRule="auto"/>
        <w:rPr>
          <w:rFonts w:ascii="Times New Roman" w:hAnsi="Times New Roman"/>
          <w:sz w:val="24"/>
        </w:rPr>
      </w:pPr>
    </w:p>
    <w:p w14:paraId="45D05EBF" w14:textId="77777777" w:rsidR="00496804" w:rsidRDefault="0037359D">
      <w:pPr>
        <w:spacing w:line="259" w:lineRule="auto"/>
        <w:rPr>
          <w:rFonts w:ascii="Times New Roman" w:hAnsi="Times New Roman"/>
          <w:sz w:val="24"/>
        </w:rPr>
      </w:pPr>
      <w:r>
        <w:rPr>
          <w:rFonts w:ascii="Times New Roman" w:hAnsi="Times New Roman"/>
          <w:b/>
          <w:bCs/>
          <w:sz w:val="24"/>
        </w:rPr>
        <w:t>Aktivnosti:</w:t>
      </w:r>
    </w:p>
    <w:p w14:paraId="45D05EC0" w14:textId="77777777" w:rsidR="00496804" w:rsidRDefault="0037359D">
      <w:pPr>
        <w:spacing w:line="240" w:lineRule="auto"/>
        <w:ind w:left="709" w:hanging="709"/>
        <w:rPr>
          <w:rFonts w:ascii="Times New Roman" w:eastAsiaTheme="minorHAnsi" w:hAnsi="Times New Roman"/>
          <w:bCs/>
          <w:sz w:val="24"/>
        </w:rPr>
      </w:pPr>
      <w:r>
        <w:rPr>
          <w:rFonts w:ascii="Times New Roman" w:eastAsiaTheme="minorHAnsi" w:hAnsi="Times New Roman"/>
          <w:bCs/>
          <w:sz w:val="24"/>
        </w:rPr>
        <w:t xml:space="preserve">2.1.1. </w:t>
      </w:r>
      <w:r>
        <w:rPr>
          <w:rFonts w:ascii="Times New Roman" w:eastAsiaTheme="minorHAnsi" w:hAnsi="Times New Roman"/>
          <w:bCs/>
          <w:sz w:val="24"/>
        </w:rPr>
        <w:tab/>
        <w:t>Izrada analize mogućih pilot projekata i plana njihove provedbe</w:t>
      </w:r>
    </w:p>
    <w:p w14:paraId="45D05EC1" w14:textId="77777777" w:rsidR="00496804" w:rsidRDefault="0037359D">
      <w:pPr>
        <w:spacing w:line="240" w:lineRule="auto"/>
        <w:ind w:left="709" w:hanging="709"/>
        <w:rPr>
          <w:rFonts w:ascii="Times New Roman" w:eastAsiaTheme="minorHAnsi" w:hAnsi="Times New Roman"/>
          <w:bCs/>
          <w:sz w:val="24"/>
        </w:rPr>
      </w:pPr>
      <w:r>
        <w:rPr>
          <w:rFonts w:ascii="Times New Roman" w:eastAsiaTheme="minorHAnsi" w:hAnsi="Times New Roman"/>
          <w:bCs/>
          <w:sz w:val="24"/>
        </w:rPr>
        <w:t xml:space="preserve">2.1.2. </w:t>
      </w:r>
      <w:r>
        <w:rPr>
          <w:rFonts w:ascii="Times New Roman" w:eastAsiaTheme="minorHAnsi" w:hAnsi="Times New Roman"/>
          <w:bCs/>
          <w:sz w:val="24"/>
        </w:rPr>
        <w:tab/>
        <w:t>Provedba pilot projekta kružne obnove nekorištenih zgrada</w:t>
      </w:r>
    </w:p>
    <w:p w14:paraId="45D05EC2" w14:textId="77777777" w:rsidR="00496804" w:rsidRDefault="0037359D">
      <w:pPr>
        <w:spacing w:line="240" w:lineRule="auto"/>
        <w:ind w:left="709" w:hanging="709"/>
        <w:rPr>
          <w:rFonts w:ascii="Times New Roman" w:eastAsiaTheme="minorHAnsi" w:hAnsi="Times New Roman"/>
          <w:bCs/>
          <w:sz w:val="24"/>
        </w:rPr>
      </w:pPr>
      <w:r>
        <w:rPr>
          <w:rFonts w:ascii="Times New Roman" w:eastAsiaTheme="minorHAnsi" w:hAnsi="Times New Roman"/>
          <w:bCs/>
          <w:sz w:val="24"/>
        </w:rPr>
        <w:t xml:space="preserve">2.1.3. </w:t>
      </w:r>
      <w:r>
        <w:rPr>
          <w:rFonts w:ascii="Times New Roman" w:eastAsiaTheme="minorHAnsi" w:hAnsi="Times New Roman"/>
          <w:bCs/>
          <w:sz w:val="24"/>
        </w:rPr>
        <w:tab/>
        <w:t>Provedba pilot projekta kružne obnove nekorištenih zona (monofunkcionalnih ili polifunkcionalnih)</w:t>
      </w:r>
    </w:p>
    <w:p w14:paraId="45D05EC3" w14:textId="77777777" w:rsidR="00496804" w:rsidRDefault="0037359D">
      <w:pPr>
        <w:spacing w:line="240" w:lineRule="auto"/>
        <w:ind w:left="709" w:hanging="709"/>
        <w:rPr>
          <w:rFonts w:ascii="Times New Roman" w:eastAsiaTheme="minorHAnsi" w:hAnsi="Times New Roman"/>
          <w:bCs/>
          <w:sz w:val="24"/>
        </w:rPr>
      </w:pPr>
      <w:r>
        <w:rPr>
          <w:rFonts w:ascii="Times New Roman" w:eastAsiaTheme="minorHAnsi" w:hAnsi="Times New Roman"/>
          <w:bCs/>
          <w:sz w:val="24"/>
        </w:rPr>
        <w:t xml:space="preserve">2.1.4. </w:t>
      </w:r>
      <w:r>
        <w:rPr>
          <w:rFonts w:ascii="Times New Roman" w:eastAsiaTheme="minorHAnsi" w:hAnsi="Times New Roman"/>
          <w:bCs/>
          <w:sz w:val="24"/>
        </w:rPr>
        <w:tab/>
        <w:t xml:space="preserve">Provedba pilot projekta izrade </w:t>
      </w:r>
      <w:r>
        <w:rPr>
          <w:rFonts w:ascii="Times New Roman" w:hAnsi="Times New Roman"/>
          <w:sz w:val="24"/>
        </w:rPr>
        <w:t>studija, strategija i/ili planova kružnog gospodarenja prostorom i zgradama</w:t>
      </w:r>
      <w:r>
        <w:rPr>
          <w:rFonts w:ascii="Times New Roman" w:eastAsiaTheme="minorHAnsi" w:hAnsi="Times New Roman"/>
          <w:bCs/>
          <w:sz w:val="24"/>
        </w:rPr>
        <w:t xml:space="preserve"> na lokalnoj ili regionalnoj razini </w:t>
      </w:r>
    </w:p>
    <w:p w14:paraId="45D05EC4" w14:textId="77777777" w:rsidR="00496804" w:rsidRDefault="00496804">
      <w:pPr>
        <w:spacing w:line="240" w:lineRule="auto"/>
        <w:rPr>
          <w:rFonts w:ascii="Times New Roman" w:hAnsi="Times New Roman"/>
          <w:sz w:val="24"/>
        </w:rPr>
      </w:pPr>
    </w:p>
    <w:p w14:paraId="45D05EC5" w14:textId="77777777" w:rsidR="00496804" w:rsidRDefault="0037359D">
      <w:pPr>
        <w:spacing w:line="240" w:lineRule="auto"/>
        <w:rPr>
          <w:rFonts w:ascii="Times New Roman" w:hAnsi="Times New Roman"/>
          <w:sz w:val="24"/>
        </w:rPr>
      </w:pPr>
      <w:r>
        <w:rPr>
          <w:rFonts w:ascii="Times New Roman" w:hAnsi="Times New Roman"/>
          <w:i/>
          <w:iCs/>
          <w:sz w:val="24"/>
        </w:rPr>
        <w:t>Tablica 21. Prikaz pokazatelja rezultata provedbe mjere 2.1.</w:t>
      </w:r>
    </w:p>
    <w:tbl>
      <w:tblPr>
        <w:tblStyle w:val="Reetkatablice8"/>
        <w:tblW w:w="0" w:type="auto"/>
        <w:tblLook w:val="04A0" w:firstRow="1" w:lastRow="0" w:firstColumn="1" w:lastColumn="0" w:noHBand="0" w:noVBand="1"/>
      </w:tblPr>
      <w:tblGrid>
        <w:gridCol w:w="4520"/>
        <w:gridCol w:w="1414"/>
        <w:gridCol w:w="1702"/>
        <w:gridCol w:w="1986"/>
      </w:tblGrid>
      <w:tr w:rsidR="00496804" w14:paraId="45D05ECA" w14:textId="77777777">
        <w:tc>
          <w:tcPr>
            <w:tcW w:w="4520" w:type="dxa"/>
            <w:shd w:val="clear" w:color="auto" w:fill="FFCCA6" w:themeFill="accent5" w:themeFillTint="66"/>
          </w:tcPr>
          <w:p w14:paraId="45D05EC6" w14:textId="77777777" w:rsidR="00496804" w:rsidRDefault="0037359D">
            <w:pPr>
              <w:tabs>
                <w:tab w:val="left" w:pos="426"/>
              </w:tabs>
              <w:spacing w:before="240" w:after="200" w:line="240" w:lineRule="auto"/>
              <w:rPr>
                <w:rFonts w:ascii="Times New Roman" w:eastAsia="Calibri" w:hAnsi="Times New Roman"/>
                <w:b/>
                <w:bCs/>
                <w:sz w:val="24"/>
                <w:lang w:eastAsia="en-US"/>
              </w:rPr>
            </w:pPr>
            <w:r>
              <w:rPr>
                <w:rFonts w:ascii="Times New Roman" w:eastAsia="Calibri" w:hAnsi="Times New Roman"/>
                <w:b/>
                <w:bCs/>
                <w:sz w:val="24"/>
                <w:lang w:eastAsia="en-US"/>
              </w:rPr>
              <w:t>Pokazatelj rezultata provedbe mjere</w:t>
            </w:r>
          </w:p>
        </w:tc>
        <w:tc>
          <w:tcPr>
            <w:tcW w:w="1414" w:type="dxa"/>
            <w:shd w:val="clear" w:color="auto" w:fill="FFCCA6" w:themeFill="accent5" w:themeFillTint="66"/>
          </w:tcPr>
          <w:p w14:paraId="45D05EC7"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Mjerna jedinica</w:t>
            </w:r>
          </w:p>
        </w:tc>
        <w:tc>
          <w:tcPr>
            <w:tcW w:w="1702" w:type="dxa"/>
            <w:shd w:val="clear" w:color="auto" w:fill="FFCCA6" w:themeFill="accent5" w:themeFillTint="66"/>
            <w:vAlign w:val="center"/>
          </w:tcPr>
          <w:p w14:paraId="45D05EC8"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Početna vrijednost</w:t>
            </w:r>
          </w:p>
        </w:tc>
        <w:tc>
          <w:tcPr>
            <w:tcW w:w="1986" w:type="dxa"/>
            <w:shd w:val="clear" w:color="auto" w:fill="FFCCA6" w:themeFill="accent5" w:themeFillTint="66"/>
          </w:tcPr>
          <w:p w14:paraId="45D05EC9"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Ciljana vrijednost 2030.</w:t>
            </w:r>
          </w:p>
        </w:tc>
      </w:tr>
      <w:tr w:rsidR="00496804" w14:paraId="45D05ECF" w14:textId="77777777">
        <w:tc>
          <w:tcPr>
            <w:tcW w:w="4520" w:type="dxa"/>
            <w:vAlign w:val="center"/>
          </w:tcPr>
          <w:p w14:paraId="45D05ECB" w14:textId="77777777" w:rsidR="00496804" w:rsidRDefault="0037359D">
            <w:pPr>
              <w:tabs>
                <w:tab w:val="left" w:pos="426"/>
              </w:tabs>
              <w:spacing w:before="120" w:after="120" w:line="240" w:lineRule="auto"/>
              <w:jc w:val="left"/>
              <w:rPr>
                <w:rFonts w:ascii="Times New Roman" w:eastAsia="Calibri" w:hAnsi="Times New Roman"/>
                <w:sz w:val="24"/>
                <w:lang w:eastAsia="en-US"/>
              </w:rPr>
            </w:pPr>
            <w:r>
              <w:rPr>
                <w:rFonts w:ascii="Times New Roman" w:eastAsia="Calibri" w:hAnsi="Times New Roman"/>
                <w:sz w:val="24"/>
                <w:lang w:eastAsia="en-US"/>
              </w:rPr>
              <w:t>Građevinska bruto površina (GBP) kružno obnovljenih zgrada u okviru pilot projekata</w:t>
            </w:r>
          </w:p>
        </w:tc>
        <w:tc>
          <w:tcPr>
            <w:tcW w:w="1414" w:type="dxa"/>
            <w:vAlign w:val="center"/>
          </w:tcPr>
          <w:p w14:paraId="45D05ECC" w14:textId="77777777" w:rsidR="00496804" w:rsidRDefault="0037359D">
            <w:pPr>
              <w:tabs>
                <w:tab w:val="left" w:pos="426"/>
              </w:tabs>
              <w:spacing w:before="120" w:after="120" w:line="240" w:lineRule="auto"/>
              <w:jc w:val="center"/>
              <w:rPr>
                <w:rFonts w:ascii="Times New Roman" w:eastAsia="Calibri" w:hAnsi="Times New Roman"/>
                <w:sz w:val="24"/>
                <w:lang w:eastAsia="en-US"/>
              </w:rPr>
            </w:pPr>
            <w:r>
              <w:rPr>
                <w:rFonts w:ascii="Times New Roman" w:hAnsi="Times New Roman"/>
                <w:sz w:val="24"/>
              </w:rPr>
              <w:t>m</w:t>
            </w:r>
            <w:r>
              <w:rPr>
                <w:rFonts w:ascii="Times New Roman" w:hAnsi="Times New Roman"/>
                <w:sz w:val="24"/>
                <w:vertAlign w:val="superscript"/>
              </w:rPr>
              <w:t>2</w:t>
            </w:r>
          </w:p>
        </w:tc>
        <w:tc>
          <w:tcPr>
            <w:tcW w:w="1702" w:type="dxa"/>
            <w:vAlign w:val="center"/>
          </w:tcPr>
          <w:p w14:paraId="45D05ECD" w14:textId="77777777" w:rsidR="00496804" w:rsidRDefault="0037359D">
            <w:pPr>
              <w:spacing w:before="120" w:after="120" w:line="240" w:lineRule="auto"/>
              <w:jc w:val="center"/>
              <w:rPr>
                <w:rFonts w:ascii="Times New Roman" w:eastAsia="Calibri" w:hAnsi="Times New Roman"/>
                <w:sz w:val="24"/>
                <w:lang w:eastAsia="en-US"/>
              </w:rPr>
            </w:pPr>
            <w:r>
              <w:rPr>
                <w:rFonts w:ascii="Times New Roman" w:eastAsia="Calibri" w:hAnsi="Times New Roman"/>
                <w:sz w:val="24"/>
                <w:lang w:eastAsia="en-US"/>
              </w:rPr>
              <w:t>0</w:t>
            </w:r>
          </w:p>
        </w:tc>
        <w:tc>
          <w:tcPr>
            <w:tcW w:w="1986" w:type="dxa"/>
            <w:vAlign w:val="center"/>
          </w:tcPr>
          <w:p w14:paraId="45D05ECE" w14:textId="77777777" w:rsidR="00496804" w:rsidRDefault="0037359D">
            <w:pPr>
              <w:spacing w:before="120" w:after="120" w:line="240" w:lineRule="auto"/>
              <w:jc w:val="center"/>
              <w:rPr>
                <w:rFonts w:ascii="Times New Roman" w:eastAsia="Calibri" w:hAnsi="Times New Roman"/>
                <w:sz w:val="24"/>
                <w:lang w:eastAsia="en-US"/>
              </w:rPr>
            </w:pPr>
            <w:r>
              <w:rPr>
                <w:rFonts w:ascii="Times New Roman" w:eastAsia="Calibri" w:hAnsi="Times New Roman"/>
                <w:sz w:val="24"/>
                <w:lang w:eastAsia="en-US"/>
              </w:rPr>
              <w:t>20.000</w:t>
            </w:r>
          </w:p>
        </w:tc>
      </w:tr>
      <w:tr w:rsidR="00496804" w14:paraId="45D05ED4" w14:textId="77777777">
        <w:tc>
          <w:tcPr>
            <w:tcW w:w="4520" w:type="dxa"/>
            <w:vAlign w:val="center"/>
          </w:tcPr>
          <w:p w14:paraId="45D05ED0" w14:textId="77777777" w:rsidR="00496804" w:rsidRDefault="0037359D">
            <w:pPr>
              <w:spacing w:after="200" w:line="240" w:lineRule="auto"/>
              <w:jc w:val="left"/>
              <w:rPr>
                <w:rFonts w:ascii="Times New Roman" w:eastAsia="Calibri" w:hAnsi="Times New Roman"/>
                <w:sz w:val="24"/>
                <w:highlight w:val="yellow"/>
                <w:lang w:eastAsia="en-US"/>
              </w:rPr>
            </w:pPr>
            <w:r>
              <w:rPr>
                <w:rFonts w:ascii="Times New Roman" w:eastAsia="Calibri" w:hAnsi="Times New Roman"/>
                <w:sz w:val="24"/>
                <w:lang w:eastAsia="en-US"/>
              </w:rPr>
              <w:t xml:space="preserve">Broj izrađenih </w:t>
            </w:r>
            <w:r>
              <w:rPr>
                <w:rFonts w:ascii="Times New Roman" w:hAnsi="Times New Roman"/>
                <w:sz w:val="24"/>
              </w:rPr>
              <w:t>studija, strategija i/ili planova</w:t>
            </w:r>
            <w:r>
              <w:rPr>
                <w:rFonts w:ascii="Times New Roman" w:eastAsia="Calibri" w:hAnsi="Times New Roman"/>
                <w:sz w:val="24"/>
                <w:lang w:eastAsia="en-US"/>
              </w:rPr>
              <w:t xml:space="preserve"> kružnog gospodarenja prostorom i zgradama na lokalnoj i regionalnoj razini</w:t>
            </w:r>
          </w:p>
        </w:tc>
        <w:tc>
          <w:tcPr>
            <w:tcW w:w="1414" w:type="dxa"/>
            <w:vAlign w:val="center"/>
          </w:tcPr>
          <w:p w14:paraId="45D05ED1" w14:textId="77777777" w:rsidR="00496804" w:rsidRDefault="0037359D">
            <w:pPr>
              <w:spacing w:after="200" w:line="240" w:lineRule="auto"/>
              <w:jc w:val="center"/>
              <w:rPr>
                <w:rFonts w:ascii="Times New Roman" w:eastAsia="Calibri" w:hAnsi="Times New Roman"/>
                <w:sz w:val="24"/>
                <w:lang w:eastAsia="en-US"/>
              </w:rPr>
            </w:pPr>
            <w:r>
              <w:rPr>
                <w:rFonts w:ascii="Times New Roman" w:eastAsia="Calibri" w:hAnsi="Times New Roman"/>
                <w:sz w:val="24"/>
                <w:lang w:eastAsia="en-US"/>
              </w:rPr>
              <w:t>broj</w:t>
            </w:r>
          </w:p>
        </w:tc>
        <w:tc>
          <w:tcPr>
            <w:tcW w:w="1702" w:type="dxa"/>
            <w:vAlign w:val="center"/>
          </w:tcPr>
          <w:p w14:paraId="45D05ED2" w14:textId="77777777" w:rsidR="00496804" w:rsidRDefault="0037359D">
            <w:pPr>
              <w:spacing w:after="200" w:line="240" w:lineRule="auto"/>
              <w:jc w:val="center"/>
              <w:rPr>
                <w:rFonts w:ascii="Times New Roman" w:eastAsia="Calibri" w:hAnsi="Times New Roman"/>
                <w:sz w:val="24"/>
                <w:lang w:eastAsia="en-US"/>
              </w:rPr>
            </w:pPr>
            <w:r>
              <w:rPr>
                <w:rFonts w:ascii="Times New Roman" w:eastAsia="Calibri" w:hAnsi="Times New Roman"/>
                <w:sz w:val="24"/>
                <w:lang w:eastAsia="en-US"/>
              </w:rPr>
              <w:t>0</w:t>
            </w:r>
          </w:p>
        </w:tc>
        <w:tc>
          <w:tcPr>
            <w:tcW w:w="1986" w:type="dxa"/>
            <w:vAlign w:val="center"/>
          </w:tcPr>
          <w:p w14:paraId="45D05ED3" w14:textId="77777777" w:rsidR="00496804" w:rsidRDefault="0037359D">
            <w:pPr>
              <w:spacing w:after="200" w:line="240" w:lineRule="auto"/>
              <w:jc w:val="center"/>
              <w:rPr>
                <w:rFonts w:ascii="Times New Roman" w:eastAsia="Calibri" w:hAnsi="Times New Roman"/>
                <w:sz w:val="24"/>
                <w:lang w:eastAsia="en-US"/>
              </w:rPr>
            </w:pPr>
            <w:r>
              <w:rPr>
                <w:rFonts w:ascii="Times New Roman" w:eastAsia="Calibri" w:hAnsi="Times New Roman"/>
                <w:sz w:val="24"/>
                <w:lang w:eastAsia="en-US"/>
              </w:rPr>
              <w:t>5</w:t>
            </w:r>
          </w:p>
        </w:tc>
      </w:tr>
    </w:tbl>
    <w:p w14:paraId="45D05ED5" w14:textId="77777777" w:rsidR="00496804" w:rsidRDefault="00496804">
      <w:pPr>
        <w:spacing w:line="240" w:lineRule="auto"/>
        <w:rPr>
          <w:rFonts w:ascii="Times New Roman" w:hAnsi="Times New Roman"/>
          <w:sz w:val="24"/>
        </w:rPr>
      </w:pPr>
    </w:p>
    <w:p w14:paraId="45D05ED6" w14:textId="77777777" w:rsidR="00496804" w:rsidRDefault="00496804">
      <w:pPr>
        <w:spacing w:line="240" w:lineRule="auto"/>
        <w:rPr>
          <w:rFonts w:ascii="Times New Roman" w:hAnsi="Times New Roman"/>
          <w:sz w:val="24"/>
        </w:rPr>
      </w:pPr>
    </w:p>
    <w:p w14:paraId="45D05ED7" w14:textId="77777777" w:rsidR="00496804" w:rsidRDefault="0037359D">
      <w:pPr>
        <w:spacing w:line="240" w:lineRule="auto"/>
        <w:rPr>
          <w:rFonts w:ascii="Times New Roman" w:hAnsi="Times New Roman"/>
          <w:b/>
          <w:bCs/>
          <w:sz w:val="24"/>
        </w:rPr>
      </w:pPr>
      <w:r>
        <w:rPr>
          <w:rFonts w:ascii="Times New Roman" w:hAnsi="Times New Roman"/>
          <w:b/>
          <w:bCs/>
          <w:sz w:val="24"/>
        </w:rPr>
        <w:t xml:space="preserve">MJERA 2.2. </w:t>
      </w:r>
    </w:p>
    <w:p w14:paraId="45D05ED8" w14:textId="77777777" w:rsidR="00496804" w:rsidRDefault="0037359D">
      <w:pPr>
        <w:pBdr>
          <w:bottom w:val="single" w:sz="4" w:space="1" w:color="auto"/>
        </w:pBdr>
        <w:spacing w:line="240" w:lineRule="auto"/>
        <w:rPr>
          <w:rFonts w:ascii="Times New Roman" w:hAnsi="Times New Roman"/>
          <w:b/>
          <w:bCs/>
          <w:sz w:val="24"/>
        </w:rPr>
      </w:pPr>
      <w:r>
        <w:rPr>
          <w:rFonts w:ascii="Times New Roman" w:hAnsi="Times New Roman"/>
          <w:b/>
          <w:bCs/>
          <w:sz w:val="24"/>
        </w:rPr>
        <w:t>Poticanje kružne obnove prostora i zgrada</w:t>
      </w:r>
    </w:p>
    <w:p w14:paraId="45D05ED9" w14:textId="77777777" w:rsidR="00496804" w:rsidRDefault="00496804">
      <w:pPr>
        <w:spacing w:line="240" w:lineRule="auto"/>
        <w:rPr>
          <w:rFonts w:ascii="Times New Roman" w:hAnsi="Times New Roman"/>
          <w:sz w:val="24"/>
        </w:rPr>
      </w:pPr>
    </w:p>
    <w:p w14:paraId="45D05EDA" w14:textId="77777777" w:rsidR="00496804" w:rsidRDefault="0037359D">
      <w:pPr>
        <w:spacing w:line="240" w:lineRule="auto"/>
        <w:rPr>
          <w:rFonts w:ascii="Times New Roman" w:hAnsi="Times New Roman"/>
          <w:sz w:val="24"/>
        </w:rPr>
      </w:pPr>
      <w:r>
        <w:rPr>
          <w:rFonts w:ascii="Times New Roman" w:hAnsi="Times New Roman"/>
          <w:sz w:val="24"/>
        </w:rPr>
        <w:t>Provedbom ove mjere planira se potaknuti obnova postojećeg nacionalnog fonda zgrada, čime se doprinosi učinkovitom korištenju prostornih resursa, odnosno održivom korištenju zemljišta kroz smanjenje potrebe za širenjem građevinskih područja na trenutno neizgrađena područja. Mjera je usmjerena na aktivnosti obnove nekorištenih zgrada i zona (monofunkcionalnih i polifunkcionalnih), prema načelima kružnog gospodarenja i održive gradnje u svrhu povećanja trajnosti i cjeloživotnog vijeka zgrada u prostoru, poboljšanja energetskih svojstava zgrada i smanjenja nastanka građevnog otpada. Ova mjera će preuzeti i integrirati metodologiju i smjernice proizašle iz preostalih mjera ovog strateškog okvira. Dodatnu vrijednost mjeri pruža integralni pristup uz primjenu horizontalnih mjera iz područja pristupačnosti, mjera prevencije zgrada na posljedice djelovanja katastrofalnih događaja (npr. potres, požar, poplava) i mjera zelene infrastrukture (npr. zeleni krovovi, zelene fasade, uređenje čestice zgrade ili zahvata u prostoru i sl.).</w:t>
      </w:r>
    </w:p>
    <w:p w14:paraId="45D05EDB" w14:textId="77777777" w:rsidR="00496804" w:rsidRDefault="00496804">
      <w:pPr>
        <w:spacing w:line="240" w:lineRule="auto"/>
        <w:rPr>
          <w:rFonts w:ascii="Times New Roman" w:hAnsi="Times New Roman"/>
          <w:sz w:val="24"/>
        </w:rPr>
      </w:pPr>
    </w:p>
    <w:p w14:paraId="45D05EDC" w14:textId="77777777" w:rsidR="00496804" w:rsidRDefault="00496804">
      <w:pPr>
        <w:spacing w:line="240" w:lineRule="auto"/>
        <w:rPr>
          <w:rFonts w:ascii="Times New Roman" w:hAnsi="Times New Roman"/>
          <w:sz w:val="24"/>
        </w:rPr>
      </w:pPr>
    </w:p>
    <w:p w14:paraId="45D05EDD" w14:textId="77777777" w:rsidR="00496804" w:rsidRDefault="0037359D">
      <w:pPr>
        <w:spacing w:line="240" w:lineRule="auto"/>
        <w:rPr>
          <w:rFonts w:ascii="Times New Roman" w:hAnsi="Times New Roman"/>
          <w:b/>
          <w:bCs/>
          <w:sz w:val="24"/>
        </w:rPr>
      </w:pPr>
      <w:r>
        <w:rPr>
          <w:rFonts w:ascii="Times New Roman" w:hAnsi="Times New Roman"/>
          <w:b/>
          <w:bCs/>
          <w:sz w:val="24"/>
        </w:rPr>
        <w:lastRenderedPageBreak/>
        <w:t>Aktivnosti:</w:t>
      </w:r>
    </w:p>
    <w:p w14:paraId="45D05EDE" w14:textId="77777777" w:rsidR="00496804" w:rsidRDefault="0037359D">
      <w:pPr>
        <w:pStyle w:val="Odlomakpopisa"/>
        <w:numPr>
          <w:ilvl w:val="2"/>
          <w:numId w:val="29"/>
        </w:numPr>
        <w:spacing w:line="240" w:lineRule="auto"/>
        <w:ind w:hanging="646"/>
        <w:rPr>
          <w:rFonts w:ascii="Times New Roman" w:hAnsi="Times New Roman"/>
          <w:b w:val="0"/>
          <w:sz w:val="24"/>
        </w:rPr>
      </w:pPr>
      <w:r>
        <w:rPr>
          <w:rFonts w:ascii="Times New Roman" w:hAnsi="Times New Roman"/>
          <w:b w:val="0"/>
          <w:sz w:val="24"/>
        </w:rPr>
        <w:t>Izrada analize mogućih projekata i plana njihove provedbe</w:t>
      </w:r>
    </w:p>
    <w:p w14:paraId="45D05EDF" w14:textId="77777777" w:rsidR="00496804" w:rsidRDefault="0037359D">
      <w:pPr>
        <w:pStyle w:val="Odlomakpopisa"/>
        <w:numPr>
          <w:ilvl w:val="2"/>
          <w:numId w:val="29"/>
        </w:numPr>
        <w:spacing w:line="240" w:lineRule="auto"/>
        <w:ind w:hanging="646"/>
        <w:rPr>
          <w:rFonts w:ascii="Times New Roman" w:hAnsi="Times New Roman"/>
          <w:b w:val="0"/>
          <w:sz w:val="24"/>
        </w:rPr>
      </w:pPr>
      <w:r>
        <w:rPr>
          <w:rFonts w:ascii="Times New Roman" w:hAnsi="Times New Roman"/>
          <w:b w:val="0"/>
          <w:sz w:val="24"/>
        </w:rPr>
        <w:t xml:space="preserve">Raspisivanje poziva na dostavu projektnih prijedloga za kružnu obnovu nekorištenih zgrada </w:t>
      </w:r>
    </w:p>
    <w:p w14:paraId="45D05EE0" w14:textId="77777777" w:rsidR="00496804" w:rsidRDefault="0037359D">
      <w:pPr>
        <w:pStyle w:val="Odlomakpopisa"/>
        <w:numPr>
          <w:ilvl w:val="2"/>
          <w:numId w:val="29"/>
        </w:numPr>
        <w:spacing w:line="240" w:lineRule="auto"/>
        <w:ind w:hanging="646"/>
        <w:rPr>
          <w:rFonts w:ascii="Times New Roman" w:hAnsi="Times New Roman"/>
          <w:b w:val="0"/>
          <w:sz w:val="24"/>
        </w:rPr>
      </w:pPr>
      <w:r>
        <w:rPr>
          <w:rFonts w:ascii="Times New Roman" w:hAnsi="Times New Roman"/>
          <w:b w:val="0"/>
          <w:sz w:val="24"/>
        </w:rPr>
        <w:t>Raspisivanje poziva na dostavu projektnih prijedloga za kružnu obnovu nekorištenih zona (monofunkcionalnih ili polifunkcionalnih)</w:t>
      </w:r>
    </w:p>
    <w:p w14:paraId="45D05EE1" w14:textId="77777777" w:rsidR="00496804" w:rsidRDefault="00496804">
      <w:pPr>
        <w:spacing w:line="240" w:lineRule="auto"/>
        <w:ind w:left="709" w:hanging="709"/>
        <w:rPr>
          <w:rFonts w:ascii="Times New Roman" w:hAnsi="Times New Roman"/>
          <w:sz w:val="24"/>
        </w:rPr>
      </w:pPr>
    </w:p>
    <w:p w14:paraId="45D05EE2" w14:textId="77777777" w:rsidR="00496804" w:rsidRDefault="0037359D">
      <w:pPr>
        <w:spacing w:after="200" w:line="276" w:lineRule="auto"/>
        <w:rPr>
          <w:rFonts w:ascii="Times New Roman" w:eastAsia="Calibri" w:hAnsi="Times New Roman"/>
          <w:sz w:val="24"/>
          <w:lang w:eastAsia="en-US"/>
        </w:rPr>
      </w:pPr>
      <w:r>
        <w:rPr>
          <w:rFonts w:ascii="Times New Roman" w:eastAsia="Calibri" w:hAnsi="Times New Roman"/>
          <w:sz w:val="24"/>
          <w:lang w:eastAsia="en-US"/>
        </w:rPr>
        <w:t>Pokazatelj rezultata provedbe mjere prikazan je kumulativno za sve kategorije projekata kružne obnove prostora i zgrada.</w:t>
      </w:r>
    </w:p>
    <w:p w14:paraId="45D05EE3" w14:textId="77777777" w:rsidR="00496804" w:rsidRDefault="0037359D">
      <w:pPr>
        <w:spacing w:line="240" w:lineRule="auto"/>
        <w:rPr>
          <w:rFonts w:ascii="Times New Roman" w:eastAsia="Calibri" w:hAnsi="Times New Roman"/>
          <w:sz w:val="24"/>
          <w:lang w:eastAsia="en-US"/>
        </w:rPr>
      </w:pPr>
      <w:r>
        <w:rPr>
          <w:rFonts w:ascii="Times New Roman" w:hAnsi="Times New Roman"/>
          <w:i/>
          <w:iCs/>
          <w:sz w:val="24"/>
        </w:rPr>
        <w:t>Tablica 22. Prikaz pokazatelja rezultata provedbe mjere 2.2.</w:t>
      </w:r>
    </w:p>
    <w:tbl>
      <w:tblPr>
        <w:tblStyle w:val="Reetkatablice7"/>
        <w:tblW w:w="0" w:type="auto"/>
        <w:tblLook w:val="04A0" w:firstRow="1" w:lastRow="0" w:firstColumn="1" w:lastColumn="0" w:noHBand="0" w:noVBand="1"/>
      </w:tblPr>
      <w:tblGrid>
        <w:gridCol w:w="4577"/>
        <w:gridCol w:w="1406"/>
        <w:gridCol w:w="1669"/>
        <w:gridCol w:w="1970"/>
      </w:tblGrid>
      <w:tr w:rsidR="00496804" w14:paraId="45D05EE8" w14:textId="77777777">
        <w:tc>
          <w:tcPr>
            <w:tcW w:w="4577" w:type="dxa"/>
            <w:shd w:val="clear" w:color="auto" w:fill="FFCCA6" w:themeFill="accent5" w:themeFillTint="66"/>
          </w:tcPr>
          <w:p w14:paraId="45D05EE4" w14:textId="77777777" w:rsidR="00496804" w:rsidRDefault="0037359D">
            <w:pPr>
              <w:tabs>
                <w:tab w:val="left" w:pos="426"/>
              </w:tabs>
              <w:spacing w:before="240" w:after="200" w:line="240" w:lineRule="auto"/>
              <w:rPr>
                <w:rFonts w:ascii="Times New Roman" w:eastAsia="Calibri" w:hAnsi="Times New Roman"/>
                <w:b/>
                <w:bCs/>
                <w:sz w:val="24"/>
                <w:lang w:eastAsia="en-US"/>
              </w:rPr>
            </w:pPr>
            <w:r>
              <w:rPr>
                <w:rFonts w:ascii="Times New Roman" w:eastAsia="Calibri" w:hAnsi="Times New Roman"/>
                <w:b/>
                <w:bCs/>
                <w:sz w:val="24"/>
                <w:lang w:eastAsia="en-US"/>
              </w:rPr>
              <w:t>Pokazatelj rezultata provedbe mjere</w:t>
            </w:r>
          </w:p>
        </w:tc>
        <w:tc>
          <w:tcPr>
            <w:tcW w:w="1406" w:type="dxa"/>
            <w:shd w:val="clear" w:color="auto" w:fill="FFCCA6" w:themeFill="accent5" w:themeFillTint="66"/>
          </w:tcPr>
          <w:p w14:paraId="45D05EE5"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Mjerna jedinica</w:t>
            </w:r>
          </w:p>
        </w:tc>
        <w:tc>
          <w:tcPr>
            <w:tcW w:w="1669" w:type="dxa"/>
            <w:shd w:val="clear" w:color="auto" w:fill="FFCCA6" w:themeFill="accent5" w:themeFillTint="66"/>
            <w:vAlign w:val="center"/>
          </w:tcPr>
          <w:p w14:paraId="45D05EE6"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Početna vrijednost</w:t>
            </w:r>
          </w:p>
        </w:tc>
        <w:tc>
          <w:tcPr>
            <w:tcW w:w="1970" w:type="dxa"/>
            <w:shd w:val="clear" w:color="auto" w:fill="FFCCA6" w:themeFill="accent5" w:themeFillTint="66"/>
          </w:tcPr>
          <w:p w14:paraId="45D05EE7"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Ciljana vrijednost 2030.</w:t>
            </w:r>
          </w:p>
        </w:tc>
      </w:tr>
      <w:tr w:rsidR="00496804" w14:paraId="45D05EED" w14:textId="77777777">
        <w:tc>
          <w:tcPr>
            <w:tcW w:w="4577" w:type="dxa"/>
            <w:vAlign w:val="center"/>
          </w:tcPr>
          <w:p w14:paraId="45D05EE9" w14:textId="77777777" w:rsidR="00496804" w:rsidRDefault="0037359D">
            <w:pPr>
              <w:tabs>
                <w:tab w:val="left" w:pos="426"/>
              </w:tabs>
              <w:spacing w:before="120" w:after="120" w:line="240" w:lineRule="auto"/>
              <w:jc w:val="left"/>
              <w:rPr>
                <w:rFonts w:ascii="Times New Roman" w:eastAsia="Calibri" w:hAnsi="Times New Roman"/>
                <w:sz w:val="24"/>
                <w:lang w:eastAsia="en-US"/>
              </w:rPr>
            </w:pPr>
            <w:r>
              <w:rPr>
                <w:rFonts w:ascii="Times New Roman" w:eastAsia="Calibri" w:hAnsi="Times New Roman"/>
                <w:sz w:val="24"/>
                <w:lang w:eastAsia="en-US"/>
              </w:rPr>
              <w:t>Građevinska bruto površina (GBP) kružno obnovljenih zgrada u okviru poziva za kategorije: nekorištene zgrade, nekorištene zone (monofunkcionalne ili polifunkcionalne)</w:t>
            </w:r>
          </w:p>
        </w:tc>
        <w:tc>
          <w:tcPr>
            <w:tcW w:w="1406" w:type="dxa"/>
            <w:vAlign w:val="center"/>
          </w:tcPr>
          <w:p w14:paraId="45D05EEA" w14:textId="77777777" w:rsidR="00496804" w:rsidRDefault="0037359D">
            <w:pPr>
              <w:spacing w:before="120" w:after="120" w:line="240" w:lineRule="auto"/>
              <w:jc w:val="center"/>
              <w:rPr>
                <w:rFonts w:ascii="Times New Roman" w:eastAsia="Calibri" w:hAnsi="Times New Roman"/>
                <w:sz w:val="24"/>
                <w:lang w:eastAsia="en-US"/>
              </w:rPr>
            </w:pPr>
            <w:r>
              <w:rPr>
                <w:rFonts w:ascii="Times New Roman" w:hAnsi="Times New Roman"/>
                <w:sz w:val="24"/>
              </w:rPr>
              <w:t>m</w:t>
            </w:r>
            <w:r>
              <w:rPr>
                <w:rFonts w:ascii="Times New Roman" w:hAnsi="Times New Roman"/>
                <w:sz w:val="24"/>
                <w:vertAlign w:val="superscript"/>
              </w:rPr>
              <w:t>2</w:t>
            </w:r>
          </w:p>
        </w:tc>
        <w:tc>
          <w:tcPr>
            <w:tcW w:w="1669" w:type="dxa"/>
            <w:vAlign w:val="center"/>
          </w:tcPr>
          <w:p w14:paraId="45D05EEB" w14:textId="77777777" w:rsidR="00496804" w:rsidRDefault="0037359D">
            <w:pPr>
              <w:tabs>
                <w:tab w:val="left" w:pos="426"/>
              </w:tabs>
              <w:spacing w:before="120" w:after="120" w:line="240" w:lineRule="auto"/>
              <w:jc w:val="center"/>
              <w:rPr>
                <w:rFonts w:ascii="Times New Roman" w:eastAsia="Calibri" w:hAnsi="Times New Roman"/>
                <w:sz w:val="24"/>
                <w:lang w:eastAsia="en-US"/>
              </w:rPr>
            </w:pPr>
            <w:r>
              <w:rPr>
                <w:rFonts w:ascii="Times New Roman" w:eastAsia="Calibri" w:hAnsi="Times New Roman"/>
                <w:sz w:val="24"/>
                <w:lang w:eastAsia="en-US"/>
              </w:rPr>
              <w:t>0</w:t>
            </w:r>
          </w:p>
        </w:tc>
        <w:tc>
          <w:tcPr>
            <w:tcW w:w="1970" w:type="dxa"/>
            <w:vAlign w:val="center"/>
          </w:tcPr>
          <w:p w14:paraId="45D05EEC" w14:textId="77777777" w:rsidR="00496804" w:rsidRDefault="0037359D">
            <w:pPr>
              <w:tabs>
                <w:tab w:val="left" w:pos="426"/>
              </w:tabs>
              <w:spacing w:before="120" w:after="120" w:line="240" w:lineRule="auto"/>
              <w:jc w:val="center"/>
              <w:rPr>
                <w:rFonts w:ascii="Times New Roman" w:eastAsia="Calibri" w:hAnsi="Times New Roman"/>
                <w:sz w:val="24"/>
                <w:lang w:eastAsia="en-US"/>
              </w:rPr>
            </w:pPr>
            <w:r>
              <w:rPr>
                <w:rFonts w:ascii="Times New Roman" w:eastAsia="Calibri" w:hAnsi="Times New Roman"/>
                <w:sz w:val="24"/>
                <w:lang w:eastAsia="en-US"/>
              </w:rPr>
              <w:t>600.000</w:t>
            </w:r>
          </w:p>
        </w:tc>
      </w:tr>
    </w:tbl>
    <w:p w14:paraId="45D05EEE" w14:textId="77777777" w:rsidR="00496804" w:rsidRDefault="00496804">
      <w:pPr>
        <w:spacing w:line="240" w:lineRule="auto"/>
        <w:rPr>
          <w:rFonts w:ascii="Times New Roman" w:hAnsi="Times New Roman"/>
          <w:sz w:val="24"/>
        </w:rPr>
      </w:pPr>
    </w:p>
    <w:p w14:paraId="45D05EEF" w14:textId="77777777" w:rsidR="00496804" w:rsidRDefault="00496804">
      <w:pPr>
        <w:spacing w:line="240" w:lineRule="auto"/>
        <w:ind w:left="709" w:hanging="709"/>
        <w:rPr>
          <w:rFonts w:ascii="Times New Roman" w:hAnsi="Times New Roman"/>
          <w:sz w:val="24"/>
        </w:rPr>
      </w:pPr>
    </w:p>
    <w:p w14:paraId="45D05EF0" w14:textId="77777777" w:rsidR="00496804" w:rsidRDefault="0037359D">
      <w:pPr>
        <w:spacing w:line="240" w:lineRule="auto"/>
        <w:rPr>
          <w:rFonts w:ascii="Times New Roman" w:hAnsi="Times New Roman"/>
          <w:b/>
          <w:bCs/>
          <w:sz w:val="24"/>
        </w:rPr>
      </w:pPr>
      <w:r>
        <w:rPr>
          <w:rFonts w:ascii="Times New Roman" w:hAnsi="Times New Roman"/>
          <w:b/>
          <w:bCs/>
          <w:sz w:val="24"/>
        </w:rPr>
        <w:t xml:space="preserve">MJERA 2.3. </w:t>
      </w:r>
    </w:p>
    <w:p w14:paraId="45D05EF1" w14:textId="77777777" w:rsidR="00496804" w:rsidRDefault="0037359D">
      <w:pPr>
        <w:pBdr>
          <w:bottom w:val="single" w:sz="4" w:space="1" w:color="auto"/>
        </w:pBdr>
        <w:spacing w:line="240" w:lineRule="auto"/>
        <w:rPr>
          <w:rFonts w:ascii="Times New Roman" w:hAnsi="Times New Roman"/>
          <w:sz w:val="24"/>
        </w:rPr>
      </w:pPr>
      <w:r>
        <w:rPr>
          <w:rFonts w:ascii="Times New Roman" w:hAnsi="Times New Roman"/>
          <w:b/>
          <w:bCs/>
          <w:sz w:val="24"/>
        </w:rPr>
        <w:t>Poticanje inovacija i razvoja u primjeni kružnog gospodarenja prostorom i zgradama</w:t>
      </w:r>
    </w:p>
    <w:p w14:paraId="45D05EF2" w14:textId="77777777" w:rsidR="00496804" w:rsidRDefault="00496804">
      <w:pPr>
        <w:pStyle w:val="tekst"/>
        <w:spacing w:line="240" w:lineRule="auto"/>
        <w:rPr>
          <w:rFonts w:ascii="Times New Roman" w:hAnsi="Times New Roman" w:cs="Times New Roman"/>
          <w:sz w:val="24"/>
          <w:szCs w:val="24"/>
        </w:rPr>
      </w:pPr>
    </w:p>
    <w:p w14:paraId="45D05EF3"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Mjera će doprinijeti unaprjeđenju prostornog planiranja i sustava prostornog uređenja te izgradnje i obnove zgrada, kao i izrade certifikata održive gradnje (npr. LEED, BREEAM, DGNB i sl.). Mjera nadalje uključuje i aktivnosti poticanja inovacija i razvoja u primjeni kružnog gospodarenja prostorom i zgradama na svim razinama (materijala i proizvoda, projektiranja, gradnje, održavanja i obnove zgrada). Pod primjerima inovativnih materijala i/ili proizvoda mogu se podrazumijevati materijali s niskom ugrađenom energijom, materijali iz sekundarnih i recikliranih sirovina, materijali i elementi zgrade s niskim troškovima održavanja s mogućim korištenjem i nakon završetka cjeloživotnog vijeka zgrade.</w:t>
      </w:r>
    </w:p>
    <w:p w14:paraId="45D05EF4" w14:textId="77777777" w:rsidR="00496804" w:rsidRDefault="00496804">
      <w:pPr>
        <w:pStyle w:val="tekst"/>
        <w:spacing w:line="240" w:lineRule="auto"/>
        <w:rPr>
          <w:rFonts w:ascii="Times New Roman" w:hAnsi="Times New Roman" w:cs="Times New Roman"/>
          <w:sz w:val="24"/>
          <w:szCs w:val="24"/>
        </w:rPr>
      </w:pPr>
    </w:p>
    <w:p w14:paraId="45D05EF5" w14:textId="77777777" w:rsidR="00496804" w:rsidRDefault="0037359D">
      <w:pPr>
        <w:pStyle w:val="tekst"/>
        <w:spacing w:line="240" w:lineRule="auto"/>
        <w:rPr>
          <w:rFonts w:ascii="Times New Roman" w:hAnsi="Times New Roman" w:cs="Times New Roman"/>
          <w:b/>
          <w:bCs/>
          <w:sz w:val="24"/>
          <w:szCs w:val="24"/>
        </w:rPr>
      </w:pPr>
      <w:r>
        <w:rPr>
          <w:rFonts w:ascii="Times New Roman" w:hAnsi="Times New Roman" w:cs="Times New Roman"/>
          <w:b/>
          <w:bCs/>
          <w:sz w:val="24"/>
          <w:szCs w:val="24"/>
        </w:rPr>
        <w:t>Aktivnosti:</w:t>
      </w:r>
    </w:p>
    <w:p w14:paraId="45D05EF6" w14:textId="77777777" w:rsidR="00496804" w:rsidRDefault="0037359D">
      <w:pPr>
        <w:pStyle w:val="Odlomakpopisa"/>
        <w:numPr>
          <w:ilvl w:val="2"/>
          <w:numId w:val="30"/>
        </w:numPr>
        <w:spacing w:line="240" w:lineRule="auto"/>
        <w:ind w:hanging="646"/>
        <w:rPr>
          <w:rFonts w:ascii="Times New Roman" w:hAnsi="Times New Roman"/>
          <w:b w:val="0"/>
          <w:bCs/>
          <w:sz w:val="24"/>
        </w:rPr>
      </w:pPr>
      <w:r>
        <w:rPr>
          <w:rFonts w:ascii="Times New Roman" w:hAnsi="Times New Roman"/>
          <w:b w:val="0"/>
          <w:bCs/>
          <w:sz w:val="24"/>
        </w:rPr>
        <w:t>Poticanje inovacija u načinu planiranja prostora na načelima kružnog gospodarenja</w:t>
      </w:r>
    </w:p>
    <w:p w14:paraId="45D05EF7" w14:textId="77777777" w:rsidR="00496804" w:rsidRDefault="0037359D">
      <w:pPr>
        <w:pStyle w:val="Odlomakpopisa"/>
        <w:numPr>
          <w:ilvl w:val="2"/>
          <w:numId w:val="30"/>
        </w:numPr>
        <w:spacing w:line="240" w:lineRule="auto"/>
        <w:ind w:hanging="646"/>
        <w:rPr>
          <w:rFonts w:ascii="Times New Roman" w:hAnsi="Times New Roman"/>
          <w:b w:val="0"/>
          <w:bCs/>
          <w:sz w:val="24"/>
        </w:rPr>
      </w:pPr>
      <w:r>
        <w:rPr>
          <w:rFonts w:ascii="Times New Roman" w:hAnsi="Times New Roman"/>
          <w:b w:val="0"/>
          <w:bCs/>
          <w:sz w:val="24"/>
        </w:rPr>
        <w:t>Poticanje inovacija i razvoja u primjeni kružnog gospodarenja prostorom i zgradama na svim razinama (materijala i proizvoda, projektiranja, gradnje, održavanja i obnove zgrada)</w:t>
      </w:r>
    </w:p>
    <w:p w14:paraId="45D05EF8" w14:textId="77777777" w:rsidR="00496804" w:rsidRDefault="0037359D">
      <w:pPr>
        <w:pStyle w:val="Odlomakpopisa"/>
        <w:numPr>
          <w:ilvl w:val="2"/>
          <w:numId w:val="30"/>
        </w:numPr>
        <w:spacing w:line="240" w:lineRule="auto"/>
        <w:ind w:hanging="646"/>
        <w:rPr>
          <w:rFonts w:ascii="Times New Roman" w:hAnsi="Times New Roman"/>
          <w:b w:val="0"/>
          <w:bCs/>
          <w:sz w:val="24"/>
        </w:rPr>
      </w:pPr>
      <w:r>
        <w:rPr>
          <w:rFonts w:ascii="Times New Roman" w:hAnsi="Times New Roman"/>
          <w:b w:val="0"/>
          <w:bCs/>
          <w:sz w:val="24"/>
        </w:rPr>
        <w:t>Poticanje izrade certifikata održive gradnje (npr. LEED, BREEAM, DGNB i sl.)</w:t>
      </w:r>
    </w:p>
    <w:p w14:paraId="45D05EF9" w14:textId="77777777" w:rsidR="00496804" w:rsidRDefault="00496804">
      <w:pPr>
        <w:spacing w:line="240" w:lineRule="auto"/>
        <w:rPr>
          <w:rFonts w:ascii="Times New Roman" w:hAnsi="Times New Roman"/>
          <w:sz w:val="24"/>
        </w:rPr>
      </w:pPr>
    </w:p>
    <w:p w14:paraId="45D05EFA" w14:textId="77777777" w:rsidR="00496804" w:rsidRDefault="00496804">
      <w:pPr>
        <w:pStyle w:val="tekst"/>
        <w:spacing w:line="240" w:lineRule="auto"/>
        <w:rPr>
          <w:rFonts w:ascii="Times New Roman" w:hAnsi="Times New Roman" w:cs="Times New Roman"/>
          <w:b/>
          <w:bCs/>
          <w:sz w:val="24"/>
          <w:szCs w:val="24"/>
        </w:rPr>
      </w:pPr>
    </w:p>
    <w:p w14:paraId="45D05EFB" w14:textId="77777777" w:rsidR="00496804" w:rsidRDefault="0037359D">
      <w:pPr>
        <w:spacing w:line="240" w:lineRule="auto"/>
        <w:rPr>
          <w:rFonts w:ascii="Times New Roman" w:hAnsi="Times New Roman"/>
          <w:b/>
          <w:bCs/>
          <w:sz w:val="24"/>
        </w:rPr>
      </w:pPr>
      <w:r>
        <w:rPr>
          <w:rFonts w:ascii="Times New Roman" w:hAnsi="Times New Roman"/>
          <w:i/>
          <w:iCs/>
          <w:sz w:val="24"/>
        </w:rPr>
        <w:t>Tablica 23. Prikaz pokazatelja rezultata provedbe mjere 2.3.</w:t>
      </w:r>
    </w:p>
    <w:tbl>
      <w:tblPr>
        <w:tblStyle w:val="Reetkatablice10"/>
        <w:tblW w:w="0" w:type="auto"/>
        <w:tblLook w:val="04A0" w:firstRow="1" w:lastRow="0" w:firstColumn="1" w:lastColumn="0" w:noHBand="0" w:noVBand="1"/>
      </w:tblPr>
      <w:tblGrid>
        <w:gridCol w:w="4495"/>
        <w:gridCol w:w="1418"/>
        <w:gridCol w:w="1716"/>
        <w:gridCol w:w="1993"/>
      </w:tblGrid>
      <w:tr w:rsidR="00496804" w14:paraId="45D05F00" w14:textId="77777777">
        <w:tc>
          <w:tcPr>
            <w:tcW w:w="4495" w:type="dxa"/>
            <w:shd w:val="clear" w:color="auto" w:fill="FFCCA6" w:themeFill="accent5" w:themeFillTint="66"/>
            <w:vAlign w:val="center"/>
          </w:tcPr>
          <w:p w14:paraId="45D05EFC" w14:textId="77777777" w:rsidR="00496804" w:rsidRDefault="0037359D">
            <w:pPr>
              <w:tabs>
                <w:tab w:val="left" w:pos="426"/>
              </w:tabs>
              <w:spacing w:before="240" w:after="200" w:line="240" w:lineRule="auto"/>
              <w:rPr>
                <w:rFonts w:ascii="Times New Roman" w:eastAsia="Calibri" w:hAnsi="Times New Roman"/>
                <w:b/>
                <w:bCs/>
                <w:sz w:val="24"/>
                <w:lang w:eastAsia="en-US"/>
              </w:rPr>
            </w:pPr>
            <w:r>
              <w:rPr>
                <w:rFonts w:ascii="Times New Roman" w:eastAsia="Calibri" w:hAnsi="Times New Roman"/>
                <w:b/>
                <w:bCs/>
                <w:sz w:val="24"/>
                <w:lang w:eastAsia="en-US"/>
              </w:rPr>
              <w:t>Pokazatelj rezultata provedbe mjere</w:t>
            </w:r>
          </w:p>
        </w:tc>
        <w:tc>
          <w:tcPr>
            <w:tcW w:w="1418" w:type="dxa"/>
            <w:shd w:val="clear" w:color="auto" w:fill="FFCCA6" w:themeFill="accent5" w:themeFillTint="66"/>
            <w:vAlign w:val="center"/>
          </w:tcPr>
          <w:p w14:paraId="45D05EFD"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Mjerna jedinica</w:t>
            </w:r>
          </w:p>
        </w:tc>
        <w:tc>
          <w:tcPr>
            <w:tcW w:w="1716" w:type="dxa"/>
            <w:shd w:val="clear" w:color="auto" w:fill="FFCCA6" w:themeFill="accent5" w:themeFillTint="66"/>
            <w:vAlign w:val="center"/>
          </w:tcPr>
          <w:p w14:paraId="45D05EFE"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Početna vrijednost</w:t>
            </w:r>
          </w:p>
        </w:tc>
        <w:tc>
          <w:tcPr>
            <w:tcW w:w="1993" w:type="dxa"/>
            <w:shd w:val="clear" w:color="auto" w:fill="FFCCA6" w:themeFill="accent5" w:themeFillTint="66"/>
            <w:vAlign w:val="center"/>
          </w:tcPr>
          <w:p w14:paraId="45D05EFF"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Ciljana vrijednost 2030.</w:t>
            </w:r>
          </w:p>
        </w:tc>
      </w:tr>
      <w:tr w:rsidR="00496804" w14:paraId="45D05F05" w14:textId="77777777">
        <w:tc>
          <w:tcPr>
            <w:tcW w:w="4495" w:type="dxa"/>
            <w:vAlign w:val="center"/>
          </w:tcPr>
          <w:p w14:paraId="45D05F01" w14:textId="77777777" w:rsidR="00496804" w:rsidRDefault="0037359D">
            <w:pPr>
              <w:tabs>
                <w:tab w:val="left" w:pos="426"/>
              </w:tabs>
              <w:spacing w:before="120" w:after="120" w:line="240" w:lineRule="auto"/>
              <w:jc w:val="left"/>
              <w:rPr>
                <w:rFonts w:ascii="Times New Roman" w:eastAsia="Calibri" w:hAnsi="Times New Roman"/>
                <w:sz w:val="24"/>
                <w:lang w:eastAsia="en-US"/>
              </w:rPr>
            </w:pPr>
            <w:r>
              <w:rPr>
                <w:rFonts w:ascii="Times New Roman" w:eastAsia="Calibri" w:hAnsi="Times New Roman"/>
                <w:sz w:val="24"/>
                <w:lang w:eastAsia="en-US"/>
              </w:rPr>
              <w:t>Broj poticanih projekata inovacija ili certifikata</w:t>
            </w:r>
          </w:p>
        </w:tc>
        <w:tc>
          <w:tcPr>
            <w:tcW w:w="1418" w:type="dxa"/>
            <w:vAlign w:val="center"/>
          </w:tcPr>
          <w:p w14:paraId="45D05F02"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broj</w:t>
            </w:r>
          </w:p>
        </w:tc>
        <w:tc>
          <w:tcPr>
            <w:tcW w:w="1716" w:type="dxa"/>
            <w:vAlign w:val="center"/>
          </w:tcPr>
          <w:p w14:paraId="45D05F03"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0</w:t>
            </w:r>
          </w:p>
        </w:tc>
        <w:tc>
          <w:tcPr>
            <w:tcW w:w="1993" w:type="dxa"/>
            <w:vAlign w:val="center"/>
          </w:tcPr>
          <w:p w14:paraId="45D05F04"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100</w:t>
            </w:r>
          </w:p>
        </w:tc>
      </w:tr>
    </w:tbl>
    <w:p w14:paraId="45D05F06" w14:textId="77777777" w:rsidR="00496804" w:rsidRDefault="00496804">
      <w:pPr>
        <w:pStyle w:val="tekst"/>
        <w:spacing w:line="240" w:lineRule="auto"/>
        <w:rPr>
          <w:rFonts w:ascii="Times New Roman" w:hAnsi="Times New Roman" w:cs="Times New Roman"/>
          <w:b/>
          <w:bCs/>
          <w:sz w:val="24"/>
          <w:szCs w:val="24"/>
        </w:rPr>
      </w:pPr>
    </w:p>
    <w:p w14:paraId="45D05F07" w14:textId="77777777" w:rsidR="00496804" w:rsidRDefault="0037359D">
      <w:pPr>
        <w:spacing w:line="240" w:lineRule="auto"/>
        <w:jc w:val="left"/>
        <w:rPr>
          <w:rFonts w:ascii="Times New Roman" w:hAnsi="Times New Roman"/>
          <w:sz w:val="24"/>
        </w:rPr>
      </w:pPr>
      <w:r>
        <w:rPr>
          <w:rFonts w:ascii="Times New Roman" w:hAnsi="Times New Roman"/>
          <w:sz w:val="24"/>
        </w:rPr>
        <w:br w:type="page"/>
      </w:r>
    </w:p>
    <w:p w14:paraId="45D05F08" w14:textId="77777777" w:rsidR="00496804" w:rsidRDefault="0037359D">
      <w:pPr>
        <w:pStyle w:val="tekst"/>
        <w:shd w:val="clear" w:color="auto" w:fill="FFCCA6" w:themeFill="accent5" w:themeFillTint="66"/>
        <w:spacing w:line="240" w:lineRule="auto"/>
        <w:ind w:left="1985" w:hanging="1985"/>
        <w:rPr>
          <w:rFonts w:ascii="Times New Roman" w:hAnsi="Times New Roman" w:cs="Times New Roman"/>
          <w:b/>
          <w:bCs/>
          <w:sz w:val="24"/>
          <w:szCs w:val="24"/>
        </w:rPr>
      </w:pPr>
      <w:r>
        <w:rPr>
          <w:rFonts w:ascii="Times New Roman" w:hAnsi="Times New Roman" w:cs="Times New Roman"/>
          <w:b/>
          <w:bCs/>
          <w:sz w:val="24"/>
          <w:szCs w:val="24"/>
        </w:rPr>
        <w:lastRenderedPageBreak/>
        <w:t>POSEBNI CILJ 3.</w:t>
      </w:r>
      <w:r>
        <w:rPr>
          <w:rFonts w:ascii="Times New Roman" w:hAnsi="Times New Roman" w:cs="Times New Roman"/>
          <w:b/>
          <w:bCs/>
          <w:sz w:val="24"/>
          <w:szCs w:val="24"/>
        </w:rPr>
        <w:tab/>
        <w:t>VISOKA RAZINA ZNANJA I DRUŠTVENE SVIJESTI O KRUŽNOM GOSPODARENJU PROSTOROM I ZGRADAMA</w:t>
      </w:r>
    </w:p>
    <w:p w14:paraId="45D05F09" w14:textId="77777777" w:rsidR="00496804" w:rsidRDefault="00496804">
      <w:pPr>
        <w:pStyle w:val="tekst"/>
        <w:spacing w:line="240" w:lineRule="auto"/>
        <w:rPr>
          <w:rFonts w:ascii="Times New Roman" w:hAnsi="Times New Roman" w:cs="Times New Roman"/>
          <w:b/>
          <w:bCs/>
          <w:sz w:val="24"/>
          <w:szCs w:val="24"/>
        </w:rPr>
      </w:pPr>
    </w:p>
    <w:p w14:paraId="45D05F0A" w14:textId="77777777" w:rsidR="00496804" w:rsidRDefault="0037359D">
      <w:pPr>
        <w:pStyle w:val="tekst"/>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MJERA 3.1. </w:t>
      </w:r>
    </w:p>
    <w:p w14:paraId="45D05F0B" w14:textId="77777777" w:rsidR="00496804" w:rsidRDefault="0037359D">
      <w:pPr>
        <w:pStyle w:val="tekst"/>
        <w:pBdr>
          <w:bottom w:val="single" w:sz="4" w:space="1" w:color="auto"/>
        </w:pBdr>
        <w:spacing w:line="240" w:lineRule="auto"/>
        <w:rPr>
          <w:rFonts w:ascii="Times New Roman" w:hAnsi="Times New Roman" w:cs="Times New Roman"/>
          <w:b/>
          <w:bCs/>
          <w:sz w:val="24"/>
          <w:szCs w:val="24"/>
        </w:rPr>
      </w:pPr>
      <w:r>
        <w:rPr>
          <w:rFonts w:ascii="Times New Roman" w:hAnsi="Times New Roman" w:cs="Times New Roman"/>
          <w:b/>
          <w:sz w:val="24"/>
          <w:szCs w:val="24"/>
        </w:rPr>
        <w:t xml:space="preserve">Afirmacija i informiranje javnosti o </w:t>
      </w:r>
      <w:r>
        <w:rPr>
          <w:rFonts w:ascii="Times New Roman" w:hAnsi="Times New Roman" w:cs="Times New Roman"/>
          <w:b/>
          <w:bCs/>
          <w:sz w:val="24"/>
          <w:szCs w:val="24"/>
        </w:rPr>
        <w:t>kružnom gospodarenju prostorom i zgradama</w:t>
      </w:r>
    </w:p>
    <w:p w14:paraId="45D05F0C" w14:textId="77777777" w:rsidR="00496804" w:rsidRDefault="00496804">
      <w:pPr>
        <w:pStyle w:val="tekst"/>
        <w:spacing w:line="240" w:lineRule="auto"/>
        <w:rPr>
          <w:rFonts w:ascii="Times New Roman" w:hAnsi="Times New Roman" w:cs="Times New Roman"/>
          <w:sz w:val="24"/>
          <w:szCs w:val="24"/>
        </w:rPr>
      </w:pPr>
    </w:p>
    <w:p w14:paraId="45D05F0D" w14:textId="222BDE1B"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Provedbom aktivnosti u okviru predmetne mjere nastoji se informirati cjelokupnu javnost o značaju kružnog gospodarenja prostorom i zgradama i njegovim pozitivnim gospodarskim, društvenim i okolišnim aspektima te podići svijest o važnosti provođenja projekata i ulaganja u tom području. Pritom se nastoji oformiti sustav informiranja kojim bi se, kroz svakodnevne aktivnosti i obrazovanje, javnost informirala o pozitivnim aspektima kružnog gospodarenja prostorom i zgradama na brojne odrednice života i rada u urbanom području.</w:t>
      </w:r>
    </w:p>
    <w:p w14:paraId="45D05F0E" w14:textId="77777777" w:rsidR="00496804" w:rsidRDefault="00496804">
      <w:pPr>
        <w:pStyle w:val="tekst"/>
        <w:spacing w:line="240" w:lineRule="auto"/>
        <w:rPr>
          <w:rFonts w:ascii="Times New Roman" w:hAnsi="Times New Roman" w:cs="Times New Roman"/>
          <w:sz w:val="24"/>
          <w:szCs w:val="24"/>
        </w:rPr>
      </w:pPr>
    </w:p>
    <w:p w14:paraId="45D05F0F" w14:textId="77777777" w:rsidR="00496804" w:rsidRDefault="0037359D">
      <w:pPr>
        <w:pStyle w:val="tekst"/>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Aktivnosti: </w:t>
      </w:r>
    </w:p>
    <w:p w14:paraId="45D05F10" w14:textId="77777777" w:rsidR="00496804" w:rsidRDefault="0037359D">
      <w:pPr>
        <w:pStyle w:val="Odlomakpopisa"/>
        <w:numPr>
          <w:ilvl w:val="2"/>
          <w:numId w:val="31"/>
        </w:numPr>
        <w:spacing w:line="240" w:lineRule="auto"/>
        <w:ind w:hanging="646"/>
        <w:rPr>
          <w:rFonts w:ascii="Times New Roman" w:hAnsi="Times New Roman"/>
          <w:b w:val="0"/>
          <w:bCs/>
          <w:sz w:val="24"/>
        </w:rPr>
      </w:pPr>
      <w:r>
        <w:rPr>
          <w:rFonts w:ascii="Times New Roman" w:hAnsi="Times New Roman"/>
          <w:b w:val="0"/>
          <w:bCs/>
          <w:sz w:val="24"/>
        </w:rPr>
        <w:t>Izrada trogodišnjeg plana / programa / strategije afirmacije, informiranja javnosti i edukacije o kružnom gospodarenju prostorom i zgradama (komunikacijska strategija i program afirmacije i edukacije)</w:t>
      </w:r>
    </w:p>
    <w:p w14:paraId="45D05F11" w14:textId="77777777" w:rsidR="00496804" w:rsidRDefault="0037359D">
      <w:pPr>
        <w:pStyle w:val="Odlomakpopisa"/>
        <w:numPr>
          <w:ilvl w:val="2"/>
          <w:numId w:val="31"/>
        </w:numPr>
        <w:spacing w:line="240" w:lineRule="auto"/>
        <w:ind w:hanging="646"/>
        <w:rPr>
          <w:rFonts w:ascii="Times New Roman" w:hAnsi="Times New Roman"/>
          <w:b w:val="0"/>
          <w:bCs/>
          <w:sz w:val="24"/>
        </w:rPr>
      </w:pPr>
      <w:r>
        <w:rPr>
          <w:rFonts w:ascii="Times New Roman" w:hAnsi="Times New Roman"/>
          <w:b w:val="0"/>
          <w:bCs/>
          <w:sz w:val="24"/>
        </w:rPr>
        <w:t xml:space="preserve">Informiranje putem web stranice ministarstva zaduženog za provedbu Programa razvoja KG </w:t>
      </w:r>
    </w:p>
    <w:p w14:paraId="45D05F12" w14:textId="77777777" w:rsidR="00496804" w:rsidRDefault="0037359D">
      <w:pPr>
        <w:pStyle w:val="Odlomakpopisa"/>
        <w:numPr>
          <w:ilvl w:val="2"/>
          <w:numId w:val="31"/>
        </w:numPr>
        <w:spacing w:line="240" w:lineRule="auto"/>
        <w:ind w:hanging="646"/>
        <w:rPr>
          <w:rFonts w:ascii="Times New Roman" w:hAnsi="Times New Roman"/>
          <w:b w:val="0"/>
          <w:bCs/>
          <w:sz w:val="24"/>
        </w:rPr>
      </w:pPr>
      <w:r>
        <w:rPr>
          <w:rFonts w:ascii="Times New Roman" w:hAnsi="Times New Roman"/>
          <w:b w:val="0"/>
          <w:bCs/>
          <w:sz w:val="24"/>
        </w:rPr>
        <w:t>Informiranje putem sredstava javnog priopćavanja, kroz stručne časopise, medije i društvene mreže te na povezanim konferencijama, znanstvenim skupovima i sl.</w:t>
      </w:r>
    </w:p>
    <w:p w14:paraId="45D05F13" w14:textId="77777777" w:rsidR="00496804" w:rsidRDefault="0037359D">
      <w:pPr>
        <w:pStyle w:val="Odlomakpopisa"/>
        <w:numPr>
          <w:ilvl w:val="2"/>
          <w:numId w:val="31"/>
        </w:numPr>
        <w:spacing w:line="240" w:lineRule="auto"/>
        <w:ind w:hanging="646"/>
        <w:rPr>
          <w:rFonts w:ascii="Times New Roman" w:hAnsi="Times New Roman"/>
          <w:b w:val="0"/>
          <w:bCs/>
          <w:sz w:val="24"/>
        </w:rPr>
      </w:pPr>
      <w:r>
        <w:rPr>
          <w:rFonts w:ascii="Times New Roman" w:hAnsi="Times New Roman"/>
          <w:b w:val="0"/>
          <w:bCs/>
          <w:sz w:val="24"/>
        </w:rPr>
        <w:t>Izrada tiskanog info materijala</w:t>
      </w:r>
    </w:p>
    <w:p w14:paraId="45D05F14" w14:textId="77777777" w:rsidR="00496804" w:rsidRDefault="0037359D">
      <w:pPr>
        <w:pStyle w:val="Odlomakpopisa"/>
        <w:numPr>
          <w:ilvl w:val="2"/>
          <w:numId w:val="31"/>
        </w:numPr>
        <w:spacing w:line="240" w:lineRule="auto"/>
        <w:ind w:hanging="646"/>
        <w:rPr>
          <w:rFonts w:ascii="Times New Roman" w:hAnsi="Times New Roman"/>
          <w:b w:val="0"/>
          <w:bCs/>
          <w:sz w:val="24"/>
        </w:rPr>
      </w:pPr>
      <w:r>
        <w:rPr>
          <w:rFonts w:ascii="Times New Roman" w:hAnsi="Times New Roman"/>
          <w:b w:val="0"/>
          <w:bCs/>
          <w:sz w:val="24"/>
        </w:rPr>
        <w:t>Održavanje informativnih radionica</w:t>
      </w:r>
    </w:p>
    <w:p w14:paraId="45D05F15" w14:textId="77777777" w:rsidR="00496804" w:rsidRDefault="00496804">
      <w:pPr>
        <w:pStyle w:val="tekst"/>
        <w:spacing w:line="240" w:lineRule="auto"/>
        <w:ind w:left="709" w:hanging="709"/>
        <w:rPr>
          <w:rFonts w:ascii="Times New Roman" w:hAnsi="Times New Roman" w:cs="Times New Roman"/>
          <w:sz w:val="24"/>
          <w:szCs w:val="24"/>
        </w:rPr>
      </w:pPr>
    </w:p>
    <w:p w14:paraId="45D05F16" w14:textId="77777777" w:rsidR="00496804" w:rsidRDefault="0037359D">
      <w:pPr>
        <w:spacing w:line="240" w:lineRule="auto"/>
        <w:rPr>
          <w:rFonts w:ascii="Times New Roman" w:hAnsi="Times New Roman"/>
          <w:sz w:val="24"/>
        </w:rPr>
      </w:pPr>
      <w:r>
        <w:rPr>
          <w:rFonts w:ascii="Times New Roman" w:hAnsi="Times New Roman"/>
          <w:i/>
          <w:iCs/>
          <w:sz w:val="24"/>
        </w:rPr>
        <w:t>Tablica 24. Prikaz pokazatelja rezultata provedbe mjere 3.1.</w:t>
      </w:r>
    </w:p>
    <w:tbl>
      <w:tblPr>
        <w:tblStyle w:val="Reetkatablice4"/>
        <w:tblW w:w="0" w:type="auto"/>
        <w:tblLook w:val="04A0" w:firstRow="1" w:lastRow="0" w:firstColumn="1" w:lastColumn="0" w:noHBand="0" w:noVBand="1"/>
      </w:tblPr>
      <w:tblGrid>
        <w:gridCol w:w="4524"/>
        <w:gridCol w:w="1414"/>
        <w:gridCol w:w="1699"/>
        <w:gridCol w:w="1985"/>
      </w:tblGrid>
      <w:tr w:rsidR="00496804" w14:paraId="45D05F1B" w14:textId="77777777">
        <w:tc>
          <w:tcPr>
            <w:tcW w:w="4524" w:type="dxa"/>
            <w:shd w:val="clear" w:color="auto" w:fill="FFCCA6" w:themeFill="accent5" w:themeFillTint="66"/>
          </w:tcPr>
          <w:p w14:paraId="45D05F17" w14:textId="77777777" w:rsidR="00496804" w:rsidRDefault="0037359D">
            <w:pPr>
              <w:tabs>
                <w:tab w:val="left" w:pos="426"/>
              </w:tabs>
              <w:spacing w:before="240" w:after="200" w:line="240" w:lineRule="auto"/>
              <w:rPr>
                <w:rFonts w:ascii="Times New Roman" w:eastAsia="Calibri" w:hAnsi="Times New Roman"/>
                <w:b/>
                <w:bCs/>
                <w:sz w:val="24"/>
                <w:lang w:eastAsia="en-US"/>
              </w:rPr>
            </w:pPr>
            <w:r>
              <w:rPr>
                <w:rFonts w:ascii="Times New Roman" w:eastAsia="Calibri" w:hAnsi="Times New Roman"/>
                <w:b/>
                <w:bCs/>
                <w:sz w:val="24"/>
                <w:lang w:eastAsia="en-US"/>
              </w:rPr>
              <w:t>Pokazatelj rezultata provedbe mjere</w:t>
            </w:r>
          </w:p>
        </w:tc>
        <w:tc>
          <w:tcPr>
            <w:tcW w:w="1414" w:type="dxa"/>
            <w:shd w:val="clear" w:color="auto" w:fill="FFCCA6" w:themeFill="accent5" w:themeFillTint="66"/>
          </w:tcPr>
          <w:p w14:paraId="45D05F18"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Mjerna jedinica</w:t>
            </w:r>
          </w:p>
        </w:tc>
        <w:tc>
          <w:tcPr>
            <w:tcW w:w="1699" w:type="dxa"/>
            <w:shd w:val="clear" w:color="auto" w:fill="FFCCA6" w:themeFill="accent5" w:themeFillTint="66"/>
            <w:vAlign w:val="center"/>
          </w:tcPr>
          <w:p w14:paraId="45D05F19"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Početna vrijednost</w:t>
            </w:r>
          </w:p>
        </w:tc>
        <w:tc>
          <w:tcPr>
            <w:tcW w:w="1985" w:type="dxa"/>
            <w:shd w:val="clear" w:color="auto" w:fill="FFCCA6" w:themeFill="accent5" w:themeFillTint="66"/>
          </w:tcPr>
          <w:p w14:paraId="45D05F1A"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Ciljana vrijednost 2030.</w:t>
            </w:r>
          </w:p>
        </w:tc>
      </w:tr>
      <w:tr w:rsidR="00496804" w14:paraId="45D05F20" w14:textId="77777777">
        <w:tc>
          <w:tcPr>
            <w:tcW w:w="4524" w:type="dxa"/>
            <w:vAlign w:val="center"/>
          </w:tcPr>
          <w:p w14:paraId="45D05F1C" w14:textId="77777777" w:rsidR="00496804" w:rsidRDefault="0037359D">
            <w:pPr>
              <w:tabs>
                <w:tab w:val="left" w:pos="426"/>
              </w:tabs>
              <w:spacing w:before="120" w:after="120" w:line="240" w:lineRule="auto"/>
              <w:jc w:val="left"/>
              <w:rPr>
                <w:rFonts w:ascii="Times New Roman" w:eastAsia="Calibri" w:hAnsi="Times New Roman"/>
                <w:sz w:val="24"/>
                <w:lang w:eastAsia="en-US"/>
              </w:rPr>
            </w:pPr>
            <w:r>
              <w:rPr>
                <w:rFonts w:ascii="Times New Roman" w:eastAsia="Calibri" w:hAnsi="Times New Roman"/>
                <w:sz w:val="24"/>
                <w:lang w:eastAsia="en-US"/>
              </w:rPr>
              <w:t>Ukupno objave i priopćenja vezana uz temu kružnog gospodarenja prostorom i zgradama (web stranica i sredstva javnog priopćavanja)</w:t>
            </w:r>
          </w:p>
        </w:tc>
        <w:tc>
          <w:tcPr>
            <w:tcW w:w="1414" w:type="dxa"/>
            <w:vAlign w:val="center"/>
          </w:tcPr>
          <w:p w14:paraId="45D05F1D" w14:textId="77777777" w:rsidR="00496804" w:rsidRDefault="0037359D">
            <w:pPr>
              <w:tabs>
                <w:tab w:val="left" w:pos="426"/>
              </w:tabs>
              <w:spacing w:before="120" w:after="120" w:line="240" w:lineRule="auto"/>
              <w:jc w:val="center"/>
              <w:rPr>
                <w:rFonts w:ascii="Times New Roman" w:eastAsia="Calibri" w:hAnsi="Times New Roman"/>
                <w:sz w:val="24"/>
                <w:lang w:eastAsia="en-US"/>
              </w:rPr>
            </w:pPr>
            <w:r>
              <w:rPr>
                <w:rFonts w:ascii="Times New Roman" w:eastAsia="Calibri" w:hAnsi="Times New Roman"/>
                <w:sz w:val="24"/>
                <w:lang w:eastAsia="en-US"/>
              </w:rPr>
              <w:t>broj</w:t>
            </w:r>
          </w:p>
        </w:tc>
        <w:tc>
          <w:tcPr>
            <w:tcW w:w="1699" w:type="dxa"/>
            <w:vAlign w:val="center"/>
          </w:tcPr>
          <w:p w14:paraId="45D05F1E" w14:textId="77777777" w:rsidR="00496804" w:rsidRDefault="0037359D">
            <w:pPr>
              <w:tabs>
                <w:tab w:val="left" w:pos="426"/>
              </w:tabs>
              <w:spacing w:before="120" w:after="120" w:line="240" w:lineRule="auto"/>
              <w:jc w:val="center"/>
              <w:rPr>
                <w:rFonts w:ascii="Times New Roman" w:eastAsia="Calibri" w:hAnsi="Times New Roman"/>
                <w:sz w:val="24"/>
                <w:lang w:eastAsia="en-US"/>
              </w:rPr>
            </w:pPr>
            <w:r>
              <w:rPr>
                <w:rFonts w:ascii="Times New Roman" w:eastAsia="Calibri" w:hAnsi="Times New Roman"/>
                <w:sz w:val="24"/>
                <w:lang w:eastAsia="en-US"/>
              </w:rPr>
              <w:t>0</w:t>
            </w:r>
          </w:p>
        </w:tc>
        <w:tc>
          <w:tcPr>
            <w:tcW w:w="1985" w:type="dxa"/>
            <w:vAlign w:val="center"/>
          </w:tcPr>
          <w:p w14:paraId="45D05F1F" w14:textId="77777777" w:rsidR="00496804" w:rsidRDefault="0037359D">
            <w:pPr>
              <w:tabs>
                <w:tab w:val="left" w:pos="426"/>
              </w:tabs>
              <w:spacing w:before="120" w:after="120" w:line="240" w:lineRule="auto"/>
              <w:jc w:val="center"/>
              <w:rPr>
                <w:rFonts w:ascii="Times New Roman" w:eastAsia="Calibri" w:hAnsi="Times New Roman"/>
                <w:sz w:val="24"/>
                <w:lang w:eastAsia="en-US"/>
              </w:rPr>
            </w:pPr>
            <w:r>
              <w:rPr>
                <w:rFonts w:ascii="Times New Roman" w:eastAsia="Calibri" w:hAnsi="Times New Roman"/>
                <w:sz w:val="24"/>
                <w:lang w:eastAsia="en-US"/>
              </w:rPr>
              <w:t>200</w:t>
            </w:r>
          </w:p>
        </w:tc>
      </w:tr>
      <w:tr w:rsidR="00496804" w14:paraId="45D05F25" w14:textId="77777777">
        <w:tc>
          <w:tcPr>
            <w:tcW w:w="4524" w:type="dxa"/>
            <w:vAlign w:val="center"/>
          </w:tcPr>
          <w:p w14:paraId="45D05F21" w14:textId="77777777" w:rsidR="00496804" w:rsidRDefault="0037359D">
            <w:pPr>
              <w:tabs>
                <w:tab w:val="left" w:pos="426"/>
              </w:tabs>
              <w:spacing w:before="120" w:after="120" w:line="240" w:lineRule="auto"/>
              <w:jc w:val="left"/>
              <w:rPr>
                <w:rFonts w:ascii="Times New Roman" w:eastAsia="Calibri" w:hAnsi="Times New Roman"/>
                <w:sz w:val="24"/>
                <w:lang w:eastAsia="en-US"/>
              </w:rPr>
            </w:pPr>
            <w:r>
              <w:rPr>
                <w:rFonts w:ascii="Times New Roman" w:eastAsia="Calibri" w:hAnsi="Times New Roman"/>
                <w:sz w:val="24"/>
                <w:lang w:eastAsia="en-US"/>
              </w:rPr>
              <w:t>Sudionici informativnih radionica, konferencija i tematskih skupova na temu kružnog gospodarenja prostorom i zgradama</w:t>
            </w:r>
          </w:p>
        </w:tc>
        <w:tc>
          <w:tcPr>
            <w:tcW w:w="1414" w:type="dxa"/>
            <w:vAlign w:val="center"/>
          </w:tcPr>
          <w:p w14:paraId="45D05F22" w14:textId="77777777" w:rsidR="00496804" w:rsidRDefault="0037359D">
            <w:pPr>
              <w:tabs>
                <w:tab w:val="left" w:pos="426"/>
              </w:tabs>
              <w:spacing w:before="120" w:after="120" w:line="240" w:lineRule="auto"/>
              <w:jc w:val="center"/>
              <w:rPr>
                <w:rFonts w:ascii="Times New Roman" w:eastAsia="Calibri" w:hAnsi="Times New Roman"/>
                <w:sz w:val="24"/>
                <w:lang w:eastAsia="en-US"/>
              </w:rPr>
            </w:pPr>
            <w:r>
              <w:rPr>
                <w:rFonts w:ascii="Times New Roman" w:eastAsia="Calibri" w:hAnsi="Times New Roman"/>
                <w:sz w:val="24"/>
                <w:lang w:eastAsia="en-US"/>
              </w:rPr>
              <w:t>broj</w:t>
            </w:r>
          </w:p>
        </w:tc>
        <w:tc>
          <w:tcPr>
            <w:tcW w:w="1699" w:type="dxa"/>
            <w:vAlign w:val="center"/>
          </w:tcPr>
          <w:p w14:paraId="45D05F23" w14:textId="77777777" w:rsidR="00496804" w:rsidRDefault="0037359D">
            <w:pPr>
              <w:tabs>
                <w:tab w:val="left" w:pos="426"/>
              </w:tabs>
              <w:spacing w:before="120" w:after="120" w:line="240" w:lineRule="auto"/>
              <w:jc w:val="center"/>
              <w:rPr>
                <w:rFonts w:ascii="Times New Roman" w:eastAsia="Calibri" w:hAnsi="Times New Roman"/>
                <w:sz w:val="24"/>
                <w:lang w:eastAsia="en-US"/>
              </w:rPr>
            </w:pPr>
            <w:r>
              <w:rPr>
                <w:rFonts w:ascii="Times New Roman" w:eastAsia="Calibri" w:hAnsi="Times New Roman"/>
                <w:sz w:val="24"/>
                <w:lang w:eastAsia="en-US"/>
              </w:rPr>
              <w:t>0</w:t>
            </w:r>
          </w:p>
        </w:tc>
        <w:tc>
          <w:tcPr>
            <w:tcW w:w="1985" w:type="dxa"/>
            <w:vAlign w:val="center"/>
          </w:tcPr>
          <w:p w14:paraId="45D05F24" w14:textId="77777777" w:rsidR="00496804" w:rsidRDefault="0037359D">
            <w:pPr>
              <w:tabs>
                <w:tab w:val="left" w:pos="426"/>
              </w:tabs>
              <w:spacing w:before="120" w:after="120" w:line="240" w:lineRule="auto"/>
              <w:jc w:val="center"/>
              <w:rPr>
                <w:rFonts w:ascii="Times New Roman" w:eastAsia="Calibri" w:hAnsi="Times New Roman"/>
                <w:sz w:val="24"/>
                <w:lang w:eastAsia="en-US"/>
              </w:rPr>
            </w:pPr>
            <w:r>
              <w:rPr>
                <w:rFonts w:ascii="Times New Roman" w:eastAsia="Calibri" w:hAnsi="Times New Roman"/>
                <w:sz w:val="24"/>
                <w:lang w:eastAsia="en-US"/>
              </w:rPr>
              <w:t>4.000</w:t>
            </w:r>
          </w:p>
        </w:tc>
      </w:tr>
    </w:tbl>
    <w:p w14:paraId="45D05F26" w14:textId="77777777" w:rsidR="00496804" w:rsidRDefault="00496804">
      <w:pPr>
        <w:pStyle w:val="tekst"/>
        <w:spacing w:line="240" w:lineRule="auto"/>
        <w:rPr>
          <w:rFonts w:ascii="Times New Roman" w:hAnsi="Times New Roman" w:cs="Times New Roman"/>
          <w:sz w:val="24"/>
          <w:szCs w:val="24"/>
        </w:rPr>
      </w:pPr>
    </w:p>
    <w:p w14:paraId="45D05F27" w14:textId="77777777" w:rsidR="00496804" w:rsidRDefault="00496804">
      <w:pPr>
        <w:pStyle w:val="tekst"/>
        <w:spacing w:line="240" w:lineRule="auto"/>
        <w:rPr>
          <w:rFonts w:ascii="Times New Roman" w:hAnsi="Times New Roman" w:cs="Times New Roman"/>
          <w:sz w:val="24"/>
          <w:szCs w:val="24"/>
        </w:rPr>
      </w:pPr>
    </w:p>
    <w:p w14:paraId="45D05F28" w14:textId="77777777" w:rsidR="00496804" w:rsidRDefault="0037359D">
      <w:pPr>
        <w:pStyle w:val="tekst"/>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MJERA 3.2. </w:t>
      </w:r>
    </w:p>
    <w:p w14:paraId="45D05F29" w14:textId="77777777" w:rsidR="00496804" w:rsidRDefault="0037359D">
      <w:pPr>
        <w:pStyle w:val="tekst"/>
        <w:pBdr>
          <w:bottom w:val="single" w:sz="4" w:space="1" w:color="auto"/>
        </w:pBdr>
        <w:spacing w:line="240" w:lineRule="auto"/>
        <w:rPr>
          <w:rFonts w:ascii="Times New Roman" w:hAnsi="Times New Roman" w:cs="Times New Roman"/>
          <w:b/>
          <w:bCs/>
          <w:sz w:val="24"/>
          <w:szCs w:val="24"/>
        </w:rPr>
      </w:pPr>
      <w:r>
        <w:rPr>
          <w:rFonts w:ascii="Times New Roman" w:hAnsi="Times New Roman" w:cs="Times New Roman"/>
          <w:b/>
          <w:bCs/>
          <w:sz w:val="24"/>
          <w:szCs w:val="24"/>
        </w:rPr>
        <w:t>Edukacija o kružnom gospodarenju prostorom i zgradama</w:t>
      </w:r>
    </w:p>
    <w:p w14:paraId="45D05F2A" w14:textId="77777777" w:rsidR="00496804" w:rsidRDefault="00496804">
      <w:pPr>
        <w:spacing w:line="240" w:lineRule="auto"/>
        <w:rPr>
          <w:rFonts w:ascii="Times New Roman" w:hAnsi="Times New Roman"/>
          <w:sz w:val="24"/>
        </w:rPr>
      </w:pPr>
    </w:p>
    <w:p w14:paraId="45D05F2B" w14:textId="77777777" w:rsidR="00496804" w:rsidRDefault="0037359D">
      <w:pPr>
        <w:spacing w:line="240" w:lineRule="auto"/>
        <w:rPr>
          <w:rFonts w:ascii="Times New Roman" w:hAnsi="Times New Roman"/>
          <w:sz w:val="24"/>
          <w:lang w:eastAsia="en-US"/>
        </w:rPr>
      </w:pPr>
      <w:r>
        <w:rPr>
          <w:rFonts w:ascii="Times New Roman" w:hAnsi="Times New Roman"/>
          <w:sz w:val="24"/>
        </w:rPr>
        <w:t xml:space="preserve">Kako bi se osigurala visoka razina znanja o kružnom gospodarenju prostorom i zgradama i posljedično kvalitetnije planiranje i provedba iste na lokalnoj razini, planira se provođenje edukativnih radionica i predavanja. Planira se organiziranje edukacija, stručnih skupova i znanstveno-istraživačkih radionica za stručnjake i nositelje razvoja na lokalnoj i područnoj razini u području kružnog gospodarenja prostorom i zgradama kojima se nastoje dodatno educirati za izradu kvalitetne strateške, planske, programske i tehničke dokumentacije. </w:t>
      </w:r>
    </w:p>
    <w:p w14:paraId="45D05F2C" w14:textId="77777777" w:rsidR="00496804" w:rsidRDefault="00496804">
      <w:pPr>
        <w:pStyle w:val="tekst"/>
        <w:spacing w:line="240" w:lineRule="auto"/>
        <w:rPr>
          <w:rFonts w:ascii="Times New Roman" w:hAnsi="Times New Roman" w:cs="Times New Roman"/>
          <w:sz w:val="24"/>
          <w:szCs w:val="24"/>
        </w:rPr>
      </w:pPr>
    </w:p>
    <w:p w14:paraId="45D05F2D" w14:textId="77777777" w:rsidR="00496804" w:rsidRDefault="00496804">
      <w:pPr>
        <w:pStyle w:val="tekst"/>
        <w:spacing w:line="240" w:lineRule="auto"/>
        <w:rPr>
          <w:rFonts w:ascii="Times New Roman" w:hAnsi="Times New Roman" w:cs="Times New Roman"/>
          <w:sz w:val="24"/>
          <w:szCs w:val="24"/>
        </w:rPr>
      </w:pPr>
    </w:p>
    <w:p w14:paraId="45D05F2E" w14:textId="77777777" w:rsidR="00496804" w:rsidRDefault="00496804">
      <w:pPr>
        <w:pStyle w:val="tekst"/>
        <w:spacing w:line="240" w:lineRule="auto"/>
        <w:rPr>
          <w:rFonts w:ascii="Times New Roman" w:hAnsi="Times New Roman" w:cs="Times New Roman"/>
          <w:sz w:val="24"/>
          <w:szCs w:val="24"/>
        </w:rPr>
      </w:pPr>
    </w:p>
    <w:p w14:paraId="45D05F2F" w14:textId="77777777" w:rsidR="00496804" w:rsidRDefault="0037359D">
      <w:pPr>
        <w:pStyle w:val="tekst"/>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Aktivnosti: </w:t>
      </w:r>
    </w:p>
    <w:p w14:paraId="45D05F30" w14:textId="77777777" w:rsidR="00496804" w:rsidRDefault="0037359D">
      <w:pPr>
        <w:pStyle w:val="Odlomakpopisa"/>
        <w:numPr>
          <w:ilvl w:val="2"/>
          <w:numId w:val="32"/>
        </w:numPr>
        <w:spacing w:line="240" w:lineRule="auto"/>
        <w:ind w:hanging="646"/>
        <w:rPr>
          <w:rFonts w:ascii="Times New Roman" w:hAnsi="Times New Roman"/>
          <w:b w:val="0"/>
          <w:bCs/>
          <w:sz w:val="24"/>
        </w:rPr>
      </w:pPr>
      <w:r>
        <w:rPr>
          <w:rFonts w:ascii="Times New Roman" w:hAnsi="Times New Roman"/>
          <w:b w:val="0"/>
          <w:bCs/>
          <w:sz w:val="24"/>
        </w:rPr>
        <w:t>Organiziranje predavanja u sklopu stručnog usavršavanja</w:t>
      </w:r>
    </w:p>
    <w:p w14:paraId="45D05F31" w14:textId="77777777" w:rsidR="00496804" w:rsidRDefault="0037359D">
      <w:pPr>
        <w:pStyle w:val="Odlomakpopisa"/>
        <w:numPr>
          <w:ilvl w:val="2"/>
          <w:numId w:val="32"/>
        </w:numPr>
        <w:spacing w:line="240" w:lineRule="auto"/>
        <w:ind w:hanging="646"/>
        <w:rPr>
          <w:rFonts w:ascii="Times New Roman" w:hAnsi="Times New Roman"/>
          <w:b w:val="0"/>
          <w:bCs/>
          <w:sz w:val="24"/>
        </w:rPr>
      </w:pPr>
      <w:r>
        <w:rPr>
          <w:rFonts w:ascii="Times New Roman" w:hAnsi="Times New Roman"/>
          <w:b w:val="0"/>
          <w:bCs/>
          <w:sz w:val="24"/>
        </w:rPr>
        <w:t xml:space="preserve">Održavanje edukativnih i provedbenih radionica </w:t>
      </w:r>
    </w:p>
    <w:p w14:paraId="45D05F32" w14:textId="77777777" w:rsidR="00496804" w:rsidRDefault="0037359D">
      <w:pPr>
        <w:pStyle w:val="Odlomakpopisa"/>
        <w:numPr>
          <w:ilvl w:val="2"/>
          <w:numId w:val="32"/>
        </w:numPr>
        <w:spacing w:line="240" w:lineRule="auto"/>
        <w:ind w:hanging="646"/>
        <w:rPr>
          <w:rFonts w:ascii="Times New Roman" w:hAnsi="Times New Roman"/>
          <w:b w:val="0"/>
          <w:bCs/>
          <w:sz w:val="24"/>
        </w:rPr>
      </w:pPr>
      <w:r>
        <w:rPr>
          <w:rFonts w:ascii="Times New Roman" w:hAnsi="Times New Roman"/>
          <w:b w:val="0"/>
          <w:bCs/>
          <w:sz w:val="24"/>
        </w:rPr>
        <w:t>Uključivanje akademske i znanstveno-stručne zajednice u edukaciju i afirmaciju kružnog gospodarenja prostorom i zgradama</w:t>
      </w:r>
    </w:p>
    <w:p w14:paraId="45D05F33" w14:textId="77777777" w:rsidR="00496804" w:rsidRDefault="0037359D">
      <w:pPr>
        <w:pStyle w:val="Odlomakpopisa"/>
        <w:numPr>
          <w:ilvl w:val="2"/>
          <w:numId w:val="32"/>
        </w:numPr>
        <w:spacing w:line="240" w:lineRule="auto"/>
        <w:ind w:hanging="646"/>
        <w:rPr>
          <w:rFonts w:ascii="Times New Roman" w:hAnsi="Times New Roman"/>
          <w:b w:val="0"/>
          <w:bCs/>
          <w:sz w:val="24"/>
        </w:rPr>
      </w:pPr>
      <w:r>
        <w:rPr>
          <w:rFonts w:ascii="Times New Roman" w:hAnsi="Times New Roman"/>
          <w:b w:val="0"/>
          <w:bCs/>
          <w:sz w:val="24"/>
        </w:rPr>
        <w:t>Sudjelovanje na inozemnim skupovima i inozemna studijska putovanja u svrhu razmjene znanja vezano uz razvoj kružnog gospodarenja prostorom i zgradama</w:t>
      </w:r>
    </w:p>
    <w:p w14:paraId="45D05F34" w14:textId="77777777" w:rsidR="00496804" w:rsidRDefault="0037359D">
      <w:pPr>
        <w:pStyle w:val="Odlomakpopisa"/>
        <w:numPr>
          <w:ilvl w:val="2"/>
          <w:numId w:val="32"/>
        </w:numPr>
        <w:spacing w:line="240" w:lineRule="auto"/>
        <w:ind w:hanging="646"/>
        <w:rPr>
          <w:rFonts w:ascii="Times New Roman" w:hAnsi="Times New Roman"/>
          <w:b w:val="0"/>
          <w:bCs/>
          <w:sz w:val="24"/>
        </w:rPr>
      </w:pPr>
      <w:r>
        <w:rPr>
          <w:rFonts w:ascii="Times New Roman" w:hAnsi="Times New Roman"/>
          <w:b w:val="0"/>
          <w:bCs/>
          <w:sz w:val="24"/>
        </w:rPr>
        <w:t>Izrada priručnika za kružno gospodarenje prostorom i zgradama s detaljnim objašnjenjima tipologije i primjera dobre prakse s tehničkim rješenjima i uputama za projektante</w:t>
      </w:r>
    </w:p>
    <w:p w14:paraId="45D05F35" w14:textId="77777777" w:rsidR="00496804" w:rsidRDefault="0037359D">
      <w:pPr>
        <w:pStyle w:val="Odlomakpopisa"/>
        <w:numPr>
          <w:ilvl w:val="2"/>
          <w:numId w:val="32"/>
        </w:numPr>
        <w:spacing w:line="240" w:lineRule="auto"/>
        <w:ind w:hanging="646"/>
        <w:rPr>
          <w:rFonts w:ascii="Times New Roman" w:hAnsi="Times New Roman"/>
          <w:b w:val="0"/>
          <w:bCs/>
          <w:sz w:val="24"/>
        </w:rPr>
      </w:pPr>
      <w:r>
        <w:rPr>
          <w:rFonts w:ascii="Times New Roman" w:hAnsi="Times New Roman"/>
          <w:b w:val="0"/>
          <w:bCs/>
          <w:sz w:val="24"/>
        </w:rPr>
        <w:t xml:space="preserve">Organiziranje seminara za stručnjake s ciljem razmjene znanja i iskustva te educiranja na temelju primjera dobre prakse </w:t>
      </w:r>
    </w:p>
    <w:p w14:paraId="45D05F36" w14:textId="77777777" w:rsidR="00496804" w:rsidRDefault="00496804">
      <w:pPr>
        <w:pStyle w:val="tekst"/>
        <w:spacing w:line="240" w:lineRule="auto"/>
        <w:rPr>
          <w:rFonts w:ascii="Times New Roman" w:hAnsi="Times New Roman" w:cs="Times New Roman"/>
          <w:sz w:val="24"/>
          <w:szCs w:val="24"/>
        </w:rPr>
      </w:pPr>
    </w:p>
    <w:p w14:paraId="45D05F37" w14:textId="77777777" w:rsidR="00496804" w:rsidRDefault="0037359D">
      <w:pPr>
        <w:spacing w:line="240" w:lineRule="auto"/>
        <w:rPr>
          <w:rFonts w:ascii="Times New Roman" w:hAnsi="Times New Roman"/>
          <w:sz w:val="24"/>
        </w:rPr>
      </w:pPr>
      <w:r>
        <w:rPr>
          <w:rFonts w:ascii="Times New Roman" w:hAnsi="Times New Roman"/>
          <w:i/>
          <w:iCs/>
          <w:sz w:val="24"/>
        </w:rPr>
        <w:t>Tablica 25. Prikaz pokazatelja rezultata provedbe mjere 3.2.</w:t>
      </w:r>
    </w:p>
    <w:tbl>
      <w:tblPr>
        <w:tblStyle w:val="Reetkatablice5"/>
        <w:tblW w:w="0" w:type="auto"/>
        <w:tblLook w:val="04A0" w:firstRow="1" w:lastRow="0" w:firstColumn="1" w:lastColumn="0" w:noHBand="0" w:noVBand="1"/>
      </w:tblPr>
      <w:tblGrid>
        <w:gridCol w:w="4588"/>
        <w:gridCol w:w="1404"/>
        <w:gridCol w:w="1663"/>
        <w:gridCol w:w="1967"/>
      </w:tblGrid>
      <w:tr w:rsidR="00496804" w14:paraId="45D05F3C" w14:textId="77777777">
        <w:tc>
          <w:tcPr>
            <w:tcW w:w="4588" w:type="dxa"/>
            <w:shd w:val="clear" w:color="auto" w:fill="FFCCA6" w:themeFill="accent5" w:themeFillTint="66"/>
          </w:tcPr>
          <w:p w14:paraId="45D05F38" w14:textId="77777777" w:rsidR="00496804" w:rsidRDefault="0037359D">
            <w:pPr>
              <w:tabs>
                <w:tab w:val="left" w:pos="426"/>
              </w:tabs>
              <w:spacing w:before="240" w:after="200" w:line="240" w:lineRule="auto"/>
              <w:rPr>
                <w:rFonts w:ascii="Times New Roman" w:eastAsia="Calibri" w:hAnsi="Times New Roman"/>
                <w:b/>
                <w:bCs/>
                <w:sz w:val="24"/>
                <w:lang w:eastAsia="en-US"/>
              </w:rPr>
            </w:pPr>
            <w:r>
              <w:rPr>
                <w:rFonts w:ascii="Times New Roman" w:eastAsia="Calibri" w:hAnsi="Times New Roman"/>
                <w:b/>
                <w:bCs/>
                <w:sz w:val="24"/>
                <w:lang w:eastAsia="en-US"/>
              </w:rPr>
              <w:t>Pokazatelj rezultata provedbe mjere</w:t>
            </w:r>
          </w:p>
        </w:tc>
        <w:tc>
          <w:tcPr>
            <w:tcW w:w="1404" w:type="dxa"/>
            <w:shd w:val="clear" w:color="auto" w:fill="FFCCA6" w:themeFill="accent5" w:themeFillTint="66"/>
          </w:tcPr>
          <w:p w14:paraId="45D05F39"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Mjerna jedinica</w:t>
            </w:r>
          </w:p>
        </w:tc>
        <w:tc>
          <w:tcPr>
            <w:tcW w:w="1663" w:type="dxa"/>
            <w:shd w:val="clear" w:color="auto" w:fill="FFCCA6" w:themeFill="accent5" w:themeFillTint="66"/>
            <w:vAlign w:val="center"/>
          </w:tcPr>
          <w:p w14:paraId="45D05F3A"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Početna vrijednost</w:t>
            </w:r>
          </w:p>
        </w:tc>
        <w:tc>
          <w:tcPr>
            <w:tcW w:w="1967" w:type="dxa"/>
            <w:shd w:val="clear" w:color="auto" w:fill="FFCCA6" w:themeFill="accent5" w:themeFillTint="66"/>
          </w:tcPr>
          <w:p w14:paraId="45D05F3B" w14:textId="77777777" w:rsidR="00496804" w:rsidRDefault="0037359D">
            <w:pPr>
              <w:tabs>
                <w:tab w:val="left" w:pos="426"/>
              </w:tabs>
              <w:spacing w:before="240" w:after="200" w:line="240" w:lineRule="auto"/>
              <w:jc w:val="center"/>
              <w:rPr>
                <w:rFonts w:ascii="Times New Roman" w:eastAsia="Calibri" w:hAnsi="Times New Roman"/>
                <w:b/>
                <w:bCs/>
                <w:sz w:val="24"/>
                <w:lang w:eastAsia="en-US"/>
              </w:rPr>
            </w:pPr>
            <w:r>
              <w:rPr>
                <w:rFonts w:ascii="Times New Roman" w:eastAsia="Calibri" w:hAnsi="Times New Roman"/>
                <w:b/>
                <w:bCs/>
                <w:sz w:val="24"/>
                <w:lang w:eastAsia="en-US"/>
              </w:rPr>
              <w:t>Ciljana vrijednost 2030.</w:t>
            </w:r>
          </w:p>
        </w:tc>
      </w:tr>
      <w:tr w:rsidR="00496804" w14:paraId="45D05F41" w14:textId="77777777">
        <w:tc>
          <w:tcPr>
            <w:tcW w:w="4588" w:type="dxa"/>
            <w:vAlign w:val="center"/>
          </w:tcPr>
          <w:p w14:paraId="45D05F3D" w14:textId="77777777" w:rsidR="00496804" w:rsidRDefault="0037359D">
            <w:pPr>
              <w:tabs>
                <w:tab w:val="left" w:pos="426"/>
              </w:tabs>
              <w:spacing w:before="120" w:after="120" w:line="240" w:lineRule="auto"/>
              <w:jc w:val="left"/>
              <w:rPr>
                <w:rFonts w:ascii="Times New Roman" w:eastAsia="Calibri" w:hAnsi="Times New Roman"/>
                <w:sz w:val="24"/>
                <w:lang w:eastAsia="en-US"/>
              </w:rPr>
            </w:pPr>
            <w:r>
              <w:rPr>
                <w:rFonts w:ascii="Times New Roman" w:eastAsia="Calibri" w:hAnsi="Times New Roman"/>
                <w:sz w:val="24"/>
                <w:lang w:eastAsia="en-US"/>
              </w:rPr>
              <w:t>Stručnjaci i predstavnici lokalne/regionalne samouprave koji su sudjelovali na edukativnim događanjima</w:t>
            </w:r>
          </w:p>
        </w:tc>
        <w:tc>
          <w:tcPr>
            <w:tcW w:w="1404" w:type="dxa"/>
            <w:vAlign w:val="center"/>
          </w:tcPr>
          <w:p w14:paraId="45D05F3E"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broj</w:t>
            </w:r>
          </w:p>
        </w:tc>
        <w:tc>
          <w:tcPr>
            <w:tcW w:w="1663" w:type="dxa"/>
            <w:vAlign w:val="center"/>
          </w:tcPr>
          <w:p w14:paraId="45D05F3F"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0</w:t>
            </w:r>
          </w:p>
        </w:tc>
        <w:tc>
          <w:tcPr>
            <w:tcW w:w="1967" w:type="dxa"/>
            <w:vAlign w:val="center"/>
          </w:tcPr>
          <w:p w14:paraId="45D05F40" w14:textId="77777777" w:rsidR="00496804" w:rsidRDefault="0037359D">
            <w:pPr>
              <w:tabs>
                <w:tab w:val="left" w:pos="426"/>
              </w:tabs>
              <w:spacing w:before="240" w:after="200" w:line="240" w:lineRule="auto"/>
              <w:jc w:val="center"/>
              <w:rPr>
                <w:rFonts w:ascii="Times New Roman" w:eastAsia="Calibri" w:hAnsi="Times New Roman"/>
                <w:sz w:val="24"/>
                <w:lang w:eastAsia="en-US"/>
              </w:rPr>
            </w:pPr>
            <w:r>
              <w:rPr>
                <w:rFonts w:ascii="Times New Roman" w:eastAsia="Calibri" w:hAnsi="Times New Roman"/>
                <w:sz w:val="24"/>
                <w:lang w:eastAsia="en-US"/>
              </w:rPr>
              <w:t>1.000</w:t>
            </w:r>
          </w:p>
        </w:tc>
      </w:tr>
    </w:tbl>
    <w:p w14:paraId="45D05F42" w14:textId="77777777" w:rsidR="00496804" w:rsidRDefault="00496804">
      <w:pPr>
        <w:pStyle w:val="tekst"/>
        <w:spacing w:line="240" w:lineRule="auto"/>
        <w:rPr>
          <w:rFonts w:ascii="Times New Roman" w:hAnsi="Times New Roman" w:cs="Times New Roman"/>
          <w:sz w:val="24"/>
          <w:szCs w:val="24"/>
        </w:rPr>
      </w:pPr>
    </w:p>
    <w:p w14:paraId="45D05F43" w14:textId="77777777" w:rsidR="00496804" w:rsidRDefault="0037359D">
      <w:pPr>
        <w:spacing w:line="240" w:lineRule="auto"/>
        <w:jc w:val="left"/>
        <w:rPr>
          <w:rFonts w:ascii="Times New Roman" w:hAnsi="Times New Roman"/>
          <w:sz w:val="24"/>
          <w:lang w:eastAsia="hr-HR"/>
        </w:rPr>
      </w:pPr>
      <w:r>
        <w:rPr>
          <w:rFonts w:ascii="Times New Roman" w:hAnsi="Times New Roman"/>
          <w:sz w:val="24"/>
        </w:rPr>
        <w:br w:type="page"/>
      </w:r>
    </w:p>
    <w:p w14:paraId="45D05F44" w14:textId="77777777" w:rsidR="00496804" w:rsidRDefault="0037359D">
      <w:pPr>
        <w:pStyle w:val="Naslov10"/>
        <w:spacing w:line="240" w:lineRule="auto"/>
        <w:ind w:left="426" w:hanging="426"/>
        <w:outlineLvl w:val="0"/>
        <w:rPr>
          <w:rFonts w:ascii="Times New Roman" w:hAnsi="Times New Roman" w:cs="Times New Roman"/>
          <w:sz w:val="24"/>
          <w:szCs w:val="24"/>
        </w:rPr>
      </w:pPr>
      <w:bookmarkStart w:id="220" w:name="_Toc38560825"/>
      <w:bookmarkStart w:id="221" w:name="_Toc51851656"/>
      <w:bookmarkEnd w:id="165"/>
      <w:r>
        <w:rPr>
          <w:rFonts w:ascii="Times New Roman" w:hAnsi="Times New Roman" w:cs="Times New Roman"/>
          <w:sz w:val="24"/>
          <w:szCs w:val="24"/>
        </w:rPr>
        <w:lastRenderedPageBreak/>
        <w:t xml:space="preserve">TERMINSKI PLAN PROVEDBE </w:t>
      </w:r>
      <w:bookmarkEnd w:id="220"/>
      <w:r>
        <w:rPr>
          <w:rFonts w:ascii="Times New Roman" w:hAnsi="Times New Roman" w:cs="Times New Roman"/>
          <w:sz w:val="24"/>
          <w:szCs w:val="24"/>
        </w:rPr>
        <w:t>PROGRAMA</w:t>
      </w:r>
      <w:bookmarkEnd w:id="221"/>
    </w:p>
    <w:p w14:paraId="45D05F45" w14:textId="77777777" w:rsidR="00496804" w:rsidRDefault="00496804">
      <w:pPr>
        <w:spacing w:line="240" w:lineRule="auto"/>
        <w:rPr>
          <w:rFonts w:ascii="Times New Roman" w:hAnsi="Times New Roman"/>
          <w:sz w:val="24"/>
        </w:rPr>
      </w:pPr>
    </w:p>
    <w:p w14:paraId="45D05F46" w14:textId="77777777" w:rsidR="00496804" w:rsidRDefault="0037359D">
      <w:pPr>
        <w:spacing w:line="240" w:lineRule="auto"/>
        <w:rPr>
          <w:rFonts w:ascii="Times New Roman" w:hAnsi="Times New Roman"/>
          <w:b/>
          <w:bCs/>
          <w:i/>
          <w:iCs/>
          <w:sz w:val="24"/>
        </w:rPr>
      </w:pPr>
      <w:r>
        <w:rPr>
          <w:rFonts w:ascii="Times New Roman" w:hAnsi="Times New Roman"/>
          <w:i/>
          <w:iCs/>
          <w:sz w:val="24"/>
        </w:rPr>
        <w:t xml:space="preserve">Tablica 26. </w:t>
      </w:r>
      <w:r>
        <w:rPr>
          <w:rFonts w:ascii="Times New Roman" w:hAnsi="Times New Roman"/>
          <w:i/>
          <w:sz w:val="24"/>
        </w:rPr>
        <w:t>Terminski plan provedbe mjera u okviru Programa razvoja KG:</w:t>
      </w:r>
    </w:p>
    <w:tbl>
      <w:tblPr>
        <w:tblW w:w="5000" w:type="pct"/>
        <w:tblLook w:val="04A0" w:firstRow="1" w:lastRow="0" w:firstColumn="1" w:lastColumn="0" w:noHBand="0" w:noVBand="1"/>
      </w:tblPr>
      <w:tblGrid>
        <w:gridCol w:w="607"/>
        <w:gridCol w:w="2337"/>
        <w:gridCol w:w="667"/>
        <w:gridCol w:w="667"/>
        <w:gridCol w:w="668"/>
        <w:gridCol w:w="668"/>
        <w:gridCol w:w="668"/>
        <w:gridCol w:w="668"/>
        <w:gridCol w:w="668"/>
        <w:gridCol w:w="668"/>
        <w:gridCol w:w="668"/>
        <w:gridCol w:w="668"/>
      </w:tblGrid>
      <w:tr w:rsidR="00496804" w14:paraId="45D05F53" w14:textId="77777777">
        <w:trPr>
          <w:trHeight w:val="300"/>
        </w:trPr>
        <w:tc>
          <w:tcPr>
            <w:tcW w:w="607"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14:paraId="45D05F47" w14:textId="77777777" w:rsidR="00496804" w:rsidRDefault="0037359D">
            <w:pPr>
              <w:spacing w:line="240" w:lineRule="auto"/>
              <w:ind w:left="-112" w:right="-99"/>
              <w:jc w:val="center"/>
              <w:rPr>
                <w:rFonts w:ascii="Times New Roman" w:hAnsi="Times New Roman"/>
                <w:szCs w:val="22"/>
                <w:lang w:eastAsia="hr-HR"/>
              </w:rPr>
            </w:pPr>
            <w:r>
              <w:rPr>
                <w:rFonts w:ascii="Times New Roman" w:hAnsi="Times New Roman"/>
                <w:szCs w:val="22"/>
                <w:lang w:eastAsia="hr-HR"/>
              </w:rPr>
              <w:t>R. BR.</w:t>
            </w:r>
          </w:p>
        </w:tc>
        <w:tc>
          <w:tcPr>
            <w:tcW w:w="2337" w:type="dxa"/>
            <w:tcBorders>
              <w:top w:val="nil"/>
              <w:left w:val="nil"/>
              <w:bottom w:val="single" w:sz="4" w:space="0" w:color="auto"/>
              <w:right w:val="single" w:sz="4" w:space="0" w:color="auto"/>
            </w:tcBorders>
            <w:shd w:val="clear" w:color="auto" w:fill="A6A6A6" w:themeFill="background1" w:themeFillShade="A6"/>
            <w:vAlign w:val="center"/>
          </w:tcPr>
          <w:p w14:paraId="45D05F48" w14:textId="77777777" w:rsidR="00496804" w:rsidRDefault="0037359D">
            <w:pPr>
              <w:spacing w:line="240" w:lineRule="auto"/>
              <w:ind w:left="-112" w:right="-99"/>
              <w:jc w:val="center"/>
              <w:rPr>
                <w:rFonts w:ascii="Times New Roman" w:hAnsi="Times New Roman"/>
                <w:szCs w:val="22"/>
                <w:lang w:eastAsia="hr-HR"/>
              </w:rPr>
            </w:pPr>
            <w:r>
              <w:rPr>
                <w:rFonts w:ascii="Times New Roman" w:hAnsi="Times New Roman"/>
                <w:szCs w:val="22"/>
                <w:lang w:eastAsia="hr-HR"/>
              </w:rPr>
              <w:t>Naziv posebnog cilja/mjere</w:t>
            </w:r>
          </w:p>
        </w:tc>
        <w:tc>
          <w:tcPr>
            <w:tcW w:w="667" w:type="dxa"/>
            <w:tcBorders>
              <w:top w:val="nil"/>
              <w:left w:val="nil"/>
              <w:bottom w:val="single" w:sz="4" w:space="0" w:color="auto"/>
              <w:right w:val="single" w:sz="4" w:space="0" w:color="auto"/>
            </w:tcBorders>
            <w:shd w:val="clear" w:color="auto" w:fill="A6A6A6" w:themeFill="background1" w:themeFillShade="A6"/>
            <w:noWrap/>
            <w:vAlign w:val="center"/>
          </w:tcPr>
          <w:p w14:paraId="45D05F49" w14:textId="77777777" w:rsidR="00496804" w:rsidRDefault="0037359D">
            <w:pPr>
              <w:spacing w:line="240" w:lineRule="auto"/>
              <w:ind w:left="-112" w:right="-99"/>
              <w:jc w:val="center"/>
              <w:rPr>
                <w:rFonts w:ascii="Times New Roman" w:hAnsi="Times New Roman"/>
                <w:szCs w:val="22"/>
                <w:lang w:eastAsia="hr-HR"/>
              </w:rPr>
            </w:pPr>
            <w:r>
              <w:rPr>
                <w:rFonts w:ascii="Times New Roman" w:hAnsi="Times New Roman"/>
                <w:szCs w:val="22"/>
                <w:lang w:eastAsia="hr-HR"/>
              </w:rPr>
              <w:t>2021.</w:t>
            </w:r>
          </w:p>
        </w:tc>
        <w:tc>
          <w:tcPr>
            <w:tcW w:w="667" w:type="dxa"/>
            <w:tcBorders>
              <w:top w:val="nil"/>
              <w:left w:val="nil"/>
              <w:bottom w:val="single" w:sz="4" w:space="0" w:color="auto"/>
              <w:right w:val="single" w:sz="4" w:space="0" w:color="auto"/>
            </w:tcBorders>
            <w:shd w:val="clear" w:color="auto" w:fill="A6A6A6" w:themeFill="background1" w:themeFillShade="A6"/>
            <w:noWrap/>
            <w:vAlign w:val="center"/>
          </w:tcPr>
          <w:p w14:paraId="45D05F4A" w14:textId="77777777" w:rsidR="00496804" w:rsidRDefault="0037359D">
            <w:pPr>
              <w:spacing w:line="240" w:lineRule="auto"/>
              <w:ind w:left="-112" w:right="-99"/>
              <w:jc w:val="center"/>
              <w:rPr>
                <w:rFonts w:ascii="Times New Roman" w:hAnsi="Times New Roman"/>
                <w:szCs w:val="22"/>
                <w:lang w:eastAsia="hr-HR"/>
              </w:rPr>
            </w:pPr>
            <w:r>
              <w:rPr>
                <w:rFonts w:ascii="Times New Roman" w:hAnsi="Times New Roman"/>
                <w:szCs w:val="22"/>
                <w:lang w:eastAsia="hr-HR"/>
              </w:rPr>
              <w:t>2022.</w:t>
            </w:r>
          </w:p>
        </w:tc>
        <w:tc>
          <w:tcPr>
            <w:tcW w:w="668" w:type="dxa"/>
            <w:tcBorders>
              <w:top w:val="nil"/>
              <w:left w:val="nil"/>
              <w:bottom w:val="single" w:sz="4" w:space="0" w:color="auto"/>
              <w:right w:val="single" w:sz="4" w:space="0" w:color="auto"/>
            </w:tcBorders>
            <w:shd w:val="clear" w:color="auto" w:fill="A6A6A6" w:themeFill="background1" w:themeFillShade="A6"/>
            <w:noWrap/>
            <w:vAlign w:val="center"/>
          </w:tcPr>
          <w:p w14:paraId="45D05F4B" w14:textId="77777777" w:rsidR="00496804" w:rsidRDefault="0037359D">
            <w:pPr>
              <w:spacing w:line="240" w:lineRule="auto"/>
              <w:ind w:left="-112" w:right="-99"/>
              <w:jc w:val="center"/>
              <w:rPr>
                <w:rFonts w:ascii="Times New Roman" w:hAnsi="Times New Roman"/>
                <w:szCs w:val="22"/>
                <w:lang w:eastAsia="hr-HR"/>
              </w:rPr>
            </w:pPr>
            <w:r>
              <w:rPr>
                <w:rFonts w:ascii="Times New Roman" w:hAnsi="Times New Roman"/>
                <w:szCs w:val="22"/>
                <w:lang w:eastAsia="hr-HR"/>
              </w:rPr>
              <w:t>2023.</w:t>
            </w:r>
          </w:p>
        </w:tc>
        <w:tc>
          <w:tcPr>
            <w:tcW w:w="668" w:type="dxa"/>
            <w:tcBorders>
              <w:top w:val="nil"/>
              <w:left w:val="nil"/>
              <w:bottom w:val="single" w:sz="4" w:space="0" w:color="auto"/>
              <w:right w:val="single" w:sz="4" w:space="0" w:color="auto"/>
            </w:tcBorders>
            <w:shd w:val="clear" w:color="auto" w:fill="A6A6A6" w:themeFill="background1" w:themeFillShade="A6"/>
            <w:noWrap/>
            <w:vAlign w:val="center"/>
          </w:tcPr>
          <w:p w14:paraId="45D05F4C" w14:textId="77777777" w:rsidR="00496804" w:rsidRDefault="0037359D">
            <w:pPr>
              <w:spacing w:line="240" w:lineRule="auto"/>
              <w:ind w:left="-112" w:right="-99"/>
              <w:jc w:val="center"/>
              <w:rPr>
                <w:rFonts w:ascii="Times New Roman" w:hAnsi="Times New Roman"/>
                <w:szCs w:val="22"/>
                <w:lang w:eastAsia="hr-HR"/>
              </w:rPr>
            </w:pPr>
            <w:r>
              <w:rPr>
                <w:rFonts w:ascii="Times New Roman" w:hAnsi="Times New Roman"/>
                <w:szCs w:val="22"/>
                <w:lang w:eastAsia="hr-HR"/>
              </w:rPr>
              <w:t>2024.</w:t>
            </w:r>
          </w:p>
        </w:tc>
        <w:tc>
          <w:tcPr>
            <w:tcW w:w="668" w:type="dxa"/>
            <w:tcBorders>
              <w:top w:val="nil"/>
              <w:left w:val="nil"/>
              <w:bottom w:val="single" w:sz="4" w:space="0" w:color="auto"/>
              <w:right w:val="single" w:sz="4" w:space="0" w:color="auto"/>
            </w:tcBorders>
            <w:shd w:val="clear" w:color="auto" w:fill="A6A6A6" w:themeFill="background1" w:themeFillShade="A6"/>
            <w:noWrap/>
            <w:vAlign w:val="center"/>
          </w:tcPr>
          <w:p w14:paraId="45D05F4D" w14:textId="77777777" w:rsidR="00496804" w:rsidRDefault="0037359D">
            <w:pPr>
              <w:spacing w:line="240" w:lineRule="auto"/>
              <w:ind w:left="-112" w:right="-99"/>
              <w:jc w:val="center"/>
              <w:rPr>
                <w:rFonts w:ascii="Times New Roman" w:hAnsi="Times New Roman"/>
                <w:szCs w:val="22"/>
                <w:lang w:eastAsia="hr-HR"/>
              </w:rPr>
            </w:pPr>
            <w:r>
              <w:rPr>
                <w:rFonts w:ascii="Times New Roman" w:hAnsi="Times New Roman"/>
                <w:szCs w:val="22"/>
                <w:lang w:eastAsia="hr-HR"/>
              </w:rPr>
              <w:t>2025.</w:t>
            </w:r>
          </w:p>
        </w:tc>
        <w:tc>
          <w:tcPr>
            <w:tcW w:w="668" w:type="dxa"/>
            <w:tcBorders>
              <w:top w:val="nil"/>
              <w:left w:val="nil"/>
              <w:bottom w:val="single" w:sz="4" w:space="0" w:color="auto"/>
              <w:right w:val="single" w:sz="4" w:space="0" w:color="auto"/>
            </w:tcBorders>
            <w:shd w:val="clear" w:color="auto" w:fill="A6A6A6" w:themeFill="background1" w:themeFillShade="A6"/>
            <w:noWrap/>
            <w:vAlign w:val="center"/>
          </w:tcPr>
          <w:p w14:paraId="45D05F4E" w14:textId="77777777" w:rsidR="00496804" w:rsidRDefault="0037359D">
            <w:pPr>
              <w:spacing w:line="240" w:lineRule="auto"/>
              <w:ind w:left="-112" w:right="-99"/>
              <w:jc w:val="center"/>
              <w:rPr>
                <w:rFonts w:ascii="Times New Roman" w:hAnsi="Times New Roman"/>
                <w:szCs w:val="22"/>
                <w:lang w:eastAsia="hr-HR"/>
              </w:rPr>
            </w:pPr>
            <w:r>
              <w:rPr>
                <w:rFonts w:ascii="Times New Roman" w:hAnsi="Times New Roman"/>
                <w:szCs w:val="22"/>
                <w:lang w:eastAsia="hr-HR"/>
              </w:rPr>
              <w:t>2026.</w:t>
            </w:r>
          </w:p>
        </w:tc>
        <w:tc>
          <w:tcPr>
            <w:tcW w:w="668" w:type="dxa"/>
            <w:tcBorders>
              <w:top w:val="nil"/>
              <w:left w:val="nil"/>
              <w:bottom w:val="single" w:sz="4" w:space="0" w:color="auto"/>
              <w:right w:val="single" w:sz="4" w:space="0" w:color="auto"/>
            </w:tcBorders>
            <w:shd w:val="clear" w:color="auto" w:fill="A6A6A6" w:themeFill="background1" w:themeFillShade="A6"/>
            <w:noWrap/>
            <w:vAlign w:val="center"/>
          </w:tcPr>
          <w:p w14:paraId="45D05F4F" w14:textId="77777777" w:rsidR="00496804" w:rsidRDefault="0037359D">
            <w:pPr>
              <w:spacing w:line="240" w:lineRule="auto"/>
              <w:ind w:left="-112" w:right="-99"/>
              <w:jc w:val="center"/>
              <w:rPr>
                <w:rFonts w:ascii="Times New Roman" w:hAnsi="Times New Roman"/>
                <w:szCs w:val="22"/>
                <w:lang w:eastAsia="hr-HR"/>
              </w:rPr>
            </w:pPr>
            <w:r>
              <w:rPr>
                <w:rFonts w:ascii="Times New Roman" w:hAnsi="Times New Roman"/>
                <w:szCs w:val="22"/>
                <w:lang w:eastAsia="hr-HR"/>
              </w:rPr>
              <w:t>2027.</w:t>
            </w:r>
          </w:p>
        </w:tc>
        <w:tc>
          <w:tcPr>
            <w:tcW w:w="668" w:type="dxa"/>
            <w:tcBorders>
              <w:top w:val="nil"/>
              <w:left w:val="nil"/>
              <w:bottom w:val="single" w:sz="4" w:space="0" w:color="auto"/>
              <w:right w:val="single" w:sz="4" w:space="0" w:color="auto"/>
            </w:tcBorders>
            <w:shd w:val="clear" w:color="auto" w:fill="A6A6A6" w:themeFill="background1" w:themeFillShade="A6"/>
            <w:noWrap/>
            <w:vAlign w:val="center"/>
          </w:tcPr>
          <w:p w14:paraId="45D05F50" w14:textId="77777777" w:rsidR="00496804" w:rsidRDefault="0037359D">
            <w:pPr>
              <w:spacing w:line="240" w:lineRule="auto"/>
              <w:ind w:left="-112" w:right="-99"/>
              <w:jc w:val="center"/>
              <w:rPr>
                <w:rFonts w:ascii="Times New Roman" w:hAnsi="Times New Roman"/>
                <w:szCs w:val="22"/>
                <w:lang w:eastAsia="hr-HR"/>
              </w:rPr>
            </w:pPr>
            <w:r>
              <w:rPr>
                <w:rFonts w:ascii="Times New Roman" w:hAnsi="Times New Roman"/>
                <w:szCs w:val="22"/>
                <w:lang w:eastAsia="hr-HR"/>
              </w:rPr>
              <w:t>2028.</w:t>
            </w:r>
          </w:p>
        </w:tc>
        <w:tc>
          <w:tcPr>
            <w:tcW w:w="668" w:type="dxa"/>
            <w:tcBorders>
              <w:top w:val="nil"/>
              <w:left w:val="nil"/>
              <w:bottom w:val="single" w:sz="4" w:space="0" w:color="auto"/>
              <w:right w:val="single" w:sz="4" w:space="0" w:color="auto"/>
            </w:tcBorders>
            <w:shd w:val="clear" w:color="auto" w:fill="A6A6A6" w:themeFill="background1" w:themeFillShade="A6"/>
            <w:noWrap/>
            <w:vAlign w:val="center"/>
          </w:tcPr>
          <w:p w14:paraId="45D05F51" w14:textId="77777777" w:rsidR="00496804" w:rsidRDefault="0037359D">
            <w:pPr>
              <w:spacing w:line="240" w:lineRule="auto"/>
              <w:ind w:left="-112" w:right="-99"/>
              <w:jc w:val="center"/>
              <w:rPr>
                <w:rFonts w:ascii="Times New Roman" w:hAnsi="Times New Roman"/>
                <w:szCs w:val="22"/>
                <w:lang w:eastAsia="hr-HR"/>
              </w:rPr>
            </w:pPr>
            <w:r>
              <w:rPr>
                <w:rFonts w:ascii="Times New Roman" w:hAnsi="Times New Roman"/>
                <w:szCs w:val="22"/>
                <w:lang w:eastAsia="hr-HR"/>
              </w:rPr>
              <w:t>2029.</w:t>
            </w:r>
          </w:p>
        </w:tc>
        <w:tc>
          <w:tcPr>
            <w:tcW w:w="668" w:type="dxa"/>
            <w:tcBorders>
              <w:top w:val="nil"/>
              <w:left w:val="nil"/>
              <w:bottom w:val="single" w:sz="4" w:space="0" w:color="auto"/>
              <w:right w:val="single" w:sz="4" w:space="0" w:color="auto"/>
            </w:tcBorders>
            <w:shd w:val="clear" w:color="auto" w:fill="A6A6A6" w:themeFill="background1" w:themeFillShade="A6"/>
            <w:noWrap/>
            <w:vAlign w:val="center"/>
          </w:tcPr>
          <w:p w14:paraId="45D05F52" w14:textId="77777777" w:rsidR="00496804" w:rsidRDefault="0037359D">
            <w:pPr>
              <w:spacing w:line="240" w:lineRule="auto"/>
              <w:ind w:left="-112" w:right="-99"/>
              <w:jc w:val="center"/>
              <w:rPr>
                <w:rFonts w:ascii="Times New Roman" w:hAnsi="Times New Roman"/>
                <w:szCs w:val="22"/>
                <w:lang w:eastAsia="hr-HR"/>
              </w:rPr>
            </w:pPr>
            <w:r>
              <w:rPr>
                <w:rFonts w:ascii="Times New Roman" w:hAnsi="Times New Roman"/>
                <w:szCs w:val="22"/>
                <w:lang w:eastAsia="hr-HR"/>
              </w:rPr>
              <w:t>2030.</w:t>
            </w:r>
          </w:p>
        </w:tc>
      </w:tr>
      <w:tr w:rsidR="00496804" w14:paraId="45D05F60" w14:textId="77777777">
        <w:trPr>
          <w:trHeight w:val="300"/>
        </w:trPr>
        <w:tc>
          <w:tcPr>
            <w:tcW w:w="607"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5D05F54" w14:textId="77777777" w:rsidR="00496804" w:rsidRDefault="0037359D">
            <w:pPr>
              <w:spacing w:line="240" w:lineRule="auto"/>
              <w:jc w:val="left"/>
              <w:rPr>
                <w:rFonts w:ascii="Times New Roman" w:hAnsi="Times New Roman"/>
                <w:szCs w:val="22"/>
                <w:lang w:eastAsia="hr-HR"/>
              </w:rPr>
            </w:pPr>
            <w:r>
              <w:rPr>
                <w:rFonts w:ascii="Times New Roman" w:hAnsi="Times New Roman"/>
                <w:szCs w:val="22"/>
                <w:lang w:eastAsia="hr-HR"/>
              </w:rPr>
              <w:t>1.</w:t>
            </w:r>
          </w:p>
        </w:tc>
        <w:tc>
          <w:tcPr>
            <w:tcW w:w="2337" w:type="dxa"/>
            <w:tcBorders>
              <w:top w:val="nil"/>
              <w:left w:val="nil"/>
              <w:bottom w:val="single" w:sz="4" w:space="0" w:color="auto"/>
              <w:right w:val="single" w:sz="4" w:space="0" w:color="auto"/>
            </w:tcBorders>
            <w:shd w:val="clear" w:color="auto" w:fill="D9D9D9" w:themeFill="background1" w:themeFillShade="D9"/>
            <w:vAlign w:val="center"/>
          </w:tcPr>
          <w:p w14:paraId="45D05F55" w14:textId="77777777" w:rsidR="00496804" w:rsidRDefault="0037359D">
            <w:pPr>
              <w:spacing w:line="240" w:lineRule="auto"/>
              <w:rPr>
                <w:rFonts w:ascii="Times New Roman" w:hAnsi="Times New Roman"/>
                <w:szCs w:val="22"/>
                <w:lang w:eastAsia="hr-HR"/>
              </w:rPr>
            </w:pPr>
            <w:r>
              <w:rPr>
                <w:rFonts w:ascii="Times New Roman" w:hAnsi="Times New Roman"/>
                <w:szCs w:val="22"/>
                <w:lang w:eastAsia="hr-HR"/>
              </w:rPr>
              <w:t>Razvoj sustava kružnog gospodarenja prostorom i zgradama</w:t>
            </w:r>
          </w:p>
        </w:tc>
        <w:tc>
          <w:tcPr>
            <w:tcW w:w="667" w:type="dxa"/>
            <w:tcBorders>
              <w:top w:val="nil"/>
              <w:left w:val="nil"/>
              <w:bottom w:val="single" w:sz="4" w:space="0" w:color="auto"/>
              <w:right w:val="single" w:sz="4" w:space="0" w:color="auto"/>
            </w:tcBorders>
            <w:shd w:val="clear" w:color="auto" w:fill="D9D9D9" w:themeFill="background1" w:themeFillShade="D9"/>
            <w:noWrap/>
            <w:vAlign w:val="center"/>
          </w:tcPr>
          <w:p w14:paraId="45D05F56" w14:textId="77777777" w:rsidR="00496804" w:rsidRDefault="00496804">
            <w:pPr>
              <w:spacing w:line="240" w:lineRule="auto"/>
              <w:rPr>
                <w:rFonts w:ascii="Times New Roman" w:hAnsi="Times New Roman"/>
                <w:szCs w:val="22"/>
                <w:highlight w:val="yellow"/>
                <w:lang w:eastAsia="hr-HR"/>
              </w:rPr>
            </w:pPr>
          </w:p>
        </w:tc>
        <w:tc>
          <w:tcPr>
            <w:tcW w:w="667" w:type="dxa"/>
            <w:tcBorders>
              <w:top w:val="nil"/>
              <w:left w:val="nil"/>
              <w:bottom w:val="single" w:sz="4" w:space="0" w:color="auto"/>
              <w:right w:val="single" w:sz="4" w:space="0" w:color="auto"/>
            </w:tcBorders>
            <w:shd w:val="clear" w:color="auto" w:fill="D9D9D9" w:themeFill="background1" w:themeFillShade="D9"/>
            <w:noWrap/>
            <w:vAlign w:val="center"/>
          </w:tcPr>
          <w:p w14:paraId="45D05F57"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58"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59"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5A"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5B"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5C"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5D"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5E"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5F" w14:textId="77777777" w:rsidR="00496804" w:rsidRDefault="00496804">
            <w:pPr>
              <w:spacing w:line="240" w:lineRule="auto"/>
              <w:rPr>
                <w:rFonts w:ascii="Times New Roman" w:hAnsi="Times New Roman"/>
                <w:szCs w:val="22"/>
                <w:lang w:eastAsia="hr-HR"/>
              </w:rPr>
            </w:pPr>
          </w:p>
        </w:tc>
      </w:tr>
      <w:tr w:rsidR="00496804" w14:paraId="45D05F6D" w14:textId="77777777">
        <w:trPr>
          <w:trHeight w:val="300"/>
        </w:trPr>
        <w:tc>
          <w:tcPr>
            <w:tcW w:w="607" w:type="dxa"/>
            <w:tcBorders>
              <w:top w:val="nil"/>
              <w:left w:val="single" w:sz="4" w:space="0" w:color="auto"/>
              <w:bottom w:val="single" w:sz="4" w:space="0" w:color="auto"/>
              <w:right w:val="single" w:sz="4" w:space="0" w:color="auto"/>
            </w:tcBorders>
            <w:shd w:val="clear" w:color="auto" w:fill="auto"/>
            <w:noWrap/>
            <w:vAlign w:val="center"/>
          </w:tcPr>
          <w:p w14:paraId="45D05F61" w14:textId="77777777" w:rsidR="00496804" w:rsidRDefault="0037359D">
            <w:pPr>
              <w:spacing w:line="240" w:lineRule="auto"/>
              <w:jc w:val="left"/>
              <w:rPr>
                <w:rFonts w:ascii="Times New Roman" w:hAnsi="Times New Roman"/>
                <w:szCs w:val="22"/>
                <w:lang w:eastAsia="hr-HR"/>
              </w:rPr>
            </w:pPr>
            <w:r>
              <w:rPr>
                <w:rFonts w:ascii="Times New Roman" w:hAnsi="Times New Roman"/>
                <w:szCs w:val="22"/>
                <w:lang w:eastAsia="hr-HR"/>
              </w:rPr>
              <w:t>1.1.</w:t>
            </w:r>
          </w:p>
        </w:tc>
        <w:tc>
          <w:tcPr>
            <w:tcW w:w="2337" w:type="dxa"/>
            <w:tcBorders>
              <w:top w:val="nil"/>
              <w:left w:val="nil"/>
              <w:bottom w:val="single" w:sz="4" w:space="0" w:color="auto"/>
              <w:right w:val="single" w:sz="4" w:space="0" w:color="auto"/>
            </w:tcBorders>
            <w:shd w:val="clear" w:color="auto" w:fill="auto"/>
            <w:vAlign w:val="center"/>
          </w:tcPr>
          <w:p w14:paraId="45D05F62" w14:textId="77777777" w:rsidR="00496804" w:rsidRDefault="0037359D">
            <w:pPr>
              <w:spacing w:line="240" w:lineRule="auto"/>
              <w:rPr>
                <w:rFonts w:ascii="Times New Roman" w:hAnsi="Times New Roman"/>
                <w:szCs w:val="22"/>
                <w:lang w:eastAsia="hr-HR"/>
              </w:rPr>
            </w:pPr>
            <w:r>
              <w:rPr>
                <w:rFonts w:ascii="Times New Roman" w:hAnsi="Times New Roman"/>
                <w:szCs w:val="22"/>
                <w:lang w:eastAsia="hr-HR"/>
              </w:rPr>
              <w:t>Evidentiranje podataka kružnog gospodarenja prostorom i zgradama u RH</w:t>
            </w:r>
          </w:p>
        </w:tc>
        <w:tc>
          <w:tcPr>
            <w:tcW w:w="667" w:type="dxa"/>
            <w:tcBorders>
              <w:top w:val="nil"/>
              <w:left w:val="nil"/>
              <w:bottom w:val="single" w:sz="4" w:space="0" w:color="auto"/>
              <w:right w:val="single" w:sz="4" w:space="0" w:color="auto"/>
            </w:tcBorders>
            <w:shd w:val="clear" w:color="auto" w:fill="FFCCA6" w:themeFill="accent5" w:themeFillTint="66"/>
            <w:noWrap/>
            <w:vAlign w:val="center"/>
          </w:tcPr>
          <w:p w14:paraId="45D05F63" w14:textId="77777777" w:rsidR="00496804" w:rsidRDefault="00496804">
            <w:pPr>
              <w:spacing w:line="240" w:lineRule="auto"/>
              <w:rPr>
                <w:rFonts w:ascii="Times New Roman" w:hAnsi="Times New Roman"/>
                <w:szCs w:val="22"/>
                <w:highlight w:val="yellow"/>
                <w:lang w:eastAsia="hr-HR"/>
              </w:rPr>
            </w:pPr>
          </w:p>
        </w:tc>
        <w:tc>
          <w:tcPr>
            <w:tcW w:w="667" w:type="dxa"/>
            <w:tcBorders>
              <w:top w:val="nil"/>
              <w:left w:val="nil"/>
              <w:bottom w:val="single" w:sz="4" w:space="0" w:color="auto"/>
              <w:right w:val="single" w:sz="4" w:space="0" w:color="auto"/>
            </w:tcBorders>
            <w:shd w:val="clear" w:color="auto" w:fill="FFCCA6" w:themeFill="accent5" w:themeFillTint="66"/>
            <w:noWrap/>
            <w:vAlign w:val="center"/>
          </w:tcPr>
          <w:p w14:paraId="45D05F64"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65"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66"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67"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68"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69"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6A"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6B"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6C" w14:textId="77777777" w:rsidR="00496804" w:rsidRDefault="00496804">
            <w:pPr>
              <w:spacing w:line="240" w:lineRule="auto"/>
              <w:rPr>
                <w:rFonts w:ascii="Times New Roman" w:hAnsi="Times New Roman"/>
                <w:szCs w:val="22"/>
                <w:lang w:eastAsia="hr-HR"/>
              </w:rPr>
            </w:pPr>
          </w:p>
        </w:tc>
      </w:tr>
      <w:tr w:rsidR="00496804" w14:paraId="45D05F7A" w14:textId="77777777">
        <w:trPr>
          <w:trHeight w:val="600"/>
        </w:trPr>
        <w:tc>
          <w:tcPr>
            <w:tcW w:w="607" w:type="dxa"/>
            <w:tcBorders>
              <w:top w:val="nil"/>
              <w:left w:val="single" w:sz="4" w:space="0" w:color="auto"/>
              <w:bottom w:val="single" w:sz="4" w:space="0" w:color="auto"/>
              <w:right w:val="single" w:sz="4" w:space="0" w:color="auto"/>
            </w:tcBorders>
            <w:shd w:val="clear" w:color="auto" w:fill="auto"/>
            <w:noWrap/>
            <w:vAlign w:val="center"/>
          </w:tcPr>
          <w:p w14:paraId="45D05F6E" w14:textId="77777777" w:rsidR="00496804" w:rsidRDefault="0037359D">
            <w:pPr>
              <w:spacing w:line="240" w:lineRule="auto"/>
              <w:jc w:val="left"/>
              <w:rPr>
                <w:rFonts w:ascii="Times New Roman" w:hAnsi="Times New Roman"/>
                <w:szCs w:val="22"/>
                <w:lang w:eastAsia="hr-HR"/>
              </w:rPr>
            </w:pPr>
            <w:r>
              <w:rPr>
                <w:rFonts w:ascii="Times New Roman" w:hAnsi="Times New Roman"/>
                <w:szCs w:val="22"/>
                <w:lang w:eastAsia="hr-HR"/>
              </w:rPr>
              <w:t>1.2.</w:t>
            </w:r>
          </w:p>
        </w:tc>
        <w:tc>
          <w:tcPr>
            <w:tcW w:w="2337" w:type="dxa"/>
            <w:tcBorders>
              <w:top w:val="nil"/>
              <w:left w:val="nil"/>
              <w:bottom w:val="single" w:sz="4" w:space="0" w:color="auto"/>
              <w:right w:val="single" w:sz="4" w:space="0" w:color="auto"/>
            </w:tcBorders>
            <w:shd w:val="clear" w:color="auto" w:fill="auto"/>
            <w:vAlign w:val="center"/>
          </w:tcPr>
          <w:p w14:paraId="45D05F6F" w14:textId="77777777" w:rsidR="00496804" w:rsidRDefault="0037359D">
            <w:pPr>
              <w:spacing w:line="240" w:lineRule="auto"/>
              <w:rPr>
                <w:rFonts w:ascii="Times New Roman" w:hAnsi="Times New Roman"/>
                <w:szCs w:val="22"/>
                <w:lang w:eastAsia="hr-HR"/>
              </w:rPr>
            </w:pPr>
            <w:r>
              <w:rPr>
                <w:rFonts w:ascii="Times New Roman" w:hAnsi="Times New Roman"/>
                <w:szCs w:val="22"/>
                <w:lang w:eastAsia="hr-HR"/>
              </w:rPr>
              <w:t>Osiguravanje preduvjeta za razvoj kružnog gospodarenja prostorom i zgradama</w:t>
            </w:r>
          </w:p>
        </w:tc>
        <w:tc>
          <w:tcPr>
            <w:tcW w:w="667" w:type="dxa"/>
            <w:tcBorders>
              <w:top w:val="nil"/>
              <w:left w:val="nil"/>
              <w:bottom w:val="single" w:sz="4" w:space="0" w:color="auto"/>
              <w:right w:val="single" w:sz="4" w:space="0" w:color="auto"/>
            </w:tcBorders>
            <w:shd w:val="clear" w:color="auto" w:fill="FFCCA6" w:themeFill="accent5" w:themeFillTint="66"/>
            <w:noWrap/>
            <w:vAlign w:val="center"/>
          </w:tcPr>
          <w:p w14:paraId="45D05F70" w14:textId="77777777" w:rsidR="00496804" w:rsidRDefault="00496804">
            <w:pPr>
              <w:spacing w:line="240" w:lineRule="auto"/>
              <w:rPr>
                <w:rFonts w:ascii="Times New Roman" w:hAnsi="Times New Roman"/>
                <w:szCs w:val="22"/>
                <w:lang w:eastAsia="hr-HR"/>
              </w:rPr>
            </w:pPr>
          </w:p>
        </w:tc>
        <w:tc>
          <w:tcPr>
            <w:tcW w:w="667" w:type="dxa"/>
            <w:tcBorders>
              <w:top w:val="nil"/>
              <w:left w:val="nil"/>
              <w:bottom w:val="single" w:sz="4" w:space="0" w:color="auto"/>
              <w:right w:val="single" w:sz="4" w:space="0" w:color="auto"/>
            </w:tcBorders>
            <w:shd w:val="clear" w:color="auto" w:fill="FFCCA6" w:themeFill="accent5" w:themeFillTint="66"/>
            <w:noWrap/>
            <w:vAlign w:val="center"/>
          </w:tcPr>
          <w:p w14:paraId="45D05F71"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72"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73"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74"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75"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76"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77"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78"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79" w14:textId="77777777" w:rsidR="00496804" w:rsidRDefault="00496804">
            <w:pPr>
              <w:spacing w:line="240" w:lineRule="auto"/>
              <w:rPr>
                <w:rFonts w:ascii="Times New Roman" w:hAnsi="Times New Roman"/>
                <w:szCs w:val="22"/>
                <w:lang w:eastAsia="hr-HR"/>
              </w:rPr>
            </w:pPr>
          </w:p>
        </w:tc>
      </w:tr>
      <w:tr w:rsidR="00496804" w14:paraId="45D05F87" w14:textId="77777777">
        <w:trPr>
          <w:trHeight w:val="600"/>
        </w:trPr>
        <w:tc>
          <w:tcPr>
            <w:tcW w:w="607" w:type="dxa"/>
            <w:tcBorders>
              <w:top w:val="nil"/>
              <w:left w:val="single" w:sz="4" w:space="0" w:color="auto"/>
              <w:bottom w:val="single" w:sz="4" w:space="0" w:color="auto"/>
              <w:right w:val="single" w:sz="4" w:space="0" w:color="auto"/>
            </w:tcBorders>
            <w:shd w:val="clear" w:color="auto" w:fill="auto"/>
            <w:noWrap/>
            <w:vAlign w:val="center"/>
          </w:tcPr>
          <w:p w14:paraId="45D05F7B" w14:textId="77777777" w:rsidR="00496804" w:rsidRDefault="0037359D">
            <w:pPr>
              <w:spacing w:line="240" w:lineRule="auto"/>
              <w:jc w:val="left"/>
              <w:rPr>
                <w:rFonts w:ascii="Times New Roman" w:hAnsi="Times New Roman"/>
                <w:szCs w:val="22"/>
                <w:lang w:eastAsia="hr-HR"/>
              </w:rPr>
            </w:pPr>
            <w:r>
              <w:rPr>
                <w:rFonts w:ascii="Times New Roman" w:hAnsi="Times New Roman"/>
                <w:szCs w:val="22"/>
                <w:lang w:eastAsia="hr-HR"/>
              </w:rPr>
              <w:t>1.3.</w:t>
            </w:r>
          </w:p>
        </w:tc>
        <w:tc>
          <w:tcPr>
            <w:tcW w:w="2337" w:type="dxa"/>
            <w:tcBorders>
              <w:top w:val="nil"/>
              <w:left w:val="nil"/>
              <w:bottom w:val="single" w:sz="4" w:space="0" w:color="auto"/>
              <w:right w:val="single" w:sz="4" w:space="0" w:color="auto"/>
            </w:tcBorders>
            <w:shd w:val="clear" w:color="auto" w:fill="auto"/>
            <w:vAlign w:val="center"/>
          </w:tcPr>
          <w:p w14:paraId="45D05F7C" w14:textId="77777777" w:rsidR="00496804" w:rsidRDefault="0037359D">
            <w:pPr>
              <w:spacing w:line="240" w:lineRule="auto"/>
              <w:rPr>
                <w:rFonts w:ascii="Times New Roman" w:hAnsi="Times New Roman"/>
                <w:szCs w:val="22"/>
                <w:lang w:eastAsia="hr-HR"/>
              </w:rPr>
            </w:pPr>
            <w:r>
              <w:rPr>
                <w:rFonts w:ascii="Times New Roman" w:hAnsi="Times New Roman"/>
                <w:szCs w:val="22"/>
                <w:lang w:eastAsia="hr-HR"/>
              </w:rPr>
              <w:t>Izrada strateških dokumenata razvoja kružnog gospodarenja prostorom i zgradama</w:t>
            </w:r>
          </w:p>
        </w:tc>
        <w:tc>
          <w:tcPr>
            <w:tcW w:w="667" w:type="dxa"/>
            <w:tcBorders>
              <w:top w:val="nil"/>
              <w:left w:val="nil"/>
              <w:bottom w:val="single" w:sz="4" w:space="0" w:color="auto"/>
              <w:right w:val="single" w:sz="4" w:space="0" w:color="auto"/>
            </w:tcBorders>
            <w:shd w:val="clear" w:color="auto" w:fill="FFCCA6" w:themeFill="accent5" w:themeFillTint="66"/>
            <w:noWrap/>
            <w:vAlign w:val="center"/>
          </w:tcPr>
          <w:p w14:paraId="45D05F7D" w14:textId="77777777" w:rsidR="00496804" w:rsidRDefault="00496804">
            <w:pPr>
              <w:spacing w:line="240" w:lineRule="auto"/>
              <w:rPr>
                <w:rFonts w:ascii="Times New Roman" w:hAnsi="Times New Roman"/>
                <w:szCs w:val="22"/>
                <w:lang w:eastAsia="hr-HR"/>
              </w:rPr>
            </w:pPr>
          </w:p>
        </w:tc>
        <w:tc>
          <w:tcPr>
            <w:tcW w:w="667" w:type="dxa"/>
            <w:tcBorders>
              <w:top w:val="nil"/>
              <w:left w:val="nil"/>
              <w:bottom w:val="single" w:sz="4" w:space="0" w:color="auto"/>
              <w:right w:val="single" w:sz="4" w:space="0" w:color="auto"/>
            </w:tcBorders>
            <w:shd w:val="clear" w:color="auto" w:fill="FFCCA6" w:themeFill="accent5" w:themeFillTint="66"/>
            <w:noWrap/>
            <w:vAlign w:val="center"/>
          </w:tcPr>
          <w:p w14:paraId="45D05F7E"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7F"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80"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81"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82"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83"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84"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85"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86" w14:textId="77777777" w:rsidR="00496804" w:rsidRDefault="00496804">
            <w:pPr>
              <w:spacing w:line="240" w:lineRule="auto"/>
              <w:rPr>
                <w:rFonts w:ascii="Times New Roman" w:hAnsi="Times New Roman"/>
                <w:szCs w:val="22"/>
                <w:lang w:eastAsia="hr-HR"/>
              </w:rPr>
            </w:pPr>
          </w:p>
        </w:tc>
      </w:tr>
      <w:tr w:rsidR="00496804" w14:paraId="45D05F94" w14:textId="77777777">
        <w:trPr>
          <w:trHeight w:val="300"/>
        </w:trPr>
        <w:tc>
          <w:tcPr>
            <w:tcW w:w="607" w:type="dxa"/>
            <w:tcBorders>
              <w:top w:val="nil"/>
              <w:left w:val="single" w:sz="4" w:space="0" w:color="auto"/>
              <w:bottom w:val="single" w:sz="4" w:space="0" w:color="auto"/>
              <w:right w:val="single" w:sz="4" w:space="0" w:color="auto"/>
            </w:tcBorders>
            <w:shd w:val="clear" w:color="auto" w:fill="auto"/>
            <w:noWrap/>
            <w:vAlign w:val="center"/>
          </w:tcPr>
          <w:p w14:paraId="45D05F88" w14:textId="77777777" w:rsidR="00496804" w:rsidRDefault="0037359D">
            <w:pPr>
              <w:spacing w:line="240" w:lineRule="auto"/>
              <w:jc w:val="left"/>
              <w:rPr>
                <w:rFonts w:ascii="Times New Roman" w:hAnsi="Times New Roman"/>
                <w:szCs w:val="22"/>
                <w:lang w:eastAsia="hr-HR"/>
              </w:rPr>
            </w:pPr>
            <w:r>
              <w:rPr>
                <w:rFonts w:ascii="Times New Roman" w:hAnsi="Times New Roman"/>
                <w:szCs w:val="22"/>
                <w:lang w:eastAsia="hr-HR"/>
              </w:rPr>
              <w:t>1.4.</w:t>
            </w:r>
          </w:p>
        </w:tc>
        <w:tc>
          <w:tcPr>
            <w:tcW w:w="2337" w:type="dxa"/>
            <w:tcBorders>
              <w:top w:val="nil"/>
              <w:left w:val="nil"/>
              <w:bottom w:val="single" w:sz="4" w:space="0" w:color="auto"/>
              <w:right w:val="single" w:sz="4" w:space="0" w:color="auto"/>
            </w:tcBorders>
            <w:shd w:val="clear" w:color="auto" w:fill="auto"/>
            <w:vAlign w:val="center"/>
          </w:tcPr>
          <w:p w14:paraId="45D05F89" w14:textId="77777777" w:rsidR="00496804" w:rsidRDefault="0037359D">
            <w:pPr>
              <w:spacing w:line="240" w:lineRule="auto"/>
              <w:rPr>
                <w:rFonts w:ascii="Times New Roman" w:hAnsi="Times New Roman"/>
                <w:szCs w:val="22"/>
                <w:lang w:eastAsia="hr-HR"/>
              </w:rPr>
            </w:pPr>
            <w:r>
              <w:rPr>
                <w:rFonts w:ascii="Times New Roman" w:hAnsi="Times New Roman"/>
                <w:szCs w:val="22"/>
                <w:lang w:eastAsia="hr-HR"/>
              </w:rPr>
              <w:t>Razvoj i izrada digitalne baze projekata</w:t>
            </w:r>
          </w:p>
        </w:tc>
        <w:tc>
          <w:tcPr>
            <w:tcW w:w="667" w:type="dxa"/>
            <w:tcBorders>
              <w:top w:val="nil"/>
              <w:left w:val="nil"/>
              <w:bottom w:val="single" w:sz="4" w:space="0" w:color="auto"/>
              <w:right w:val="single" w:sz="4" w:space="0" w:color="auto"/>
            </w:tcBorders>
            <w:shd w:val="clear" w:color="auto" w:fill="FFCCA6" w:themeFill="accent5" w:themeFillTint="66"/>
            <w:noWrap/>
            <w:vAlign w:val="center"/>
          </w:tcPr>
          <w:p w14:paraId="45D05F8A" w14:textId="77777777" w:rsidR="00496804" w:rsidRDefault="00496804">
            <w:pPr>
              <w:spacing w:line="240" w:lineRule="auto"/>
              <w:rPr>
                <w:rFonts w:ascii="Times New Roman" w:hAnsi="Times New Roman"/>
                <w:szCs w:val="22"/>
                <w:lang w:eastAsia="hr-HR"/>
              </w:rPr>
            </w:pPr>
          </w:p>
        </w:tc>
        <w:tc>
          <w:tcPr>
            <w:tcW w:w="667" w:type="dxa"/>
            <w:tcBorders>
              <w:top w:val="nil"/>
              <w:left w:val="nil"/>
              <w:bottom w:val="single" w:sz="4" w:space="0" w:color="auto"/>
              <w:right w:val="single" w:sz="4" w:space="0" w:color="auto"/>
            </w:tcBorders>
            <w:shd w:val="clear" w:color="auto" w:fill="FFCCA6" w:themeFill="accent5" w:themeFillTint="66"/>
            <w:noWrap/>
            <w:vAlign w:val="center"/>
          </w:tcPr>
          <w:p w14:paraId="45D05F8B"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8C"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8D"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8E"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8F"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90"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91"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92"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93" w14:textId="77777777" w:rsidR="00496804" w:rsidRDefault="00496804">
            <w:pPr>
              <w:spacing w:line="240" w:lineRule="auto"/>
              <w:rPr>
                <w:rFonts w:ascii="Times New Roman" w:hAnsi="Times New Roman"/>
                <w:szCs w:val="22"/>
                <w:lang w:eastAsia="hr-HR"/>
              </w:rPr>
            </w:pPr>
          </w:p>
        </w:tc>
      </w:tr>
      <w:tr w:rsidR="00496804" w14:paraId="45D05FA1" w14:textId="77777777">
        <w:trPr>
          <w:trHeight w:val="499"/>
        </w:trPr>
        <w:tc>
          <w:tcPr>
            <w:tcW w:w="607" w:type="dxa"/>
            <w:tcBorders>
              <w:top w:val="nil"/>
              <w:left w:val="single" w:sz="4" w:space="0" w:color="auto"/>
              <w:bottom w:val="single" w:sz="4" w:space="0" w:color="auto"/>
              <w:right w:val="single" w:sz="4" w:space="0" w:color="auto"/>
            </w:tcBorders>
            <w:shd w:val="clear" w:color="auto" w:fill="auto"/>
            <w:noWrap/>
            <w:vAlign w:val="center"/>
          </w:tcPr>
          <w:p w14:paraId="45D05F95" w14:textId="77777777" w:rsidR="00496804" w:rsidRDefault="0037359D">
            <w:pPr>
              <w:spacing w:line="240" w:lineRule="auto"/>
              <w:jc w:val="left"/>
              <w:rPr>
                <w:rFonts w:ascii="Times New Roman" w:hAnsi="Times New Roman"/>
                <w:szCs w:val="22"/>
                <w:lang w:eastAsia="hr-HR"/>
              </w:rPr>
            </w:pPr>
            <w:r>
              <w:rPr>
                <w:rFonts w:ascii="Times New Roman" w:hAnsi="Times New Roman"/>
                <w:szCs w:val="22"/>
                <w:lang w:eastAsia="hr-HR"/>
              </w:rPr>
              <w:t>1.5.</w:t>
            </w:r>
          </w:p>
        </w:tc>
        <w:tc>
          <w:tcPr>
            <w:tcW w:w="2337" w:type="dxa"/>
            <w:tcBorders>
              <w:top w:val="nil"/>
              <w:left w:val="nil"/>
              <w:bottom w:val="single" w:sz="4" w:space="0" w:color="auto"/>
              <w:right w:val="single" w:sz="4" w:space="0" w:color="auto"/>
            </w:tcBorders>
            <w:shd w:val="clear" w:color="auto" w:fill="auto"/>
            <w:vAlign w:val="center"/>
          </w:tcPr>
          <w:p w14:paraId="45D05F96" w14:textId="77777777" w:rsidR="00496804" w:rsidRDefault="0037359D">
            <w:pPr>
              <w:spacing w:line="240" w:lineRule="auto"/>
              <w:jc w:val="left"/>
              <w:rPr>
                <w:rFonts w:ascii="Times New Roman" w:hAnsi="Times New Roman"/>
                <w:szCs w:val="22"/>
                <w:lang w:eastAsia="hr-HR"/>
              </w:rPr>
            </w:pPr>
            <w:r>
              <w:rPr>
                <w:rFonts w:ascii="Times New Roman" w:hAnsi="Times New Roman"/>
                <w:szCs w:val="22"/>
                <w:lang w:eastAsia="hr-HR"/>
              </w:rPr>
              <w:t>Unaprjeđenje međusektorske i međunarodne suradnje</w:t>
            </w:r>
          </w:p>
        </w:tc>
        <w:tc>
          <w:tcPr>
            <w:tcW w:w="667" w:type="dxa"/>
            <w:tcBorders>
              <w:top w:val="nil"/>
              <w:left w:val="nil"/>
              <w:bottom w:val="single" w:sz="4" w:space="0" w:color="auto"/>
              <w:right w:val="single" w:sz="4" w:space="0" w:color="auto"/>
            </w:tcBorders>
            <w:shd w:val="clear" w:color="auto" w:fill="FFCCA6" w:themeFill="accent5" w:themeFillTint="66"/>
            <w:vAlign w:val="center"/>
          </w:tcPr>
          <w:p w14:paraId="45D05F97" w14:textId="77777777" w:rsidR="00496804" w:rsidRDefault="00496804">
            <w:pPr>
              <w:spacing w:line="240" w:lineRule="auto"/>
              <w:jc w:val="left"/>
              <w:rPr>
                <w:rFonts w:ascii="Times New Roman" w:hAnsi="Times New Roman"/>
                <w:szCs w:val="22"/>
                <w:lang w:eastAsia="hr-HR"/>
              </w:rPr>
            </w:pPr>
          </w:p>
        </w:tc>
        <w:tc>
          <w:tcPr>
            <w:tcW w:w="667" w:type="dxa"/>
            <w:tcBorders>
              <w:top w:val="nil"/>
              <w:left w:val="nil"/>
              <w:bottom w:val="single" w:sz="4" w:space="0" w:color="auto"/>
              <w:right w:val="single" w:sz="4" w:space="0" w:color="auto"/>
            </w:tcBorders>
            <w:shd w:val="clear" w:color="auto" w:fill="FFCCA6" w:themeFill="accent5" w:themeFillTint="66"/>
            <w:vAlign w:val="center"/>
          </w:tcPr>
          <w:p w14:paraId="45D05F98" w14:textId="77777777" w:rsidR="00496804" w:rsidRDefault="00496804">
            <w:pPr>
              <w:spacing w:line="240" w:lineRule="auto"/>
              <w:jc w:val="left"/>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vAlign w:val="center"/>
          </w:tcPr>
          <w:p w14:paraId="45D05F99" w14:textId="77777777" w:rsidR="00496804" w:rsidRDefault="00496804">
            <w:pPr>
              <w:spacing w:line="240" w:lineRule="auto"/>
              <w:jc w:val="left"/>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vAlign w:val="center"/>
          </w:tcPr>
          <w:p w14:paraId="45D05F9A" w14:textId="77777777" w:rsidR="00496804" w:rsidRDefault="00496804">
            <w:pPr>
              <w:spacing w:line="240" w:lineRule="auto"/>
              <w:jc w:val="left"/>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vAlign w:val="center"/>
          </w:tcPr>
          <w:p w14:paraId="45D05F9B" w14:textId="77777777" w:rsidR="00496804" w:rsidRDefault="00496804">
            <w:pPr>
              <w:spacing w:line="240" w:lineRule="auto"/>
              <w:jc w:val="left"/>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vAlign w:val="center"/>
          </w:tcPr>
          <w:p w14:paraId="45D05F9C" w14:textId="77777777" w:rsidR="00496804" w:rsidRDefault="00496804">
            <w:pPr>
              <w:spacing w:line="240" w:lineRule="auto"/>
              <w:jc w:val="left"/>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vAlign w:val="center"/>
          </w:tcPr>
          <w:p w14:paraId="45D05F9D" w14:textId="77777777" w:rsidR="00496804" w:rsidRDefault="00496804">
            <w:pPr>
              <w:spacing w:line="240" w:lineRule="auto"/>
              <w:jc w:val="left"/>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vAlign w:val="center"/>
          </w:tcPr>
          <w:p w14:paraId="45D05F9E" w14:textId="77777777" w:rsidR="00496804" w:rsidRDefault="00496804">
            <w:pPr>
              <w:spacing w:line="240" w:lineRule="auto"/>
              <w:jc w:val="left"/>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vAlign w:val="center"/>
          </w:tcPr>
          <w:p w14:paraId="45D05F9F" w14:textId="77777777" w:rsidR="00496804" w:rsidRDefault="00496804">
            <w:pPr>
              <w:spacing w:line="240" w:lineRule="auto"/>
              <w:jc w:val="left"/>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vAlign w:val="center"/>
          </w:tcPr>
          <w:p w14:paraId="45D05FA0" w14:textId="77777777" w:rsidR="00496804" w:rsidRDefault="00496804">
            <w:pPr>
              <w:spacing w:line="240" w:lineRule="auto"/>
              <w:jc w:val="left"/>
              <w:rPr>
                <w:rFonts w:ascii="Times New Roman" w:hAnsi="Times New Roman"/>
                <w:szCs w:val="22"/>
                <w:lang w:eastAsia="hr-HR"/>
              </w:rPr>
            </w:pPr>
          </w:p>
        </w:tc>
      </w:tr>
      <w:tr w:rsidR="00496804" w14:paraId="45D05FAE" w14:textId="77777777">
        <w:trPr>
          <w:trHeight w:val="300"/>
        </w:trPr>
        <w:tc>
          <w:tcPr>
            <w:tcW w:w="607"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5D05FA2" w14:textId="77777777" w:rsidR="00496804" w:rsidRDefault="0037359D">
            <w:pPr>
              <w:spacing w:line="240" w:lineRule="auto"/>
              <w:jc w:val="left"/>
              <w:rPr>
                <w:rFonts w:ascii="Times New Roman" w:hAnsi="Times New Roman"/>
                <w:szCs w:val="22"/>
                <w:lang w:eastAsia="hr-HR"/>
              </w:rPr>
            </w:pPr>
            <w:r>
              <w:rPr>
                <w:rFonts w:ascii="Times New Roman" w:hAnsi="Times New Roman"/>
                <w:szCs w:val="22"/>
                <w:lang w:eastAsia="hr-HR"/>
              </w:rPr>
              <w:t>2.</w:t>
            </w:r>
          </w:p>
        </w:tc>
        <w:tc>
          <w:tcPr>
            <w:tcW w:w="2337" w:type="dxa"/>
            <w:tcBorders>
              <w:top w:val="nil"/>
              <w:left w:val="nil"/>
              <w:bottom w:val="single" w:sz="4" w:space="0" w:color="auto"/>
              <w:right w:val="single" w:sz="4" w:space="0" w:color="auto"/>
            </w:tcBorders>
            <w:shd w:val="clear" w:color="auto" w:fill="D9D9D9" w:themeFill="background1" w:themeFillShade="D9"/>
            <w:vAlign w:val="center"/>
          </w:tcPr>
          <w:p w14:paraId="45D05FA3" w14:textId="77777777" w:rsidR="00496804" w:rsidRDefault="0037359D">
            <w:pPr>
              <w:spacing w:line="240" w:lineRule="auto"/>
              <w:rPr>
                <w:rFonts w:ascii="Times New Roman" w:hAnsi="Times New Roman"/>
                <w:szCs w:val="22"/>
                <w:lang w:eastAsia="hr-HR"/>
              </w:rPr>
            </w:pPr>
            <w:r>
              <w:rPr>
                <w:rFonts w:ascii="Times New Roman" w:hAnsi="Times New Roman"/>
                <w:szCs w:val="22"/>
                <w:lang w:eastAsia="hr-HR"/>
              </w:rPr>
              <w:t>Kružna obnova nekorištenih prostora i zgrada</w:t>
            </w:r>
          </w:p>
        </w:tc>
        <w:tc>
          <w:tcPr>
            <w:tcW w:w="667" w:type="dxa"/>
            <w:tcBorders>
              <w:top w:val="nil"/>
              <w:left w:val="nil"/>
              <w:bottom w:val="single" w:sz="4" w:space="0" w:color="auto"/>
              <w:right w:val="single" w:sz="4" w:space="0" w:color="auto"/>
            </w:tcBorders>
            <w:shd w:val="clear" w:color="auto" w:fill="D9D9D9" w:themeFill="background1" w:themeFillShade="D9"/>
            <w:noWrap/>
            <w:vAlign w:val="center"/>
          </w:tcPr>
          <w:p w14:paraId="45D05FA4" w14:textId="77777777" w:rsidR="00496804" w:rsidRDefault="00496804">
            <w:pPr>
              <w:spacing w:line="240" w:lineRule="auto"/>
              <w:rPr>
                <w:rFonts w:ascii="Times New Roman" w:hAnsi="Times New Roman"/>
                <w:szCs w:val="22"/>
                <w:highlight w:val="yellow"/>
                <w:lang w:eastAsia="hr-HR"/>
              </w:rPr>
            </w:pPr>
          </w:p>
        </w:tc>
        <w:tc>
          <w:tcPr>
            <w:tcW w:w="667" w:type="dxa"/>
            <w:tcBorders>
              <w:top w:val="nil"/>
              <w:left w:val="nil"/>
              <w:bottom w:val="single" w:sz="4" w:space="0" w:color="auto"/>
              <w:right w:val="single" w:sz="4" w:space="0" w:color="auto"/>
            </w:tcBorders>
            <w:shd w:val="clear" w:color="auto" w:fill="D9D9D9" w:themeFill="background1" w:themeFillShade="D9"/>
            <w:noWrap/>
            <w:vAlign w:val="center"/>
          </w:tcPr>
          <w:p w14:paraId="45D05FA5"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A6"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A7"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A8"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A9"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AA"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AB"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AC"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AD" w14:textId="77777777" w:rsidR="00496804" w:rsidRDefault="00496804">
            <w:pPr>
              <w:spacing w:line="240" w:lineRule="auto"/>
              <w:rPr>
                <w:rFonts w:ascii="Times New Roman" w:hAnsi="Times New Roman"/>
                <w:szCs w:val="22"/>
                <w:lang w:eastAsia="hr-HR"/>
              </w:rPr>
            </w:pPr>
          </w:p>
        </w:tc>
      </w:tr>
      <w:tr w:rsidR="00496804" w14:paraId="45D05FBB" w14:textId="77777777">
        <w:trPr>
          <w:trHeight w:val="300"/>
        </w:trPr>
        <w:tc>
          <w:tcPr>
            <w:tcW w:w="607" w:type="dxa"/>
            <w:tcBorders>
              <w:top w:val="nil"/>
              <w:left w:val="single" w:sz="4" w:space="0" w:color="auto"/>
              <w:bottom w:val="single" w:sz="4" w:space="0" w:color="auto"/>
              <w:right w:val="single" w:sz="4" w:space="0" w:color="auto"/>
            </w:tcBorders>
            <w:shd w:val="clear" w:color="auto" w:fill="auto"/>
            <w:noWrap/>
            <w:vAlign w:val="center"/>
          </w:tcPr>
          <w:p w14:paraId="45D05FAF" w14:textId="77777777" w:rsidR="00496804" w:rsidRDefault="0037359D">
            <w:pPr>
              <w:spacing w:line="240" w:lineRule="auto"/>
              <w:jc w:val="left"/>
              <w:rPr>
                <w:rFonts w:ascii="Times New Roman" w:hAnsi="Times New Roman"/>
                <w:szCs w:val="22"/>
                <w:lang w:eastAsia="hr-HR"/>
              </w:rPr>
            </w:pPr>
            <w:r>
              <w:rPr>
                <w:rFonts w:ascii="Times New Roman" w:hAnsi="Times New Roman"/>
                <w:szCs w:val="22"/>
                <w:lang w:eastAsia="hr-HR"/>
              </w:rPr>
              <w:t>2.1.</w:t>
            </w:r>
          </w:p>
        </w:tc>
        <w:tc>
          <w:tcPr>
            <w:tcW w:w="2337" w:type="dxa"/>
            <w:tcBorders>
              <w:top w:val="nil"/>
              <w:left w:val="nil"/>
              <w:bottom w:val="single" w:sz="4" w:space="0" w:color="auto"/>
              <w:right w:val="single" w:sz="4" w:space="0" w:color="auto"/>
            </w:tcBorders>
            <w:shd w:val="clear" w:color="auto" w:fill="auto"/>
            <w:vAlign w:val="center"/>
          </w:tcPr>
          <w:p w14:paraId="45D05FB0" w14:textId="77777777" w:rsidR="00496804" w:rsidRDefault="0037359D">
            <w:pPr>
              <w:spacing w:line="240" w:lineRule="auto"/>
              <w:rPr>
                <w:rFonts w:ascii="Times New Roman" w:hAnsi="Times New Roman"/>
                <w:szCs w:val="22"/>
                <w:lang w:eastAsia="hr-HR"/>
              </w:rPr>
            </w:pPr>
            <w:r>
              <w:rPr>
                <w:rFonts w:ascii="Times New Roman" w:hAnsi="Times New Roman"/>
                <w:szCs w:val="22"/>
                <w:lang w:eastAsia="hr-HR"/>
              </w:rPr>
              <w:t>Provedba pilot projekata</w:t>
            </w:r>
          </w:p>
        </w:tc>
        <w:tc>
          <w:tcPr>
            <w:tcW w:w="667" w:type="dxa"/>
            <w:tcBorders>
              <w:top w:val="nil"/>
              <w:left w:val="nil"/>
              <w:bottom w:val="single" w:sz="4" w:space="0" w:color="auto"/>
              <w:right w:val="single" w:sz="4" w:space="0" w:color="auto"/>
            </w:tcBorders>
            <w:shd w:val="clear" w:color="auto" w:fill="FFCCA6" w:themeFill="accent5" w:themeFillTint="66"/>
            <w:noWrap/>
            <w:vAlign w:val="center"/>
          </w:tcPr>
          <w:p w14:paraId="45D05FB1" w14:textId="77777777" w:rsidR="00496804" w:rsidRDefault="00496804">
            <w:pPr>
              <w:spacing w:line="240" w:lineRule="auto"/>
              <w:rPr>
                <w:rFonts w:ascii="Times New Roman" w:hAnsi="Times New Roman"/>
                <w:szCs w:val="22"/>
                <w:lang w:eastAsia="hr-HR"/>
              </w:rPr>
            </w:pPr>
          </w:p>
        </w:tc>
        <w:tc>
          <w:tcPr>
            <w:tcW w:w="667" w:type="dxa"/>
            <w:tcBorders>
              <w:top w:val="nil"/>
              <w:left w:val="nil"/>
              <w:bottom w:val="single" w:sz="4" w:space="0" w:color="auto"/>
              <w:right w:val="single" w:sz="4" w:space="0" w:color="auto"/>
            </w:tcBorders>
            <w:shd w:val="clear" w:color="auto" w:fill="FFCCA6" w:themeFill="accent5" w:themeFillTint="66"/>
            <w:noWrap/>
            <w:vAlign w:val="center"/>
          </w:tcPr>
          <w:p w14:paraId="45D05FB2"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B3"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B4"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B5"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B6"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B7"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B8"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B9"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auto"/>
            <w:noWrap/>
            <w:vAlign w:val="center"/>
          </w:tcPr>
          <w:p w14:paraId="45D05FBA" w14:textId="77777777" w:rsidR="00496804" w:rsidRDefault="00496804">
            <w:pPr>
              <w:spacing w:line="240" w:lineRule="auto"/>
              <w:rPr>
                <w:rFonts w:ascii="Times New Roman" w:hAnsi="Times New Roman"/>
                <w:szCs w:val="22"/>
                <w:lang w:eastAsia="hr-HR"/>
              </w:rPr>
            </w:pPr>
          </w:p>
        </w:tc>
      </w:tr>
      <w:tr w:rsidR="00496804" w14:paraId="45D05FC8" w14:textId="77777777">
        <w:trPr>
          <w:trHeight w:val="300"/>
        </w:trPr>
        <w:tc>
          <w:tcPr>
            <w:tcW w:w="607" w:type="dxa"/>
            <w:tcBorders>
              <w:top w:val="nil"/>
              <w:left w:val="single" w:sz="4" w:space="0" w:color="auto"/>
              <w:bottom w:val="single" w:sz="4" w:space="0" w:color="auto"/>
              <w:right w:val="single" w:sz="4" w:space="0" w:color="auto"/>
            </w:tcBorders>
            <w:shd w:val="clear" w:color="auto" w:fill="auto"/>
            <w:noWrap/>
            <w:vAlign w:val="center"/>
          </w:tcPr>
          <w:p w14:paraId="45D05FBC" w14:textId="77777777" w:rsidR="00496804" w:rsidRDefault="0037359D">
            <w:pPr>
              <w:spacing w:line="240" w:lineRule="auto"/>
              <w:jc w:val="left"/>
              <w:rPr>
                <w:rFonts w:ascii="Times New Roman" w:hAnsi="Times New Roman"/>
                <w:szCs w:val="22"/>
                <w:lang w:eastAsia="hr-HR"/>
              </w:rPr>
            </w:pPr>
            <w:r>
              <w:rPr>
                <w:rFonts w:ascii="Times New Roman" w:hAnsi="Times New Roman"/>
                <w:szCs w:val="22"/>
                <w:lang w:eastAsia="hr-HR"/>
              </w:rPr>
              <w:t>2.2.</w:t>
            </w:r>
          </w:p>
        </w:tc>
        <w:tc>
          <w:tcPr>
            <w:tcW w:w="2337" w:type="dxa"/>
            <w:tcBorders>
              <w:top w:val="nil"/>
              <w:left w:val="nil"/>
              <w:bottom w:val="single" w:sz="4" w:space="0" w:color="auto"/>
              <w:right w:val="single" w:sz="4" w:space="0" w:color="auto"/>
            </w:tcBorders>
            <w:shd w:val="clear" w:color="auto" w:fill="auto"/>
            <w:vAlign w:val="center"/>
          </w:tcPr>
          <w:p w14:paraId="45D05FBD" w14:textId="77777777" w:rsidR="00496804" w:rsidRDefault="0037359D">
            <w:pPr>
              <w:spacing w:line="240" w:lineRule="auto"/>
              <w:rPr>
                <w:rFonts w:ascii="Times New Roman" w:hAnsi="Times New Roman"/>
                <w:szCs w:val="22"/>
                <w:lang w:eastAsia="hr-HR"/>
              </w:rPr>
            </w:pPr>
            <w:r>
              <w:rPr>
                <w:rFonts w:ascii="Times New Roman" w:hAnsi="Times New Roman"/>
                <w:szCs w:val="22"/>
                <w:lang w:eastAsia="hr-HR"/>
              </w:rPr>
              <w:t>Poticanje kružne obnove prostora i zgrada</w:t>
            </w:r>
          </w:p>
        </w:tc>
        <w:tc>
          <w:tcPr>
            <w:tcW w:w="667" w:type="dxa"/>
            <w:tcBorders>
              <w:top w:val="nil"/>
              <w:left w:val="nil"/>
              <w:bottom w:val="single" w:sz="4" w:space="0" w:color="auto"/>
              <w:right w:val="single" w:sz="4" w:space="0" w:color="auto"/>
            </w:tcBorders>
            <w:shd w:val="clear" w:color="auto" w:fill="auto"/>
            <w:noWrap/>
            <w:vAlign w:val="center"/>
          </w:tcPr>
          <w:p w14:paraId="45D05FBE" w14:textId="77777777" w:rsidR="00496804" w:rsidRDefault="00496804">
            <w:pPr>
              <w:spacing w:line="240" w:lineRule="auto"/>
              <w:rPr>
                <w:rFonts w:ascii="Times New Roman" w:hAnsi="Times New Roman"/>
                <w:szCs w:val="22"/>
                <w:lang w:eastAsia="hr-HR"/>
              </w:rPr>
            </w:pPr>
          </w:p>
        </w:tc>
        <w:tc>
          <w:tcPr>
            <w:tcW w:w="667" w:type="dxa"/>
            <w:tcBorders>
              <w:top w:val="nil"/>
              <w:left w:val="nil"/>
              <w:bottom w:val="single" w:sz="4" w:space="0" w:color="auto"/>
              <w:right w:val="single" w:sz="4" w:space="0" w:color="auto"/>
            </w:tcBorders>
            <w:shd w:val="clear" w:color="auto" w:fill="auto"/>
            <w:noWrap/>
            <w:vAlign w:val="center"/>
          </w:tcPr>
          <w:p w14:paraId="45D05FBF"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C0"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C1"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C2"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C3"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C4"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C5"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C6"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C7" w14:textId="77777777" w:rsidR="00496804" w:rsidRDefault="00496804">
            <w:pPr>
              <w:spacing w:line="240" w:lineRule="auto"/>
              <w:rPr>
                <w:rFonts w:ascii="Times New Roman" w:hAnsi="Times New Roman"/>
                <w:szCs w:val="22"/>
                <w:lang w:eastAsia="hr-HR"/>
              </w:rPr>
            </w:pPr>
          </w:p>
        </w:tc>
      </w:tr>
      <w:tr w:rsidR="00496804" w14:paraId="45D05FD5" w14:textId="77777777">
        <w:trPr>
          <w:trHeight w:val="300"/>
        </w:trPr>
        <w:tc>
          <w:tcPr>
            <w:tcW w:w="607" w:type="dxa"/>
            <w:tcBorders>
              <w:top w:val="nil"/>
              <w:left w:val="single" w:sz="4" w:space="0" w:color="auto"/>
              <w:bottom w:val="single" w:sz="4" w:space="0" w:color="auto"/>
              <w:right w:val="single" w:sz="4" w:space="0" w:color="auto"/>
            </w:tcBorders>
            <w:shd w:val="clear" w:color="auto" w:fill="auto"/>
            <w:noWrap/>
            <w:vAlign w:val="center"/>
          </w:tcPr>
          <w:p w14:paraId="45D05FC9" w14:textId="77777777" w:rsidR="00496804" w:rsidRDefault="0037359D">
            <w:pPr>
              <w:spacing w:line="240" w:lineRule="auto"/>
              <w:jc w:val="left"/>
              <w:rPr>
                <w:rFonts w:ascii="Times New Roman" w:hAnsi="Times New Roman"/>
                <w:szCs w:val="22"/>
                <w:lang w:eastAsia="hr-HR"/>
              </w:rPr>
            </w:pPr>
            <w:r>
              <w:rPr>
                <w:rFonts w:ascii="Times New Roman" w:hAnsi="Times New Roman"/>
                <w:szCs w:val="22"/>
                <w:lang w:eastAsia="hr-HR"/>
              </w:rPr>
              <w:t>2.3.</w:t>
            </w:r>
          </w:p>
        </w:tc>
        <w:tc>
          <w:tcPr>
            <w:tcW w:w="2337" w:type="dxa"/>
            <w:tcBorders>
              <w:top w:val="nil"/>
              <w:left w:val="nil"/>
              <w:bottom w:val="single" w:sz="4" w:space="0" w:color="auto"/>
              <w:right w:val="single" w:sz="4" w:space="0" w:color="auto"/>
            </w:tcBorders>
            <w:shd w:val="clear" w:color="auto" w:fill="auto"/>
            <w:vAlign w:val="center"/>
          </w:tcPr>
          <w:p w14:paraId="45D05FCA" w14:textId="77777777" w:rsidR="00496804" w:rsidRDefault="0037359D">
            <w:pPr>
              <w:spacing w:line="240" w:lineRule="auto"/>
              <w:rPr>
                <w:rFonts w:ascii="Times New Roman" w:hAnsi="Times New Roman"/>
                <w:szCs w:val="22"/>
                <w:lang w:eastAsia="hr-HR"/>
              </w:rPr>
            </w:pPr>
            <w:r>
              <w:rPr>
                <w:rFonts w:ascii="Times New Roman" w:hAnsi="Times New Roman"/>
                <w:szCs w:val="22"/>
                <w:lang w:eastAsia="hr-HR"/>
              </w:rPr>
              <w:t>Poticanje inovacija i razvoja u primjeni kružnog gospodarenja prostorom i zgradama</w:t>
            </w:r>
          </w:p>
        </w:tc>
        <w:tc>
          <w:tcPr>
            <w:tcW w:w="667" w:type="dxa"/>
            <w:tcBorders>
              <w:top w:val="nil"/>
              <w:left w:val="nil"/>
              <w:bottom w:val="single" w:sz="4" w:space="0" w:color="auto"/>
              <w:right w:val="single" w:sz="4" w:space="0" w:color="auto"/>
            </w:tcBorders>
            <w:shd w:val="clear" w:color="auto" w:fill="auto"/>
            <w:noWrap/>
            <w:vAlign w:val="center"/>
          </w:tcPr>
          <w:p w14:paraId="45D05FCB" w14:textId="77777777" w:rsidR="00496804" w:rsidRDefault="00496804">
            <w:pPr>
              <w:spacing w:line="240" w:lineRule="auto"/>
              <w:rPr>
                <w:rFonts w:ascii="Times New Roman" w:hAnsi="Times New Roman"/>
                <w:szCs w:val="22"/>
                <w:lang w:eastAsia="hr-HR"/>
              </w:rPr>
            </w:pPr>
          </w:p>
        </w:tc>
        <w:tc>
          <w:tcPr>
            <w:tcW w:w="667" w:type="dxa"/>
            <w:tcBorders>
              <w:top w:val="nil"/>
              <w:left w:val="nil"/>
              <w:bottom w:val="single" w:sz="4" w:space="0" w:color="auto"/>
              <w:right w:val="single" w:sz="4" w:space="0" w:color="auto"/>
            </w:tcBorders>
            <w:shd w:val="clear" w:color="auto" w:fill="auto"/>
            <w:noWrap/>
            <w:vAlign w:val="center"/>
          </w:tcPr>
          <w:p w14:paraId="45D05FCC"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CD"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CE"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CF"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D0"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D1"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D2"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D3"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D4" w14:textId="77777777" w:rsidR="00496804" w:rsidRDefault="00496804">
            <w:pPr>
              <w:spacing w:line="240" w:lineRule="auto"/>
              <w:rPr>
                <w:rFonts w:ascii="Times New Roman" w:hAnsi="Times New Roman"/>
                <w:szCs w:val="22"/>
                <w:lang w:eastAsia="hr-HR"/>
              </w:rPr>
            </w:pPr>
          </w:p>
        </w:tc>
      </w:tr>
      <w:tr w:rsidR="00496804" w14:paraId="45D05FE2" w14:textId="77777777">
        <w:trPr>
          <w:trHeight w:val="300"/>
        </w:trPr>
        <w:tc>
          <w:tcPr>
            <w:tcW w:w="607"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5D05FD6" w14:textId="77777777" w:rsidR="00496804" w:rsidRDefault="0037359D">
            <w:pPr>
              <w:spacing w:line="240" w:lineRule="auto"/>
              <w:jc w:val="left"/>
              <w:rPr>
                <w:rFonts w:ascii="Times New Roman" w:hAnsi="Times New Roman"/>
                <w:szCs w:val="22"/>
                <w:lang w:eastAsia="hr-HR"/>
              </w:rPr>
            </w:pPr>
            <w:r>
              <w:rPr>
                <w:rFonts w:ascii="Times New Roman" w:hAnsi="Times New Roman"/>
                <w:szCs w:val="22"/>
                <w:lang w:eastAsia="hr-HR"/>
              </w:rPr>
              <w:t>3.</w:t>
            </w:r>
          </w:p>
        </w:tc>
        <w:tc>
          <w:tcPr>
            <w:tcW w:w="2337" w:type="dxa"/>
            <w:tcBorders>
              <w:top w:val="nil"/>
              <w:left w:val="nil"/>
              <w:bottom w:val="single" w:sz="4" w:space="0" w:color="auto"/>
              <w:right w:val="single" w:sz="4" w:space="0" w:color="auto"/>
            </w:tcBorders>
            <w:shd w:val="clear" w:color="auto" w:fill="D9D9D9" w:themeFill="background1" w:themeFillShade="D9"/>
            <w:vAlign w:val="center"/>
          </w:tcPr>
          <w:p w14:paraId="45D05FD7" w14:textId="77777777" w:rsidR="00496804" w:rsidRDefault="0037359D">
            <w:pPr>
              <w:spacing w:line="240" w:lineRule="auto"/>
              <w:rPr>
                <w:rFonts w:ascii="Times New Roman" w:hAnsi="Times New Roman"/>
                <w:szCs w:val="22"/>
                <w:lang w:eastAsia="hr-HR"/>
              </w:rPr>
            </w:pPr>
            <w:r>
              <w:rPr>
                <w:rFonts w:ascii="Times New Roman" w:hAnsi="Times New Roman"/>
                <w:szCs w:val="22"/>
                <w:lang w:eastAsia="hr-HR"/>
              </w:rPr>
              <w:t>Visoka razina znanja i društvene svijesti o kružnom gospodarenju prostorom i zgradama</w:t>
            </w:r>
          </w:p>
        </w:tc>
        <w:tc>
          <w:tcPr>
            <w:tcW w:w="667" w:type="dxa"/>
            <w:tcBorders>
              <w:top w:val="nil"/>
              <w:left w:val="nil"/>
              <w:bottom w:val="single" w:sz="4" w:space="0" w:color="auto"/>
              <w:right w:val="single" w:sz="4" w:space="0" w:color="auto"/>
            </w:tcBorders>
            <w:shd w:val="clear" w:color="auto" w:fill="D9D9D9" w:themeFill="background1" w:themeFillShade="D9"/>
            <w:noWrap/>
            <w:vAlign w:val="center"/>
          </w:tcPr>
          <w:p w14:paraId="45D05FD8" w14:textId="77777777" w:rsidR="00496804" w:rsidRDefault="00496804">
            <w:pPr>
              <w:spacing w:line="240" w:lineRule="auto"/>
              <w:rPr>
                <w:rFonts w:ascii="Times New Roman" w:hAnsi="Times New Roman"/>
                <w:szCs w:val="22"/>
                <w:highlight w:val="yellow"/>
                <w:lang w:eastAsia="hr-HR"/>
              </w:rPr>
            </w:pPr>
          </w:p>
        </w:tc>
        <w:tc>
          <w:tcPr>
            <w:tcW w:w="667" w:type="dxa"/>
            <w:tcBorders>
              <w:top w:val="nil"/>
              <w:left w:val="nil"/>
              <w:bottom w:val="single" w:sz="4" w:space="0" w:color="auto"/>
              <w:right w:val="single" w:sz="4" w:space="0" w:color="auto"/>
            </w:tcBorders>
            <w:shd w:val="clear" w:color="auto" w:fill="D9D9D9" w:themeFill="background1" w:themeFillShade="D9"/>
            <w:noWrap/>
            <w:vAlign w:val="center"/>
          </w:tcPr>
          <w:p w14:paraId="45D05FD9"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DA"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DB"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DC"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DD"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DE"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DF"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E0" w14:textId="77777777" w:rsidR="00496804" w:rsidRDefault="00496804">
            <w:pPr>
              <w:spacing w:line="240" w:lineRule="auto"/>
              <w:rPr>
                <w:rFonts w:ascii="Times New Roman" w:hAnsi="Times New Roman"/>
                <w:szCs w:val="22"/>
                <w:lang w:eastAsia="hr-HR"/>
              </w:rPr>
            </w:pPr>
          </w:p>
        </w:tc>
        <w:tc>
          <w:tcPr>
            <w:tcW w:w="668" w:type="dxa"/>
            <w:tcBorders>
              <w:top w:val="nil"/>
              <w:left w:val="nil"/>
              <w:bottom w:val="single" w:sz="4" w:space="0" w:color="auto"/>
              <w:right w:val="single" w:sz="4" w:space="0" w:color="auto"/>
            </w:tcBorders>
            <w:shd w:val="clear" w:color="auto" w:fill="D9D9D9" w:themeFill="background1" w:themeFillShade="D9"/>
            <w:noWrap/>
            <w:vAlign w:val="center"/>
          </w:tcPr>
          <w:p w14:paraId="45D05FE1" w14:textId="77777777" w:rsidR="00496804" w:rsidRDefault="00496804">
            <w:pPr>
              <w:spacing w:line="240" w:lineRule="auto"/>
              <w:rPr>
                <w:rFonts w:ascii="Times New Roman" w:hAnsi="Times New Roman"/>
                <w:szCs w:val="22"/>
                <w:lang w:eastAsia="hr-HR"/>
              </w:rPr>
            </w:pPr>
          </w:p>
        </w:tc>
      </w:tr>
      <w:tr w:rsidR="00496804" w14:paraId="45D05FEF" w14:textId="77777777">
        <w:trPr>
          <w:trHeight w:val="600"/>
        </w:trPr>
        <w:tc>
          <w:tcPr>
            <w:tcW w:w="607" w:type="dxa"/>
            <w:tcBorders>
              <w:top w:val="nil"/>
              <w:left w:val="single" w:sz="4" w:space="0" w:color="auto"/>
              <w:bottom w:val="single" w:sz="4" w:space="0" w:color="auto"/>
              <w:right w:val="single" w:sz="4" w:space="0" w:color="auto"/>
            </w:tcBorders>
            <w:shd w:val="clear" w:color="auto" w:fill="auto"/>
            <w:noWrap/>
            <w:vAlign w:val="center"/>
          </w:tcPr>
          <w:p w14:paraId="45D05FE3" w14:textId="77777777" w:rsidR="00496804" w:rsidRDefault="0037359D">
            <w:pPr>
              <w:spacing w:line="240" w:lineRule="auto"/>
              <w:jc w:val="left"/>
              <w:rPr>
                <w:rFonts w:ascii="Times New Roman" w:hAnsi="Times New Roman"/>
                <w:szCs w:val="22"/>
                <w:lang w:eastAsia="hr-HR"/>
              </w:rPr>
            </w:pPr>
            <w:r>
              <w:rPr>
                <w:rFonts w:ascii="Times New Roman" w:hAnsi="Times New Roman"/>
                <w:szCs w:val="22"/>
                <w:lang w:eastAsia="hr-HR"/>
              </w:rPr>
              <w:t>3.1.</w:t>
            </w:r>
          </w:p>
        </w:tc>
        <w:tc>
          <w:tcPr>
            <w:tcW w:w="2337" w:type="dxa"/>
            <w:tcBorders>
              <w:top w:val="nil"/>
              <w:left w:val="nil"/>
              <w:bottom w:val="single" w:sz="4" w:space="0" w:color="auto"/>
              <w:right w:val="single" w:sz="4" w:space="0" w:color="auto"/>
            </w:tcBorders>
            <w:shd w:val="clear" w:color="auto" w:fill="auto"/>
            <w:vAlign w:val="center"/>
          </w:tcPr>
          <w:p w14:paraId="45D05FE4" w14:textId="77777777" w:rsidR="00496804" w:rsidRDefault="0037359D">
            <w:pPr>
              <w:spacing w:line="240" w:lineRule="auto"/>
              <w:rPr>
                <w:rFonts w:ascii="Times New Roman" w:hAnsi="Times New Roman"/>
                <w:szCs w:val="22"/>
                <w:lang w:eastAsia="hr-HR"/>
              </w:rPr>
            </w:pPr>
            <w:r>
              <w:rPr>
                <w:rFonts w:ascii="Times New Roman" w:hAnsi="Times New Roman"/>
                <w:szCs w:val="22"/>
                <w:lang w:eastAsia="hr-HR"/>
              </w:rPr>
              <w:t>Afirmacija i informiranje javnosti o kružnom gospodarenju prostorom i zgradama</w:t>
            </w:r>
          </w:p>
        </w:tc>
        <w:tc>
          <w:tcPr>
            <w:tcW w:w="667" w:type="dxa"/>
            <w:tcBorders>
              <w:top w:val="nil"/>
              <w:left w:val="nil"/>
              <w:bottom w:val="single" w:sz="4" w:space="0" w:color="auto"/>
              <w:right w:val="single" w:sz="4" w:space="0" w:color="auto"/>
            </w:tcBorders>
            <w:shd w:val="clear" w:color="auto" w:fill="FFCCA6" w:themeFill="accent5" w:themeFillTint="66"/>
            <w:noWrap/>
            <w:vAlign w:val="center"/>
          </w:tcPr>
          <w:p w14:paraId="45D05FE5" w14:textId="77777777" w:rsidR="00496804" w:rsidRDefault="00496804">
            <w:pPr>
              <w:spacing w:line="240" w:lineRule="auto"/>
              <w:rPr>
                <w:rFonts w:ascii="Times New Roman" w:hAnsi="Times New Roman"/>
                <w:szCs w:val="22"/>
                <w:highlight w:val="yellow"/>
                <w:lang w:eastAsia="hr-HR"/>
              </w:rPr>
            </w:pPr>
          </w:p>
        </w:tc>
        <w:tc>
          <w:tcPr>
            <w:tcW w:w="667" w:type="dxa"/>
            <w:tcBorders>
              <w:top w:val="nil"/>
              <w:left w:val="nil"/>
              <w:bottom w:val="single" w:sz="4" w:space="0" w:color="auto"/>
              <w:right w:val="single" w:sz="4" w:space="0" w:color="auto"/>
            </w:tcBorders>
            <w:shd w:val="clear" w:color="auto" w:fill="FFCCA6" w:themeFill="accent5" w:themeFillTint="66"/>
            <w:noWrap/>
            <w:vAlign w:val="center"/>
          </w:tcPr>
          <w:p w14:paraId="45D05FE6"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E7"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E8"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E9"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EA"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EB"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EC"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ED"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EE" w14:textId="77777777" w:rsidR="00496804" w:rsidRDefault="00496804">
            <w:pPr>
              <w:spacing w:line="240" w:lineRule="auto"/>
              <w:rPr>
                <w:rFonts w:ascii="Times New Roman" w:hAnsi="Times New Roman"/>
                <w:szCs w:val="22"/>
                <w:highlight w:val="yellow"/>
                <w:lang w:eastAsia="hr-HR"/>
              </w:rPr>
            </w:pPr>
          </w:p>
        </w:tc>
      </w:tr>
      <w:tr w:rsidR="00496804" w14:paraId="45D05FFC" w14:textId="77777777">
        <w:trPr>
          <w:trHeight w:val="600"/>
        </w:trPr>
        <w:tc>
          <w:tcPr>
            <w:tcW w:w="607" w:type="dxa"/>
            <w:tcBorders>
              <w:top w:val="nil"/>
              <w:left w:val="single" w:sz="4" w:space="0" w:color="auto"/>
              <w:bottom w:val="single" w:sz="4" w:space="0" w:color="auto"/>
              <w:right w:val="single" w:sz="4" w:space="0" w:color="auto"/>
            </w:tcBorders>
            <w:shd w:val="clear" w:color="auto" w:fill="auto"/>
            <w:noWrap/>
            <w:vAlign w:val="center"/>
          </w:tcPr>
          <w:p w14:paraId="45D05FF0" w14:textId="77777777" w:rsidR="00496804" w:rsidRDefault="0037359D">
            <w:pPr>
              <w:spacing w:line="240" w:lineRule="auto"/>
              <w:jc w:val="left"/>
              <w:rPr>
                <w:rFonts w:ascii="Times New Roman" w:hAnsi="Times New Roman"/>
                <w:szCs w:val="22"/>
                <w:lang w:eastAsia="hr-HR"/>
              </w:rPr>
            </w:pPr>
            <w:r>
              <w:rPr>
                <w:rFonts w:ascii="Times New Roman" w:hAnsi="Times New Roman"/>
                <w:szCs w:val="22"/>
                <w:lang w:eastAsia="hr-HR"/>
              </w:rPr>
              <w:t>3.2.</w:t>
            </w:r>
          </w:p>
        </w:tc>
        <w:tc>
          <w:tcPr>
            <w:tcW w:w="2337" w:type="dxa"/>
            <w:tcBorders>
              <w:top w:val="nil"/>
              <w:left w:val="nil"/>
              <w:bottom w:val="single" w:sz="4" w:space="0" w:color="auto"/>
              <w:right w:val="single" w:sz="4" w:space="0" w:color="auto"/>
            </w:tcBorders>
            <w:shd w:val="clear" w:color="auto" w:fill="auto"/>
            <w:vAlign w:val="center"/>
          </w:tcPr>
          <w:p w14:paraId="45D05FF1" w14:textId="77777777" w:rsidR="00496804" w:rsidRDefault="0037359D">
            <w:pPr>
              <w:spacing w:line="240" w:lineRule="auto"/>
              <w:rPr>
                <w:rFonts w:ascii="Times New Roman" w:hAnsi="Times New Roman"/>
                <w:szCs w:val="22"/>
                <w:lang w:eastAsia="hr-HR"/>
              </w:rPr>
            </w:pPr>
            <w:r>
              <w:rPr>
                <w:rFonts w:ascii="Times New Roman" w:hAnsi="Times New Roman"/>
                <w:szCs w:val="22"/>
                <w:lang w:eastAsia="hr-HR"/>
              </w:rPr>
              <w:t>Edukacija o kružnom gospodarenju prostorom i zgradama</w:t>
            </w:r>
          </w:p>
        </w:tc>
        <w:tc>
          <w:tcPr>
            <w:tcW w:w="667" w:type="dxa"/>
            <w:tcBorders>
              <w:top w:val="nil"/>
              <w:left w:val="nil"/>
              <w:bottom w:val="single" w:sz="4" w:space="0" w:color="auto"/>
              <w:right w:val="single" w:sz="4" w:space="0" w:color="auto"/>
            </w:tcBorders>
            <w:shd w:val="clear" w:color="auto" w:fill="FFCCA6" w:themeFill="accent5" w:themeFillTint="66"/>
            <w:noWrap/>
            <w:vAlign w:val="center"/>
          </w:tcPr>
          <w:p w14:paraId="45D05FF2" w14:textId="77777777" w:rsidR="00496804" w:rsidRDefault="00496804">
            <w:pPr>
              <w:spacing w:line="240" w:lineRule="auto"/>
              <w:rPr>
                <w:rFonts w:ascii="Times New Roman" w:hAnsi="Times New Roman"/>
                <w:szCs w:val="22"/>
                <w:highlight w:val="yellow"/>
                <w:lang w:eastAsia="hr-HR"/>
              </w:rPr>
            </w:pPr>
          </w:p>
        </w:tc>
        <w:tc>
          <w:tcPr>
            <w:tcW w:w="667" w:type="dxa"/>
            <w:tcBorders>
              <w:top w:val="nil"/>
              <w:left w:val="nil"/>
              <w:bottom w:val="single" w:sz="4" w:space="0" w:color="auto"/>
              <w:right w:val="single" w:sz="4" w:space="0" w:color="auto"/>
            </w:tcBorders>
            <w:shd w:val="clear" w:color="auto" w:fill="FFCCA6" w:themeFill="accent5" w:themeFillTint="66"/>
            <w:noWrap/>
            <w:vAlign w:val="center"/>
          </w:tcPr>
          <w:p w14:paraId="45D05FF3"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F4"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F5"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F6"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F7"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F8"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F9"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FA" w14:textId="77777777" w:rsidR="00496804" w:rsidRDefault="00496804">
            <w:pPr>
              <w:spacing w:line="240" w:lineRule="auto"/>
              <w:rPr>
                <w:rFonts w:ascii="Times New Roman" w:hAnsi="Times New Roman"/>
                <w:szCs w:val="22"/>
                <w:highlight w:val="yellow"/>
                <w:lang w:eastAsia="hr-HR"/>
              </w:rPr>
            </w:pPr>
          </w:p>
        </w:tc>
        <w:tc>
          <w:tcPr>
            <w:tcW w:w="668" w:type="dxa"/>
            <w:tcBorders>
              <w:top w:val="nil"/>
              <w:left w:val="nil"/>
              <w:bottom w:val="single" w:sz="4" w:space="0" w:color="auto"/>
              <w:right w:val="single" w:sz="4" w:space="0" w:color="auto"/>
            </w:tcBorders>
            <w:shd w:val="clear" w:color="auto" w:fill="FFCCA6" w:themeFill="accent5" w:themeFillTint="66"/>
            <w:noWrap/>
            <w:vAlign w:val="center"/>
          </w:tcPr>
          <w:p w14:paraId="45D05FFB" w14:textId="77777777" w:rsidR="00496804" w:rsidRDefault="00496804">
            <w:pPr>
              <w:spacing w:line="240" w:lineRule="auto"/>
              <w:rPr>
                <w:rFonts w:ascii="Times New Roman" w:hAnsi="Times New Roman"/>
                <w:szCs w:val="22"/>
                <w:highlight w:val="yellow"/>
                <w:lang w:eastAsia="hr-HR"/>
              </w:rPr>
            </w:pPr>
          </w:p>
        </w:tc>
      </w:tr>
    </w:tbl>
    <w:p w14:paraId="45D05FFD" w14:textId="77777777" w:rsidR="00496804" w:rsidRDefault="00496804">
      <w:pPr>
        <w:spacing w:line="240" w:lineRule="auto"/>
        <w:rPr>
          <w:rFonts w:ascii="Times New Roman" w:hAnsi="Times New Roman"/>
          <w:sz w:val="24"/>
        </w:rPr>
      </w:pPr>
    </w:p>
    <w:p w14:paraId="45D05FFE" w14:textId="77777777" w:rsidR="00496804" w:rsidRDefault="0037359D">
      <w:pPr>
        <w:spacing w:line="240" w:lineRule="auto"/>
        <w:jc w:val="left"/>
        <w:rPr>
          <w:rFonts w:ascii="Times New Roman" w:hAnsi="Times New Roman"/>
          <w:sz w:val="24"/>
        </w:rPr>
        <w:sectPr w:rsidR="00496804">
          <w:pgSz w:w="11900" w:h="16840"/>
          <w:pgMar w:top="1701" w:right="1134" w:bottom="1134" w:left="1134" w:header="709" w:footer="289" w:gutter="0"/>
          <w:cols w:space="720"/>
          <w:docGrid w:linePitch="299"/>
        </w:sectPr>
      </w:pPr>
      <w:r>
        <w:rPr>
          <w:rFonts w:ascii="Times New Roman" w:hAnsi="Times New Roman"/>
          <w:sz w:val="24"/>
        </w:rPr>
        <w:br w:type="page"/>
      </w:r>
    </w:p>
    <w:p w14:paraId="45D05FFF" w14:textId="77777777" w:rsidR="00496804" w:rsidRDefault="00496804">
      <w:pPr>
        <w:spacing w:line="240" w:lineRule="auto"/>
        <w:jc w:val="left"/>
        <w:rPr>
          <w:rFonts w:ascii="Times New Roman" w:hAnsi="Times New Roman"/>
          <w:sz w:val="24"/>
        </w:rPr>
      </w:pPr>
    </w:p>
    <w:p w14:paraId="45D06000" w14:textId="77777777" w:rsidR="00496804" w:rsidRDefault="0037359D">
      <w:pPr>
        <w:pStyle w:val="Naslov10"/>
        <w:spacing w:line="240" w:lineRule="auto"/>
        <w:ind w:left="426" w:hanging="426"/>
        <w:outlineLvl w:val="0"/>
        <w:rPr>
          <w:rFonts w:ascii="Times New Roman" w:hAnsi="Times New Roman" w:cs="Times New Roman"/>
          <w:sz w:val="24"/>
          <w:szCs w:val="24"/>
        </w:rPr>
      </w:pPr>
      <w:bookmarkStart w:id="222" w:name="_Toc38560826"/>
      <w:bookmarkStart w:id="223" w:name="_Toc51851657"/>
      <w:bookmarkStart w:id="224" w:name="_Toc30851614"/>
      <w:r>
        <w:rPr>
          <w:rFonts w:ascii="Times New Roman" w:hAnsi="Times New Roman" w:cs="Times New Roman"/>
          <w:sz w:val="24"/>
          <w:szCs w:val="24"/>
        </w:rPr>
        <w:t>INDIKATIVNI FINANCIJSKI PLAN</w:t>
      </w:r>
      <w:bookmarkEnd w:id="222"/>
      <w:bookmarkEnd w:id="223"/>
      <w:bookmarkEnd w:id="224"/>
    </w:p>
    <w:p w14:paraId="45D06001" w14:textId="77777777" w:rsidR="00496804" w:rsidRDefault="00496804">
      <w:pPr>
        <w:spacing w:line="240" w:lineRule="auto"/>
        <w:rPr>
          <w:rFonts w:ascii="Times New Roman" w:hAnsi="Times New Roman"/>
          <w:sz w:val="24"/>
        </w:rPr>
      </w:pPr>
    </w:p>
    <w:p w14:paraId="45D06002" w14:textId="77777777" w:rsidR="00496804" w:rsidRDefault="0037359D">
      <w:pPr>
        <w:spacing w:line="240" w:lineRule="auto"/>
        <w:rPr>
          <w:rFonts w:ascii="Times New Roman" w:hAnsi="Times New Roman"/>
          <w:sz w:val="24"/>
        </w:rPr>
      </w:pPr>
      <w:r>
        <w:rPr>
          <w:rFonts w:ascii="Times New Roman" w:hAnsi="Times New Roman"/>
          <w:sz w:val="24"/>
        </w:rPr>
        <w:t>Indikativni financijski plan prikazuje financijske pretpostavke potrebne za realizaciju definiranih posebnih ciljeva, odnosno provedbu razvojnih mjera i aktivnosti. Temelji se na procjeni potrebnih troškova za realizaciju svih aktivnosti u razdoblju od 2021. do 2030. godine. Indikativni financijski plan je promjenjiv u okviru ažuriranja akcijskog plana i usklađivanja provedbe ovog Programa u skladu s rezultatima vrednovanja provedbe.</w:t>
      </w:r>
    </w:p>
    <w:p w14:paraId="45D06003" w14:textId="77777777" w:rsidR="00496804" w:rsidRDefault="00496804">
      <w:pPr>
        <w:spacing w:line="240" w:lineRule="auto"/>
        <w:rPr>
          <w:rFonts w:ascii="Times New Roman" w:hAnsi="Times New Roman"/>
          <w:sz w:val="24"/>
        </w:rPr>
      </w:pPr>
    </w:p>
    <w:p w14:paraId="45D06004" w14:textId="77777777" w:rsidR="00496804" w:rsidRDefault="00496804">
      <w:pPr>
        <w:spacing w:line="240" w:lineRule="auto"/>
        <w:rPr>
          <w:rFonts w:ascii="Times New Roman" w:hAnsi="Times New Roman"/>
          <w:sz w:val="24"/>
        </w:rPr>
      </w:pPr>
    </w:p>
    <w:p w14:paraId="45D06005" w14:textId="77777777" w:rsidR="00496804" w:rsidRDefault="00496804">
      <w:pPr>
        <w:spacing w:line="240" w:lineRule="auto"/>
        <w:rPr>
          <w:rFonts w:ascii="Times New Roman" w:hAnsi="Times New Roman"/>
          <w:sz w:val="24"/>
        </w:rPr>
      </w:pPr>
    </w:p>
    <w:p w14:paraId="45D06006" w14:textId="77777777" w:rsidR="00496804" w:rsidRDefault="0037359D">
      <w:pPr>
        <w:spacing w:line="240" w:lineRule="auto"/>
        <w:rPr>
          <w:rFonts w:ascii="Times New Roman" w:hAnsi="Times New Roman"/>
          <w:sz w:val="24"/>
        </w:rPr>
      </w:pPr>
      <w:r>
        <w:rPr>
          <w:rFonts w:ascii="Times New Roman" w:hAnsi="Times New Roman"/>
          <w:i/>
          <w:iCs/>
          <w:sz w:val="24"/>
        </w:rPr>
        <w:t>Tablica 27. Indikativni financijski plan</w:t>
      </w:r>
    </w:p>
    <w:tbl>
      <w:tblPr>
        <w:tblW w:w="5000" w:type="pct"/>
        <w:jc w:val="center"/>
        <w:tblLook w:val="04A0" w:firstRow="1" w:lastRow="0" w:firstColumn="1" w:lastColumn="0" w:noHBand="0" w:noVBand="1"/>
      </w:tblPr>
      <w:tblGrid>
        <w:gridCol w:w="1260"/>
        <w:gridCol w:w="3980"/>
        <w:gridCol w:w="2268"/>
        <w:gridCol w:w="1843"/>
        <w:gridCol w:w="2410"/>
        <w:gridCol w:w="2830"/>
      </w:tblGrid>
      <w:tr w:rsidR="00496804" w14:paraId="45D0600E" w14:textId="77777777">
        <w:trPr>
          <w:trHeight w:val="625"/>
          <w:jc w:val="center"/>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06007" w14:textId="77777777" w:rsidR="00496804" w:rsidRDefault="0037359D">
            <w:pPr>
              <w:spacing w:line="240" w:lineRule="auto"/>
              <w:jc w:val="center"/>
              <w:rPr>
                <w:rFonts w:ascii="Times New Roman" w:hAnsi="Times New Roman"/>
                <w:b/>
                <w:bCs/>
                <w:sz w:val="24"/>
                <w:lang w:eastAsia="hr-HR"/>
              </w:rPr>
            </w:pPr>
            <w:r>
              <w:rPr>
                <w:rFonts w:ascii="Times New Roman" w:hAnsi="Times New Roman"/>
                <w:sz w:val="24"/>
                <w:lang w:eastAsia="hr-HR"/>
              </w:rPr>
              <w:t>R. BR.</w:t>
            </w:r>
          </w:p>
        </w:tc>
        <w:tc>
          <w:tcPr>
            <w:tcW w:w="3980" w:type="dxa"/>
            <w:tcBorders>
              <w:top w:val="single" w:sz="4" w:space="0" w:color="auto"/>
              <w:left w:val="nil"/>
              <w:bottom w:val="single" w:sz="4" w:space="0" w:color="auto"/>
              <w:right w:val="single" w:sz="4" w:space="0" w:color="auto"/>
            </w:tcBorders>
            <w:shd w:val="clear" w:color="auto" w:fill="auto"/>
            <w:noWrap/>
            <w:vAlign w:val="center"/>
          </w:tcPr>
          <w:p w14:paraId="45D06008" w14:textId="77777777" w:rsidR="00496804" w:rsidRDefault="0037359D">
            <w:pPr>
              <w:spacing w:line="240" w:lineRule="auto"/>
              <w:jc w:val="center"/>
              <w:rPr>
                <w:rFonts w:ascii="Times New Roman" w:hAnsi="Times New Roman"/>
                <w:b/>
                <w:bCs/>
                <w:sz w:val="24"/>
                <w:lang w:eastAsia="hr-HR"/>
              </w:rPr>
            </w:pPr>
            <w:r>
              <w:rPr>
                <w:rFonts w:ascii="Times New Roman" w:hAnsi="Times New Roman"/>
                <w:sz w:val="24"/>
                <w:lang w:eastAsia="hr-HR"/>
              </w:rPr>
              <w:t>Naziv posebnog cilja/mjere</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45D06009" w14:textId="77777777" w:rsidR="00496804" w:rsidRDefault="0037359D">
            <w:pPr>
              <w:spacing w:line="240" w:lineRule="auto"/>
              <w:jc w:val="center"/>
              <w:rPr>
                <w:rFonts w:ascii="Times New Roman" w:hAnsi="Times New Roman"/>
                <w:b/>
                <w:bCs/>
                <w:sz w:val="24"/>
                <w:lang w:eastAsia="hr-HR"/>
              </w:rPr>
            </w:pPr>
            <w:r>
              <w:rPr>
                <w:rFonts w:ascii="Times New Roman" w:hAnsi="Times New Roman"/>
                <w:sz w:val="24"/>
                <w:lang w:eastAsia="hr-HR"/>
              </w:rPr>
              <w:t>Procijenjena ukupna vrijednost (HRK)</w:t>
            </w:r>
          </w:p>
        </w:tc>
        <w:tc>
          <w:tcPr>
            <w:tcW w:w="1843" w:type="dxa"/>
            <w:tcBorders>
              <w:top w:val="single" w:sz="4" w:space="0" w:color="auto"/>
              <w:left w:val="nil"/>
              <w:bottom w:val="single" w:sz="4" w:space="0" w:color="auto"/>
              <w:right w:val="single" w:sz="4" w:space="0" w:color="auto"/>
            </w:tcBorders>
            <w:vAlign w:val="center"/>
          </w:tcPr>
          <w:p w14:paraId="45D0600A"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Nositelj provedbe mjere</w:t>
            </w:r>
          </w:p>
        </w:tc>
        <w:tc>
          <w:tcPr>
            <w:tcW w:w="2410" w:type="dxa"/>
            <w:tcBorders>
              <w:top w:val="single" w:sz="4" w:space="0" w:color="auto"/>
              <w:left w:val="nil"/>
              <w:bottom w:val="single" w:sz="4" w:space="0" w:color="auto"/>
              <w:right w:val="single" w:sz="4" w:space="0" w:color="auto"/>
            </w:tcBorders>
            <w:vAlign w:val="center"/>
          </w:tcPr>
          <w:p w14:paraId="45D0600B"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Izvor financiranja (85%) EU izvor - razdjel 563</w:t>
            </w:r>
          </w:p>
          <w:p w14:paraId="45D0600C"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(HRK)</w:t>
            </w:r>
          </w:p>
        </w:tc>
        <w:tc>
          <w:tcPr>
            <w:tcW w:w="2830" w:type="dxa"/>
            <w:tcBorders>
              <w:top w:val="single" w:sz="4" w:space="0" w:color="auto"/>
              <w:left w:val="nil"/>
              <w:bottom w:val="single" w:sz="4" w:space="0" w:color="auto"/>
              <w:right w:val="single" w:sz="4" w:space="0" w:color="auto"/>
            </w:tcBorders>
            <w:vAlign w:val="center"/>
          </w:tcPr>
          <w:p w14:paraId="45D0600D"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Izvor financiranja (15%) (HRK)</w:t>
            </w:r>
          </w:p>
        </w:tc>
      </w:tr>
      <w:tr w:rsidR="00496804" w14:paraId="45D06016" w14:textId="77777777">
        <w:trPr>
          <w:trHeight w:val="374"/>
          <w:jc w:val="center"/>
        </w:trPr>
        <w:tc>
          <w:tcPr>
            <w:tcW w:w="1260" w:type="dxa"/>
            <w:vMerge w:val="restart"/>
            <w:tcBorders>
              <w:top w:val="single" w:sz="4" w:space="0" w:color="auto"/>
              <w:left w:val="single" w:sz="4" w:space="0" w:color="auto"/>
              <w:bottom w:val="single" w:sz="4" w:space="0" w:color="auto"/>
              <w:right w:val="single" w:sz="4" w:space="0" w:color="auto"/>
            </w:tcBorders>
            <w:shd w:val="clear" w:color="auto" w:fill="FFCCA6" w:themeFill="accent5" w:themeFillTint="66"/>
            <w:noWrap/>
            <w:vAlign w:val="center"/>
          </w:tcPr>
          <w:p w14:paraId="45D0600F"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1.</w:t>
            </w:r>
          </w:p>
        </w:tc>
        <w:tc>
          <w:tcPr>
            <w:tcW w:w="3980" w:type="dxa"/>
            <w:vMerge w:val="restart"/>
            <w:tcBorders>
              <w:top w:val="single" w:sz="4" w:space="0" w:color="auto"/>
              <w:left w:val="nil"/>
              <w:bottom w:val="single" w:sz="4" w:space="0" w:color="auto"/>
              <w:right w:val="single" w:sz="4" w:space="0" w:color="auto"/>
            </w:tcBorders>
            <w:shd w:val="clear" w:color="auto" w:fill="FFCCA6" w:themeFill="accent5" w:themeFillTint="66"/>
            <w:vAlign w:val="center"/>
          </w:tcPr>
          <w:p w14:paraId="45D06010"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Razvoj sustava kružnog gospodarenja prostorom i zgradama</w:t>
            </w:r>
          </w:p>
        </w:tc>
        <w:tc>
          <w:tcPr>
            <w:tcW w:w="2268" w:type="dxa"/>
            <w:vMerge w:val="restart"/>
            <w:tcBorders>
              <w:top w:val="single" w:sz="4" w:space="0" w:color="auto"/>
              <w:left w:val="nil"/>
              <w:bottom w:val="single" w:sz="4" w:space="0" w:color="auto"/>
              <w:right w:val="single" w:sz="4" w:space="0" w:color="auto"/>
            </w:tcBorders>
            <w:shd w:val="clear" w:color="auto" w:fill="FFCCA6" w:themeFill="accent5" w:themeFillTint="66"/>
            <w:noWrap/>
            <w:vAlign w:val="center"/>
          </w:tcPr>
          <w:p w14:paraId="45D06011"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32.455.000,00</w:t>
            </w:r>
          </w:p>
        </w:tc>
        <w:tc>
          <w:tcPr>
            <w:tcW w:w="1843" w:type="dxa"/>
            <w:vMerge w:val="restart"/>
            <w:tcBorders>
              <w:top w:val="single" w:sz="4" w:space="0" w:color="auto"/>
              <w:left w:val="nil"/>
              <w:bottom w:val="single" w:sz="4" w:space="0" w:color="auto"/>
              <w:right w:val="single" w:sz="4" w:space="0" w:color="auto"/>
            </w:tcBorders>
            <w:shd w:val="clear" w:color="auto" w:fill="FFCCA6" w:themeFill="accent5" w:themeFillTint="66"/>
            <w:vAlign w:val="center"/>
          </w:tcPr>
          <w:p w14:paraId="45D06012"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MPGI</w:t>
            </w:r>
          </w:p>
        </w:tc>
        <w:tc>
          <w:tcPr>
            <w:tcW w:w="2410" w:type="dxa"/>
            <w:vMerge w:val="restart"/>
            <w:tcBorders>
              <w:top w:val="single" w:sz="4" w:space="0" w:color="auto"/>
              <w:left w:val="nil"/>
              <w:bottom w:val="single" w:sz="4" w:space="0" w:color="auto"/>
              <w:right w:val="single" w:sz="4" w:space="0" w:color="auto"/>
            </w:tcBorders>
            <w:shd w:val="clear" w:color="auto" w:fill="FFCCA6" w:themeFill="accent5" w:themeFillTint="66"/>
            <w:vAlign w:val="center"/>
          </w:tcPr>
          <w:p w14:paraId="45D06013"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27.586.750,00</w:t>
            </w:r>
          </w:p>
        </w:tc>
        <w:tc>
          <w:tcPr>
            <w:tcW w:w="2830" w:type="dxa"/>
            <w:tcBorders>
              <w:top w:val="nil"/>
              <w:left w:val="nil"/>
              <w:bottom w:val="single" w:sz="4" w:space="0" w:color="auto"/>
              <w:right w:val="single" w:sz="4" w:space="0" w:color="auto"/>
            </w:tcBorders>
            <w:shd w:val="clear" w:color="auto" w:fill="FFCCA6" w:themeFill="accent5" w:themeFillTint="66"/>
            <w:vAlign w:val="center"/>
          </w:tcPr>
          <w:p w14:paraId="45D06014"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Državni proračun</w:t>
            </w:r>
          </w:p>
          <w:p w14:paraId="45D06015"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DP razdjel 12</w:t>
            </w:r>
          </w:p>
        </w:tc>
      </w:tr>
      <w:tr w:rsidR="00496804" w14:paraId="45D0601D" w14:textId="77777777">
        <w:trPr>
          <w:trHeight w:val="373"/>
          <w:jc w:val="center"/>
        </w:trPr>
        <w:tc>
          <w:tcPr>
            <w:tcW w:w="1260" w:type="dxa"/>
            <w:vMerge/>
            <w:tcBorders>
              <w:top w:val="single" w:sz="4" w:space="0" w:color="auto"/>
              <w:left w:val="single" w:sz="4" w:space="0" w:color="auto"/>
              <w:bottom w:val="single" w:sz="4" w:space="0" w:color="auto"/>
              <w:right w:val="single" w:sz="4" w:space="0" w:color="auto"/>
            </w:tcBorders>
            <w:noWrap/>
            <w:vAlign w:val="center"/>
          </w:tcPr>
          <w:p w14:paraId="45D06017" w14:textId="77777777" w:rsidR="00496804" w:rsidRDefault="00496804">
            <w:pPr>
              <w:spacing w:line="240" w:lineRule="auto"/>
              <w:jc w:val="left"/>
              <w:rPr>
                <w:rFonts w:ascii="Times New Roman" w:hAnsi="Times New Roman"/>
                <w:sz w:val="24"/>
                <w:lang w:eastAsia="hr-HR"/>
              </w:rPr>
            </w:pPr>
          </w:p>
        </w:tc>
        <w:tc>
          <w:tcPr>
            <w:tcW w:w="3980" w:type="dxa"/>
            <w:vMerge/>
            <w:tcBorders>
              <w:top w:val="single" w:sz="4" w:space="0" w:color="auto"/>
              <w:left w:val="single" w:sz="4" w:space="0" w:color="auto"/>
              <w:bottom w:val="single" w:sz="4" w:space="0" w:color="auto"/>
              <w:right w:val="single" w:sz="4" w:space="0" w:color="auto"/>
            </w:tcBorders>
            <w:vAlign w:val="center"/>
          </w:tcPr>
          <w:p w14:paraId="45D06018" w14:textId="77777777" w:rsidR="00496804" w:rsidRDefault="00496804">
            <w:pPr>
              <w:spacing w:line="240" w:lineRule="auto"/>
              <w:jc w:val="left"/>
              <w:rPr>
                <w:rFonts w:ascii="Times New Roman" w:hAnsi="Times New Roman"/>
                <w:sz w:val="24"/>
                <w:lang w:eastAsia="hr-HR"/>
              </w:rPr>
            </w:pPr>
          </w:p>
        </w:tc>
        <w:tc>
          <w:tcPr>
            <w:tcW w:w="2268" w:type="dxa"/>
            <w:vMerge/>
            <w:tcBorders>
              <w:top w:val="single" w:sz="4" w:space="0" w:color="auto"/>
              <w:left w:val="single" w:sz="4" w:space="0" w:color="auto"/>
              <w:bottom w:val="single" w:sz="4" w:space="0" w:color="auto"/>
              <w:right w:val="single" w:sz="4" w:space="0" w:color="auto"/>
            </w:tcBorders>
            <w:noWrap/>
            <w:vAlign w:val="center"/>
          </w:tcPr>
          <w:p w14:paraId="45D06019" w14:textId="77777777" w:rsidR="00496804" w:rsidRDefault="00496804">
            <w:pPr>
              <w:spacing w:line="240" w:lineRule="auto"/>
              <w:jc w:val="center"/>
              <w:rPr>
                <w:rFonts w:ascii="Times New Roman" w:hAnsi="Times New Roman"/>
                <w:sz w:val="24"/>
                <w:lang w:eastAsia="hr-HR"/>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45D0601A" w14:textId="77777777" w:rsidR="00496804" w:rsidRDefault="00496804">
            <w:pPr>
              <w:spacing w:line="240" w:lineRule="auto"/>
              <w:jc w:val="center"/>
              <w:rPr>
                <w:rFonts w:ascii="Times New Roman" w:hAnsi="Times New Roman"/>
                <w:sz w:val="24"/>
                <w:lang w:eastAsia="hr-HR"/>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45D0601B" w14:textId="77777777" w:rsidR="00496804" w:rsidRDefault="00496804">
            <w:pPr>
              <w:spacing w:line="240" w:lineRule="auto"/>
              <w:jc w:val="right"/>
              <w:rPr>
                <w:rFonts w:ascii="Times New Roman" w:hAnsi="Times New Roman"/>
                <w:sz w:val="24"/>
                <w:lang w:eastAsia="hr-HR"/>
              </w:rPr>
            </w:pPr>
          </w:p>
        </w:tc>
        <w:tc>
          <w:tcPr>
            <w:tcW w:w="2830" w:type="dxa"/>
            <w:tcBorders>
              <w:top w:val="nil"/>
              <w:left w:val="single" w:sz="4" w:space="0" w:color="auto"/>
              <w:bottom w:val="single" w:sz="4" w:space="0" w:color="auto"/>
              <w:right w:val="single" w:sz="4" w:space="0" w:color="auto"/>
            </w:tcBorders>
            <w:shd w:val="clear" w:color="auto" w:fill="FFCCA6" w:themeFill="accent5" w:themeFillTint="66"/>
            <w:vAlign w:val="center"/>
          </w:tcPr>
          <w:p w14:paraId="45D0601C"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4.868.250,00</w:t>
            </w:r>
          </w:p>
        </w:tc>
      </w:tr>
      <w:tr w:rsidR="00496804" w14:paraId="45D06024" w14:textId="77777777">
        <w:trPr>
          <w:trHeight w:val="499"/>
          <w:jc w:val="center"/>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0601E"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1.1.</w:t>
            </w:r>
          </w:p>
        </w:tc>
        <w:tc>
          <w:tcPr>
            <w:tcW w:w="3980" w:type="dxa"/>
            <w:tcBorders>
              <w:top w:val="single" w:sz="4" w:space="0" w:color="auto"/>
              <w:left w:val="nil"/>
              <w:bottom w:val="single" w:sz="4" w:space="0" w:color="auto"/>
              <w:right w:val="single" w:sz="4" w:space="0" w:color="auto"/>
            </w:tcBorders>
            <w:shd w:val="clear" w:color="auto" w:fill="auto"/>
            <w:vAlign w:val="center"/>
          </w:tcPr>
          <w:p w14:paraId="45D0601F"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Evidentiranje podataka kružnog gospodarenja prostorom i zgradama u RH</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45D06020"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5.340.000,00</w:t>
            </w:r>
          </w:p>
        </w:tc>
        <w:tc>
          <w:tcPr>
            <w:tcW w:w="1843" w:type="dxa"/>
            <w:vMerge w:val="restart"/>
            <w:tcBorders>
              <w:top w:val="single" w:sz="4" w:space="0" w:color="auto"/>
              <w:left w:val="nil"/>
              <w:bottom w:val="single" w:sz="4" w:space="0" w:color="auto"/>
              <w:right w:val="single" w:sz="4" w:space="0" w:color="auto"/>
            </w:tcBorders>
            <w:vAlign w:val="center"/>
          </w:tcPr>
          <w:p w14:paraId="45D06021"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MPGI</w:t>
            </w:r>
          </w:p>
        </w:tc>
        <w:tc>
          <w:tcPr>
            <w:tcW w:w="2410" w:type="dxa"/>
            <w:tcBorders>
              <w:top w:val="single" w:sz="4" w:space="0" w:color="auto"/>
              <w:left w:val="nil"/>
              <w:bottom w:val="single" w:sz="4" w:space="0" w:color="auto"/>
              <w:right w:val="single" w:sz="4" w:space="0" w:color="auto"/>
            </w:tcBorders>
            <w:vAlign w:val="center"/>
          </w:tcPr>
          <w:p w14:paraId="45D06022"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4.539.000,00</w:t>
            </w:r>
          </w:p>
        </w:tc>
        <w:tc>
          <w:tcPr>
            <w:tcW w:w="2830" w:type="dxa"/>
            <w:tcBorders>
              <w:top w:val="nil"/>
              <w:left w:val="nil"/>
              <w:bottom w:val="single" w:sz="4" w:space="0" w:color="auto"/>
              <w:right w:val="single" w:sz="4" w:space="0" w:color="auto"/>
            </w:tcBorders>
            <w:vAlign w:val="center"/>
          </w:tcPr>
          <w:p w14:paraId="45D06023"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801.000,00</w:t>
            </w:r>
          </w:p>
        </w:tc>
      </w:tr>
      <w:tr w:rsidR="00496804" w14:paraId="45D0602B" w14:textId="77777777">
        <w:trPr>
          <w:trHeight w:val="499"/>
          <w:jc w:val="center"/>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45D06025"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1.2.</w:t>
            </w:r>
          </w:p>
        </w:tc>
        <w:tc>
          <w:tcPr>
            <w:tcW w:w="3980" w:type="dxa"/>
            <w:tcBorders>
              <w:top w:val="nil"/>
              <w:left w:val="nil"/>
              <w:bottom w:val="single" w:sz="4" w:space="0" w:color="auto"/>
              <w:right w:val="single" w:sz="4" w:space="0" w:color="auto"/>
            </w:tcBorders>
            <w:shd w:val="clear" w:color="auto" w:fill="auto"/>
            <w:vAlign w:val="center"/>
          </w:tcPr>
          <w:p w14:paraId="45D06026"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Osiguravanje preduvjeta za razvoj kružnog gospodarenja prostorom i zgradama</w:t>
            </w:r>
          </w:p>
        </w:tc>
        <w:tc>
          <w:tcPr>
            <w:tcW w:w="2268" w:type="dxa"/>
            <w:tcBorders>
              <w:top w:val="nil"/>
              <w:left w:val="nil"/>
              <w:bottom w:val="single" w:sz="4" w:space="0" w:color="auto"/>
              <w:right w:val="single" w:sz="4" w:space="0" w:color="auto"/>
            </w:tcBorders>
            <w:shd w:val="clear" w:color="auto" w:fill="auto"/>
            <w:noWrap/>
            <w:vAlign w:val="center"/>
          </w:tcPr>
          <w:p w14:paraId="45D06027"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3.250.000,00</w:t>
            </w:r>
          </w:p>
        </w:tc>
        <w:tc>
          <w:tcPr>
            <w:tcW w:w="1843" w:type="dxa"/>
            <w:vMerge/>
            <w:tcBorders>
              <w:bottom w:val="single" w:sz="4" w:space="0" w:color="auto"/>
              <w:right w:val="single" w:sz="4" w:space="0" w:color="auto"/>
            </w:tcBorders>
          </w:tcPr>
          <w:p w14:paraId="45D06028" w14:textId="77777777" w:rsidR="00496804" w:rsidRDefault="00496804">
            <w:pPr>
              <w:spacing w:line="240" w:lineRule="auto"/>
              <w:jc w:val="right"/>
              <w:rPr>
                <w:rFonts w:ascii="Times New Roman" w:hAnsi="Times New Roman"/>
                <w:sz w:val="24"/>
                <w:lang w:eastAsia="hr-HR"/>
              </w:rPr>
            </w:pPr>
          </w:p>
        </w:tc>
        <w:tc>
          <w:tcPr>
            <w:tcW w:w="2410" w:type="dxa"/>
            <w:tcBorders>
              <w:top w:val="nil"/>
              <w:left w:val="single" w:sz="4" w:space="0" w:color="auto"/>
              <w:bottom w:val="single" w:sz="4" w:space="0" w:color="auto"/>
              <w:right w:val="single" w:sz="4" w:space="0" w:color="auto"/>
            </w:tcBorders>
            <w:vAlign w:val="center"/>
          </w:tcPr>
          <w:p w14:paraId="45D06029"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2.762.500,00</w:t>
            </w:r>
          </w:p>
        </w:tc>
        <w:tc>
          <w:tcPr>
            <w:tcW w:w="2830" w:type="dxa"/>
            <w:tcBorders>
              <w:top w:val="nil"/>
              <w:left w:val="nil"/>
              <w:bottom w:val="single" w:sz="4" w:space="0" w:color="auto"/>
              <w:right w:val="single" w:sz="4" w:space="0" w:color="auto"/>
            </w:tcBorders>
            <w:vAlign w:val="center"/>
          </w:tcPr>
          <w:p w14:paraId="45D0602A"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487.500,00</w:t>
            </w:r>
          </w:p>
        </w:tc>
      </w:tr>
      <w:tr w:rsidR="00496804" w14:paraId="45D06032" w14:textId="77777777">
        <w:trPr>
          <w:trHeight w:val="499"/>
          <w:jc w:val="center"/>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45D0602C"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1.3.</w:t>
            </w:r>
          </w:p>
        </w:tc>
        <w:tc>
          <w:tcPr>
            <w:tcW w:w="3980" w:type="dxa"/>
            <w:tcBorders>
              <w:top w:val="nil"/>
              <w:left w:val="nil"/>
              <w:bottom w:val="single" w:sz="4" w:space="0" w:color="auto"/>
              <w:right w:val="single" w:sz="4" w:space="0" w:color="auto"/>
            </w:tcBorders>
            <w:shd w:val="clear" w:color="auto" w:fill="auto"/>
            <w:vAlign w:val="center"/>
          </w:tcPr>
          <w:p w14:paraId="45D0602D"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Izrada strateških dokumenata razvoja kružnog gospodarenja prostorom i zgradama</w:t>
            </w:r>
          </w:p>
        </w:tc>
        <w:tc>
          <w:tcPr>
            <w:tcW w:w="2268" w:type="dxa"/>
            <w:tcBorders>
              <w:top w:val="nil"/>
              <w:left w:val="nil"/>
              <w:bottom w:val="single" w:sz="4" w:space="0" w:color="auto"/>
              <w:right w:val="single" w:sz="4" w:space="0" w:color="auto"/>
            </w:tcBorders>
            <w:shd w:val="clear" w:color="auto" w:fill="auto"/>
            <w:noWrap/>
            <w:vAlign w:val="center"/>
          </w:tcPr>
          <w:p w14:paraId="45D0602E"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17.400.000,00</w:t>
            </w:r>
          </w:p>
        </w:tc>
        <w:tc>
          <w:tcPr>
            <w:tcW w:w="1843" w:type="dxa"/>
            <w:vMerge/>
            <w:tcBorders>
              <w:bottom w:val="single" w:sz="4" w:space="0" w:color="auto"/>
              <w:right w:val="single" w:sz="4" w:space="0" w:color="auto"/>
            </w:tcBorders>
          </w:tcPr>
          <w:p w14:paraId="45D0602F" w14:textId="77777777" w:rsidR="00496804" w:rsidRDefault="00496804">
            <w:pPr>
              <w:spacing w:line="240" w:lineRule="auto"/>
              <w:jc w:val="right"/>
              <w:rPr>
                <w:rFonts w:ascii="Times New Roman" w:hAnsi="Times New Roman"/>
                <w:sz w:val="24"/>
                <w:lang w:eastAsia="hr-HR"/>
              </w:rPr>
            </w:pPr>
          </w:p>
        </w:tc>
        <w:tc>
          <w:tcPr>
            <w:tcW w:w="2410" w:type="dxa"/>
            <w:tcBorders>
              <w:top w:val="nil"/>
              <w:left w:val="single" w:sz="4" w:space="0" w:color="auto"/>
              <w:bottom w:val="single" w:sz="4" w:space="0" w:color="auto"/>
              <w:right w:val="single" w:sz="4" w:space="0" w:color="auto"/>
            </w:tcBorders>
            <w:vAlign w:val="center"/>
          </w:tcPr>
          <w:p w14:paraId="45D06030"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14.790.000,00</w:t>
            </w:r>
          </w:p>
        </w:tc>
        <w:tc>
          <w:tcPr>
            <w:tcW w:w="2830" w:type="dxa"/>
            <w:tcBorders>
              <w:top w:val="nil"/>
              <w:left w:val="nil"/>
              <w:bottom w:val="single" w:sz="4" w:space="0" w:color="auto"/>
              <w:right w:val="single" w:sz="4" w:space="0" w:color="auto"/>
            </w:tcBorders>
            <w:vAlign w:val="center"/>
          </w:tcPr>
          <w:p w14:paraId="45D06031"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2.610.000,00</w:t>
            </w:r>
          </w:p>
        </w:tc>
      </w:tr>
      <w:tr w:rsidR="00496804" w14:paraId="45D06039" w14:textId="77777777">
        <w:trPr>
          <w:trHeight w:val="499"/>
          <w:jc w:val="center"/>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45D06033"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1.4.</w:t>
            </w:r>
          </w:p>
        </w:tc>
        <w:tc>
          <w:tcPr>
            <w:tcW w:w="3980" w:type="dxa"/>
            <w:tcBorders>
              <w:top w:val="nil"/>
              <w:left w:val="nil"/>
              <w:bottom w:val="single" w:sz="4" w:space="0" w:color="auto"/>
              <w:right w:val="single" w:sz="4" w:space="0" w:color="auto"/>
            </w:tcBorders>
            <w:shd w:val="clear" w:color="auto" w:fill="auto"/>
            <w:vAlign w:val="center"/>
          </w:tcPr>
          <w:p w14:paraId="45D06034"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Razvoj i izrada digitalne baze projekata</w:t>
            </w:r>
          </w:p>
        </w:tc>
        <w:tc>
          <w:tcPr>
            <w:tcW w:w="2268" w:type="dxa"/>
            <w:tcBorders>
              <w:top w:val="nil"/>
              <w:left w:val="nil"/>
              <w:bottom w:val="single" w:sz="4" w:space="0" w:color="auto"/>
              <w:right w:val="single" w:sz="4" w:space="0" w:color="auto"/>
            </w:tcBorders>
            <w:shd w:val="clear" w:color="auto" w:fill="auto"/>
            <w:noWrap/>
            <w:vAlign w:val="center"/>
          </w:tcPr>
          <w:p w14:paraId="45D06035"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2.265.000,00</w:t>
            </w:r>
          </w:p>
        </w:tc>
        <w:tc>
          <w:tcPr>
            <w:tcW w:w="1843" w:type="dxa"/>
            <w:vMerge/>
            <w:tcBorders>
              <w:bottom w:val="single" w:sz="4" w:space="0" w:color="auto"/>
              <w:right w:val="single" w:sz="4" w:space="0" w:color="auto"/>
            </w:tcBorders>
          </w:tcPr>
          <w:p w14:paraId="45D06036" w14:textId="77777777" w:rsidR="00496804" w:rsidRDefault="00496804">
            <w:pPr>
              <w:spacing w:line="240" w:lineRule="auto"/>
              <w:jc w:val="right"/>
              <w:rPr>
                <w:rFonts w:ascii="Times New Roman" w:hAnsi="Times New Roman"/>
                <w:sz w:val="24"/>
                <w:lang w:eastAsia="hr-HR"/>
              </w:rPr>
            </w:pPr>
          </w:p>
        </w:tc>
        <w:tc>
          <w:tcPr>
            <w:tcW w:w="2410" w:type="dxa"/>
            <w:tcBorders>
              <w:top w:val="nil"/>
              <w:left w:val="single" w:sz="4" w:space="0" w:color="auto"/>
              <w:bottom w:val="single" w:sz="4" w:space="0" w:color="auto"/>
              <w:right w:val="single" w:sz="4" w:space="0" w:color="auto"/>
            </w:tcBorders>
            <w:vAlign w:val="center"/>
          </w:tcPr>
          <w:p w14:paraId="45D06037"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1.925.250,00</w:t>
            </w:r>
          </w:p>
        </w:tc>
        <w:tc>
          <w:tcPr>
            <w:tcW w:w="2830" w:type="dxa"/>
            <w:tcBorders>
              <w:top w:val="nil"/>
              <w:left w:val="nil"/>
              <w:bottom w:val="single" w:sz="4" w:space="0" w:color="auto"/>
              <w:right w:val="single" w:sz="4" w:space="0" w:color="auto"/>
            </w:tcBorders>
            <w:vAlign w:val="center"/>
          </w:tcPr>
          <w:p w14:paraId="45D06038"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339.750,00</w:t>
            </w:r>
          </w:p>
        </w:tc>
      </w:tr>
      <w:tr w:rsidR="00496804" w14:paraId="45D06040" w14:textId="77777777">
        <w:trPr>
          <w:trHeight w:val="499"/>
          <w:jc w:val="center"/>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45D0603A"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1.5.</w:t>
            </w:r>
          </w:p>
        </w:tc>
        <w:tc>
          <w:tcPr>
            <w:tcW w:w="3980" w:type="dxa"/>
            <w:tcBorders>
              <w:top w:val="nil"/>
              <w:left w:val="nil"/>
              <w:bottom w:val="single" w:sz="4" w:space="0" w:color="auto"/>
              <w:right w:val="single" w:sz="4" w:space="0" w:color="auto"/>
            </w:tcBorders>
            <w:shd w:val="clear" w:color="auto" w:fill="auto"/>
            <w:vAlign w:val="center"/>
          </w:tcPr>
          <w:p w14:paraId="45D0603B"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Unaprjeđenje međusektorske i međunarodne suradnje</w:t>
            </w:r>
          </w:p>
        </w:tc>
        <w:tc>
          <w:tcPr>
            <w:tcW w:w="2268" w:type="dxa"/>
            <w:tcBorders>
              <w:top w:val="nil"/>
              <w:left w:val="nil"/>
              <w:bottom w:val="single" w:sz="4" w:space="0" w:color="auto"/>
              <w:right w:val="single" w:sz="4" w:space="0" w:color="auto"/>
            </w:tcBorders>
            <w:shd w:val="clear" w:color="auto" w:fill="auto"/>
            <w:noWrap/>
            <w:vAlign w:val="center"/>
          </w:tcPr>
          <w:p w14:paraId="45D0603C"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4.200.000,00</w:t>
            </w:r>
          </w:p>
        </w:tc>
        <w:tc>
          <w:tcPr>
            <w:tcW w:w="1843" w:type="dxa"/>
            <w:vMerge/>
            <w:tcBorders>
              <w:bottom w:val="single" w:sz="4" w:space="0" w:color="auto"/>
              <w:right w:val="single" w:sz="4" w:space="0" w:color="auto"/>
            </w:tcBorders>
          </w:tcPr>
          <w:p w14:paraId="45D0603D" w14:textId="77777777" w:rsidR="00496804" w:rsidRDefault="00496804">
            <w:pPr>
              <w:spacing w:line="240" w:lineRule="auto"/>
              <w:jc w:val="right"/>
              <w:rPr>
                <w:rFonts w:ascii="Times New Roman" w:hAnsi="Times New Roman"/>
                <w:sz w:val="24"/>
                <w:lang w:eastAsia="hr-HR"/>
              </w:rPr>
            </w:pPr>
          </w:p>
        </w:tc>
        <w:tc>
          <w:tcPr>
            <w:tcW w:w="2410" w:type="dxa"/>
            <w:tcBorders>
              <w:top w:val="nil"/>
              <w:left w:val="single" w:sz="4" w:space="0" w:color="auto"/>
              <w:bottom w:val="single" w:sz="4" w:space="0" w:color="auto"/>
              <w:right w:val="single" w:sz="4" w:space="0" w:color="auto"/>
            </w:tcBorders>
            <w:vAlign w:val="center"/>
          </w:tcPr>
          <w:p w14:paraId="45D0603E"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3.570.000,00</w:t>
            </w:r>
          </w:p>
        </w:tc>
        <w:tc>
          <w:tcPr>
            <w:tcW w:w="2830" w:type="dxa"/>
            <w:tcBorders>
              <w:top w:val="nil"/>
              <w:left w:val="nil"/>
              <w:bottom w:val="single" w:sz="4" w:space="0" w:color="auto"/>
              <w:right w:val="single" w:sz="4" w:space="0" w:color="auto"/>
            </w:tcBorders>
            <w:vAlign w:val="center"/>
          </w:tcPr>
          <w:p w14:paraId="45D0603F"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630.000,00</w:t>
            </w:r>
          </w:p>
        </w:tc>
      </w:tr>
    </w:tbl>
    <w:p w14:paraId="45D06041" w14:textId="77777777" w:rsidR="00496804" w:rsidRDefault="00496804">
      <w:pPr>
        <w:spacing w:line="240" w:lineRule="auto"/>
        <w:rPr>
          <w:rFonts w:ascii="Times New Roman" w:hAnsi="Times New Roman"/>
          <w:sz w:val="24"/>
        </w:rPr>
      </w:pPr>
    </w:p>
    <w:p w14:paraId="45D06042" w14:textId="77777777" w:rsidR="00496804" w:rsidRDefault="00496804">
      <w:pPr>
        <w:spacing w:line="240" w:lineRule="auto"/>
        <w:rPr>
          <w:rFonts w:ascii="Times New Roman" w:hAnsi="Times New Roman"/>
          <w:sz w:val="24"/>
        </w:rPr>
      </w:pPr>
    </w:p>
    <w:p w14:paraId="45D06043" w14:textId="77777777" w:rsidR="00496804" w:rsidRDefault="00496804">
      <w:pPr>
        <w:spacing w:line="240" w:lineRule="auto"/>
        <w:rPr>
          <w:rFonts w:ascii="Times New Roman" w:hAnsi="Times New Roman"/>
          <w:sz w:val="24"/>
        </w:rPr>
      </w:pPr>
    </w:p>
    <w:p w14:paraId="45D06044" w14:textId="77777777" w:rsidR="00496804" w:rsidRDefault="00496804">
      <w:pPr>
        <w:spacing w:line="240" w:lineRule="auto"/>
        <w:rPr>
          <w:rFonts w:ascii="Times New Roman" w:hAnsi="Times New Roman"/>
          <w:sz w:val="24"/>
        </w:rPr>
      </w:pPr>
    </w:p>
    <w:p w14:paraId="45D06045" w14:textId="77777777" w:rsidR="00496804" w:rsidRDefault="00496804">
      <w:pPr>
        <w:spacing w:line="240" w:lineRule="auto"/>
        <w:rPr>
          <w:rFonts w:ascii="Times New Roman" w:hAnsi="Times New Roman"/>
          <w:sz w:val="24"/>
        </w:rPr>
      </w:pPr>
    </w:p>
    <w:p w14:paraId="45D06046" w14:textId="77777777" w:rsidR="00496804" w:rsidRDefault="00496804">
      <w:pPr>
        <w:spacing w:line="240" w:lineRule="auto"/>
        <w:rPr>
          <w:rFonts w:ascii="Times New Roman" w:hAnsi="Times New Roman"/>
          <w:sz w:val="24"/>
        </w:rPr>
      </w:pPr>
    </w:p>
    <w:tbl>
      <w:tblPr>
        <w:tblW w:w="5000" w:type="pct"/>
        <w:jc w:val="center"/>
        <w:tblLook w:val="04A0" w:firstRow="1" w:lastRow="0" w:firstColumn="1" w:lastColumn="0" w:noHBand="0" w:noVBand="1"/>
      </w:tblPr>
      <w:tblGrid>
        <w:gridCol w:w="1260"/>
        <w:gridCol w:w="3980"/>
        <w:gridCol w:w="2268"/>
        <w:gridCol w:w="1843"/>
        <w:gridCol w:w="2410"/>
        <w:gridCol w:w="2830"/>
      </w:tblGrid>
      <w:tr w:rsidR="00496804" w14:paraId="45D0604D" w14:textId="77777777">
        <w:trPr>
          <w:trHeight w:val="620"/>
          <w:jc w:val="center"/>
        </w:trPr>
        <w:tc>
          <w:tcPr>
            <w:tcW w:w="1260" w:type="dxa"/>
            <w:vMerge w:val="restart"/>
            <w:tcBorders>
              <w:top w:val="single" w:sz="4" w:space="0" w:color="auto"/>
              <w:left w:val="single" w:sz="4" w:space="0" w:color="auto"/>
              <w:right w:val="single" w:sz="4" w:space="0" w:color="auto"/>
            </w:tcBorders>
            <w:shd w:val="clear" w:color="auto" w:fill="FFCCA6" w:themeFill="accent5" w:themeFillTint="66"/>
            <w:noWrap/>
            <w:vAlign w:val="center"/>
          </w:tcPr>
          <w:p w14:paraId="45D06047"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2.</w:t>
            </w:r>
          </w:p>
        </w:tc>
        <w:tc>
          <w:tcPr>
            <w:tcW w:w="3980" w:type="dxa"/>
            <w:vMerge w:val="restart"/>
            <w:tcBorders>
              <w:top w:val="single" w:sz="4" w:space="0" w:color="auto"/>
              <w:left w:val="nil"/>
              <w:right w:val="single" w:sz="4" w:space="0" w:color="auto"/>
            </w:tcBorders>
            <w:shd w:val="clear" w:color="auto" w:fill="FFCCA6" w:themeFill="accent5" w:themeFillTint="66"/>
            <w:vAlign w:val="center"/>
          </w:tcPr>
          <w:p w14:paraId="45D06048"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Kružna obnova nekorištenih prostora i zgrada</w:t>
            </w:r>
          </w:p>
        </w:tc>
        <w:tc>
          <w:tcPr>
            <w:tcW w:w="2268" w:type="dxa"/>
            <w:vMerge w:val="restart"/>
            <w:tcBorders>
              <w:top w:val="single" w:sz="4" w:space="0" w:color="auto"/>
              <w:left w:val="nil"/>
              <w:right w:val="single" w:sz="4" w:space="0" w:color="auto"/>
            </w:tcBorders>
            <w:shd w:val="clear" w:color="auto" w:fill="FFCCA6" w:themeFill="accent5" w:themeFillTint="66"/>
            <w:noWrap/>
            <w:vAlign w:val="center"/>
          </w:tcPr>
          <w:p w14:paraId="45D06049"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4.723.600.000,00</w:t>
            </w:r>
          </w:p>
        </w:tc>
        <w:tc>
          <w:tcPr>
            <w:tcW w:w="1843" w:type="dxa"/>
            <w:vMerge w:val="restart"/>
            <w:tcBorders>
              <w:top w:val="single" w:sz="4" w:space="0" w:color="auto"/>
              <w:left w:val="nil"/>
              <w:right w:val="single" w:sz="4" w:space="0" w:color="auto"/>
            </w:tcBorders>
            <w:shd w:val="clear" w:color="auto" w:fill="FFCCA6" w:themeFill="accent5" w:themeFillTint="66"/>
            <w:vAlign w:val="center"/>
          </w:tcPr>
          <w:p w14:paraId="45D0604A"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JLP(R)S; MPGI raspisuje javni poziv za dodjelu sredstava</w:t>
            </w:r>
          </w:p>
        </w:tc>
        <w:tc>
          <w:tcPr>
            <w:tcW w:w="2410" w:type="dxa"/>
            <w:vMerge w:val="restart"/>
            <w:tcBorders>
              <w:top w:val="single" w:sz="4" w:space="0" w:color="auto"/>
              <w:left w:val="nil"/>
              <w:right w:val="single" w:sz="4" w:space="0" w:color="auto"/>
            </w:tcBorders>
            <w:shd w:val="clear" w:color="auto" w:fill="FFCCA6" w:themeFill="accent5" w:themeFillTint="66"/>
            <w:vAlign w:val="center"/>
          </w:tcPr>
          <w:p w14:paraId="45D0604B"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4.015.060.000,00</w:t>
            </w:r>
          </w:p>
        </w:tc>
        <w:tc>
          <w:tcPr>
            <w:tcW w:w="2830" w:type="dxa"/>
            <w:tcBorders>
              <w:top w:val="single" w:sz="4" w:space="0" w:color="auto"/>
              <w:left w:val="nil"/>
              <w:bottom w:val="single" w:sz="4" w:space="0" w:color="auto"/>
              <w:right w:val="single" w:sz="4" w:space="0" w:color="auto"/>
            </w:tcBorders>
            <w:shd w:val="clear" w:color="auto" w:fill="FFCCA6" w:themeFill="accent5" w:themeFillTint="66"/>
            <w:vAlign w:val="center"/>
          </w:tcPr>
          <w:p w14:paraId="45D0604C"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Vlastita sredstva JLP(R)S</w:t>
            </w:r>
          </w:p>
        </w:tc>
      </w:tr>
      <w:tr w:rsidR="00496804" w14:paraId="45D06054" w14:textId="77777777">
        <w:trPr>
          <w:trHeight w:val="619"/>
          <w:jc w:val="center"/>
        </w:trPr>
        <w:tc>
          <w:tcPr>
            <w:tcW w:w="1260" w:type="dxa"/>
            <w:vMerge/>
            <w:tcBorders>
              <w:left w:val="single" w:sz="4" w:space="0" w:color="auto"/>
              <w:bottom w:val="single" w:sz="4" w:space="0" w:color="auto"/>
              <w:right w:val="single" w:sz="4" w:space="0" w:color="auto"/>
            </w:tcBorders>
            <w:shd w:val="clear" w:color="auto" w:fill="FFCCA6" w:themeFill="accent5" w:themeFillTint="66"/>
            <w:noWrap/>
            <w:vAlign w:val="center"/>
          </w:tcPr>
          <w:p w14:paraId="45D0604E" w14:textId="77777777" w:rsidR="00496804" w:rsidRDefault="00496804">
            <w:pPr>
              <w:spacing w:line="240" w:lineRule="auto"/>
              <w:jc w:val="left"/>
              <w:rPr>
                <w:rFonts w:ascii="Times New Roman" w:hAnsi="Times New Roman"/>
                <w:sz w:val="24"/>
                <w:lang w:eastAsia="hr-HR"/>
              </w:rPr>
            </w:pPr>
          </w:p>
        </w:tc>
        <w:tc>
          <w:tcPr>
            <w:tcW w:w="3980" w:type="dxa"/>
            <w:vMerge/>
            <w:tcBorders>
              <w:left w:val="nil"/>
              <w:bottom w:val="single" w:sz="4" w:space="0" w:color="auto"/>
              <w:right w:val="single" w:sz="4" w:space="0" w:color="auto"/>
            </w:tcBorders>
            <w:shd w:val="clear" w:color="auto" w:fill="FFCCA6" w:themeFill="accent5" w:themeFillTint="66"/>
            <w:vAlign w:val="center"/>
          </w:tcPr>
          <w:p w14:paraId="45D0604F" w14:textId="77777777" w:rsidR="00496804" w:rsidRDefault="00496804">
            <w:pPr>
              <w:spacing w:line="240" w:lineRule="auto"/>
              <w:jc w:val="left"/>
              <w:rPr>
                <w:rFonts w:ascii="Times New Roman" w:hAnsi="Times New Roman"/>
                <w:sz w:val="24"/>
                <w:lang w:eastAsia="hr-HR"/>
              </w:rPr>
            </w:pPr>
          </w:p>
        </w:tc>
        <w:tc>
          <w:tcPr>
            <w:tcW w:w="2268" w:type="dxa"/>
            <w:vMerge/>
            <w:tcBorders>
              <w:left w:val="nil"/>
              <w:bottom w:val="single" w:sz="4" w:space="0" w:color="auto"/>
              <w:right w:val="single" w:sz="4" w:space="0" w:color="auto"/>
            </w:tcBorders>
            <w:shd w:val="clear" w:color="auto" w:fill="FFCCA6" w:themeFill="accent5" w:themeFillTint="66"/>
            <w:noWrap/>
            <w:vAlign w:val="center"/>
          </w:tcPr>
          <w:p w14:paraId="45D06050" w14:textId="77777777" w:rsidR="00496804" w:rsidRDefault="00496804">
            <w:pPr>
              <w:spacing w:line="240" w:lineRule="auto"/>
              <w:jc w:val="center"/>
              <w:rPr>
                <w:rFonts w:ascii="Times New Roman" w:hAnsi="Times New Roman"/>
                <w:sz w:val="24"/>
                <w:lang w:eastAsia="hr-HR"/>
              </w:rPr>
            </w:pPr>
          </w:p>
        </w:tc>
        <w:tc>
          <w:tcPr>
            <w:tcW w:w="1843" w:type="dxa"/>
            <w:vMerge/>
            <w:tcBorders>
              <w:left w:val="nil"/>
              <w:bottom w:val="single" w:sz="4" w:space="0" w:color="auto"/>
              <w:right w:val="single" w:sz="4" w:space="0" w:color="auto"/>
            </w:tcBorders>
            <w:shd w:val="clear" w:color="auto" w:fill="FFCCA6" w:themeFill="accent5" w:themeFillTint="66"/>
            <w:vAlign w:val="center"/>
          </w:tcPr>
          <w:p w14:paraId="45D06051" w14:textId="77777777" w:rsidR="00496804" w:rsidRDefault="00496804">
            <w:pPr>
              <w:spacing w:line="240" w:lineRule="auto"/>
              <w:jc w:val="center"/>
              <w:rPr>
                <w:rFonts w:ascii="Times New Roman" w:hAnsi="Times New Roman"/>
                <w:sz w:val="24"/>
                <w:lang w:eastAsia="hr-HR"/>
              </w:rPr>
            </w:pPr>
          </w:p>
        </w:tc>
        <w:tc>
          <w:tcPr>
            <w:tcW w:w="2410" w:type="dxa"/>
            <w:vMerge/>
            <w:tcBorders>
              <w:left w:val="nil"/>
              <w:bottom w:val="single" w:sz="4" w:space="0" w:color="auto"/>
              <w:right w:val="single" w:sz="4" w:space="0" w:color="auto"/>
            </w:tcBorders>
            <w:shd w:val="clear" w:color="auto" w:fill="FFCCA6" w:themeFill="accent5" w:themeFillTint="66"/>
            <w:vAlign w:val="center"/>
          </w:tcPr>
          <w:p w14:paraId="45D06052" w14:textId="77777777" w:rsidR="00496804" w:rsidRDefault="00496804">
            <w:pPr>
              <w:spacing w:line="240" w:lineRule="auto"/>
              <w:jc w:val="center"/>
              <w:rPr>
                <w:rFonts w:ascii="Times New Roman" w:hAnsi="Times New Roman"/>
                <w:sz w:val="24"/>
                <w:lang w:eastAsia="hr-HR"/>
              </w:rPr>
            </w:pPr>
          </w:p>
        </w:tc>
        <w:tc>
          <w:tcPr>
            <w:tcW w:w="2830" w:type="dxa"/>
            <w:tcBorders>
              <w:top w:val="single" w:sz="4" w:space="0" w:color="auto"/>
              <w:left w:val="nil"/>
              <w:bottom w:val="single" w:sz="4" w:space="0" w:color="auto"/>
              <w:right w:val="single" w:sz="4" w:space="0" w:color="auto"/>
            </w:tcBorders>
            <w:shd w:val="clear" w:color="auto" w:fill="FFCCA6" w:themeFill="accent5" w:themeFillTint="66"/>
            <w:vAlign w:val="center"/>
          </w:tcPr>
          <w:p w14:paraId="45D06053"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708.540.000,00</w:t>
            </w:r>
          </w:p>
        </w:tc>
      </w:tr>
      <w:tr w:rsidR="00496804" w14:paraId="45D0605B" w14:textId="77777777">
        <w:trPr>
          <w:trHeight w:val="499"/>
          <w:jc w:val="center"/>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45D06055"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2.1.</w:t>
            </w:r>
          </w:p>
        </w:tc>
        <w:tc>
          <w:tcPr>
            <w:tcW w:w="3980" w:type="dxa"/>
            <w:tcBorders>
              <w:top w:val="nil"/>
              <w:left w:val="nil"/>
              <w:bottom w:val="single" w:sz="4" w:space="0" w:color="auto"/>
              <w:right w:val="single" w:sz="4" w:space="0" w:color="auto"/>
            </w:tcBorders>
            <w:shd w:val="clear" w:color="auto" w:fill="auto"/>
            <w:vAlign w:val="center"/>
          </w:tcPr>
          <w:p w14:paraId="45D06056"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Provedba pilot projekata</w:t>
            </w:r>
          </w:p>
        </w:tc>
        <w:tc>
          <w:tcPr>
            <w:tcW w:w="2268" w:type="dxa"/>
            <w:tcBorders>
              <w:top w:val="nil"/>
              <w:left w:val="nil"/>
              <w:bottom w:val="single" w:sz="4" w:space="0" w:color="auto"/>
              <w:right w:val="single" w:sz="4" w:space="0" w:color="auto"/>
            </w:tcBorders>
            <w:shd w:val="clear" w:color="auto" w:fill="auto"/>
            <w:noWrap/>
            <w:vAlign w:val="center"/>
          </w:tcPr>
          <w:p w14:paraId="45D06057"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153.000.000,00</w:t>
            </w:r>
          </w:p>
        </w:tc>
        <w:tc>
          <w:tcPr>
            <w:tcW w:w="1843" w:type="dxa"/>
            <w:vMerge w:val="restart"/>
            <w:tcBorders>
              <w:top w:val="single" w:sz="4" w:space="0" w:color="auto"/>
              <w:left w:val="nil"/>
              <w:bottom w:val="single" w:sz="4" w:space="0" w:color="auto"/>
              <w:right w:val="single" w:sz="4" w:space="0" w:color="auto"/>
            </w:tcBorders>
            <w:vAlign w:val="center"/>
          </w:tcPr>
          <w:p w14:paraId="45D06058"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JLP(R)S; MPGI raspisuje javni poziv za dodjelu sredstava</w:t>
            </w:r>
          </w:p>
        </w:tc>
        <w:tc>
          <w:tcPr>
            <w:tcW w:w="2410" w:type="dxa"/>
            <w:tcBorders>
              <w:top w:val="single" w:sz="4" w:space="0" w:color="auto"/>
              <w:left w:val="nil"/>
              <w:bottom w:val="single" w:sz="4" w:space="0" w:color="auto"/>
              <w:right w:val="single" w:sz="4" w:space="0" w:color="auto"/>
            </w:tcBorders>
            <w:vAlign w:val="center"/>
          </w:tcPr>
          <w:p w14:paraId="45D06059"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130.050.000,00</w:t>
            </w:r>
          </w:p>
        </w:tc>
        <w:tc>
          <w:tcPr>
            <w:tcW w:w="2830" w:type="dxa"/>
            <w:tcBorders>
              <w:top w:val="single" w:sz="4" w:space="0" w:color="auto"/>
              <w:left w:val="nil"/>
              <w:bottom w:val="single" w:sz="4" w:space="0" w:color="auto"/>
              <w:right w:val="single" w:sz="4" w:space="0" w:color="auto"/>
            </w:tcBorders>
            <w:vAlign w:val="center"/>
          </w:tcPr>
          <w:p w14:paraId="45D0605A"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22.950.000,00</w:t>
            </w:r>
          </w:p>
        </w:tc>
      </w:tr>
      <w:tr w:rsidR="00496804" w14:paraId="45D06062" w14:textId="77777777">
        <w:trPr>
          <w:trHeight w:val="499"/>
          <w:jc w:val="center"/>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45D0605C"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2.2.</w:t>
            </w:r>
          </w:p>
        </w:tc>
        <w:tc>
          <w:tcPr>
            <w:tcW w:w="3980" w:type="dxa"/>
            <w:tcBorders>
              <w:top w:val="nil"/>
              <w:left w:val="nil"/>
              <w:bottom w:val="single" w:sz="4" w:space="0" w:color="auto"/>
              <w:right w:val="single" w:sz="4" w:space="0" w:color="auto"/>
            </w:tcBorders>
            <w:shd w:val="clear" w:color="auto" w:fill="auto"/>
            <w:vAlign w:val="center"/>
          </w:tcPr>
          <w:p w14:paraId="45D0605D"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Poticanje kružne obnove prostora i zgrada</w:t>
            </w:r>
          </w:p>
        </w:tc>
        <w:tc>
          <w:tcPr>
            <w:tcW w:w="2268" w:type="dxa"/>
            <w:tcBorders>
              <w:top w:val="nil"/>
              <w:left w:val="nil"/>
              <w:bottom w:val="single" w:sz="4" w:space="0" w:color="auto"/>
              <w:right w:val="single" w:sz="4" w:space="0" w:color="auto"/>
            </w:tcBorders>
            <w:shd w:val="clear" w:color="auto" w:fill="auto"/>
            <w:noWrap/>
            <w:vAlign w:val="center"/>
          </w:tcPr>
          <w:p w14:paraId="45D0605E"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4.560.500.000,00</w:t>
            </w:r>
          </w:p>
        </w:tc>
        <w:tc>
          <w:tcPr>
            <w:tcW w:w="1843" w:type="dxa"/>
            <w:vMerge/>
            <w:tcBorders>
              <w:top w:val="single" w:sz="4" w:space="0" w:color="auto"/>
              <w:bottom w:val="single" w:sz="4" w:space="0" w:color="auto"/>
              <w:right w:val="single" w:sz="4" w:space="0" w:color="auto"/>
            </w:tcBorders>
            <w:vAlign w:val="center"/>
          </w:tcPr>
          <w:p w14:paraId="45D0605F" w14:textId="77777777" w:rsidR="00496804" w:rsidRDefault="00496804">
            <w:pPr>
              <w:spacing w:line="240" w:lineRule="auto"/>
              <w:jc w:val="center"/>
              <w:rPr>
                <w:rFonts w:ascii="Times New Roman" w:hAnsi="Times New Roman"/>
                <w:sz w:val="24"/>
                <w:lang w:eastAsia="hr-HR"/>
              </w:rPr>
            </w:pPr>
          </w:p>
        </w:tc>
        <w:tc>
          <w:tcPr>
            <w:tcW w:w="2410" w:type="dxa"/>
            <w:tcBorders>
              <w:top w:val="single" w:sz="4" w:space="0" w:color="auto"/>
              <w:left w:val="single" w:sz="4" w:space="0" w:color="auto"/>
              <w:bottom w:val="single" w:sz="4" w:space="0" w:color="auto"/>
              <w:right w:val="single" w:sz="4" w:space="0" w:color="auto"/>
            </w:tcBorders>
            <w:vAlign w:val="center"/>
          </w:tcPr>
          <w:p w14:paraId="45D06060"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3.876.425.000,00</w:t>
            </w:r>
          </w:p>
        </w:tc>
        <w:tc>
          <w:tcPr>
            <w:tcW w:w="2830" w:type="dxa"/>
            <w:tcBorders>
              <w:top w:val="single" w:sz="4" w:space="0" w:color="auto"/>
              <w:left w:val="single" w:sz="4" w:space="0" w:color="auto"/>
              <w:bottom w:val="single" w:sz="4" w:space="0" w:color="auto"/>
              <w:right w:val="single" w:sz="4" w:space="0" w:color="auto"/>
            </w:tcBorders>
            <w:vAlign w:val="center"/>
          </w:tcPr>
          <w:p w14:paraId="45D06061"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684.075.000,00</w:t>
            </w:r>
          </w:p>
        </w:tc>
      </w:tr>
      <w:tr w:rsidR="00496804" w14:paraId="45D06069" w14:textId="77777777">
        <w:trPr>
          <w:trHeight w:val="600"/>
          <w:jc w:val="center"/>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45D06063" w14:textId="77777777" w:rsidR="00496804" w:rsidRDefault="0037359D">
            <w:pPr>
              <w:spacing w:line="240" w:lineRule="auto"/>
              <w:jc w:val="left"/>
              <w:rPr>
                <w:rFonts w:ascii="Times New Roman" w:hAnsi="Times New Roman"/>
                <w:b/>
                <w:bCs/>
                <w:sz w:val="24"/>
                <w:lang w:eastAsia="hr-HR"/>
              </w:rPr>
            </w:pPr>
            <w:r>
              <w:rPr>
                <w:rFonts w:ascii="Times New Roman" w:hAnsi="Times New Roman"/>
                <w:sz w:val="24"/>
                <w:lang w:eastAsia="hr-HR"/>
              </w:rPr>
              <w:t>2.3.</w:t>
            </w:r>
          </w:p>
        </w:tc>
        <w:tc>
          <w:tcPr>
            <w:tcW w:w="3980" w:type="dxa"/>
            <w:tcBorders>
              <w:top w:val="nil"/>
              <w:left w:val="nil"/>
              <w:bottom w:val="single" w:sz="4" w:space="0" w:color="auto"/>
              <w:right w:val="single" w:sz="4" w:space="0" w:color="auto"/>
            </w:tcBorders>
            <w:shd w:val="clear" w:color="auto" w:fill="auto"/>
            <w:vAlign w:val="center"/>
          </w:tcPr>
          <w:p w14:paraId="45D06064" w14:textId="77777777" w:rsidR="00496804" w:rsidRDefault="0037359D">
            <w:pPr>
              <w:spacing w:line="240" w:lineRule="auto"/>
              <w:jc w:val="left"/>
              <w:rPr>
                <w:rFonts w:ascii="Times New Roman" w:hAnsi="Times New Roman"/>
                <w:b/>
                <w:bCs/>
                <w:sz w:val="24"/>
                <w:lang w:eastAsia="hr-HR"/>
              </w:rPr>
            </w:pPr>
            <w:r>
              <w:rPr>
                <w:rFonts w:ascii="Times New Roman" w:hAnsi="Times New Roman"/>
                <w:sz w:val="24"/>
                <w:lang w:eastAsia="hr-HR"/>
              </w:rPr>
              <w:t>Poticanje inovacija i razvoja u primjeni kružnog gospodarenja prostorom i zgradama</w:t>
            </w:r>
          </w:p>
        </w:tc>
        <w:tc>
          <w:tcPr>
            <w:tcW w:w="2268" w:type="dxa"/>
            <w:tcBorders>
              <w:top w:val="nil"/>
              <w:left w:val="nil"/>
              <w:bottom w:val="single" w:sz="4" w:space="0" w:color="auto"/>
              <w:right w:val="single" w:sz="4" w:space="0" w:color="auto"/>
            </w:tcBorders>
            <w:shd w:val="clear" w:color="auto" w:fill="auto"/>
            <w:noWrap/>
            <w:vAlign w:val="center"/>
          </w:tcPr>
          <w:p w14:paraId="45D06065" w14:textId="77777777" w:rsidR="00496804" w:rsidRDefault="0037359D">
            <w:pPr>
              <w:spacing w:line="240" w:lineRule="auto"/>
              <w:jc w:val="center"/>
              <w:rPr>
                <w:rFonts w:ascii="Times New Roman" w:hAnsi="Times New Roman"/>
                <w:b/>
                <w:bCs/>
                <w:sz w:val="24"/>
                <w:lang w:eastAsia="hr-HR"/>
              </w:rPr>
            </w:pPr>
            <w:r>
              <w:rPr>
                <w:rFonts w:ascii="Times New Roman" w:hAnsi="Times New Roman"/>
                <w:sz w:val="24"/>
                <w:lang w:eastAsia="hr-HR"/>
              </w:rPr>
              <w:t>10.100.000,00</w:t>
            </w:r>
          </w:p>
        </w:tc>
        <w:tc>
          <w:tcPr>
            <w:tcW w:w="1843" w:type="dxa"/>
            <w:vMerge/>
            <w:tcBorders>
              <w:top w:val="single" w:sz="4" w:space="0" w:color="auto"/>
              <w:bottom w:val="single" w:sz="4" w:space="0" w:color="auto"/>
              <w:right w:val="single" w:sz="4" w:space="0" w:color="auto"/>
            </w:tcBorders>
            <w:vAlign w:val="center"/>
          </w:tcPr>
          <w:p w14:paraId="45D06066" w14:textId="77777777" w:rsidR="00496804" w:rsidRDefault="00496804">
            <w:pPr>
              <w:spacing w:line="240" w:lineRule="auto"/>
              <w:jc w:val="center"/>
              <w:rPr>
                <w:rFonts w:ascii="Times New Roman" w:hAnsi="Times New Roman"/>
                <w:sz w:val="24"/>
                <w:lang w:eastAsia="hr-HR"/>
              </w:rPr>
            </w:pPr>
          </w:p>
        </w:tc>
        <w:tc>
          <w:tcPr>
            <w:tcW w:w="2410" w:type="dxa"/>
            <w:tcBorders>
              <w:top w:val="single" w:sz="4" w:space="0" w:color="auto"/>
              <w:left w:val="single" w:sz="4" w:space="0" w:color="auto"/>
              <w:bottom w:val="single" w:sz="4" w:space="0" w:color="auto"/>
              <w:right w:val="single" w:sz="4" w:space="0" w:color="auto"/>
            </w:tcBorders>
            <w:vAlign w:val="center"/>
          </w:tcPr>
          <w:p w14:paraId="45D06067"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8.585.000,00</w:t>
            </w:r>
          </w:p>
        </w:tc>
        <w:tc>
          <w:tcPr>
            <w:tcW w:w="2830" w:type="dxa"/>
            <w:tcBorders>
              <w:top w:val="single" w:sz="4" w:space="0" w:color="auto"/>
              <w:left w:val="single" w:sz="4" w:space="0" w:color="auto"/>
              <w:bottom w:val="single" w:sz="4" w:space="0" w:color="auto"/>
              <w:right w:val="single" w:sz="4" w:space="0" w:color="auto"/>
            </w:tcBorders>
            <w:vAlign w:val="center"/>
          </w:tcPr>
          <w:p w14:paraId="45D06068"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1.515.000,00</w:t>
            </w:r>
          </w:p>
        </w:tc>
      </w:tr>
      <w:tr w:rsidR="00496804" w14:paraId="45D06071" w14:textId="77777777">
        <w:trPr>
          <w:trHeight w:val="461"/>
          <w:jc w:val="center"/>
        </w:trPr>
        <w:tc>
          <w:tcPr>
            <w:tcW w:w="1260" w:type="dxa"/>
            <w:vMerge w:val="restart"/>
            <w:tcBorders>
              <w:top w:val="single" w:sz="4" w:space="0" w:color="auto"/>
              <w:left w:val="single" w:sz="4" w:space="0" w:color="auto"/>
              <w:bottom w:val="single" w:sz="4" w:space="0" w:color="auto"/>
              <w:right w:val="single" w:sz="4" w:space="0" w:color="auto"/>
            </w:tcBorders>
            <w:shd w:val="clear" w:color="auto" w:fill="FFCCA6" w:themeFill="accent5" w:themeFillTint="66"/>
            <w:noWrap/>
            <w:vAlign w:val="center"/>
          </w:tcPr>
          <w:p w14:paraId="45D0606A"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3.</w:t>
            </w:r>
          </w:p>
        </w:tc>
        <w:tc>
          <w:tcPr>
            <w:tcW w:w="3980" w:type="dxa"/>
            <w:vMerge w:val="restart"/>
            <w:tcBorders>
              <w:top w:val="single" w:sz="4" w:space="0" w:color="auto"/>
              <w:left w:val="nil"/>
              <w:bottom w:val="single" w:sz="4" w:space="0" w:color="auto"/>
              <w:right w:val="single" w:sz="4" w:space="0" w:color="auto"/>
            </w:tcBorders>
            <w:shd w:val="clear" w:color="auto" w:fill="FFCCA6" w:themeFill="accent5" w:themeFillTint="66"/>
            <w:vAlign w:val="center"/>
          </w:tcPr>
          <w:p w14:paraId="45D0606B"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Visoka razina znanja i društvene svijesti o kružnom gospodarenju prostorom i zgradama</w:t>
            </w:r>
          </w:p>
        </w:tc>
        <w:tc>
          <w:tcPr>
            <w:tcW w:w="2268" w:type="dxa"/>
            <w:vMerge w:val="restart"/>
            <w:tcBorders>
              <w:top w:val="single" w:sz="4" w:space="0" w:color="auto"/>
              <w:left w:val="nil"/>
              <w:bottom w:val="single" w:sz="4" w:space="0" w:color="auto"/>
              <w:right w:val="single" w:sz="4" w:space="0" w:color="auto"/>
            </w:tcBorders>
            <w:shd w:val="clear" w:color="auto" w:fill="FFCCA6" w:themeFill="accent5" w:themeFillTint="66"/>
            <w:noWrap/>
            <w:vAlign w:val="center"/>
          </w:tcPr>
          <w:p w14:paraId="45D0606C"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6.750.000,00</w:t>
            </w:r>
          </w:p>
        </w:tc>
        <w:tc>
          <w:tcPr>
            <w:tcW w:w="1843" w:type="dxa"/>
            <w:vMerge w:val="restart"/>
            <w:tcBorders>
              <w:top w:val="single" w:sz="4" w:space="0" w:color="auto"/>
              <w:left w:val="nil"/>
              <w:bottom w:val="single" w:sz="4" w:space="0" w:color="auto"/>
              <w:right w:val="single" w:sz="4" w:space="0" w:color="auto"/>
            </w:tcBorders>
            <w:shd w:val="clear" w:color="auto" w:fill="FFCCA6" w:themeFill="accent5" w:themeFillTint="66"/>
            <w:vAlign w:val="center"/>
          </w:tcPr>
          <w:p w14:paraId="45D0606D"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MPGI</w:t>
            </w:r>
          </w:p>
        </w:tc>
        <w:tc>
          <w:tcPr>
            <w:tcW w:w="2410" w:type="dxa"/>
            <w:vMerge w:val="restart"/>
            <w:tcBorders>
              <w:top w:val="single" w:sz="4" w:space="0" w:color="auto"/>
              <w:left w:val="nil"/>
              <w:bottom w:val="single" w:sz="4" w:space="0" w:color="auto"/>
              <w:right w:val="single" w:sz="4" w:space="0" w:color="auto"/>
            </w:tcBorders>
            <w:shd w:val="clear" w:color="auto" w:fill="FFCCA6" w:themeFill="accent5" w:themeFillTint="66"/>
            <w:vAlign w:val="center"/>
          </w:tcPr>
          <w:p w14:paraId="45D0606E"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5.737.500,00</w:t>
            </w:r>
          </w:p>
        </w:tc>
        <w:tc>
          <w:tcPr>
            <w:tcW w:w="2830" w:type="dxa"/>
            <w:tcBorders>
              <w:top w:val="single" w:sz="4" w:space="0" w:color="auto"/>
              <w:left w:val="nil"/>
              <w:bottom w:val="single" w:sz="4" w:space="0" w:color="auto"/>
              <w:right w:val="single" w:sz="4" w:space="0" w:color="auto"/>
            </w:tcBorders>
            <w:shd w:val="clear" w:color="auto" w:fill="FFCCA6" w:themeFill="accent5" w:themeFillTint="66"/>
            <w:vAlign w:val="center"/>
          </w:tcPr>
          <w:p w14:paraId="45D0606F"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Državni proračun</w:t>
            </w:r>
          </w:p>
          <w:p w14:paraId="45D06070"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DP razdjel 12</w:t>
            </w:r>
          </w:p>
        </w:tc>
      </w:tr>
      <w:tr w:rsidR="00496804" w14:paraId="45D06078" w14:textId="77777777">
        <w:trPr>
          <w:trHeight w:val="460"/>
          <w:jc w:val="center"/>
        </w:trPr>
        <w:tc>
          <w:tcPr>
            <w:tcW w:w="1260" w:type="dxa"/>
            <w:vMerge/>
            <w:tcBorders>
              <w:top w:val="single" w:sz="4" w:space="0" w:color="auto"/>
              <w:left w:val="single" w:sz="4" w:space="0" w:color="auto"/>
              <w:bottom w:val="single" w:sz="4" w:space="0" w:color="auto"/>
              <w:right w:val="single" w:sz="4" w:space="0" w:color="auto"/>
            </w:tcBorders>
            <w:noWrap/>
            <w:vAlign w:val="center"/>
          </w:tcPr>
          <w:p w14:paraId="45D06072" w14:textId="77777777" w:rsidR="00496804" w:rsidRDefault="00496804">
            <w:pPr>
              <w:spacing w:line="240" w:lineRule="auto"/>
              <w:jc w:val="left"/>
              <w:rPr>
                <w:rFonts w:ascii="Times New Roman" w:hAnsi="Times New Roman"/>
                <w:sz w:val="24"/>
                <w:lang w:eastAsia="hr-HR"/>
              </w:rPr>
            </w:pPr>
          </w:p>
        </w:tc>
        <w:tc>
          <w:tcPr>
            <w:tcW w:w="3980" w:type="dxa"/>
            <w:vMerge/>
            <w:tcBorders>
              <w:top w:val="single" w:sz="4" w:space="0" w:color="auto"/>
              <w:left w:val="single" w:sz="4" w:space="0" w:color="auto"/>
              <w:bottom w:val="single" w:sz="4" w:space="0" w:color="auto"/>
              <w:right w:val="single" w:sz="4" w:space="0" w:color="auto"/>
            </w:tcBorders>
            <w:vAlign w:val="center"/>
          </w:tcPr>
          <w:p w14:paraId="45D06073" w14:textId="77777777" w:rsidR="00496804" w:rsidRDefault="00496804">
            <w:pPr>
              <w:spacing w:line="240" w:lineRule="auto"/>
              <w:jc w:val="left"/>
              <w:rPr>
                <w:rFonts w:ascii="Times New Roman" w:hAnsi="Times New Roman"/>
                <w:sz w:val="24"/>
                <w:lang w:eastAsia="hr-HR"/>
              </w:rPr>
            </w:pPr>
          </w:p>
        </w:tc>
        <w:tc>
          <w:tcPr>
            <w:tcW w:w="2268" w:type="dxa"/>
            <w:vMerge/>
            <w:tcBorders>
              <w:top w:val="single" w:sz="4" w:space="0" w:color="auto"/>
              <w:left w:val="single" w:sz="4" w:space="0" w:color="auto"/>
              <w:bottom w:val="single" w:sz="4" w:space="0" w:color="auto"/>
              <w:right w:val="single" w:sz="4" w:space="0" w:color="auto"/>
            </w:tcBorders>
            <w:noWrap/>
            <w:vAlign w:val="center"/>
          </w:tcPr>
          <w:p w14:paraId="45D06074" w14:textId="77777777" w:rsidR="00496804" w:rsidRDefault="00496804">
            <w:pPr>
              <w:spacing w:line="240" w:lineRule="auto"/>
              <w:jc w:val="center"/>
              <w:rPr>
                <w:rFonts w:ascii="Times New Roman" w:hAnsi="Times New Roman"/>
                <w:sz w:val="24"/>
                <w:lang w:eastAsia="hr-HR"/>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45D06075" w14:textId="77777777" w:rsidR="00496804" w:rsidRDefault="00496804">
            <w:pPr>
              <w:spacing w:line="240" w:lineRule="auto"/>
              <w:jc w:val="center"/>
              <w:rPr>
                <w:rFonts w:ascii="Times New Roman" w:hAnsi="Times New Roman"/>
                <w:sz w:val="24"/>
                <w:lang w:eastAsia="hr-HR"/>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45D06076" w14:textId="77777777" w:rsidR="00496804" w:rsidRDefault="00496804">
            <w:pPr>
              <w:spacing w:line="240" w:lineRule="auto"/>
              <w:jc w:val="center"/>
              <w:rPr>
                <w:rFonts w:ascii="Times New Roman" w:hAnsi="Times New Roman"/>
                <w:sz w:val="24"/>
                <w:lang w:eastAsia="hr-HR"/>
              </w:rPr>
            </w:pPr>
          </w:p>
        </w:tc>
        <w:tc>
          <w:tcPr>
            <w:tcW w:w="2830" w:type="dxa"/>
            <w:tcBorders>
              <w:top w:val="single" w:sz="4" w:space="0" w:color="auto"/>
              <w:left w:val="single" w:sz="4" w:space="0" w:color="auto"/>
              <w:bottom w:val="single" w:sz="4" w:space="0" w:color="auto"/>
              <w:right w:val="single" w:sz="4" w:space="0" w:color="auto"/>
            </w:tcBorders>
            <w:shd w:val="clear" w:color="auto" w:fill="FFCCA6" w:themeFill="accent5" w:themeFillTint="66"/>
            <w:vAlign w:val="center"/>
          </w:tcPr>
          <w:p w14:paraId="45D06077"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1.012.500,00</w:t>
            </w:r>
          </w:p>
        </w:tc>
      </w:tr>
      <w:tr w:rsidR="00496804" w14:paraId="45D0607F" w14:textId="77777777">
        <w:trPr>
          <w:trHeight w:val="499"/>
          <w:jc w:val="center"/>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06079"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3.1.</w:t>
            </w:r>
          </w:p>
        </w:tc>
        <w:tc>
          <w:tcPr>
            <w:tcW w:w="3980" w:type="dxa"/>
            <w:tcBorders>
              <w:top w:val="single" w:sz="4" w:space="0" w:color="auto"/>
              <w:left w:val="nil"/>
              <w:bottom w:val="single" w:sz="4" w:space="0" w:color="auto"/>
              <w:right w:val="single" w:sz="4" w:space="0" w:color="auto"/>
            </w:tcBorders>
            <w:shd w:val="clear" w:color="auto" w:fill="auto"/>
            <w:vAlign w:val="center"/>
          </w:tcPr>
          <w:p w14:paraId="45D0607A"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Afirmacija i informiranje javnosti o kružnom gospodarenju prostorom i zgradama</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45D0607B"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3.775.000,00</w:t>
            </w:r>
          </w:p>
        </w:tc>
        <w:tc>
          <w:tcPr>
            <w:tcW w:w="1843" w:type="dxa"/>
            <w:vMerge w:val="restart"/>
            <w:tcBorders>
              <w:top w:val="single" w:sz="4" w:space="0" w:color="auto"/>
              <w:left w:val="nil"/>
              <w:bottom w:val="single" w:sz="4" w:space="0" w:color="auto"/>
              <w:right w:val="single" w:sz="4" w:space="0" w:color="auto"/>
            </w:tcBorders>
            <w:vAlign w:val="center"/>
          </w:tcPr>
          <w:p w14:paraId="45D0607C"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MPGI</w:t>
            </w:r>
          </w:p>
        </w:tc>
        <w:tc>
          <w:tcPr>
            <w:tcW w:w="2410" w:type="dxa"/>
            <w:tcBorders>
              <w:top w:val="single" w:sz="4" w:space="0" w:color="auto"/>
              <w:left w:val="nil"/>
              <w:bottom w:val="single" w:sz="4" w:space="0" w:color="auto"/>
              <w:right w:val="single" w:sz="4" w:space="0" w:color="auto"/>
            </w:tcBorders>
            <w:vAlign w:val="center"/>
          </w:tcPr>
          <w:p w14:paraId="45D0607D"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3.208.750,00</w:t>
            </w:r>
          </w:p>
        </w:tc>
        <w:tc>
          <w:tcPr>
            <w:tcW w:w="2830" w:type="dxa"/>
            <w:tcBorders>
              <w:top w:val="single" w:sz="4" w:space="0" w:color="auto"/>
              <w:left w:val="nil"/>
              <w:bottom w:val="single" w:sz="4" w:space="0" w:color="auto"/>
              <w:right w:val="single" w:sz="4" w:space="0" w:color="auto"/>
            </w:tcBorders>
            <w:vAlign w:val="center"/>
          </w:tcPr>
          <w:p w14:paraId="45D0607E"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566.250,00</w:t>
            </w:r>
          </w:p>
        </w:tc>
      </w:tr>
      <w:tr w:rsidR="00496804" w14:paraId="45D06086" w14:textId="77777777">
        <w:trPr>
          <w:trHeight w:val="499"/>
          <w:jc w:val="center"/>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45D06080"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3.2.</w:t>
            </w:r>
          </w:p>
        </w:tc>
        <w:tc>
          <w:tcPr>
            <w:tcW w:w="3980" w:type="dxa"/>
            <w:tcBorders>
              <w:top w:val="nil"/>
              <w:left w:val="nil"/>
              <w:bottom w:val="single" w:sz="4" w:space="0" w:color="auto"/>
              <w:right w:val="single" w:sz="4" w:space="0" w:color="auto"/>
            </w:tcBorders>
            <w:shd w:val="clear" w:color="auto" w:fill="auto"/>
            <w:vAlign w:val="center"/>
          </w:tcPr>
          <w:p w14:paraId="45D06081"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Edukacija o kružnom gospodarenju prostorom i zgradama</w:t>
            </w:r>
          </w:p>
        </w:tc>
        <w:tc>
          <w:tcPr>
            <w:tcW w:w="2268" w:type="dxa"/>
            <w:tcBorders>
              <w:top w:val="nil"/>
              <w:left w:val="nil"/>
              <w:bottom w:val="single" w:sz="4" w:space="0" w:color="auto"/>
              <w:right w:val="single" w:sz="4" w:space="0" w:color="auto"/>
            </w:tcBorders>
            <w:shd w:val="clear" w:color="auto" w:fill="auto"/>
            <w:noWrap/>
            <w:vAlign w:val="center"/>
          </w:tcPr>
          <w:p w14:paraId="45D06082"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2.975.000,00</w:t>
            </w:r>
          </w:p>
        </w:tc>
        <w:tc>
          <w:tcPr>
            <w:tcW w:w="1843" w:type="dxa"/>
            <w:vMerge/>
            <w:tcBorders>
              <w:top w:val="single" w:sz="4" w:space="0" w:color="auto"/>
              <w:bottom w:val="single" w:sz="4" w:space="0" w:color="auto"/>
              <w:right w:val="single" w:sz="4" w:space="0" w:color="auto"/>
            </w:tcBorders>
            <w:vAlign w:val="center"/>
          </w:tcPr>
          <w:p w14:paraId="45D06083" w14:textId="77777777" w:rsidR="00496804" w:rsidRDefault="00496804">
            <w:pPr>
              <w:spacing w:line="240" w:lineRule="auto"/>
              <w:jc w:val="center"/>
              <w:rPr>
                <w:rFonts w:ascii="Times New Roman" w:hAnsi="Times New Roman"/>
                <w:sz w:val="24"/>
                <w:lang w:eastAsia="hr-HR"/>
              </w:rPr>
            </w:pPr>
          </w:p>
        </w:tc>
        <w:tc>
          <w:tcPr>
            <w:tcW w:w="2410" w:type="dxa"/>
            <w:tcBorders>
              <w:top w:val="single" w:sz="4" w:space="0" w:color="auto"/>
              <w:left w:val="single" w:sz="4" w:space="0" w:color="auto"/>
              <w:bottom w:val="single" w:sz="4" w:space="0" w:color="auto"/>
              <w:right w:val="single" w:sz="4" w:space="0" w:color="auto"/>
            </w:tcBorders>
            <w:vAlign w:val="center"/>
          </w:tcPr>
          <w:p w14:paraId="45D06084"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2.528.750,00</w:t>
            </w:r>
          </w:p>
        </w:tc>
        <w:tc>
          <w:tcPr>
            <w:tcW w:w="2830" w:type="dxa"/>
            <w:tcBorders>
              <w:top w:val="single" w:sz="4" w:space="0" w:color="auto"/>
              <w:left w:val="nil"/>
              <w:bottom w:val="single" w:sz="4" w:space="0" w:color="auto"/>
              <w:right w:val="single" w:sz="4" w:space="0" w:color="auto"/>
            </w:tcBorders>
            <w:vAlign w:val="center"/>
          </w:tcPr>
          <w:p w14:paraId="45D06085"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446.250,00</w:t>
            </w:r>
          </w:p>
        </w:tc>
      </w:tr>
      <w:tr w:rsidR="00496804" w14:paraId="45D0608C" w14:textId="77777777">
        <w:trPr>
          <w:trHeight w:val="499"/>
          <w:jc w:val="center"/>
        </w:trPr>
        <w:tc>
          <w:tcPr>
            <w:tcW w:w="52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5D06087" w14:textId="77777777" w:rsidR="00496804" w:rsidRDefault="0037359D">
            <w:pPr>
              <w:spacing w:line="240" w:lineRule="auto"/>
              <w:jc w:val="left"/>
              <w:rPr>
                <w:rFonts w:ascii="Times New Roman" w:hAnsi="Times New Roman"/>
                <w:sz w:val="24"/>
                <w:lang w:eastAsia="hr-HR"/>
              </w:rPr>
            </w:pPr>
            <w:r>
              <w:rPr>
                <w:rFonts w:ascii="Times New Roman" w:hAnsi="Times New Roman"/>
                <w:sz w:val="24"/>
                <w:lang w:eastAsia="hr-HR"/>
              </w:rPr>
              <w:t>Ukupno</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5D06088"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4.762.805.000,00</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5D06089" w14:textId="77777777" w:rsidR="00496804" w:rsidRDefault="00496804">
            <w:pPr>
              <w:spacing w:line="240" w:lineRule="auto"/>
              <w:jc w:val="center"/>
              <w:rPr>
                <w:rFonts w:ascii="Times New Roman" w:hAnsi="Times New Roman"/>
                <w:sz w:val="24"/>
                <w:lang w:eastAsia="hr-HR"/>
              </w:rPr>
            </w:pP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5D0608A"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4.048.384.250,00</w:t>
            </w:r>
          </w:p>
        </w:tc>
        <w:tc>
          <w:tcPr>
            <w:tcW w:w="283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5D0608B" w14:textId="77777777" w:rsidR="00496804" w:rsidRDefault="0037359D">
            <w:pPr>
              <w:spacing w:line="240" w:lineRule="auto"/>
              <w:jc w:val="center"/>
              <w:rPr>
                <w:rFonts w:ascii="Times New Roman" w:hAnsi="Times New Roman"/>
                <w:sz w:val="24"/>
                <w:lang w:eastAsia="hr-HR"/>
              </w:rPr>
            </w:pPr>
            <w:r>
              <w:rPr>
                <w:rFonts w:ascii="Times New Roman" w:hAnsi="Times New Roman"/>
                <w:sz w:val="24"/>
                <w:lang w:eastAsia="hr-HR"/>
              </w:rPr>
              <w:t>714.420.750,00</w:t>
            </w:r>
          </w:p>
        </w:tc>
      </w:tr>
    </w:tbl>
    <w:p w14:paraId="45D0608D" w14:textId="77777777" w:rsidR="00496804" w:rsidRDefault="00496804">
      <w:pPr>
        <w:spacing w:line="240" w:lineRule="auto"/>
        <w:rPr>
          <w:rFonts w:ascii="Times New Roman" w:hAnsi="Times New Roman"/>
          <w:sz w:val="24"/>
        </w:rPr>
      </w:pPr>
    </w:p>
    <w:p w14:paraId="45D0608E" w14:textId="2E136D34" w:rsidR="00496804" w:rsidRDefault="00593C12">
      <w:pPr>
        <w:spacing w:line="240" w:lineRule="auto"/>
        <w:rPr>
          <w:rFonts w:ascii="Times New Roman" w:hAnsi="Times New Roman"/>
          <w:sz w:val="24"/>
        </w:rPr>
      </w:pPr>
      <w:r>
        <w:rPr>
          <w:rFonts w:ascii="Times New Roman" w:hAnsi="Times New Roman"/>
          <w:sz w:val="24"/>
        </w:rPr>
        <w:t xml:space="preserve">Ministarstvo </w:t>
      </w:r>
      <w:r w:rsidR="0037359D">
        <w:rPr>
          <w:rFonts w:ascii="Times New Roman" w:hAnsi="Times New Roman"/>
          <w:sz w:val="24"/>
        </w:rPr>
        <w:t>zaduženo za poslove  prostornoga uređenja, graditeljstva i državne imovine izradit će Akcijski plan razvoja kružnog gospodarenja prostorom i zgradama za razdoblja 2021. do 2023. godine, 2024. do 2026. godine te 2027. do 2030. godine.</w:t>
      </w:r>
    </w:p>
    <w:p w14:paraId="45D0608F" w14:textId="77777777" w:rsidR="00496804" w:rsidRDefault="00496804">
      <w:pPr>
        <w:spacing w:line="240" w:lineRule="auto"/>
        <w:rPr>
          <w:rFonts w:ascii="Times New Roman" w:hAnsi="Times New Roman"/>
          <w:sz w:val="24"/>
        </w:rPr>
      </w:pPr>
    </w:p>
    <w:p w14:paraId="45D06090" w14:textId="77777777" w:rsidR="00496804" w:rsidRDefault="00496804">
      <w:pPr>
        <w:spacing w:line="240" w:lineRule="auto"/>
        <w:rPr>
          <w:rFonts w:ascii="Times New Roman" w:hAnsi="Times New Roman"/>
          <w:sz w:val="24"/>
        </w:rPr>
      </w:pPr>
    </w:p>
    <w:p w14:paraId="45D06091" w14:textId="77777777" w:rsidR="00496804" w:rsidRDefault="0037359D">
      <w:pPr>
        <w:spacing w:line="240" w:lineRule="auto"/>
        <w:jc w:val="left"/>
        <w:rPr>
          <w:rFonts w:ascii="Times New Roman" w:hAnsi="Times New Roman"/>
          <w:sz w:val="24"/>
        </w:rPr>
        <w:sectPr w:rsidR="00496804">
          <w:pgSz w:w="16840" w:h="11900" w:orient="landscape"/>
          <w:pgMar w:top="1134" w:right="1105" w:bottom="1134" w:left="1134" w:header="709" w:footer="289" w:gutter="0"/>
          <w:cols w:space="720"/>
          <w:docGrid w:linePitch="299"/>
        </w:sectPr>
      </w:pPr>
      <w:r>
        <w:rPr>
          <w:rFonts w:ascii="Times New Roman" w:hAnsi="Times New Roman"/>
          <w:sz w:val="24"/>
        </w:rPr>
        <w:br w:type="page"/>
      </w:r>
    </w:p>
    <w:p w14:paraId="45D06094" w14:textId="77777777" w:rsidR="00496804" w:rsidRDefault="0037359D">
      <w:pPr>
        <w:pStyle w:val="Naslov10"/>
        <w:spacing w:line="240" w:lineRule="auto"/>
        <w:ind w:left="426" w:hanging="426"/>
        <w:outlineLvl w:val="0"/>
        <w:rPr>
          <w:rFonts w:ascii="Times New Roman" w:hAnsi="Times New Roman" w:cs="Times New Roman"/>
          <w:sz w:val="24"/>
          <w:szCs w:val="24"/>
        </w:rPr>
      </w:pPr>
      <w:bookmarkStart w:id="225" w:name="_Toc51851658"/>
      <w:bookmarkStart w:id="226" w:name="_GoBack"/>
      <w:bookmarkEnd w:id="226"/>
      <w:r>
        <w:rPr>
          <w:rFonts w:ascii="Times New Roman" w:hAnsi="Times New Roman" w:cs="Times New Roman"/>
          <w:sz w:val="24"/>
          <w:szCs w:val="24"/>
        </w:rPr>
        <w:lastRenderedPageBreak/>
        <w:t>OKVIR ZA PROVEDBU</w:t>
      </w:r>
      <w:bookmarkEnd w:id="225"/>
    </w:p>
    <w:p w14:paraId="45D06095" w14:textId="77777777" w:rsidR="00496804" w:rsidRDefault="00496804">
      <w:pPr>
        <w:spacing w:line="240" w:lineRule="auto"/>
        <w:rPr>
          <w:rFonts w:ascii="Times New Roman" w:hAnsi="Times New Roman"/>
          <w:sz w:val="24"/>
        </w:rPr>
      </w:pPr>
    </w:p>
    <w:p w14:paraId="45D06096" w14:textId="77777777" w:rsidR="00496804" w:rsidRDefault="0037359D">
      <w:pPr>
        <w:pStyle w:val="Naslov2"/>
        <w:ind w:left="426" w:hanging="426"/>
        <w:rPr>
          <w:rFonts w:ascii="Times New Roman" w:hAnsi="Times New Roman" w:cs="Times New Roman"/>
          <w:color w:val="auto"/>
          <w:sz w:val="24"/>
          <w:szCs w:val="24"/>
        </w:rPr>
      </w:pPr>
      <w:bookmarkStart w:id="227" w:name="_Toc38560828"/>
      <w:bookmarkStart w:id="228" w:name="_Toc51851659"/>
      <w:r>
        <w:rPr>
          <w:rFonts w:ascii="Times New Roman" w:hAnsi="Times New Roman" w:cs="Times New Roman"/>
          <w:color w:val="auto"/>
          <w:sz w:val="24"/>
          <w:szCs w:val="24"/>
        </w:rPr>
        <w:t>INSTITUCIONALNI OKVIR</w:t>
      </w:r>
      <w:bookmarkEnd w:id="227"/>
      <w:r>
        <w:rPr>
          <w:rFonts w:ascii="Times New Roman" w:hAnsi="Times New Roman" w:cs="Times New Roman"/>
          <w:color w:val="auto"/>
          <w:sz w:val="24"/>
          <w:szCs w:val="24"/>
        </w:rPr>
        <w:t xml:space="preserve"> PROVEDBE</w:t>
      </w:r>
      <w:bookmarkEnd w:id="228"/>
    </w:p>
    <w:p w14:paraId="45D06097" w14:textId="77777777" w:rsidR="00496804" w:rsidRDefault="00496804">
      <w:pPr>
        <w:pStyle w:val="Bezproreda"/>
        <w:jc w:val="both"/>
        <w:rPr>
          <w:lang w:val="hr-HR"/>
        </w:rPr>
      </w:pPr>
    </w:p>
    <w:p w14:paraId="45D06098"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Tijelo nadležno za provedbu Programa razvoja KG je ministarstvo nadležno za poslove prostornoga uređenja, graditeljstva i državne imovine RH. Ministarstvo djeluje kao nositelj ovog Programa te kao tijelo zaduženo za poslove kojima se izravno doprinosi razvoju kružnog gospodarenja prostorom i zgradama. Ono je ključni akter u provedbi ovog Programa te u poticanju primjene rješenja kojima se doprinosi razvoju kružnog gospodarenja prostorom i zgradama na svim prostornim razinama, od lokalne do nacionalne. </w:t>
      </w:r>
    </w:p>
    <w:p w14:paraId="45D06099" w14:textId="77777777" w:rsidR="00496804" w:rsidRDefault="00496804">
      <w:pPr>
        <w:pStyle w:val="tekst"/>
        <w:spacing w:line="240" w:lineRule="auto"/>
        <w:rPr>
          <w:rFonts w:ascii="Times New Roman" w:hAnsi="Times New Roman" w:cs="Times New Roman"/>
          <w:sz w:val="24"/>
          <w:szCs w:val="24"/>
        </w:rPr>
      </w:pPr>
    </w:p>
    <w:p w14:paraId="45D0609A"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Kružno gospodarstvo je višesektorska i interdisciplinarna politika, za uspješnu provedbu ovog Programa od iznimne je važnosti aktivno sudjelovanje i umrežavanje niza dionika: akademska i znanstveno-stručna zajednica, državne i europske institucije, pravne osobe u vlasništvu RH ili JL(P)RS, pravne osobe u privatnom vlasništvu, ostale financijske institucije, projektantske i građevinske tvrtke, različite udruge građana i nevladine organizacije i drugi.</w:t>
      </w:r>
    </w:p>
    <w:p w14:paraId="45D0609B" w14:textId="77777777" w:rsidR="00496804" w:rsidRDefault="00496804">
      <w:pPr>
        <w:pStyle w:val="tekst"/>
        <w:spacing w:line="240" w:lineRule="auto"/>
        <w:rPr>
          <w:rFonts w:ascii="Times New Roman" w:hAnsi="Times New Roman" w:cs="Times New Roman"/>
          <w:sz w:val="24"/>
          <w:szCs w:val="24"/>
        </w:rPr>
      </w:pPr>
    </w:p>
    <w:p w14:paraId="45D0609C"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Ciljevi kružnog gospodarenja zgradama i prostorom ne mogu ostvariti bez savjetovanja sa svim razinama vlasti, civilnog društva i drugih interesnih skupina te njihova aktivnog sudjelovanja. </w:t>
      </w:r>
    </w:p>
    <w:p w14:paraId="45D0609D" w14:textId="77777777" w:rsidR="00496804" w:rsidRDefault="00496804">
      <w:pPr>
        <w:pStyle w:val="tekst"/>
        <w:spacing w:line="240" w:lineRule="auto"/>
        <w:rPr>
          <w:rFonts w:ascii="Times New Roman" w:hAnsi="Times New Roman" w:cs="Times New Roman"/>
          <w:sz w:val="24"/>
          <w:szCs w:val="24"/>
        </w:rPr>
      </w:pPr>
    </w:p>
    <w:p w14:paraId="45D0609E"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Korisnici definiranih mjera i aktivnosti u okviru ovog Programa su: tijela državne vlasti, ministarstva, središnji državni uredi, državne upravne organizacije i uredi državne uprave u županijama, jedinice lokalne i područne (regionalne) samouprave, pravne osobe u vlasništvu RH ili JL(P)RS, javne ustanove i ustanove koje obavljaju društvene djelatnosti, vjerske zajednice, udruge koje imaju javne ovlasti, javno-privatna partnerstva te predstavnici iz privatnog sektora, kao što su ovlašteni predstavnici suvlasnika zgrada, upravitelji zgrada i sl.</w:t>
      </w:r>
    </w:p>
    <w:p w14:paraId="45D0609F" w14:textId="77777777" w:rsidR="00496804" w:rsidRDefault="00496804">
      <w:pPr>
        <w:pStyle w:val="tekst"/>
        <w:spacing w:line="240" w:lineRule="auto"/>
        <w:rPr>
          <w:rFonts w:ascii="Times New Roman" w:hAnsi="Times New Roman" w:cs="Times New Roman"/>
          <w:sz w:val="24"/>
          <w:szCs w:val="24"/>
        </w:rPr>
      </w:pPr>
    </w:p>
    <w:p w14:paraId="45D060A0" w14:textId="77777777" w:rsidR="00496804" w:rsidRDefault="00496804">
      <w:pPr>
        <w:spacing w:line="240" w:lineRule="auto"/>
        <w:jc w:val="left"/>
        <w:rPr>
          <w:rFonts w:ascii="Times New Roman" w:hAnsi="Times New Roman"/>
          <w:sz w:val="24"/>
        </w:rPr>
      </w:pPr>
    </w:p>
    <w:p w14:paraId="45D060A1" w14:textId="77777777" w:rsidR="00496804" w:rsidRDefault="0037359D">
      <w:pPr>
        <w:pStyle w:val="Naslov2"/>
        <w:ind w:left="426" w:hanging="426"/>
        <w:rPr>
          <w:rFonts w:ascii="Times New Roman" w:hAnsi="Times New Roman" w:cs="Times New Roman"/>
          <w:color w:val="auto"/>
          <w:sz w:val="24"/>
          <w:szCs w:val="24"/>
        </w:rPr>
      </w:pPr>
      <w:bookmarkStart w:id="229" w:name="_Toc38560829"/>
      <w:bookmarkStart w:id="230" w:name="_Toc51851660"/>
      <w:r>
        <w:rPr>
          <w:rFonts w:ascii="Times New Roman" w:hAnsi="Times New Roman" w:cs="Times New Roman"/>
          <w:color w:val="auto"/>
          <w:sz w:val="24"/>
          <w:szCs w:val="24"/>
        </w:rPr>
        <w:t>ZAKONSKI OKVIR PROVEDBE</w:t>
      </w:r>
      <w:bookmarkEnd w:id="229"/>
      <w:bookmarkEnd w:id="230"/>
    </w:p>
    <w:p w14:paraId="45D060A2" w14:textId="77777777" w:rsidR="00496804" w:rsidRDefault="00496804">
      <w:pPr>
        <w:pStyle w:val="tekst"/>
        <w:spacing w:line="240" w:lineRule="auto"/>
        <w:rPr>
          <w:rFonts w:ascii="Times New Roman" w:hAnsi="Times New Roman" w:cs="Times New Roman"/>
          <w:sz w:val="24"/>
          <w:szCs w:val="24"/>
        </w:rPr>
      </w:pPr>
    </w:p>
    <w:p w14:paraId="45D060A3" w14:textId="77777777" w:rsidR="00496804" w:rsidRDefault="0037359D">
      <w:pPr>
        <w:pStyle w:val="tekst"/>
        <w:spacing w:line="240" w:lineRule="auto"/>
        <w:rPr>
          <w:rFonts w:ascii="Times New Roman" w:hAnsi="Times New Roman" w:cs="Times New Roman"/>
          <w:sz w:val="24"/>
          <w:szCs w:val="24"/>
        </w:rPr>
      </w:pPr>
      <w:r w:rsidRPr="00AB3F6C">
        <w:rPr>
          <w:rFonts w:ascii="Times New Roman" w:hAnsi="Times New Roman" w:cs="Times New Roman"/>
          <w:sz w:val="24"/>
          <w:szCs w:val="24"/>
        </w:rPr>
        <w:t xml:space="preserve">Uz nadležno ministarstvo bitno je istaknuti relevantni zakonodavni okvir koji definira okvir i uvjete provedbe pojedinih aspekata Programa razvoja KG. </w:t>
      </w:r>
      <w:r w:rsidRPr="005C1720">
        <w:rPr>
          <w:rFonts w:ascii="Times New Roman" w:hAnsi="Times New Roman" w:cs="Times New Roman"/>
          <w:sz w:val="24"/>
          <w:szCs w:val="24"/>
        </w:rPr>
        <w:t>Nadležni zakonski akti relevantni za provedbu ovog Programa su</w:t>
      </w:r>
      <w:r>
        <w:rPr>
          <w:rFonts w:ascii="Times New Roman" w:hAnsi="Times New Roman" w:cs="Times New Roman"/>
          <w:sz w:val="24"/>
          <w:szCs w:val="24"/>
        </w:rPr>
        <w:t xml:space="preserve"> Zakon o gradnji (NN 153/13, 20/17, 39/19, 125/19), Zakon o prostornom uređenju (NN 153/13, 65/17, 114/18, 39/19, 98/19), Zakon o sustavu strateškog planiranja i upravljanja razvojem Republike Hrvatske (NN 123/17) te djelomično s obzirom na tematiku Zakon o zaštiti okoliša (Narodne novine NN 80/13, 153/13, 78/15, 12/18, 118/18) i Zakon o energetskoj učinkovitosti (NN 127/14, 116/18, 25/20). Navedeni zakonski akti definiraju uvjete provedbe raznih poslova i aktivnosti kojima se izravno utječe na razvoj kružnog gospodarenja prostorom i zgradama te definiraju nadležnosti za isto.</w:t>
      </w:r>
    </w:p>
    <w:p w14:paraId="45D060A4" w14:textId="77777777" w:rsidR="00496804" w:rsidRDefault="00496804">
      <w:pPr>
        <w:spacing w:line="240" w:lineRule="auto"/>
        <w:jc w:val="left"/>
        <w:rPr>
          <w:rFonts w:ascii="Times New Roman" w:hAnsi="Times New Roman"/>
          <w:sz w:val="24"/>
        </w:rPr>
      </w:pPr>
    </w:p>
    <w:p w14:paraId="45D060A5" w14:textId="77777777" w:rsidR="00496804" w:rsidRDefault="00496804">
      <w:pPr>
        <w:spacing w:line="240" w:lineRule="auto"/>
        <w:jc w:val="left"/>
        <w:rPr>
          <w:rFonts w:ascii="Times New Roman" w:hAnsi="Times New Roman"/>
          <w:sz w:val="24"/>
        </w:rPr>
      </w:pPr>
    </w:p>
    <w:p w14:paraId="45D060A6" w14:textId="77777777" w:rsidR="00496804" w:rsidRDefault="0037359D">
      <w:pPr>
        <w:pStyle w:val="Naslov2"/>
        <w:ind w:left="426" w:hanging="426"/>
        <w:rPr>
          <w:rFonts w:ascii="Times New Roman" w:hAnsi="Times New Roman" w:cs="Times New Roman"/>
          <w:color w:val="auto"/>
          <w:sz w:val="24"/>
          <w:szCs w:val="24"/>
        </w:rPr>
      </w:pPr>
      <w:bookmarkStart w:id="231" w:name="_Toc51851661"/>
      <w:r>
        <w:rPr>
          <w:rFonts w:ascii="Times New Roman" w:hAnsi="Times New Roman" w:cs="Times New Roman"/>
          <w:color w:val="auto"/>
          <w:sz w:val="24"/>
          <w:szCs w:val="24"/>
        </w:rPr>
        <w:t>FINANCIJSKI OKVIR</w:t>
      </w:r>
      <w:bookmarkEnd w:id="231"/>
    </w:p>
    <w:p w14:paraId="45D060A7" w14:textId="77777777" w:rsidR="00496804" w:rsidRDefault="00496804">
      <w:pPr>
        <w:spacing w:line="240" w:lineRule="auto"/>
        <w:rPr>
          <w:rFonts w:ascii="Times New Roman" w:hAnsi="Times New Roman"/>
          <w:sz w:val="24"/>
          <w:lang w:eastAsia="hr-HR"/>
        </w:rPr>
      </w:pPr>
    </w:p>
    <w:p w14:paraId="45D060A8" w14:textId="77777777" w:rsidR="00496804" w:rsidRDefault="0037359D">
      <w:pPr>
        <w:pStyle w:val="paragraph"/>
        <w:jc w:val="both"/>
        <w:textAlignment w:val="baseline"/>
      </w:pPr>
      <w:r>
        <w:t xml:space="preserve">Izvori financijskih sredstava relevantni za realizaciju projekata kružnog gospodarenja prostorom i zgradama odnose se na sredstva Europske unije (Europski strukturni i investicijski fondovi i ostali specijalizirani programi financiranja), na javna sredstva (državna, županijska i lokalna sredstva) te privatni kapital (prvenstveno banke i ostale privatne investitore). Pritom sredstva iz lokalnog / županijskog proračuna predstavljaju početne resurse potrebne za provedbu projekata koji potiču </w:t>
      </w:r>
      <w:r>
        <w:lastRenderedPageBreak/>
        <w:t>razvoj, inovacije, održivo upravljanje i korištenje nove, održive tehnologije u gradovima i općinama u RH. Proračun jedinica lokalne i područne samouprave razvija se unaprijed za sljedeće dvije fiskalne godine, s projekcijom prihoda, primitaka i rashoda. Navedeno stoga predstavlja glavni okvir za buduće financiranje svih javnih projekata u jedinicama lokalne i područne samouprave.</w:t>
      </w:r>
    </w:p>
    <w:p w14:paraId="45D060A9" w14:textId="77777777" w:rsidR="00496804" w:rsidRDefault="00496804">
      <w:pPr>
        <w:spacing w:line="240" w:lineRule="auto"/>
        <w:jc w:val="left"/>
        <w:textAlignment w:val="baseline"/>
        <w:rPr>
          <w:rFonts w:ascii="Times New Roman" w:hAnsi="Times New Roman"/>
          <w:sz w:val="24"/>
          <w:lang w:eastAsia="hr-HR"/>
        </w:rPr>
      </w:pPr>
    </w:p>
    <w:p w14:paraId="45D060AA" w14:textId="3A51424D" w:rsidR="00496804" w:rsidRDefault="0037359D">
      <w:pPr>
        <w:spacing w:line="240" w:lineRule="auto"/>
        <w:textAlignment w:val="baseline"/>
        <w:rPr>
          <w:rFonts w:ascii="Times New Roman" w:hAnsi="Times New Roman"/>
          <w:sz w:val="24"/>
          <w:lang w:eastAsia="hr-HR"/>
        </w:rPr>
      </w:pPr>
      <w:r>
        <w:rPr>
          <w:rFonts w:ascii="Times New Roman" w:hAnsi="Times New Roman"/>
          <w:sz w:val="24"/>
          <w:lang w:eastAsia="hr-HR"/>
        </w:rPr>
        <w:t xml:space="preserve">Najznačajniji izvor za financiranje projekata kružnog gospodarenja prostorom i zgradama kojima se potiče održiv razvoj prostornih jedinica su Europski strukturni i investicijski fondovi (ESIF). Europski strukturni i investicijski fondovi (ESIF) su izvor sredstava za projekte zaštite okoliša, istraživanja i inovacija, obrazovanja, razvoja malog i srednjeg poduzetništva te stoga predstavljaju značajan instrument za razvoj i implementaciju rješenja kojima će se doprinijeti razvoju kružnog gospodarenja prostorom i zgradama. </w:t>
      </w:r>
    </w:p>
    <w:p w14:paraId="45D060AB" w14:textId="77777777" w:rsidR="00496804" w:rsidRDefault="00496804">
      <w:pPr>
        <w:spacing w:line="240" w:lineRule="auto"/>
        <w:textAlignment w:val="baseline"/>
        <w:rPr>
          <w:rFonts w:ascii="Times New Roman" w:hAnsi="Times New Roman"/>
          <w:sz w:val="24"/>
          <w:lang w:eastAsia="hr-HR"/>
        </w:rPr>
      </w:pPr>
    </w:p>
    <w:p w14:paraId="45D060AC" w14:textId="77777777" w:rsidR="00496804" w:rsidRDefault="0037359D">
      <w:pPr>
        <w:spacing w:line="240" w:lineRule="auto"/>
        <w:textAlignment w:val="baseline"/>
        <w:rPr>
          <w:rFonts w:ascii="Times New Roman" w:hAnsi="Times New Roman"/>
          <w:sz w:val="24"/>
          <w:lang w:eastAsia="hr-HR"/>
        </w:rPr>
      </w:pPr>
      <w:r>
        <w:rPr>
          <w:rFonts w:ascii="Times New Roman" w:hAnsi="Times New Roman"/>
          <w:sz w:val="24"/>
          <w:lang w:eastAsia="hr-HR"/>
        </w:rPr>
        <w:t>Prema prijedlogu Europske komisije Europski fond za regionalni razvoj (EFRR) i Kohezijski fond (KF) koji djeluju u okviru ESIF-a, točnije budućeg operativnog programa, u narednoj višegodišnjoj financijskoj perspektivi 2021.-2027. godine bit će usmjereni na pet tematskih ciljeva, među kojima se ističe cilj broj dva - Zelenija Europa s niskom razinom emisija ugljika, a ostvaruje se, između ostalog, promicanjem prelaska na kružno gospodarstvo.</w:t>
      </w:r>
    </w:p>
    <w:p w14:paraId="45D060AD" w14:textId="77777777" w:rsidR="00496804" w:rsidRDefault="00496804">
      <w:pPr>
        <w:spacing w:line="240" w:lineRule="auto"/>
        <w:textAlignment w:val="baseline"/>
        <w:rPr>
          <w:rFonts w:ascii="Times New Roman" w:hAnsi="Times New Roman"/>
          <w:sz w:val="24"/>
          <w:lang w:eastAsia="hr-HR"/>
        </w:rPr>
      </w:pPr>
    </w:p>
    <w:p w14:paraId="45D060AE" w14:textId="77777777" w:rsidR="00496804" w:rsidRDefault="0037359D">
      <w:pPr>
        <w:spacing w:line="240" w:lineRule="auto"/>
        <w:textAlignment w:val="baseline"/>
        <w:rPr>
          <w:rFonts w:ascii="Times New Roman" w:hAnsi="Times New Roman"/>
          <w:sz w:val="24"/>
          <w:lang w:eastAsia="hr-HR"/>
        </w:rPr>
      </w:pPr>
      <w:r>
        <w:rPr>
          <w:rFonts w:ascii="Times New Roman" w:hAnsi="Times New Roman"/>
          <w:sz w:val="24"/>
          <w:lang w:eastAsia="hr-HR"/>
        </w:rPr>
        <w:t>Navedeni cilj izravno je povezan s realizacijom projekata kružnog gospodarenja prostorom i zgradama, pri čemu se konkretniji prioriteti RH za korištenje navedenih fondova definiraju u operativnim programima RH. Uz navedene fondove, u provedbi Programa razvoja KG moguće je koristiti niz ostalih europskih fondova i mehanizama kao što su Europski fond za strateška ulaganja, Europski fond za energetsku učinkovitost, Obzor Europa, Privatni instrument energetske učinkovitosti (PF4EE), ELENA i LIFE+. Mogućnosti financiranja kružnog gospodarenja prostorom i zgradama pomoću navedenih fondova također će se definirati operativnim programima za višegodišnju financijsku perspektivu 2021.-2017.</w:t>
      </w:r>
    </w:p>
    <w:p w14:paraId="45D060AF" w14:textId="77777777" w:rsidR="00496804" w:rsidRDefault="00496804">
      <w:pPr>
        <w:spacing w:line="240" w:lineRule="auto"/>
        <w:textAlignment w:val="baseline"/>
        <w:rPr>
          <w:rFonts w:ascii="Times New Roman" w:hAnsi="Times New Roman"/>
          <w:sz w:val="24"/>
          <w:lang w:eastAsia="hr-HR"/>
        </w:rPr>
      </w:pPr>
    </w:p>
    <w:p w14:paraId="45D060B0"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sz w:val="24"/>
          <w:lang w:eastAsia="en-US"/>
        </w:rPr>
        <w:t xml:space="preserve">Kako bi se ostvarili posebni ciljevi definirani u okviru ovog Programa, nužan preduvjet je osiguravanje dostatnih financijskih sredstava za provedbu utvrđenih aktivnosti, odnosno razvojnih mjera. Upravo financijski aspekt je u prethodnim dijelovima ovog Programa istaknut kao jedan od izazova njegove provedbe. Europski strukturni i investicijski fondovi (ESIF), kao najznačajniji izvori za (su)financiranje projekata kružnog gospodarenja prostorom i zgradama, imat će poseban značaj prilikom ostvarenja definiranih posebnih ciljeva. Za realizaciju cjelokupnog Programa razvoja KG nužna su sredstva kojima će se sufinancirati njegova provedba, pri čemu značaj Europskih strukturnih i investicijskih fondova (ESIF) prepoznaje i sama EU koja u Prijedlogu Uredbe </w:t>
      </w:r>
      <w:r>
        <w:rPr>
          <w:rFonts w:ascii="Times New Roman" w:hAnsi="Times New Roman"/>
          <w:bCs/>
          <w:sz w:val="24"/>
        </w:rPr>
        <w:t>COM(2018) 372 final</w:t>
      </w:r>
      <w:r>
        <w:rPr>
          <w:rFonts w:ascii="Times New Roman" w:hAnsi="Times New Roman"/>
          <w:bCs/>
          <w:iCs/>
          <w:sz w:val="24"/>
        </w:rPr>
        <w:t xml:space="preserve"> – 2018/0197 (COD) </w:t>
      </w:r>
      <w:r>
        <w:rPr>
          <w:rFonts w:ascii="Times New Roman" w:eastAsia="Calibri" w:hAnsi="Times New Roman"/>
          <w:sz w:val="24"/>
          <w:lang w:eastAsia="en-US"/>
        </w:rPr>
        <w:t>za razdoblje 2021.-2027. ističe kako u mnogim državama članicama Europski fond za regionalni razvoj (EFRR) i Kohezijski fond (KF) čine najmanje 50% javnih ulaganja te kako brojne države članice u suprotnom ne bi imale financijski kapacitet za takva ulaganja.</w:t>
      </w:r>
    </w:p>
    <w:p w14:paraId="45D060B1" w14:textId="77777777" w:rsidR="00496804" w:rsidRDefault="00496804">
      <w:pPr>
        <w:spacing w:line="240" w:lineRule="auto"/>
        <w:rPr>
          <w:rFonts w:ascii="Times New Roman" w:eastAsia="Calibri" w:hAnsi="Times New Roman"/>
          <w:sz w:val="24"/>
          <w:lang w:eastAsia="en-US"/>
        </w:rPr>
      </w:pPr>
    </w:p>
    <w:p w14:paraId="45D060B2" w14:textId="77777777" w:rsidR="00496804" w:rsidRDefault="0037359D">
      <w:pPr>
        <w:spacing w:line="240" w:lineRule="auto"/>
        <w:textAlignment w:val="baseline"/>
        <w:rPr>
          <w:rFonts w:ascii="Times New Roman" w:hAnsi="Times New Roman"/>
          <w:sz w:val="24"/>
          <w:lang w:eastAsia="hr-HR"/>
        </w:rPr>
      </w:pPr>
      <w:r>
        <w:rPr>
          <w:rFonts w:ascii="Times New Roman" w:hAnsi="Times New Roman"/>
          <w:sz w:val="24"/>
          <w:lang w:eastAsia="hr-HR"/>
        </w:rPr>
        <w:t xml:space="preserve">Prijedlog Uredbe Europskog parlamenta i Vijeća o utvrđivanju zajedničkih odredbi o Europskom fondu za regionalni razvoj, Europskom socijalnom fondu plus, Kohezijskom fondu i Europskom fondu za pomorstvo i ribarstvo i financijskih pravila za njih i za Fond za azil i migracije, Fond za unutarnju sigurnost i Instrument za upravljanje granicama i vize (COM(2018) 375 final </w:t>
      </w:r>
      <w:bookmarkStart w:id="232" w:name="_Hlk51319128"/>
      <w:r>
        <w:rPr>
          <w:rFonts w:ascii="Times New Roman" w:hAnsi="Times New Roman"/>
          <w:sz w:val="24"/>
          <w:lang w:eastAsia="hr-HR"/>
        </w:rPr>
        <w:t xml:space="preserve">- 2018/0196(COD)) </w:t>
      </w:r>
      <w:bookmarkEnd w:id="232"/>
      <w:r>
        <w:rPr>
          <w:rFonts w:ascii="Times New Roman" w:hAnsi="Times New Roman"/>
          <w:sz w:val="24"/>
          <w:lang w:eastAsia="hr-HR"/>
        </w:rPr>
        <w:t>od 29.5.2018. godine</w:t>
      </w:r>
      <w:r>
        <w:rPr>
          <w:rFonts w:ascii="Times New Roman" w:hAnsi="Times New Roman"/>
          <w:sz w:val="24"/>
          <w:vertAlign w:val="superscript"/>
          <w:lang w:eastAsia="hr-HR"/>
        </w:rPr>
        <w:footnoteReference w:id="60"/>
      </w:r>
      <w:r>
        <w:rPr>
          <w:rFonts w:ascii="Times New Roman" w:hAnsi="Times New Roman"/>
          <w:sz w:val="24"/>
          <w:lang w:eastAsia="hr-HR"/>
        </w:rPr>
        <w:t xml:space="preserve"> navodi kako će </w:t>
      </w:r>
      <w:bookmarkStart w:id="233" w:name="_Hlk38462795"/>
      <w:r>
        <w:rPr>
          <w:rFonts w:ascii="Times New Roman" w:hAnsi="Times New Roman"/>
          <w:sz w:val="24"/>
          <w:lang w:eastAsia="hr-HR"/>
        </w:rPr>
        <w:t xml:space="preserve">financijski instrumenti biti ključni mehanizam realizacije ulaganja koja generiraju prihode ili uštedu troškova u razdoblju 2021.-2027. te se predlaže fleksibilnost za kombiniranje bespovratnih sredstava s financijskim instrumentima. Sukladno članku 47. prijedloga spomenute Uredbe COM(2018) 375 final - 2018/0196(COD),  države </w:t>
      </w:r>
      <w:r>
        <w:rPr>
          <w:rFonts w:ascii="Times New Roman" w:hAnsi="Times New Roman"/>
          <w:sz w:val="24"/>
          <w:lang w:eastAsia="hr-HR"/>
        </w:rPr>
        <w:lastRenderedPageBreak/>
        <w:t xml:space="preserve">članice upotrebljavaju doprinos iz fondova kako bi pružile potporu korisnicima u obliku bespovratnih sredstava, financijskih instrumenata ili nagrada ili u obliku kombinacije navedenog. </w:t>
      </w:r>
      <w:bookmarkEnd w:id="233"/>
      <w:r>
        <w:rPr>
          <w:rFonts w:ascii="Times New Roman" w:hAnsi="Times New Roman"/>
          <w:sz w:val="24"/>
          <w:lang w:eastAsia="hr-HR"/>
        </w:rPr>
        <w:t>Prijedlog Uredbe COM(2018) 375 final - 2018/0196(COD) donosi brojna pojednostavljenja, od kojih je važno spomenuti kako više neće postojati posebna pravila za ulaganja kojima se ostvaruje prihod.</w:t>
      </w:r>
    </w:p>
    <w:p w14:paraId="45D060B3" w14:textId="77777777" w:rsidR="00496804" w:rsidRDefault="00496804">
      <w:pPr>
        <w:spacing w:line="240" w:lineRule="auto"/>
        <w:jc w:val="left"/>
        <w:textAlignment w:val="baseline"/>
        <w:rPr>
          <w:rFonts w:ascii="Times New Roman" w:hAnsi="Times New Roman"/>
          <w:sz w:val="24"/>
          <w:lang w:eastAsia="hr-HR"/>
        </w:rPr>
      </w:pPr>
    </w:p>
    <w:p w14:paraId="45D060B4"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sz w:val="24"/>
          <w:lang w:eastAsia="en-US"/>
        </w:rPr>
        <w:t>U kombinaciji s bespovratnim sredstvima potrebno je uspostaviti financijske instrumente koji će se koristiti za osiguranje financijske konstrukcije dostatne za financiranje vlastitog učešća, odnosno razlike između iznosa ukupnih prihvatljivih izdataka projektnog prijedloga i iznosa bespovratnih sredstava dodijeljenih za financiranje prihvatljivih izdataka te za financiranje ukupnih neprihvatljivih troškova unutar projektnog prijedloga.</w:t>
      </w:r>
    </w:p>
    <w:p w14:paraId="45D060B5" w14:textId="77777777" w:rsidR="00496804" w:rsidRDefault="00496804">
      <w:pPr>
        <w:spacing w:line="240" w:lineRule="auto"/>
        <w:rPr>
          <w:rFonts w:ascii="Times New Roman" w:eastAsia="Calibri" w:hAnsi="Times New Roman"/>
          <w:sz w:val="24"/>
          <w:lang w:eastAsia="en-US"/>
        </w:rPr>
      </w:pPr>
    </w:p>
    <w:p w14:paraId="45D060B6" w14:textId="77777777" w:rsidR="00496804" w:rsidRDefault="0037359D">
      <w:pPr>
        <w:pStyle w:val="tekst"/>
        <w:spacing w:line="240" w:lineRule="auto"/>
        <w:rPr>
          <w:rFonts w:ascii="Times New Roman" w:hAnsi="Times New Roman" w:cs="Times New Roman"/>
          <w:sz w:val="24"/>
          <w:szCs w:val="24"/>
        </w:rPr>
      </w:pPr>
      <w:r>
        <w:rPr>
          <w:rFonts w:ascii="Times New Roman" w:eastAsia="Calibri" w:hAnsi="Times New Roman" w:cs="Times New Roman"/>
          <w:sz w:val="24"/>
          <w:szCs w:val="24"/>
          <w:lang w:eastAsia="en-US"/>
        </w:rPr>
        <w:t>Razne financijske institucije na europskoj i nacionalnoj razini također predstavljaju značajan izvor financijskih sredstava za realizaciju projekata kružnog gospodarenja prostorom i zgradama. Posebice se ističu Europska investicijska banka (EIB) na EU razini te Hrvatska banka za obnovu i razvoj (HBOR) na nacionalnoj razini. U kontekstu navedenog, bitno je istaknuti značaj kombiniranja financijskih sredstava iz različitih izvora, tzv. blending, čijom primjenom značajno rastu potencijali provedbe projekata. Blending predstavlja kombinaciju sredstava iz različitih tipova instrumenata, kao što su primjerice kombiniranje sredstava Europskih strukturnih i investicijskih fondova (ESIF) i sredstava javnih i/ili privatnih banaka (primjerice EIB-a). Ovime se lakše dolazi do potrebnih financijskih sredstava te se pospješuje uspješnost realizacije projekata.</w:t>
      </w:r>
    </w:p>
    <w:p w14:paraId="45D060B7" w14:textId="77777777" w:rsidR="00496804" w:rsidRDefault="00496804">
      <w:pPr>
        <w:pStyle w:val="Bezproreda"/>
        <w:jc w:val="both"/>
        <w:rPr>
          <w:lang w:val="hr-HR"/>
        </w:rPr>
      </w:pPr>
    </w:p>
    <w:p w14:paraId="45D060B8" w14:textId="77777777" w:rsidR="00496804" w:rsidRDefault="00496804">
      <w:pPr>
        <w:spacing w:line="240" w:lineRule="auto"/>
        <w:jc w:val="left"/>
        <w:rPr>
          <w:rFonts w:ascii="Times New Roman" w:hAnsi="Times New Roman"/>
          <w:sz w:val="24"/>
        </w:rPr>
      </w:pPr>
    </w:p>
    <w:p w14:paraId="45D060B9" w14:textId="77777777" w:rsidR="00496804" w:rsidRDefault="0037359D">
      <w:pPr>
        <w:pStyle w:val="Naslov10"/>
        <w:spacing w:line="240" w:lineRule="auto"/>
        <w:ind w:left="426" w:hanging="426"/>
        <w:outlineLvl w:val="0"/>
        <w:rPr>
          <w:rFonts w:ascii="Times New Roman" w:hAnsi="Times New Roman" w:cs="Times New Roman"/>
          <w:sz w:val="24"/>
          <w:szCs w:val="24"/>
        </w:rPr>
      </w:pPr>
      <w:bookmarkStart w:id="234" w:name="_Toc51851662"/>
      <w:r>
        <w:rPr>
          <w:rFonts w:ascii="Times New Roman" w:hAnsi="Times New Roman" w:cs="Times New Roman"/>
          <w:sz w:val="24"/>
          <w:szCs w:val="24"/>
        </w:rPr>
        <w:t>OKVIR ZA PRAĆENJE I VREDNOVANJE</w:t>
      </w:r>
      <w:bookmarkEnd w:id="234"/>
    </w:p>
    <w:p w14:paraId="45D060BA" w14:textId="77777777" w:rsidR="00496804" w:rsidRDefault="00496804">
      <w:pPr>
        <w:spacing w:line="240" w:lineRule="auto"/>
        <w:rPr>
          <w:rFonts w:ascii="Times New Roman" w:hAnsi="Times New Roman"/>
          <w:sz w:val="24"/>
        </w:rPr>
      </w:pPr>
    </w:p>
    <w:p w14:paraId="45D060BB" w14:textId="77777777" w:rsidR="00496804" w:rsidRDefault="0037359D">
      <w:pPr>
        <w:spacing w:line="240" w:lineRule="auto"/>
        <w:rPr>
          <w:rFonts w:ascii="Times New Roman" w:hAnsi="Times New Roman"/>
          <w:sz w:val="24"/>
          <w:lang w:eastAsia="hr-HR"/>
        </w:rPr>
      </w:pPr>
      <w:r>
        <w:rPr>
          <w:rFonts w:ascii="Times New Roman" w:hAnsi="Times New Roman"/>
          <w:sz w:val="24"/>
        </w:rPr>
        <w:t>Praćenje, izvještavanje i vrednovanje Programa razvoja KG provodi se prema odredbama Zakona o sustavu strateškog planiranja i upravljanja razvojem RH i pripadajućim podzakonskim aktima.</w:t>
      </w:r>
    </w:p>
    <w:p w14:paraId="45D060BC" w14:textId="77777777" w:rsidR="00496804" w:rsidRDefault="00496804">
      <w:pPr>
        <w:spacing w:line="240" w:lineRule="auto"/>
        <w:rPr>
          <w:rFonts w:ascii="Times New Roman" w:hAnsi="Times New Roman"/>
          <w:sz w:val="24"/>
        </w:rPr>
      </w:pPr>
    </w:p>
    <w:p w14:paraId="45D060BD" w14:textId="77777777" w:rsidR="00496804" w:rsidRDefault="0037359D">
      <w:pPr>
        <w:pStyle w:val="Naslov2"/>
        <w:ind w:left="426" w:hanging="426"/>
        <w:rPr>
          <w:rFonts w:ascii="Times New Roman" w:hAnsi="Times New Roman" w:cs="Times New Roman"/>
          <w:color w:val="auto"/>
          <w:sz w:val="24"/>
          <w:szCs w:val="24"/>
        </w:rPr>
      </w:pPr>
      <w:bookmarkStart w:id="235" w:name="_Toc51851663"/>
      <w:r>
        <w:rPr>
          <w:rFonts w:ascii="Times New Roman" w:hAnsi="Times New Roman" w:cs="Times New Roman"/>
          <w:color w:val="auto"/>
          <w:sz w:val="24"/>
          <w:szCs w:val="24"/>
        </w:rPr>
        <w:t>PRAĆENJE PROVEDBE</w:t>
      </w:r>
      <w:bookmarkEnd w:id="235"/>
      <w:r>
        <w:rPr>
          <w:rFonts w:ascii="Times New Roman" w:hAnsi="Times New Roman" w:cs="Times New Roman"/>
          <w:color w:val="auto"/>
          <w:sz w:val="24"/>
          <w:szCs w:val="24"/>
        </w:rPr>
        <w:t xml:space="preserve"> </w:t>
      </w:r>
    </w:p>
    <w:p w14:paraId="45D060BE" w14:textId="77777777" w:rsidR="00496804" w:rsidRDefault="00496804">
      <w:pPr>
        <w:spacing w:line="240" w:lineRule="auto"/>
        <w:rPr>
          <w:rFonts w:ascii="Times New Roman" w:hAnsi="Times New Roman"/>
          <w:sz w:val="24"/>
          <w:lang w:eastAsia="hr-HR"/>
        </w:rPr>
      </w:pPr>
    </w:p>
    <w:p w14:paraId="45D060BF" w14:textId="167D4F08"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Sukladno Zakonu o sustavu strateškog planiranja i upravljanja razvojem RH praćenje provedbe Programa razvoja KG provodi se putem informacijskog sustava za strateško planiranje i upravljanje razvojem. Informacijski sustav ima svrhu prikupljanja podataka o provedbi akata strateškog planiranja i ostvarenim rezultatima, ishodima i učincima provedbe javnih politika te prikupljanja podataka o razvojnim projektima koji su u pripremi. Navedeni sustav također ima ulogu u pripremanju izvješća o provedbi akata strateškog planiranja. Za praćenje i izvještavanje provedbe ovog Programa odgovoran je koordinator za strateško planiranje ministarstva nadležnog za poslove prostornoga uređenja, graditeljstva i državne imovine, pri čemu je dužan prikupljati i unositi pokazatelje o provedbi istoga u informacijski sustav. Praćenje provedbe Programa razvoja KG vrši se temeljem godišnjih izvješća o provedbi kojim se prati provedba posebnih ciljeva, odnosno pokazatelja ishoda istih, koje ministarstvo nadležno za poslove prostornoga uređenja, graditeljstva i državne imovine (nositelj Programa razvoja KG) dostavlja Koordinacijskom tijelu - </w:t>
      </w:r>
      <w:r w:rsidR="00D27E93">
        <w:rPr>
          <w:rFonts w:ascii="Times New Roman" w:hAnsi="Times New Roman" w:cs="Times New Roman"/>
          <w:sz w:val="24"/>
          <w:szCs w:val="24"/>
        </w:rPr>
        <w:t>M</w:t>
      </w:r>
      <w:r w:rsidR="00D957E3">
        <w:rPr>
          <w:rFonts w:ascii="Times New Roman" w:hAnsi="Times New Roman" w:cs="Times New Roman"/>
          <w:sz w:val="24"/>
          <w:szCs w:val="24"/>
        </w:rPr>
        <w:t>inistarstvu</w:t>
      </w:r>
      <w:r w:rsidRPr="0037359D">
        <w:rPr>
          <w:rFonts w:ascii="Times New Roman" w:hAnsi="Times New Roman" w:cs="Times New Roman"/>
          <w:sz w:val="24"/>
          <w:szCs w:val="24"/>
        </w:rPr>
        <w:t xml:space="preserve"> regionalnoga razvoja i fondova EU-a</w:t>
      </w:r>
      <w:r>
        <w:rPr>
          <w:rFonts w:ascii="Times New Roman" w:hAnsi="Times New Roman" w:cs="Times New Roman"/>
          <w:sz w:val="24"/>
          <w:szCs w:val="24"/>
        </w:rPr>
        <w:t>.</w:t>
      </w:r>
    </w:p>
    <w:p w14:paraId="45D060C0" w14:textId="77777777" w:rsidR="00496804" w:rsidRDefault="00496804">
      <w:pPr>
        <w:pStyle w:val="tekst"/>
        <w:spacing w:line="240" w:lineRule="auto"/>
        <w:rPr>
          <w:rFonts w:ascii="Times New Roman" w:hAnsi="Times New Roman" w:cs="Times New Roman"/>
          <w:sz w:val="24"/>
          <w:szCs w:val="24"/>
        </w:rPr>
      </w:pPr>
    </w:p>
    <w:p w14:paraId="45D060C1"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Prema Zakonu o sustavu strateškog planiranja i upravljanja razvojem Republike Hrvatske, informacijski sustav za strateško planiranje i upravljanje razvojem je informacijsko-komunikacijska platforma koja se koristi za prikupljanje, analizu i pohranu podataka i pokazatelja za izradu, praćenje i izvješćivanje o provedbi akata strateškog planiranja i razvojnih projekata koji su u pripremi. Praćenje provedbe definirano je kao proces prikupljanja, analize i usporedbe pokazatelja kojima se sustavno prati uspješnost provedbe ciljeva i mjera akata strateškog planiranja. Dane su i definicije pokazatelja: pokazatelj ishoda je kvantitativni i kvalitativni mjerljivi podatak koji omogućuje </w:t>
      </w:r>
      <w:r>
        <w:rPr>
          <w:rFonts w:ascii="Times New Roman" w:hAnsi="Times New Roman" w:cs="Times New Roman"/>
          <w:sz w:val="24"/>
          <w:szCs w:val="24"/>
        </w:rPr>
        <w:lastRenderedPageBreak/>
        <w:t>praćenje, izvješćivanje i vrednovanje uspješnosti u postizanju utvrđenog posebnog cilja, pokazatelj rezultata je kvantitativni i kvalitativni mjerljivi podatak koji omogućuje praćenje, izvješćivanje i vrednovanje uspješnosti u provedbi utvrđene mjere, projekta i aktivnosti, a pokazatelj učinka je kvantitativni i kvalitativni mjerljivi podatak koji omogućuje praćenje, izvješćivanje i vrednovanje uspješnosti u postizanju utvrđenog strateškog cilja.</w:t>
      </w:r>
    </w:p>
    <w:p w14:paraId="45D060C2" w14:textId="77777777" w:rsidR="00496804" w:rsidRDefault="00496804">
      <w:pPr>
        <w:pStyle w:val="tekst"/>
        <w:spacing w:line="240" w:lineRule="auto"/>
        <w:rPr>
          <w:rFonts w:ascii="Times New Roman" w:hAnsi="Times New Roman" w:cs="Times New Roman"/>
          <w:sz w:val="24"/>
          <w:szCs w:val="24"/>
        </w:rPr>
      </w:pPr>
    </w:p>
    <w:p w14:paraId="45D060C3"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Pokazatelji ishoda posebnih ciljeva i pokazatelji rezultata razvojnih mjera u okviru ovog Programa definirani su na temelju planiranih aktivnosti, analize postojećeg stanja, te prema procjenama i projekcijama učinaka koji se očekuju realizacijom aktivnosti i razvojnih mjera. Praćenje ostvarenja svakog od pokazatelja ishoda i pokazatelja rezultata provodi se na način opisan u nastavku dokumenta.</w:t>
      </w:r>
    </w:p>
    <w:p w14:paraId="45D060C4" w14:textId="77777777" w:rsidR="00496804" w:rsidRDefault="00496804">
      <w:pPr>
        <w:pStyle w:val="tekst"/>
        <w:spacing w:line="240" w:lineRule="auto"/>
        <w:rPr>
          <w:rFonts w:ascii="Times New Roman" w:hAnsi="Times New Roman" w:cs="Times New Roman"/>
          <w:sz w:val="24"/>
          <w:szCs w:val="24"/>
        </w:rPr>
      </w:pPr>
    </w:p>
    <w:p w14:paraId="45D060C5" w14:textId="77777777" w:rsidR="00496804" w:rsidRDefault="0037359D">
      <w:pPr>
        <w:spacing w:line="240" w:lineRule="auto"/>
        <w:jc w:val="left"/>
        <w:rPr>
          <w:rFonts w:ascii="Times New Roman" w:hAnsi="Times New Roman"/>
          <w:b/>
          <w:bCs/>
          <w:sz w:val="24"/>
          <w:lang w:eastAsia="en-US"/>
        </w:rPr>
      </w:pPr>
      <w:r>
        <w:rPr>
          <w:rFonts w:ascii="Times New Roman" w:hAnsi="Times New Roman"/>
          <w:sz w:val="24"/>
        </w:rPr>
        <w:br w:type="page"/>
      </w:r>
      <w:r>
        <w:rPr>
          <w:rFonts w:ascii="Times New Roman" w:hAnsi="Times New Roman"/>
          <w:b/>
          <w:bCs/>
          <w:sz w:val="24"/>
          <w:lang w:eastAsia="en-US"/>
        </w:rPr>
        <w:lastRenderedPageBreak/>
        <w:t>PRAĆENJE POKAZATELJA ISHODA POSEBNIH CILJEVA</w:t>
      </w:r>
    </w:p>
    <w:p w14:paraId="45D060C6" w14:textId="77777777" w:rsidR="00496804" w:rsidRDefault="00496804">
      <w:pPr>
        <w:spacing w:line="240" w:lineRule="auto"/>
        <w:rPr>
          <w:rFonts w:ascii="Times New Roman" w:hAnsi="Times New Roman"/>
          <w:i/>
          <w:iCs/>
          <w:sz w:val="24"/>
        </w:rPr>
      </w:pPr>
    </w:p>
    <w:p w14:paraId="45D060C7" w14:textId="77777777" w:rsidR="00496804" w:rsidRDefault="0037359D">
      <w:pPr>
        <w:spacing w:line="240" w:lineRule="auto"/>
        <w:rPr>
          <w:rFonts w:ascii="Times New Roman" w:eastAsia="Calibri" w:hAnsi="Times New Roman"/>
          <w:sz w:val="24"/>
          <w:lang w:eastAsia="en-US"/>
        </w:rPr>
      </w:pPr>
      <w:r>
        <w:rPr>
          <w:rFonts w:ascii="Times New Roman" w:hAnsi="Times New Roman"/>
          <w:i/>
          <w:iCs/>
          <w:sz w:val="24"/>
        </w:rPr>
        <w:t>Tablica 28. Praćenje pokazatelja ishoda posebnih ciljeva</w:t>
      </w:r>
    </w:p>
    <w:tbl>
      <w:tblPr>
        <w:tblStyle w:val="Reetkatablice3"/>
        <w:tblW w:w="5000" w:type="pct"/>
        <w:tblLook w:val="04A0" w:firstRow="1" w:lastRow="0" w:firstColumn="1" w:lastColumn="0" w:noHBand="0" w:noVBand="1"/>
      </w:tblPr>
      <w:tblGrid>
        <w:gridCol w:w="2550"/>
        <w:gridCol w:w="3541"/>
        <w:gridCol w:w="3531"/>
      </w:tblGrid>
      <w:tr w:rsidR="00496804" w14:paraId="45D060C9" w14:textId="77777777">
        <w:trPr>
          <w:trHeight w:val="450"/>
        </w:trPr>
        <w:tc>
          <w:tcPr>
            <w:tcW w:w="5000" w:type="pct"/>
            <w:gridSpan w:val="3"/>
            <w:shd w:val="clear" w:color="auto" w:fill="FFCCA6" w:themeFill="accent5" w:themeFillTint="66"/>
          </w:tcPr>
          <w:p w14:paraId="45D060C8" w14:textId="77777777" w:rsidR="00496804" w:rsidRDefault="0037359D">
            <w:pPr>
              <w:spacing w:line="240" w:lineRule="auto"/>
              <w:ind w:left="22"/>
              <w:rPr>
                <w:rFonts w:ascii="Times New Roman" w:eastAsia="Calibri" w:hAnsi="Times New Roman"/>
                <w:b/>
                <w:bCs/>
                <w:sz w:val="24"/>
                <w:lang w:eastAsia="en-US"/>
              </w:rPr>
            </w:pPr>
            <w:r>
              <w:rPr>
                <w:rFonts w:ascii="Times New Roman" w:eastAsia="Calibri" w:hAnsi="Times New Roman"/>
                <w:b/>
                <w:bCs/>
                <w:sz w:val="24"/>
                <w:lang w:eastAsia="en-US"/>
              </w:rPr>
              <w:t>Naziv posebnog cilja: 1. Razvoj sustava kružnog gospodarenja prostorom i zgradama</w:t>
            </w:r>
          </w:p>
        </w:tc>
      </w:tr>
      <w:tr w:rsidR="00496804" w14:paraId="45D060CB" w14:textId="77777777">
        <w:tc>
          <w:tcPr>
            <w:tcW w:w="5000" w:type="pct"/>
            <w:gridSpan w:val="3"/>
          </w:tcPr>
          <w:p w14:paraId="45D060CA"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pokazatelja</w:t>
            </w:r>
            <w:r>
              <w:rPr>
                <w:rFonts w:ascii="Times New Roman" w:eastAsia="Calibri" w:hAnsi="Times New Roman"/>
                <w:sz w:val="24"/>
                <w:lang w:eastAsia="en-US"/>
              </w:rPr>
              <w:t xml:space="preserve">: </w:t>
            </w:r>
            <w:r>
              <w:rPr>
                <w:rFonts w:ascii="Times New Roman" w:hAnsi="Times New Roman"/>
                <w:sz w:val="24"/>
              </w:rPr>
              <w:t>Razvoj digitalnih javnih usluga za kružno gospodarenje prostorom i zgradama</w:t>
            </w:r>
          </w:p>
        </w:tc>
      </w:tr>
      <w:tr w:rsidR="00496804" w14:paraId="45D060CD" w14:textId="77777777">
        <w:tc>
          <w:tcPr>
            <w:tcW w:w="5000" w:type="pct"/>
            <w:gridSpan w:val="3"/>
          </w:tcPr>
          <w:p w14:paraId="45D060CC"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Definicija pokazatelja</w:t>
            </w:r>
            <w:r>
              <w:rPr>
                <w:rFonts w:ascii="Times New Roman" w:eastAsia="Calibri" w:hAnsi="Times New Roman"/>
                <w:sz w:val="24"/>
                <w:lang w:eastAsia="en-US"/>
              </w:rPr>
              <w:t xml:space="preserve">: Broj novouspostavljenih digitalnih javnih usluga koje su u funkciji </w:t>
            </w:r>
            <w:r>
              <w:rPr>
                <w:rFonts w:ascii="Times New Roman" w:hAnsi="Times New Roman"/>
                <w:sz w:val="24"/>
              </w:rPr>
              <w:t>kružnog gospodarenja prostorom i zgradama</w:t>
            </w:r>
          </w:p>
        </w:tc>
      </w:tr>
      <w:tr w:rsidR="00496804" w14:paraId="45D060D1" w14:textId="77777777">
        <w:tc>
          <w:tcPr>
            <w:tcW w:w="1325" w:type="pct"/>
          </w:tcPr>
          <w:p w14:paraId="45D060CE"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Mjerna jedinica</w:t>
            </w:r>
            <w:r>
              <w:rPr>
                <w:rFonts w:ascii="Times New Roman" w:eastAsia="Calibri" w:hAnsi="Times New Roman"/>
                <w:sz w:val="24"/>
                <w:lang w:eastAsia="en-US"/>
              </w:rPr>
              <w:t>: broj</w:t>
            </w:r>
          </w:p>
        </w:tc>
        <w:tc>
          <w:tcPr>
            <w:tcW w:w="1840" w:type="pct"/>
          </w:tcPr>
          <w:p w14:paraId="45D060CF"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Početna vrijednost 2030</w:t>
            </w:r>
            <w:r>
              <w:rPr>
                <w:rFonts w:ascii="Times New Roman" w:eastAsia="Calibri" w:hAnsi="Times New Roman"/>
                <w:sz w:val="24"/>
                <w:lang w:eastAsia="en-US"/>
              </w:rPr>
              <w:t>.: 0</w:t>
            </w:r>
          </w:p>
        </w:tc>
        <w:tc>
          <w:tcPr>
            <w:tcW w:w="1835" w:type="pct"/>
          </w:tcPr>
          <w:p w14:paraId="45D060D0"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Ciljana vrijednost 2030</w:t>
            </w:r>
            <w:r>
              <w:rPr>
                <w:rFonts w:ascii="Times New Roman" w:eastAsia="Calibri" w:hAnsi="Times New Roman"/>
                <w:sz w:val="24"/>
                <w:lang w:eastAsia="en-US"/>
              </w:rPr>
              <w:t>.: 2</w:t>
            </w:r>
          </w:p>
        </w:tc>
      </w:tr>
      <w:tr w:rsidR="00496804" w14:paraId="45D060D3" w14:textId="77777777">
        <w:tc>
          <w:tcPr>
            <w:tcW w:w="5000" w:type="pct"/>
            <w:gridSpan w:val="3"/>
          </w:tcPr>
          <w:p w14:paraId="45D060D2"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Izvor podataka</w:t>
            </w:r>
            <w:r>
              <w:rPr>
                <w:rFonts w:ascii="Times New Roman" w:eastAsia="Calibri" w:hAnsi="Times New Roman"/>
                <w:sz w:val="24"/>
                <w:lang w:eastAsia="en-US"/>
              </w:rPr>
              <w:t>: Podaci ministarstva nadležnog za poslove prostornoga uređenja, graditeljstva i državne imovine</w:t>
            </w:r>
          </w:p>
        </w:tc>
      </w:tr>
      <w:tr w:rsidR="00496804" w14:paraId="45D060D5" w14:textId="77777777">
        <w:tc>
          <w:tcPr>
            <w:tcW w:w="5000" w:type="pct"/>
            <w:gridSpan w:val="3"/>
          </w:tcPr>
          <w:p w14:paraId="45D060D4"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Metoda praćenja pokazatelja</w:t>
            </w:r>
            <w:r>
              <w:rPr>
                <w:rFonts w:ascii="Times New Roman" w:eastAsia="Calibri" w:hAnsi="Times New Roman"/>
                <w:sz w:val="24"/>
                <w:lang w:eastAsia="en-US"/>
              </w:rPr>
              <w:t xml:space="preserve">: Ministarstvo nadležno za poslove prostornoga uređenja, graditeljstva i državne imovine nositelj je aktivnosti te raspolaže podacima o broju dostupnih digitalnih usluga vezanih uz planiranje i razvoj </w:t>
            </w:r>
            <w:r>
              <w:rPr>
                <w:rFonts w:ascii="Times New Roman" w:hAnsi="Times New Roman"/>
                <w:sz w:val="24"/>
              </w:rPr>
              <w:t>kružnog gospodarenja prostorom i zgradama</w:t>
            </w:r>
            <w:r>
              <w:rPr>
                <w:rFonts w:ascii="Times New Roman" w:eastAsia="Calibri" w:hAnsi="Times New Roman"/>
                <w:sz w:val="24"/>
                <w:lang w:eastAsia="en-US"/>
              </w:rPr>
              <w:t xml:space="preserve">, koji se koriste u svrhu praćenja ostvarenja pokazatelja. </w:t>
            </w:r>
          </w:p>
        </w:tc>
      </w:tr>
      <w:tr w:rsidR="00496804" w14:paraId="45D060D7" w14:textId="77777777">
        <w:tc>
          <w:tcPr>
            <w:tcW w:w="5000" w:type="pct"/>
            <w:gridSpan w:val="3"/>
            <w:shd w:val="clear" w:color="auto" w:fill="FFCCA6" w:themeFill="accent5" w:themeFillTint="66"/>
          </w:tcPr>
          <w:p w14:paraId="45D060D6" w14:textId="77777777" w:rsidR="00496804" w:rsidRDefault="0037359D">
            <w:pPr>
              <w:spacing w:line="240" w:lineRule="auto"/>
              <w:rPr>
                <w:rFonts w:ascii="Times New Roman" w:eastAsia="Calibri" w:hAnsi="Times New Roman"/>
                <w:b/>
                <w:bCs/>
                <w:sz w:val="24"/>
                <w:lang w:eastAsia="en-US"/>
              </w:rPr>
            </w:pPr>
            <w:r>
              <w:rPr>
                <w:rFonts w:ascii="Times New Roman" w:eastAsia="Calibri" w:hAnsi="Times New Roman"/>
                <w:b/>
                <w:bCs/>
                <w:sz w:val="24"/>
                <w:lang w:eastAsia="en-US"/>
              </w:rPr>
              <w:t>Naziv posebnog cilja: 2. Kružna obnova nekorištenih prostora i zgrada</w:t>
            </w:r>
          </w:p>
        </w:tc>
      </w:tr>
      <w:tr w:rsidR="00496804" w14:paraId="45D060D9" w14:textId="77777777">
        <w:tc>
          <w:tcPr>
            <w:tcW w:w="5000" w:type="pct"/>
            <w:gridSpan w:val="3"/>
          </w:tcPr>
          <w:p w14:paraId="45D060D8" w14:textId="77777777" w:rsidR="00496804" w:rsidRDefault="0037359D">
            <w:pPr>
              <w:spacing w:line="240" w:lineRule="auto"/>
              <w:ind w:left="22" w:hanging="22"/>
              <w:rPr>
                <w:rFonts w:ascii="Times New Roman" w:eastAsia="Calibri" w:hAnsi="Times New Roman"/>
                <w:sz w:val="24"/>
                <w:lang w:eastAsia="en-US"/>
              </w:rPr>
            </w:pPr>
            <w:r>
              <w:rPr>
                <w:rFonts w:ascii="Times New Roman" w:eastAsia="Calibri" w:hAnsi="Times New Roman"/>
                <w:b/>
                <w:bCs/>
                <w:sz w:val="24"/>
                <w:lang w:eastAsia="en-US"/>
              </w:rPr>
              <w:t>Naziv pokazatelja</w:t>
            </w:r>
            <w:r>
              <w:rPr>
                <w:rFonts w:ascii="Times New Roman" w:eastAsia="Calibri" w:hAnsi="Times New Roman"/>
                <w:sz w:val="24"/>
                <w:lang w:eastAsia="en-US"/>
              </w:rPr>
              <w:t>: Kružno obnovljene zgrade u okviru pilot projekata i poziva</w:t>
            </w:r>
          </w:p>
        </w:tc>
      </w:tr>
      <w:tr w:rsidR="00496804" w14:paraId="45D060DB" w14:textId="77777777">
        <w:tc>
          <w:tcPr>
            <w:tcW w:w="5000" w:type="pct"/>
            <w:gridSpan w:val="3"/>
          </w:tcPr>
          <w:p w14:paraId="45D060DA"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Definicija pokazatelja</w:t>
            </w:r>
            <w:r>
              <w:rPr>
                <w:rFonts w:ascii="Times New Roman" w:eastAsia="Calibri" w:hAnsi="Times New Roman"/>
                <w:sz w:val="24"/>
                <w:lang w:eastAsia="en-US"/>
              </w:rPr>
              <w:t>: Broj kružno obnovljenih zgrada u okviru pilot projekata i poziva na dostavu projektnih prijedloga za kružnu obnovu nekorištenih zgrada i zona (monofunkcionalne ili polifunkcionalne).</w:t>
            </w:r>
          </w:p>
        </w:tc>
      </w:tr>
      <w:tr w:rsidR="00496804" w14:paraId="45D060DF" w14:textId="77777777">
        <w:tc>
          <w:tcPr>
            <w:tcW w:w="1325" w:type="pct"/>
          </w:tcPr>
          <w:p w14:paraId="45D060DC"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Mjerna jedinica</w:t>
            </w:r>
            <w:r>
              <w:rPr>
                <w:rFonts w:ascii="Times New Roman" w:eastAsia="Calibri" w:hAnsi="Times New Roman"/>
                <w:sz w:val="24"/>
                <w:lang w:eastAsia="en-US"/>
              </w:rPr>
              <w:t>: broj</w:t>
            </w:r>
          </w:p>
        </w:tc>
        <w:tc>
          <w:tcPr>
            <w:tcW w:w="1840" w:type="pct"/>
          </w:tcPr>
          <w:p w14:paraId="45D060DD"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Početna vrijednost 2030</w:t>
            </w:r>
            <w:r>
              <w:rPr>
                <w:rFonts w:ascii="Times New Roman" w:eastAsia="Calibri" w:hAnsi="Times New Roman"/>
                <w:sz w:val="24"/>
                <w:lang w:eastAsia="en-US"/>
              </w:rPr>
              <w:t>.: 0</w:t>
            </w:r>
          </w:p>
        </w:tc>
        <w:tc>
          <w:tcPr>
            <w:tcW w:w="1835" w:type="pct"/>
          </w:tcPr>
          <w:p w14:paraId="45D060DE"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Ciljana vrijednost 2030</w:t>
            </w:r>
            <w:r>
              <w:rPr>
                <w:rFonts w:ascii="Times New Roman" w:eastAsia="Calibri" w:hAnsi="Times New Roman"/>
                <w:sz w:val="24"/>
                <w:lang w:eastAsia="en-US"/>
              </w:rPr>
              <w:t>.: 300</w:t>
            </w:r>
          </w:p>
        </w:tc>
      </w:tr>
      <w:tr w:rsidR="00496804" w14:paraId="45D060E1" w14:textId="77777777">
        <w:tc>
          <w:tcPr>
            <w:tcW w:w="5000" w:type="pct"/>
            <w:gridSpan w:val="3"/>
          </w:tcPr>
          <w:p w14:paraId="45D060E0"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Izvor podataka</w:t>
            </w:r>
            <w:r>
              <w:rPr>
                <w:rFonts w:ascii="Times New Roman" w:eastAsia="Calibri" w:hAnsi="Times New Roman"/>
                <w:sz w:val="24"/>
                <w:lang w:eastAsia="en-US"/>
              </w:rPr>
              <w:t>: Periodična i završna izvješća o napretku i završetku realizacije projekata kružnog gospodarenja prostorom i zgradama (pilot projekti i projekti kružne obnove nekorištenih zgrada i zona (monofunkcionalne ili polifunkcionalne) koji će biti financirani kroz javne pozive u okviru provedbe Programa razvoja KG).</w:t>
            </w:r>
          </w:p>
        </w:tc>
      </w:tr>
      <w:tr w:rsidR="00496804" w14:paraId="45D060E3" w14:textId="77777777">
        <w:tc>
          <w:tcPr>
            <w:tcW w:w="5000" w:type="pct"/>
            <w:gridSpan w:val="3"/>
          </w:tcPr>
          <w:p w14:paraId="45D060E2"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Metoda praćenja pokazatelja</w:t>
            </w:r>
            <w:r>
              <w:rPr>
                <w:rFonts w:ascii="Times New Roman" w:eastAsia="Calibri" w:hAnsi="Times New Roman"/>
                <w:sz w:val="24"/>
                <w:lang w:eastAsia="en-US"/>
              </w:rPr>
              <w:t>: Ostvarenje pokazatelja pratit će se putem periodičnih izvješća o provedbi projekata kružnog gospodarenja prostorom i zgradama koja će nositelji projekata (kojima su odobrena sredstva za sufinanciranje u okviru javnih poziva) podnositi ministarstvu nadležnom za poslove prostornoga uređenja, graditeljstva i državne imovine svaka tri mjeseca tijekom provedbe projekta (tromjesečna izvješća). Po dovršetku provedbe projekta podnosi se završno izvješće koje sadrži podatke o cjelokupnim ostvarenim rezultatima.</w:t>
            </w:r>
          </w:p>
        </w:tc>
      </w:tr>
      <w:tr w:rsidR="00496804" w14:paraId="45D060E5" w14:textId="77777777">
        <w:tc>
          <w:tcPr>
            <w:tcW w:w="5000" w:type="pct"/>
            <w:gridSpan w:val="3"/>
            <w:shd w:val="clear" w:color="auto" w:fill="FFCCA6" w:themeFill="accent5" w:themeFillTint="66"/>
          </w:tcPr>
          <w:p w14:paraId="45D060E4" w14:textId="77777777" w:rsidR="00496804" w:rsidRDefault="0037359D">
            <w:pPr>
              <w:spacing w:line="240" w:lineRule="auto"/>
              <w:rPr>
                <w:rFonts w:ascii="Times New Roman" w:eastAsia="Calibri" w:hAnsi="Times New Roman"/>
                <w:b/>
                <w:bCs/>
                <w:sz w:val="24"/>
                <w:lang w:eastAsia="en-US"/>
              </w:rPr>
            </w:pPr>
            <w:r>
              <w:rPr>
                <w:rFonts w:ascii="Times New Roman" w:eastAsia="Calibri" w:hAnsi="Times New Roman"/>
                <w:b/>
                <w:bCs/>
                <w:sz w:val="24"/>
                <w:lang w:eastAsia="en-US"/>
              </w:rPr>
              <w:t>Naziv posebnog cilja: 3. Visoka razina znanja i društvene svijesti o kružnom gospodarenju prostorom i zgradama</w:t>
            </w:r>
          </w:p>
        </w:tc>
      </w:tr>
      <w:tr w:rsidR="00496804" w14:paraId="45D060E7" w14:textId="77777777">
        <w:tc>
          <w:tcPr>
            <w:tcW w:w="5000" w:type="pct"/>
            <w:gridSpan w:val="3"/>
          </w:tcPr>
          <w:p w14:paraId="45D060E6"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pokazatelja</w:t>
            </w:r>
            <w:r>
              <w:rPr>
                <w:rFonts w:ascii="Times New Roman" w:eastAsia="Calibri" w:hAnsi="Times New Roman"/>
                <w:sz w:val="24"/>
                <w:lang w:eastAsia="en-US"/>
              </w:rPr>
              <w:t>: Stanovništvo koje je imalo izravan doticaj s informacijama o kružnom gospodarenju prostorom i zgradama, kroz objave u stručnim publikacijama, sudjelovanjem na održanim radionicama, konferencijama i sl.</w:t>
            </w:r>
          </w:p>
        </w:tc>
      </w:tr>
      <w:tr w:rsidR="00496804" w14:paraId="45D060E9" w14:textId="77777777">
        <w:tc>
          <w:tcPr>
            <w:tcW w:w="5000" w:type="pct"/>
            <w:gridSpan w:val="3"/>
          </w:tcPr>
          <w:p w14:paraId="45D060E8"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Definicija pokazatelja</w:t>
            </w:r>
            <w:r>
              <w:rPr>
                <w:rFonts w:ascii="Times New Roman" w:eastAsia="Calibri" w:hAnsi="Times New Roman"/>
                <w:sz w:val="24"/>
                <w:lang w:eastAsia="en-US"/>
              </w:rPr>
              <w:t>: Broj stanovnika u RH koji su imali izravan doticaj s informacijama vezanima uz razvoj kružnog gospodarenja prostorom i zgradama, posebice kroz objave u stručnim publikacijama te sudjelovanjem na događanjima kojima je svrha informiranje građana i širenje znanja o kružnom gospodarenju prostorom i zgradama.</w:t>
            </w:r>
          </w:p>
        </w:tc>
      </w:tr>
      <w:tr w:rsidR="00496804" w14:paraId="45D060ED" w14:textId="77777777">
        <w:tc>
          <w:tcPr>
            <w:tcW w:w="1325" w:type="pct"/>
          </w:tcPr>
          <w:p w14:paraId="45D060EA"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Mjerna jedinica</w:t>
            </w:r>
            <w:r>
              <w:rPr>
                <w:rFonts w:ascii="Times New Roman" w:eastAsia="Calibri" w:hAnsi="Times New Roman"/>
                <w:sz w:val="24"/>
                <w:lang w:eastAsia="en-US"/>
              </w:rPr>
              <w:t>: broj</w:t>
            </w:r>
          </w:p>
        </w:tc>
        <w:tc>
          <w:tcPr>
            <w:tcW w:w="1840" w:type="pct"/>
          </w:tcPr>
          <w:p w14:paraId="45D060EB"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Početna vrijednost 2030</w:t>
            </w:r>
            <w:r>
              <w:rPr>
                <w:rFonts w:ascii="Times New Roman" w:eastAsia="Calibri" w:hAnsi="Times New Roman"/>
                <w:sz w:val="24"/>
                <w:lang w:eastAsia="en-US"/>
              </w:rPr>
              <w:t>.: 0</w:t>
            </w:r>
          </w:p>
        </w:tc>
        <w:tc>
          <w:tcPr>
            <w:tcW w:w="1835" w:type="pct"/>
          </w:tcPr>
          <w:p w14:paraId="45D060EC"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Ciljana vrijednost 2030</w:t>
            </w:r>
            <w:r>
              <w:rPr>
                <w:rFonts w:ascii="Times New Roman" w:eastAsia="Calibri" w:hAnsi="Times New Roman"/>
                <w:sz w:val="24"/>
                <w:lang w:eastAsia="en-US"/>
              </w:rPr>
              <w:t>.: 10.000</w:t>
            </w:r>
          </w:p>
        </w:tc>
      </w:tr>
      <w:tr w:rsidR="00496804" w14:paraId="45D060EF" w14:textId="77777777">
        <w:tc>
          <w:tcPr>
            <w:tcW w:w="5000" w:type="pct"/>
            <w:gridSpan w:val="3"/>
          </w:tcPr>
          <w:p w14:paraId="45D060EE"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Izvor podataka</w:t>
            </w:r>
            <w:r>
              <w:rPr>
                <w:rFonts w:ascii="Times New Roman" w:eastAsia="Calibri" w:hAnsi="Times New Roman"/>
                <w:sz w:val="24"/>
                <w:lang w:eastAsia="en-US"/>
              </w:rPr>
              <w:t>: Podaci nakladnika publikacija o broju prodanih/podijeljenih konkretnih brojeva (izdanja) publikacija koje sadrže objave vezane uz kružno gospodarenje prostorom i zgradama, podaci o broju posjeta objavama o kružnom gospodarenju prostorom i zgradama na web stranicama ministarstva, podaci organizatora informativnih događanja o broju sudionika.</w:t>
            </w:r>
          </w:p>
        </w:tc>
      </w:tr>
      <w:tr w:rsidR="00496804" w14:paraId="45D060F1" w14:textId="77777777">
        <w:tc>
          <w:tcPr>
            <w:tcW w:w="5000" w:type="pct"/>
            <w:gridSpan w:val="3"/>
          </w:tcPr>
          <w:p w14:paraId="45D060F0"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Metoda praćenja pokazatelja</w:t>
            </w:r>
            <w:r>
              <w:rPr>
                <w:rFonts w:ascii="Times New Roman" w:eastAsia="Calibri" w:hAnsi="Times New Roman"/>
                <w:sz w:val="24"/>
                <w:lang w:eastAsia="en-US"/>
              </w:rPr>
              <w:t xml:space="preserve">: Podaci iz navedenih izvora podataka prikupljaju se na zahtjev ministarstva nadležnog za poslove prostornoga uređenja, graditeljstva i državne imovine. Podaci o broju sudionika informativnih događanja se prikupljaju po održavanju događanja. Podaci o broju distribuiranih primjeraka publikacija se prikupljaju po završetku distribucije ili svakih šest mjeseci </w:t>
            </w:r>
            <w:r>
              <w:rPr>
                <w:rFonts w:ascii="Times New Roman" w:eastAsia="Calibri" w:hAnsi="Times New Roman"/>
                <w:sz w:val="24"/>
                <w:lang w:eastAsia="en-US"/>
              </w:rPr>
              <w:lastRenderedPageBreak/>
              <w:t>od nakladnika (ovisno o tipu publikacije i tome ima li unaprijed određene korisnike ili je dostupna na zahtjev). Podaci o broju posjeta web objavama prikupljaju se svakih šest mjeseci.</w:t>
            </w:r>
          </w:p>
        </w:tc>
      </w:tr>
    </w:tbl>
    <w:p w14:paraId="45D060F2" w14:textId="77777777" w:rsidR="00496804" w:rsidRDefault="0037359D">
      <w:pPr>
        <w:spacing w:line="240" w:lineRule="auto"/>
        <w:rPr>
          <w:rFonts w:ascii="Times New Roman" w:hAnsi="Times New Roman"/>
          <w:b/>
          <w:bCs/>
          <w:sz w:val="24"/>
          <w:lang w:eastAsia="en-US"/>
        </w:rPr>
      </w:pPr>
      <w:r>
        <w:rPr>
          <w:rFonts w:ascii="Times New Roman" w:hAnsi="Times New Roman"/>
          <w:b/>
          <w:bCs/>
          <w:sz w:val="24"/>
        </w:rPr>
        <w:lastRenderedPageBreak/>
        <w:t>PRAĆENJE</w:t>
      </w:r>
      <w:r>
        <w:rPr>
          <w:rFonts w:ascii="Times New Roman" w:hAnsi="Times New Roman"/>
          <w:b/>
          <w:bCs/>
          <w:sz w:val="24"/>
          <w:lang w:eastAsia="en-US"/>
        </w:rPr>
        <w:t xml:space="preserve"> POKAZATELJA REZULTATA RAZVOJNIH MJERA</w:t>
      </w:r>
    </w:p>
    <w:p w14:paraId="45D060F3" w14:textId="77777777" w:rsidR="00496804" w:rsidRDefault="00496804">
      <w:pPr>
        <w:spacing w:line="240" w:lineRule="auto"/>
        <w:rPr>
          <w:rFonts w:ascii="Times New Roman" w:hAnsi="Times New Roman"/>
          <w:b/>
          <w:bCs/>
          <w:sz w:val="24"/>
        </w:rPr>
      </w:pPr>
    </w:p>
    <w:p w14:paraId="45D060F4" w14:textId="77777777" w:rsidR="00496804" w:rsidRDefault="0037359D">
      <w:pPr>
        <w:spacing w:line="240" w:lineRule="auto"/>
        <w:rPr>
          <w:rFonts w:ascii="Times New Roman" w:eastAsia="Calibri" w:hAnsi="Times New Roman"/>
          <w:sz w:val="24"/>
          <w:lang w:eastAsia="en-US"/>
        </w:rPr>
      </w:pPr>
      <w:r>
        <w:rPr>
          <w:rFonts w:ascii="Times New Roman" w:hAnsi="Times New Roman"/>
          <w:i/>
          <w:iCs/>
          <w:sz w:val="24"/>
        </w:rPr>
        <w:t>Tablica 29. Praćenje pokazatelja rezultata razvojnih mjera posebnog cilja 1</w:t>
      </w:r>
    </w:p>
    <w:tbl>
      <w:tblPr>
        <w:tblStyle w:val="Reetkatablice3"/>
        <w:tblW w:w="0" w:type="auto"/>
        <w:shd w:val="clear" w:color="auto" w:fill="BEEBDE" w:themeFill="accent4" w:themeFillTint="66"/>
        <w:tblLook w:val="04A0" w:firstRow="1" w:lastRow="0" w:firstColumn="1" w:lastColumn="0" w:noHBand="0" w:noVBand="1"/>
      </w:tblPr>
      <w:tblGrid>
        <w:gridCol w:w="2550"/>
        <w:gridCol w:w="3541"/>
        <w:gridCol w:w="3397"/>
      </w:tblGrid>
      <w:tr w:rsidR="00496804" w14:paraId="45D060F6" w14:textId="77777777">
        <w:tc>
          <w:tcPr>
            <w:tcW w:w="9488" w:type="dxa"/>
            <w:gridSpan w:val="3"/>
            <w:shd w:val="clear" w:color="auto" w:fill="FFB279" w:themeFill="accent5" w:themeFillTint="99"/>
          </w:tcPr>
          <w:p w14:paraId="45D060F5" w14:textId="77777777" w:rsidR="00496804" w:rsidRDefault="0037359D">
            <w:pPr>
              <w:spacing w:line="240" w:lineRule="auto"/>
              <w:ind w:left="22"/>
              <w:rPr>
                <w:rFonts w:ascii="Times New Roman" w:eastAsia="Calibri" w:hAnsi="Times New Roman"/>
                <w:sz w:val="24"/>
                <w:lang w:eastAsia="en-US"/>
              </w:rPr>
            </w:pPr>
            <w:r>
              <w:rPr>
                <w:rFonts w:ascii="Times New Roman" w:eastAsia="Calibri" w:hAnsi="Times New Roman"/>
                <w:b/>
                <w:bCs/>
                <w:sz w:val="24"/>
                <w:lang w:eastAsia="en-US"/>
              </w:rPr>
              <w:t>Naziv posebnog cilja</w:t>
            </w:r>
            <w:r>
              <w:rPr>
                <w:rFonts w:ascii="Times New Roman" w:eastAsia="Calibri" w:hAnsi="Times New Roman"/>
                <w:sz w:val="24"/>
                <w:lang w:eastAsia="en-US"/>
              </w:rPr>
              <w:t xml:space="preserve">: 1. Razvoj sustava kružnog gospodarenja prostorom i zgradama  </w:t>
            </w:r>
          </w:p>
        </w:tc>
      </w:tr>
      <w:tr w:rsidR="00496804" w14:paraId="45D060F8" w14:textId="77777777">
        <w:tblPrEx>
          <w:shd w:val="clear" w:color="auto" w:fill="auto"/>
        </w:tblPrEx>
        <w:tc>
          <w:tcPr>
            <w:tcW w:w="9488" w:type="dxa"/>
            <w:gridSpan w:val="3"/>
            <w:shd w:val="clear" w:color="auto" w:fill="FFCCA6" w:themeFill="accent5" w:themeFillTint="66"/>
          </w:tcPr>
          <w:p w14:paraId="45D060F7"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razvojne mjere</w:t>
            </w:r>
            <w:r>
              <w:rPr>
                <w:rFonts w:ascii="Times New Roman" w:eastAsia="Calibri" w:hAnsi="Times New Roman"/>
                <w:sz w:val="24"/>
                <w:lang w:eastAsia="en-US"/>
              </w:rPr>
              <w:t>: 1.1. Evidentiranje podataka kružnog gospodarenja prostorom i zgradama u RH</w:t>
            </w:r>
          </w:p>
        </w:tc>
      </w:tr>
      <w:tr w:rsidR="00496804" w14:paraId="45D060FA" w14:textId="77777777">
        <w:tblPrEx>
          <w:shd w:val="clear" w:color="auto" w:fill="auto"/>
        </w:tblPrEx>
        <w:tc>
          <w:tcPr>
            <w:tcW w:w="9488" w:type="dxa"/>
            <w:gridSpan w:val="3"/>
            <w:shd w:val="clear" w:color="auto" w:fill="auto"/>
          </w:tcPr>
          <w:p w14:paraId="45D060F9"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pokazatelja</w:t>
            </w:r>
            <w:r>
              <w:rPr>
                <w:rFonts w:ascii="Times New Roman" w:eastAsia="Calibri" w:hAnsi="Times New Roman"/>
                <w:sz w:val="24"/>
                <w:lang w:eastAsia="en-US"/>
              </w:rPr>
              <w:t>: Izrađena nacionalna baza podataka kružnog gospodarenja prostorom i zgradama u RH</w:t>
            </w:r>
          </w:p>
        </w:tc>
      </w:tr>
      <w:tr w:rsidR="00496804" w14:paraId="45D060FE" w14:textId="77777777">
        <w:tblPrEx>
          <w:shd w:val="clear" w:color="auto" w:fill="auto"/>
        </w:tblPrEx>
        <w:tc>
          <w:tcPr>
            <w:tcW w:w="2550" w:type="dxa"/>
            <w:shd w:val="clear" w:color="auto" w:fill="auto"/>
          </w:tcPr>
          <w:p w14:paraId="45D060FB"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Mjerna jedinica</w:t>
            </w:r>
            <w:r>
              <w:rPr>
                <w:rFonts w:ascii="Times New Roman" w:eastAsia="Calibri" w:hAnsi="Times New Roman"/>
                <w:sz w:val="24"/>
                <w:lang w:eastAsia="en-US"/>
              </w:rPr>
              <w:t>: broj</w:t>
            </w:r>
          </w:p>
        </w:tc>
        <w:tc>
          <w:tcPr>
            <w:tcW w:w="3541" w:type="dxa"/>
            <w:shd w:val="clear" w:color="auto" w:fill="auto"/>
          </w:tcPr>
          <w:p w14:paraId="45D060FC"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Početna vrijednost</w:t>
            </w:r>
            <w:r>
              <w:rPr>
                <w:rFonts w:ascii="Times New Roman" w:eastAsia="Calibri" w:hAnsi="Times New Roman"/>
                <w:sz w:val="24"/>
                <w:lang w:eastAsia="en-US"/>
              </w:rPr>
              <w:t>: 0</w:t>
            </w:r>
          </w:p>
        </w:tc>
        <w:tc>
          <w:tcPr>
            <w:tcW w:w="3397" w:type="dxa"/>
            <w:shd w:val="clear" w:color="auto" w:fill="auto"/>
          </w:tcPr>
          <w:p w14:paraId="45D060FD"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Ciljana vrijednost 2030</w:t>
            </w:r>
            <w:r>
              <w:rPr>
                <w:rFonts w:ascii="Times New Roman" w:eastAsia="Calibri" w:hAnsi="Times New Roman"/>
                <w:sz w:val="24"/>
                <w:lang w:eastAsia="en-US"/>
              </w:rPr>
              <w:t>.: 1</w:t>
            </w:r>
          </w:p>
        </w:tc>
      </w:tr>
      <w:tr w:rsidR="00496804" w14:paraId="45D06100" w14:textId="77777777">
        <w:tblPrEx>
          <w:shd w:val="clear" w:color="auto" w:fill="auto"/>
        </w:tblPrEx>
        <w:tc>
          <w:tcPr>
            <w:tcW w:w="9488" w:type="dxa"/>
            <w:gridSpan w:val="3"/>
            <w:shd w:val="clear" w:color="auto" w:fill="auto"/>
          </w:tcPr>
          <w:p w14:paraId="45D060FF"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Izvor podataka</w:t>
            </w:r>
            <w:r>
              <w:rPr>
                <w:rFonts w:ascii="Times New Roman" w:eastAsia="Calibri" w:hAnsi="Times New Roman"/>
                <w:sz w:val="24"/>
                <w:lang w:eastAsia="en-US"/>
              </w:rPr>
              <w:t>: Podaci ministarstva nadležnog za poslove prostornoga uređenja, graditeljstva i državne imovine / Izvješće o provedbi aktivnosti uspostave nacionalne baze prostornih podataka kružnog gospodarenja prostorom i zgradama</w:t>
            </w:r>
          </w:p>
        </w:tc>
      </w:tr>
      <w:tr w:rsidR="00496804" w14:paraId="45D06102" w14:textId="77777777">
        <w:tblPrEx>
          <w:shd w:val="clear" w:color="auto" w:fill="auto"/>
        </w:tblPrEx>
        <w:tc>
          <w:tcPr>
            <w:tcW w:w="9488" w:type="dxa"/>
            <w:gridSpan w:val="3"/>
            <w:shd w:val="clear" w:color="auto" w:fill="auto"/>
          </w:tcPr>
          <w:p w14:paraId="45D06101"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Metoda praćenja pokazatelja</w:t>
            </w:r>
            <w:r>
              <w:rPr>
                <w:rFonts w:ascii="Times New Roman" w:eastAsia="Calibri" w:hAnsi="Times New Roman"/>
                <w:sz w:val="24"/>
                <w:lang w:eastAsia="en-US"/>
              </w:rPr>
              <w:t>: Izvršitelj usluge izrade nacionalne baze prostornih podataka kružnog gospodarenja prostorom i zgradama po dovršetku usluge izrađuje završno izvješće koje sadrži prikaz cjelokupnih rezultata. Ministarstvo nadležno za poslove prostornoga uređenja, graditeljstva i državne imovine upravlja bazom te kontinuirano ima uvid u stanje realizacije iste.</w:t>
            </w:r>
          </w:p>
        </w:tc>
      </w:tr>
      <w:tr w:rsidR="00496804" w14:paraId="45D06104" w14:textId="77777777">
        <w:tblPrEx>
          <w:shd w:val="clear" w:color="auto" w:fill="auto"/>
        </w:tblPrEx>
        <w:tc>
          <w:tcPr>
            <w:tcW w:w="9488" w:type="dxa"/>
            <w:gridSpan w:val="3"/>
            <w:shd w:val="clear" w:color="auto" w:fill="FFCCA6" w:themeFill="accent5" w:themeFillTint="66"/>
          </w:tcPr>
          <w:p w14:paraId="45D06103"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razvojne mjere</w:t>
            </w:r>
            <w:r>
              <w:rPr>
                <w:rFonts w:ascii="Times New Roman" w:eastAsia="Calibri" w:hAnsi="Times New Roman"/>
                <w:sz w:val="24"/>
                <w:lang w:eastAsia="en-US"/>
              </w:rPr>
              <w:t>: 1.2. Osiguranje preduvjeta za razvoj kružnog gospodarenja prostorom i zgradama</w:t>
            </w:r>
          </w:p>
        </w:tc>
      </w:tr>
      <w:tr w:rsidR="00496804" w14:paraId="45D06106" w14:textId="77777777">
        <w:tblPrEx>
          <w:shd w:val="clear" w:color="auto" w:fill="auto"/>
        </w:tblPrEx>
        <w:tc>
          <w:tcPr>
            <w:tcW w:w="9488" w:type="dxa"/>
            <w:gridSpan w:val="3"/>
            <w:shd w:val="clear" w:color="auto" w:fill="auto"/>
          </w:tcPr>
          <w:p w14:paraId="45D06105"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pokazatelja</w:t>
            </w:r>
            <w:r>
              <w:rPr>
                <w:rFonts w:ascii="Times New Roman" w:eastAsia="Calibri" w:hAnsi="Times New Roman"/>
                <w:sz w:val="24"/>
                <w:lang w:eastAsia="en-US"/>
              </w:rPr>
              <w:t>: Izrađeni dokumenti kojima se definiraju metodologije i smjernice za razvoj kružnog gospodarenja prostorom i zgradama</w:t>
            </w:r>
          </w:p>
        </w:tc>
      </w:tr>
      <w:tr w:rsidR="00496804" w14:paraId="45D0610A" w14:textId="77777777">
        <w:tblPrEx>
          <w:shd w:val="clear" w:color="auto" w:fill="auto"/>
        </w:tblPrEx>
        <w:tc>
          <w:tcPr>
            <w:tcW w:w="2550" w:type="dxa"/>
            <w:shd w:val="clear" w:color="auto" w:fill="auto"/>
          </w:tcPr>
          <w:p w14:paraId="45D06107"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Mjerna jedinica</w:t>
            </w:r>
            <w:r>
              <w:rPr>
                <w:rFonts w:ascii="Times New Roman" w:eastAsia="Calibri" w:hAnsi="Times New Roman"/>
                <w:sz w:val="24"/>
                <w:lang w:eastAsia="en-US"/>
              </w:rPr>
              <w:t>: broj</w:t>
            </w:r>
          </w:p>
        </w:tc>
        <w:tc>
          <w:tcPr>
            <w:tcW w:w="3541" w:type="dxa"/>
            <w:shd w:val="clear" w:color="auto" w:fill="auto"/>
          </w:tcPr>
          <w:p w14:paraId="45D06108"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Početna vrijednost</w:t>
            </w:r>
            <w:r>
              <w:rPr>
                <w:rFonts w:ascii="Times New Roman" w:eastAsia="Calibri" w:hAnsi="Times New Roman"/>
                <w:sz w:val="24"/>
                <w:lang w:eastAsia="en-US"/>
              </w:rPr>
              <w:t>: 0</w:t>
            </w:r>
          </w:p>
        </w:tc>
        <w:tc>
          <w:tcPr>
            <w:tcW w:w="3397" w:type="dxa"/>
            <w:shd w:val="clear" w:color="auto" w:fill="auto"/>
          </w:tcPr>
          <w:p w14:paraId="45D06109"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Ciljana vrijednost 2030</w:t>
            </w:r>
            <w:r>
              <w:rPr>
                <w:rFonts w:ascii="Times New Roman" w:eastAsia="Calibri" w:hAnsi="Times New Roman"/>
                <w:sz w:val="24"/>
                <w:lang w:eastAsia="en-US"/>
              </w:rPr>
              <w:t>.: 4</w:t>
            </w:r>
          </w:p>
        </w:tc>
      </w:tr>
      <w:tr w:rsidR="00496804" w14:paraId="45D0610C" w14:textId="77777777">
        <w:tblPrEx>
          <w:shd w:val="clear" w:color="auto" w:fill="auto"/>
        </w:tblPrEx>
        <w:tc>
          <w:tcPr>
            <w:tcW w:w="9488" w:type="dxa"/>
            <w:gridSpan w:val="3"/>
            <w:shd w:val="clear" w:color="auto" w:fill="auto"/>
          </w:tcPr>
          <w:p w14:paraId="45D0610B"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Izvor podataka</w:t>
            </w:r>
            <w:r>
              <w:rPr>
                <w:rFonts w:ascii="Times New Roman" w:eastAsia="Calibri" w:hAnsi="Times New Roman"/>
                <w:sz w:val="24"/>
                <w:lang w:eastAsia="en-US"/>
              </w:rPr>
              <w:t>: Podaci ministarstva nadležnog za poslove prostornoga uređenja, graditeljstva i državne imovine / Izvješća izvršitelja usluge o izrađenim dokumentima</w:t>
            </w:r>
          </w:p>
        </w:tc>
      </w:tr>
      <w:tr w:rsidR="00496804" w14:paraId="45D0610E" w14:textId="77777777">
        <w:tblPrEx>
          <w:shd w:val="clear" w:color="auto" w:fill="auto"/>
        </w:tblPrEx>
        <w:tc>
          <w:tcPr>
            <w:tcW w:w="9488" w:type="dxa"/>
            <w:gridSpan w:val="3"/>
            <w:shd w:val="clear" w:color="auto" w:fill="auto"/>
          </w:tcPr>
          <w:p w14:paraId="45D0610D"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Metoda praćenja pokazatelja</w:t>
            </w:r>
            <w:r>
              <w:rPr>
                <w:rFonts w:ascii="Times New Roman" w:eastAsia="Calibri" w:hAnsi="Times New Roman"/>
                <w:sz w:val="24"/>
                <w:lang w:eastAsia="en-US"/>
              </w:rPr>
              <w:t>: Izvršitelji usluge izrade dokumenata kojima se definiraju metodologije i smjernice za razvoj kružnog gospodarenja prostorom i zgradama podnose po dovršetku usluge (izradi dokumenata) završno izvješće ministarstvu nadležnom za poslove prostornoga uređenja, graditeljstva i državne imovine.</w:t>
            </w:r>
          </w:p>
        </w:tc>
      </w:tr>
      <w:tr w:rsidR="00496804" w14:paraId="45D06110" w14:textId="77777777">
        <w:tblPrEx>
          <w:shd w:val="clear" w:color="auto" w:fill="auto"/>
        </w:tblPrEx>
        <w:tc>
          <w:tcPr>
            <w:tcW w:w="9488" w:type="dxa"/>
            <w:gridSpan w:val="3"/>
            <w:shd w:val="clear" w:color="auto" w:fill="FFCCA6" w:themeFill="accent5" w:themeFillTint="66"/>
          </w:tcPr>
          <w:p w14:paraId="45D0610F"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razvojne mjere</w:t>
            </w:r>
            <w:r>
              <w:rPr>
                <w:rFonts w:ascii="Times New Roman" w:eastAsia="Calibri" w:hAnsi="Times New Roman"/>
                <w:sz w:val="24"/>
                <w:lang w:eastAsia="en-US"/>
              </w:rPr>
              <w:t>: 1.3. Izrada strateških dokumenata razvoja kružnog gospodarenja prostorom i zgradama</w:t>
            </w:r>
          </w:p>
        </w:tc>
      </w:tr>
      <w:tr w:rsidR="00496804" w14:paraId="45D06112" w14:textId="77777777">
        <w:tblPrEx>
          <w:shd w:val="clear" w:color="auto" w:fill="auto"/>
        </w:tblPrEx>
        <w:tc>
          <w:tcPr>
            <w:tcW w:w="9488" w:type="dxa"/>
            <w:gridSpan w:val="3"/>
            <w:shd w:val="clear" w:color="auto" w:fill="auto"/>
          </w:tcPr>
          <w:p w14:paraId="45D06111"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pokazatelja</w:t>
            </w:r>
            <w:r>
              <w:rPr>
                <w:rFonts w:ascii="Times New Roman" w:eastAsia="Calibri" w:hAnsi="Times New Roman"/>
                <w:sz w:val="24"/>
                <w:lang w:eastAsia="en-US"/>
              </w:rPr>
              <w:t>: Izrađeni strateški dokumenti razvoja kružnog gospodarenja prostorom i zgradama</w:t>
            </w:r>
          </w:p>
        </w:tc>
      </w:tr>
      <w:tr w:rsidR="00496804" w14:paraId="45D06116" w14:textId="77777777">
        <w:tblPrEx>
          <w:shd w:val="clear" w:color="auto" w:fill="auto"/>
        </w:tblPrEx>
        <w:tc>
          <w:tcPr>
            <w:tcW w:w="2550" w:type="dxa"/>
            <w:shd w:val="clear" w:color="auto" w:fill="auto"/>
          </w:tcPr>
          <w:p w14:paraId="45D06113"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Mjerna jedinica</w:t>
            </w:r>
            <w:r>
              <w:rPr>
                <w:rFonts w:ascii="Times New Roman" w:eastAsia="Calibri" w:hAnsi="Times New Roman"/>
                <w:sz w:val="24"/>
                <w:lang w:eastAsia="en-US"/>
              </w:rPr>
              <w:t>: broj</w:t>
            </w:r>
          </w:p>
        </w:tc>
        <w:tc>
          <w:tcPr>
            <w:tcW w:w="3541" w:type="dxa"/>
            <w:shd w:val="clear" w:color="auto" w:fill="auto"/>
          </w:tcPr>
          <w:p w14:paraId="45D06114"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Početna vrijednost</w:t>
            </w:r>
            <w:r>
              <w:rPr>
                <w:rFonts w:ascii="Times New Roman" w:eastAsia="Calibri" w:hAnsi="Times New Roman"/>
                <w:sz w:val="24"/>
                <w:lang w:eastAsia="en-US"/>
              </w:rPr>
              <w:t>: 0</w:t>
            </w:r>
          </w:p>
        </w:tc>
        <w:tc>
          <w:tcPr>
            <w:tcW w:w="3397" w:type="dxa"/>
            <w:shd w:val="clear" w:color="auto" w:fill="auto"/>
          </w:tcPr>
          <w:p w14:paraId="45D06115"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Ciljana vrijednost 2030</w:t>
            </w:r>
            <w:r>
              <w:rPr>
                <w:rFonts w:ascii="Times New Roman" w:eastAsia="Calibri" w:hAnsi="Times New Roman"/>
                <w:sz w:val="24"/>
                <w:lang w:eastAsia="en-US"/>
              </w:rPr>
              <w:t>.: 100</w:t>
            </w:r>
          </w:p>
        </w:tc>
      </w:tr>
      <w:tr w:rsidR="00496804" w14:paraId="45D06118" w14:textId="77777777">
        <w:tblPrEx>
          <w:shd w:val="clear" w:color="auto" w:fill="auto"/>
        </w:tblPrEx>
        <w:tc>
          <w:tcPr>
            <w:tcW w:w="9488" w:type="dxa"/>
            <w:gridSpan w:val="3"/>
            <w:shd w:val="clear" w:color="auto" w:fill="auto"/>
          </w:tcPr>
          <w:p w14:paraId="45D06117"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Izvor podataka</w:t>
            </w:r>
            <w:r>
              <w:rPr>
                <w:rFonts w:ascii="Times New Roman" w:eastAsia="Calibri" w:hAnsi="Times New Roman"/>
                <w:sz w:val="24"/>
                <w:lang w:eastAsia="en-US"/>
              </w:rPr>
              <w:t>: Podaci ministarstva nadležnog za poslove prostornoga uređenja, graditeljstva  i  državne imovine</w:t>
            </w:r>
          </w:p>
        </w:tc>
      </w:tr>
      <w:tr w:rsidR="00496804" w14:paraId="45D0611A" w14:textId="77777777">
        <w:tblPrEx>
          <w:shd w:val="clear" w:color="auto" w:fill="auto"/>
        </w:tblPrEx>
        <w:tc>
          <w:tcPr>
            <w:tcW w:w="9488" w:type="dxa"/>
            <w:gridSpan w:val="3"/>
            <w:shd w:val="clear" w:color="auto" w:fill="auto"/>
          </w:tcPr>
          <w:p w14:paraId="45D06119"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Metoda praćenja pokazatelja</w:t>
            </w:r>
            <w:r>
              <w:rPr>
                <w:rFonts w:ascii="Times New Roman" w:eastAsia="Calibri" w:hAnsi="Times New Roman"/>
                <w:sz w:val="24"/>
                <w:lang w:eastAsia="en-US"/>
              </w:rPr>
              <w:t xml:space="preserve">: Jedinice lokalne i područne (regionalne) samouprave po dovršetku izrade strateških dokumenata razvoja kružnog gospodarenja prostorom i zgradama navedene dokumente dostavljaju ministarstvu nadležnom za poslove prostornoga uređenja, graditeljstva i državne imovine, koje ih pohranjuje u jedinstvenu bazu. </w:t>
            </w:r>
          </w:p>
        </w:tc>
      </w:tr>
      <w:tr w:rsidR="00496804" w14:paraId="45D0611C" w14:textId="77777777">
        <w:tblPrEx>
          <w:shd w:val="clear" w:color="auto" w:fill="auto"/>
        </w:tblPrEx>
        <w:tc>
          <w:tcPr>
            <w:tcW w:w="9488" w:type="dxa"/>
            <w:gridSpan w:val="3"/>
            <w:shd w:val="clear" w:color="auto" w:fill="FFCCA6" w:themeFill="accent5" w:themeFillTint="66"/>
          </w:tcPr>
          <w:p w14:paraId="45D0611B"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razvojne mjere</w:t>
            </w:r>
            <w:r>
              <w:rPr>
                <w:rFonts w:ascii="Times New Roman" w:eastAsia="Calibri" w:hAnsi="Times New Roman"/>
                <w:sz w:val="24"/>
                <w:lang w:eastAsia="en-US"/>
              </w:rPr>
              <w:t>: 1.4. Razvoj i izrada digitalne baze projekata</w:t>
            </w:r>
          </w:p>
        </w:tc>
      </w:tr>
      <w:tr w:rsidR="00496804" w14:paraId="45D0611E" w14:textId="77777777">
        <w:tblPrEx>
          <w:shd w:val="clear" w:color="auto" w:fill="auto"/>
        </w:tblPrEx>
        <w:tc>
          <w:tcPr>
            <w:tcW w:w="9488" w:type="dxa"/>
            <w:gridSpan w:val="3"/>
            <w:shd w:val="clear" w:color="auto" w:fill="auto"/>
          </w:tcPr>
          <w:p w14:paraId="45D0611D"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pokazatelja</w:t>
            </w:r>
            <w:r>
              <w:rPr>
                <w:rFonts w:ascii="Times New Roman" w:eastAsia="Calibri" w:hAnsi="Times New Roman"/>
                <w:sz w:val="24"/>
                <w:lang w:eastAsia="en-US"/>
              </w:rPr>
              <w:t>: Izrađena digitalna baza projekata kružnog gospodarenja prostorom i zgradama</w:t>
            </w:r>
          </w:p>
        </w:tc>
      </w:tr>
      <w:tr w:rsidR="00496804" w14:paraId="45D06122" w14:textId="77777777">
        <w:tblPrEx>
          <w:shd w:val="clear" w:color="auto" w:fill="auto"/>
        </w:tblPrEx>
        <w:tc>
          <w:tcPr>
            <w:tcW w:w="2550" w:type="dxa"/>
            <w:shd w:val="clear" w:color="auto" w:fill="auto"/>
          </w:tcPr>
          <w:p w14:paraId="45D0611F"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Mjerna jedinica</w:t>
            </w:r>
            <w:r>
              <w:rPr>
                <w:rFonts w:ascii="Times New Roman" w:eastAsia="Calibri" w:hAnsi="Times New Roman"/>
                <w:sz w:val="24"/>
                <w:lang w:eastAsia="en-US"/>
              </w:rPr>
              <w:t>: broj</w:t>
            </w:r>
          </w:p>
        </w:tc>
        <w:tc>
          <w:tcPr>
            <w:tcW w:w="3541" w:type="dxa"/>
            <w:shd w:val="clear" w:color="auto" w:fill="auto"/>
          </w:tcPr>
          <w:p w14:paraId="45D06120"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Početna vrijednost</w:t>
            </w:r>
            <w:r>
              <w:rPr>
                <w:rFonts w:ascii="Times New Roman" w:eastAsia="Calibri" w:hAnsi="Times New Roman"/>
                <w:sz w:val="24"/>
                <w:lang w:eastAsia="en-US"/>
              </w:rPr>
              <w:t>: 0</w:t>
            </w:r>
          </w:p>
        </w:tc>
        <w:tc>
          <w:tcPr>
            <w:tcW w:w="3397" w:type="dxa"/>
            <w:shd w:val="clear" w:color="auto" w:fill="auto"/>
          </w:tcPr>
          <w:p w14:paraId="45D06121"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Ciljana vrijednost 2030</w:t>
            </w:r>
            <w:r>
              <w:rPr>
                <w:rFonts w:ascii="Times New Roman" w:eastAsia="Calibri" w:hAnsi="Times New Roman"/>
                <w:sz w:val="24"/>
                <w:lang w:eastAsia="en-US"/>
              </w:rPr>
              <w:t>.: 1</w:t>
            </w:r>
          </w:p>
        </w:tc>
      </w:tr>
      <w:tr w:rsidR="00496804" w14:paraId="45D06124" w14:textId="77777777">
        <w:tblPrEx>
          <w:shd w:val="clear" w:color="auto" w:fill="auto"/>
        </w:tblPrEx>
        <w:tc>
          <w:tcPr>
            <w:tcW w:w="9488" w:type="dxa"/>
            <w:gridSpan w:val="3"/>
            <w:shd w:val="clear" w:color="auto" w:fill="auto"/>
          </w:tcPr>
          <w:p w14:paraId="45D06123"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Izvor podataka</w:t>
            </w:r>
            <w:r>
              <w:rPr>
                <w:rFonts w:ascii="Times New Roman" w:eastAsia="Calibri" w:hAnsi="Times New Roman"/>
                <w:sz w:val="24"/>
                <w:lang w:eastAsia="en-US"/>
              </w:rPr>
              <w:t>: Podaci ministarstva nadležnog za poslove prostornoga uređenja, graditeljstva i državne imovine / Izvješće o provedbi aktivnosti izrade digitalne baze projekata kružnog gospodarenja prostorom i zgradama</w:t>
            </w:r>
          </w:p>
        </w:tc>
      </w:tr>
      <w:tr w:rsidR="00496804" w14:paraId="45D06126" w14:textId="77777777">
        <w:tblPrEx>
          <w:shd w:val="clear" w:color="auto" w:fill="auto"/>
        </w:tblPrEx>
        <w:tc>
          <w:tcPr>
            <w:tcW w:w="9488" w:type="dxa"/>
            <w:gridSpan w:val="3"/>
            <w:shd w:val="clear" w:color="auto" w:fill="auto"/>
          </w:tcPr>
          <w:p w14:paraId="45D06125"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Metoda praćenja pokazatelja</w:t>
            </w:r>
            <w:r>
              <w:rPr>
                <w:rFonts w:ascii="Times New Roman" w:eastAsia="Calibri" w:hAnsi="Times New Roman"/>
                <w:sz w:val="24"/>
                <w:lang w:eastAsia="en-US"/>
              </w:rPr>
              <w:t xml:space="preserve">: Izvršitelj usluge izrade digitalne baze projekata kružnog gospodarenja prostorom i zgradama po dovršetku usluge izrađuje završno izvješće koje sadrži </w:t>
            </w:r>
            <w:r>
              <w:rPr>
                <w:rFonts w:ascii="Times New Roman" w:eastAsia="Calibri" w:hAnsi="Times New Roman"/>
                <w:sz w:val="24"/>
                <w:lang w:eastAsia="en-US"/>
              </w:rPr>
              <w:lastRenderedPageBreak/>
              <w:t>prikaz cjelokupnih rezultata. Ministarstvo nadležno za poslove prostornoga uređenja, graditeljstva i državne imovine upravlja bazom te kontinuirano ima uvid u stanje realizacije iste.</w:t>
            </w:r>
          </w:p>
        </w:tc>
      </w:tr>
      <w:tr w:rsidR="00496804" w14:paraId="45D06128" w14:textId="77777777">
        <w:tblPrEx>
          <w:shd w:val="clear" w:color="auto" w:fill="auto"/>
        </w:tblPrEx>
        <w:tc>
          <w:tcPr>
            <w:tcW w:w="9488" w:type="dxa"/>
            <w:gridSpan w:val="3"/>
            <w:shd w:val="clear" w:color="auto" w:fill="FFCCA6" w:themeFill="accent5" w:themeFillTint="66"/>
          </w:tcPr>
          <w:p w14:paraId="45D06127"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lastRenderedPageBreak/>
              <w:t>Naziv razvojne mjere</w:t>
            </w:r>
            <w:r>
              <w:rPr>
                <w:rFonts w:ascii="Times New Roman" w:eastAsia="Calibri" w:hAnsi="Times New Roman"/>
                <w:sz w:val="24"/>
                <w:lang w:eastAsia="en-US"/>
              </w:rPr>
              <w:t>: 1.5. Unaprjeđenje međusektorske i međunarodne suradnje</w:t>
            </w:r>
          </w:p>
        </w:tc>
      </w:tr>
      <w:tr w:rsidR="00496804" w14:paraId="45D0612A" w14:textId="77777777">
        <w:tblPrEx>
          <w:shd w:val="clear" w:color="auto" w:fill="auto"/>
        </w:tblPrEx>
        <w:tc>
          <w:tcPr>
            <w:tcW w:w="9488" w:type="dxa"/>
            <w:gridSpan w:val="3"/>
            <w:shd w:val="clear" w:color="auto" w:fill="auto"/>
          </w:tcPr>
          <w:p w14:paraId="45D06129"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pokazatelja</w:t>
            </w:r>
            <w:r>
              <w:rPr>
                <w:rFonts w:ascii="Times New Roman" w:eastAsia="Calibri" w:hAnsi="Times New Roman"/>
                <w:sz w:val="24"/>
                <w:lang w:eastAsia="en-US"/>
              </w:rPr>
              <w:t xml:space="preserve">: Organizirana vlastita međunarodna događanja od strane tijela nadležnog za izradu i provedbu ovog Programa i sudjelovanja djelatnika nadležnog tijela na međunarodnim događanjima u inozemstvu, na temu kružnog gospodarenja prostorom i zgradama i povezanih tema  </w:t>
            </w:r>
          </w:p>
        </w:tc>
      </w:tr>
      <w:tr w:rsidR="00496804" w14:paraId="45D0612E" w14:textId="77777777">
        <w:tblPrEx>
          <w:shd w:val="clear" w:color="auto" w:fill="auto"/>
        </w:tblPrEx>
        <w:tc>
          <w:tcPr>
            <w:tcW w:w="2550" w:type="dxa"/>
            <w:shd w:val="clear" w:color="auto" w:fill="auto"/>
          </w:tcPr>
          <w:p w14:paraId="45D0612B"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Mjerna jedinica</w:t>
            </w:r>
            <w:r>
              <w:rPr>
                <w:rFonts w:ascii="Times New Roman" w:eastAsia="Calibri" w:hAnsi="Times New Roman"/>
                <w:sz w:val="24"/>
                <w:lang w:eastAsia="en-US"/>
              </w:rPr>
              <w:t>: broj</w:t>
            </w:r>
          </w:p>
        </w:tc>
        <w:tc>
          <w:tcPr>
            <w:tcW w:w="3541" w:type="dxa"/>
            <w:shd w:val="clear" w:color="auto" w:fill="auto"/>
          </w:tcPr>
          <w:p w14:paraId="45D0612C"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Početna vrijednost</w:t>
            </w:r>
            <w:r>
              <w:rPr>
                <w:rFonts w:ascii="Times New Roman" w:eastAsia="Calibri" w:hAnsi="Times New Roman"/>
                <w:sz w:val="24"/>
                <w:lang w:eastAsia="en-US"/>
              </w:rPr>
              <w:t>: 0</w:t>
            </w:r>
          </w:p>
        </w:tc>
        <w:tc>
          <w:tcPr>
            <w:tcW w:w="3397" w:type="dxa"/>
            <w:shd w:val="clear" w:color="auto" w:fill="auto"/>
          </w:tcPr>
          <w:p w14:paraId="45D0612D"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Ciljana vrijednost 2030</w:t>
            </w:r>
            <w:r>
              <w:rPr>
                <w:rFonts w:ascii="Times New Roman" w:eastAsia="Calibri" w:hAnsi="Times New Roman"/>
                <w:sz w:val="24"/>
                <w:lang w:eastAsia="en-US"/>
              </w:rPr>
              <w:t>.: 20</w:t>
            </w:r>
          </w:p>
        </w:tc>
      </w:tr>
      <w:tr w:rsidR="00496804" w14:paraId="45D06130" w14:textId="77777777">
        <w:tblPrEx>
          <w:shd w:val="clear" w:color="auto" w:fill="auto"/>
        </w:tblPrEx>
        <w:tc>
          <w:tcPr>
            <w:tcW w:w="9488" w:type="dxa"/>
            <w:gridSpan w:val="3"/>
            <w:shd w:val="clear" w:color="auto" w:fill="auto"/>
          </w:tcPr>
          <w:p w14:paraId="45D0612F"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Izvor podataka</w:t>
            </w:r>
            <w:r>
              <w:rPr>
                <w:rFonts w:ascii="Times New Roman" w:eastAsia="Calibri" w:hAnsi="Times New Roman"/>
                <w:sz w:val="24"/>
                <w:lang w:eastAsia="en-US"/>
              </w:rPr>
              <w:t>: Podaci ministarstva nadležnog za poslove prostornoga uređenja, graditeljstva i državne imovine / Izvješća o organiziranim i održanim međunarodnim događanjima u organizaciji ministarstva / Izvješća o sudjelovanju djelatnika ministarstva na međunarodnim događanjima, konferencijama, seminarima i studijskim putovanjima u inozemstvo (putni nalozi i sl.)</w:t>
            </w:r>
          </w:p>
        </w:tc>
      </w:tr>
      <w:tr w:rsidR="00496804" w14:paraId="45D06132" w14:textId="77777777">
        <w:tblPrEx>
          <w:shd w:val="clear" w:color="auto" w:fill="auto"/>
        </w:tblPrEx>
        <w:tc>
          <w:tcPr>
            <w:tcW w:w="9488" w:type="dxa"/>
            <w:gridSpan w:val="3"/>
            <w:shd w:val="clear" w:color="auto" w:fill="auto"/>
          </w:tcPr>
          <w:p w14:paraId="45D06131"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Metoda praćenja pokazatelja</w:t>
            </w:r>
            <w:r>
              <w:rPr>
                <w:rFonts w:ascii="Times New Roman" w:eastAsia="Calibri" w:hAnsi="Times New Roman"/>
                <w:sz w:val="24"/>
                <w:lang w:eastAsia="en-US"/>
              </w:rPr>
              <w:t>: Podaci o ostvarenju pokazatelja prikupljaju se kontinuirano, prema organizaciji vlastitih događanja te sudjelovanju djelatnika ministarstva na događanjima u inozemstvu. Osoba zadužena za praćenje pokazatelja prema potrebi, a najmanje svakih šest mjeseci, prikuplja podatke od ostalih ustrojstvenih jedinica ministarstva o održanim međunarodnim događanjima i sudjelovanju na inozemnim događanjima na temu kružnog gospodarenja prostorom i zgradama i povezanih tema.</w:t>
            </w:r>
          </w:p>
        </w:tc>
      </w:tr>
    </w:tbl>
    <w:p w14:paraId="45D06133" w14:textId="77777777" w:rsidR="00496804" w:rsidRDefault="00496804">
      <w:pPr>
        <w:spacing w:line="240" w:lineRule="auto"/>
        <w:jc w:val="left"/>
        <w:rPr>
          <w:rFonts w:ascii="Times New Roman" w:eastAsia="Calibri" w:hAnsi="Times New Roman"/>
          <w:sz w:val="24"/>
          <w:lang w:eastAsia="en-US"/>
        </w:rPr>
      </w:pPr>
    </w:p>
    <w:p w14:paraId="45D06134" w14:textId="77777777" w:rsidR="00496804" w:rsidRDefault="0037359D">
      <w:pPr>
        <w:spacing w:line="240" w:lineRule="auto"/>
        <w:rPr>
          <w:rFonts w:ascii="Times New Roman" w:eastAsia="Calibri" w:hAnsi="Times New Roman"/>
          <w:sz w:val="24"/>
          <w:lang w:eastAsia="en-US"/>
        </w:rPr>
      </w:pPr>
      <w:r>
        <w:rPr>
          <w:rFonts w:ascii="Times New Roman" w:hAnsi="Times New Roman"/>
          <w:i/>
          <w:iCs/>
          <w:sz w:val="24"/>
        </w:rPr>
        <w:t>Tablica 30. Praćenje pokazatelja rezultata razvojnih mjera posebnog cilja 2</w:t>
      </w:r>
    </w:p>
    <w:tbl>
      <w:tblPr>
        <w:tblStyle w:val="Reetkatablice3"/>
        <w:tblW w:w="0" w:type="auto"/>
        <w:shd w:val="clear" w:color="auto" w:fill="BEEBDE" w:themeFill="accent4" w:themeFillTint="66"/>
        <w:tblLook w:val="04A0" w:firstRow="1" w:lastRow="0" w:firstColumn="1" w:lastColumn="0" w:noHBand="0" w:noVBand="1"/>
      </w:tblPr>
      <w:tblGrid>
        <w:gridCol w:w="2550"/>
        <w:gridCol w:w="3257"/>
        <w:gridCol w:w="284"/>
        <w:gridCol w:w="3397"/>
      </w:tblGrid>
      <w:tr w:rsidR="00496804" w14:paraId="45D06136" w14:textId="77777777">
        <w:tc>
          <w:tcPr>
            <w:tcW w:w="9488" w:type="dxa"/>
            <w:gridSpan w:val="4"/>
            <w:shd w:val="clear" w:color="auto" w:fill="FFB279" w:themeFill="accent5" w:themeFillTint="99"/>
          </w:tcPr>
          <w:p w14:paraId="45D06135"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posebnog cilja</w:t>
            </w:r>
            <w:r>
              <w:rPr>
                <w:rFonts w:ascii="Times New Roman" w:eastAsia="Calibri" w:hAnsi="Times New Roman"/>
                <w:sz w:val="24"/>
                <w:lang w:eastAsia="en-US"/>
              </w:rPr>
              <w:t>: 2. Kružna obnova nekorištenih prostora i zgrada</w:t>
            </w:r>
          </w:p>
        </w:tc>
      </w:tr>
      <w:tr w:rsidR="00496804" w14:paraId="45D06138" w14:textId="77777777">
        <w:tblPrEx>
          <w:shd w:val="clear" w:color="auto" w:fill="auto"/>
        </w:tblPrEx>
        <w:tc>
          <w:tcPr>
            <w:tcW w:w="9488" w:type="dxa"/>
            <w:gridSpan w:val="4"/>
            <w:shd w:val="clear" w:color="auto" w:fill="FFCCA6" w:themeFill="accent5" w:themeFillTint="66"/>
          </w:tcPr>
          <w:p w14:paraId="45D06137"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razvojne mjere</w:t>
            </w:r>
            <w:r>
              <w:rPr>
                <w:rFonts w:ascii="Times New Roman" w:eastAsia="Calibri" w:hAnsi="Times New Roman"/>
                <w:sz w:val="24"/>
                <w:lang w:eastAsia="en-US"/>
              </w:rPr>
              <w:t>: 2.1. Provedba pilot projekata</w:t>
            </w:r>
          </w:p>
        </w:tc>
      </w:tr>
      <w:tr w:rsidR="00496804" w14:paraId="45D0613A" w14:textId="77777777">
        <w:tblPrEx>
          <w:shd w:val="clear" w:color="auto" w:fill="auto"/>
        </w:tblPrEx>
        <w:tc>
          <w:tcPr>
            <w:tcW w:w="9488" w:type="dxa"/>
            <w:gridSpan w:val="4"/>
            <w:shd w:val="clear" w:color="auto" w:fill="auto"/>
          </w:tcPr>
          <w:p w14:paraId="45D06139"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pokazatelja</w:t>
            </w:r>
            <w:r>
              <w:rPr>
                <w:rFonts w:ascii="Times New Roman" w:eastAsia="Calibri" w:hAnsi="Times New Roman"/>
                <w:sz w:val="24"/>
                <w:lang w:eastAsia="en-US"/>
              </w:rPr>
              <w:t>: Građevinska bruto površina (GBP) kružno obnovljenih zgrada u okviru pilot projekata</w:t>
            </w:r>
          </w:p>
        </w:tc>
      </w:tr>
      <w:tr w:rsidR="00496804" w14:paraId="45D0613E" w14:textId="77777777">
        <w:tblPrEx>
          <w:shd w:val="clear" w:color="auto" w:fill="auto"/>
        </w:tblPrEx>
        <w:tc>
          <w:tcPr>
            <w:tcW w:w="2550" w:type="dxa"/>
            <w:shd w:val="clear" w:color="auto" w:fill="auto"/>
          </w:tcPr>
          <w:p w14:paraId="45D0613B" w14:textId="77777777" w:rsidR="00496804" w:rsidRDefault="0037359D">
            <w:pPr>
              <w:spacing w:line="240" w:lineRule="auto"/>
              <w:rPr>
                <w:rFonts w:ascii="Times New Roman" w:eastAsia="Calibri" w:hAnsi="Times New Roman"/>
                <w:sz w:val="24"/>
                <w:lang w:eastAsia="en-US"/>
              </w:rPr>
            </w:pPr>
            <w:bookmarkStart w:id="236" w:name="_Hlk42863378"/>
            <w:r>
              <w:rPr>
                <w:rFonts w:ascii="Times New Roman" w:eastAsia="Calibri" w:hAnsi="Times New Roman"/>
                <w:b/>
                <w:bCs/>
                <w:sz w:val="24"/>
                <w:lang w:eastAsia="en-US"/>
              </w:rPr>
              <w:t>Mjerna jedinica</w:t>
            </w:r>
            <w:r>
              <w:rPr>
                <w:rFonts w:ascii="Times New Roman" w:eastAsia="Calibri" w:hAnsi="Times New Roman"/>
                <w:sz w:val="24"/>
                <w:lang w:eastAsia="en-US"/>
              </w:rPr>
              <w:t xml:space="preserve">: </w:t>
            </w:r>
            <w:r>
              <w:rPr>
                <w:rFonts w:ascii="Times New Roman" w:hAnsi="Times New Roman"/>
                <w:sz w:val="24"/>
              </w:rPr>
              <w:t>m</w:t>
            </w:r>
            <w:r>
              <w:rPr>
                <w:rFonts w:ascii="Times New Roman" w:hAnsi="Times New Roman"/>
                <w:sz w:val="24"/>
                <w:vertAlign w:val="superscript"/>
              </w:rPr>
              <w:t>2</w:t>
            </w:r>
          </w:p>
        </w:tc>
        <w:tc>
          <w:tcPr>
            <w:tcW w:w="3257" w:type="dxa"/>
            <w:shd w:val="clear" w:color="auto" w:fill="auto"/>
          </w:tcPr>
          <w:p w14:paraId="45D0613C"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Početna vrijednost</w:t>
            </w:r>
            <w:r>
              <w:rPr>
                <w:rFonts w:ascii="Times New Roman" w:eastAsia="Calibri" w:hAnsi="Times New Roman"/>
                <w:sz w:val="24"/>
                <w:lang w:eastAsia="en-US"/>
              </w:rPr>
              <w:t>: 0</w:t>
            </w:r>
          </w:p>
        </w:tc>
        <w:tc>
          <w:tcPr>
            <w:tcW w:w="3681" w:type="dxa"/>
            <w:gridSpan w:val="2"/>
            <w:shd w:val="clear" w:color="auto" w:fill="auto"/>
          </w:tcPr>
          <w:p w14:paraId="45D0613D"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Ciljana vrijednost 2030</w:t>
            </w:r>
            <w:r>
              <w:rPr>
                <w:rFonts w:ascii="Times New Roman" w:eastAsia="Calibri" w:hAnsi="Times New Roman"/>
                <w:sz w:val="24"/>
                <w:lang w:eastAsia="en-US"/>
              </w:rPr>
              <w:t>.: 20.000</w:t>
            </w:r>
          </w:p>
        </w:tc>
      </w:tr>
      <w:bookmarkEnd w:id="236"/>
      <w:tr w:rsidR="00496804" w14:paraId="45D06140" w14:textId="77777777">
        <w:tblPrEx>
          <w:shd w:val="clear" w:color="auto" w:fill="auto"/>
        </w:tblPrEx>
        <w:tc>
          <w:tcPr>
            <w:tcW w:w="9488" w:type="dxa"/>
            <w:gridSpan w:val="4"/>
            <w:shd w:val="clear" w:color="auto" w:fill="auto"/>
          </w:tcPr>
          <w:p w14:paraId="45D0613F"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Izvor podataka</w:t>
            </w:r>
            <w:r>
              <w:rPr>
                <w:rFonts w:ascii="Times New Roman" w:eastAsia="Calibri" w:hAnsi="Times New Roman"/>
                <w:sz w:val="24"/>
                <w:lang w:eastAsia="en-US"/>
              </w:rPr>
              <w:t>: Izvješća o provedbi projekata (tromjesečna tijekom provedbe i završna po završetku provedbe)</w:t>
            </w:r>
          </w:p>
        </w:tc>
      </w:tr>
      <w:tr w:rsidR="00496804" w14:paraId="45D06142" w14:textId="77777777">
        <w:tblPrEx>
          <w:shd w:val="clear" w:color="auto" w:fill="auto"/>
        </w:tblPrEx>
        <w:tc>
          <w:tcPr>
            <w:tcW w:w="9488" w:type="dxa"/>
            <w:gridSpan w:val="4"/>
            <w:shd w:val="clear" w:color="auto" w:fill="auto"/>
          </w:tcPr>
          <w:p w14:paraId="45D06141"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Metoda praćenja pokazatelja</w:t>
            </w:r>
            <w:r>
              <w:rPr>
                <w:rFonts w:ascii="Times New Roman" w:eastAsia="Calibri" w:hAnsi="Times New Roman"/>
                <w:sz w:val="24"/>
                <w:lang w:eastAsia="en-US"/>
              </w:rPr>
              <w:t>: Nositelji provedbe pilot projekata kojima su odobrena sredstva za sufinanciranje provedbe pilot projekata dostavljaju ministarstvu nadležnom za poslove prostornoga uređenja, graditeljstva i državne imovine izvješća o provedbi projekta svaka tri mjeseca, dok se po završetku provedbe dostavlja završno izvješće koje sadrži konačne rezultate nastale provedbom projekta. Izvješća sadrže podatke o tipu projekta, osnovnoj namjeni i svrsi projekta, aktivnostima provedenima u izvještajnom razdoblju, ostvarenju pokazatelja, utrošenim financijskim sredstvima te ostale relevantne podatke.</w:t>
            </w:r>
          </w:p>
        </w:tc>
      </w:tr>
      <w:tr w:rsidR="00496804" w14:paraId="45D06144" w14:textId="77777777">
        <w:tblPrEx>
          <w:shd w:val="clear" w:color="auto" w:fill="auto"/>
        </w:tblPrEx>
        <w:tc>
          <w:tcPr>
            <w:tcW w:w="9488" w:type="dxa"/>
            <w:gridSpan w:val="4"/>
            <w:shd w:val="clear" w:color="auto" w:fill="FFCCA6" w:themeFill="accent5" w:themeFillTint="66"/>
          </w:tcPr>
          <w:p w14:paraId="45D06143"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razvojne mjere</w:t>
            </w:r>
            <w:r>
              <w:rPr>
                <w:rFonts w:ascii="Times New Roman" w:eastAsia="Calibri" w:hAnsi="Times New Roman"/>
                <w:sz w:val="24"/>
                <w:lang w:eastAsia="en-US"/>
              </w:rPr>
              <w:t>: 2.1. Provedba pilot projekata</w:t>
            </w:r>
          </w:p>
        </w:tc>
      </w:tr>
      <w:tr w:rsidR="00496804" w14:paraId="45D06146" w14:textId="77777777">
        <w:tblPrEx>
          <w:shd w:val="clear" w:color="auto" w:fill="auto"/>
        </w:tblPrEx>
        <w:tc>
          <w:tcPr>
            <w:tcW w:w="9488" w:type="dxa"/>
            <w:gridSpan w:val="4"/>
            <w:shd w:val="clear" w:color="auto" w:fill="auto"/>
          </w:tcPr>
          <w:p w14:paraId="45D06145"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pokazatelja</w:t>
            </w:r>
            <w:r>
              <w:rPr>
                <w:rFonts w:ascii="Times New Roman" w:eastAsia="Calibri" w:hAnsi="Times New Roman"/>
                <w:sz w:val="24"/>
                <w:lang w:eastAsia="en-US"/>
              </w:rPr>
              <w:t>: Broj izrađenih planova kružnog gospodarenja prostorom i zgradama na lokalnoj i regionalnoj razini</w:t>
            </w:r>
          </w:p>
        </w:tc>
      </w:tr>
      <w:tr w:rsidR="00496804" w14:paraId="45D0614A" w14:textId="77777777">
        <w:tblPrEx>
          <w:shd w:val="clear" w:color="auto" w:fill="auto"/>
        </w:tblPrEx>
        <w:tc>
          <w:tcPr>
            <w:tcW w:w="2550" w:type="dxa"/>
            <w:shd w:val="clear" w:color="auto" w:fill="auto"/>
          </w:tcPr>
          <w:p w14:paraId="45D06147"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Mjerna jedinica</w:t>
            </w:r>
            <w:r>
              <w:rPr>
                <w:rFonts w:ascii="Times New Roman" w:eastAsia="Calibri" w:hAnsi="Times New Roman"/>
                <w:sz w:val="24"/>
                <w:lang w:eastAsia="en-US"/>
              </w:rPr>
              <w:t>: broj</w:t>
            </w:r>
          </w:p>
        </w:tc>
        <w:tc>
          <w:tcPr>
            <w:tcW w:w="3541" w:type="dxa"/>
            <w:gridSpan w:val="2"/>
            <w:shd w:val="clear" w:color="auto" w:fill="auto"/>
          </w:tcPr>
          <w:p w14:paraId="45D06148"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Početna vrijednost</w:t>
            </w:r>
            <w:r>
              <w:rPr>
                <w:rFonts w:ascii="Times New Roman" w:eastAsia="Calibri" w:hAnsi="Times New Roman"/>
                <w:sz w:val="24"/>
                <w:lang w:eastAsia="en-US"/>
              </w:rPr>
              <w:t>: 0</w:t>
            </w:r>
          </w:p>
        </w:tc>
        <w:tc>
          <w:tcPr>
            <w:tcW w:w="3397" w:type="dxa"/>
            <w:shd w:val="clear" w:color="auto" w:fill="auto"/>
          </w:tcPr>
          <w:p w14:paraId="45D06149"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Ciljana vrijednost 2030</w:t>
            </w:r>
            <w:r>
              <w:rPr>
                <w:rFonts w:ascii="Times New Roman" w:eastAsia="Calibri" w:hAnsi="Times New Roman"/>
                <w:sz w:val="24"/>
                <w:lang w:eastAsia="en-US"/>
              </w:rPr>
              <w:t>.: 5</w:t>
            </w:r>
          </w:p>
        </w:tc>
      </w:tr>
      <w:tr w:rsidR="00496804" w14:paraId="45D0614C" w14:textId="77777777">
        <w:tblPrEx>
          <w:shd w:val="clear" w:color="auto" w:fill="auto"/>
        </w:tblPrEx>
        <w:tc>
          <w:tcPr>
            <w:tcW w:w="9488" w:type="dxa"/>
            <w:gridSpan w:val="4"/>
            <w:shd w:val="clear" w:color="auto" w:fill="auto"/>
          </w:tcPr>
          <w:p w14:paraId="45D0614B"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Izvor podataka</w:t>
            </w:r>
            <w:r>
              <w:rPr>
                <w:rFonts w:ascii="Times New Roman" w:eastAsia="Calibri" w:hAnsi="Times New Roman"/>
                <w:sz w:val="24"/>
                <w:lang w:eastAsia="en-US"/>
              </w:rPr>
              <w:t>: Podaci ministarstva nadležnog za poslove prostornoga uređenja, graditeljstva i  državne imovine</w:t>
            </w:r>
          </w:p>
        </w:tc>
      </w:tr>
      <w:tr w:rsidR="00496804" w14:paraId="45D0614E" w14:textId="77777777">
        <w:tblPrEx>
          <w:shd w:val="clear" w:color="auto" w:fill="auto"/>
        </w:tblPrEx>
        <w:tc>
          <w:tcPr>
            <w:tcW w:w="9488" w:type="dxa"/>
            <w:gridSpan w:val="4"/>
            <w:shd w:val="clear" w:color="auto" w:fill="auto"/>
          </w:tcPr>
          <w:p w14:paraId="45D0614D"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Metoda praćenja pokazatelja</w:t>
            </w:r>
            <w:r>
              <w:rPr>
                <w:rFonts w:ascii="Times New Roman" w:eastAsia="Calibri" w:hAnsi="Times New Roman"/>
                <w:sz w:val="24"/>
                <w:lang w:eastAsia="en-US"/>
              </w:rPr>
              <w:t>: Jedinice lokalne i područne (regionalne) samouprave po dovršetku izrade/izmjene planova kružnog gospodarenja prostorom i zgradama navedene dokumente, zajedno s izvješćima o aktivnostima provedenima u okviru izrade dokumenata, dostavljaju ministarstvu nadležnom za poslove prostornoga uređenja, graditeljstva i državne imovine.</w:t>
            </w:r>
          </w:p>
        </w:tc>
      </w:tr>
      <w:tr w:rsidR="00496804" w14:paraId="45D06150" w14:textId="77777777">
        <w:tblPrEx>
          <w:shd w:val="clear" w:color="auto" w:fill="auto"/>
        </w:tblPrEx>
        <w:tc>
          <w:tcPr>
            <w:tcW w:w="9488" w:type="dxa"/>
            <w:gridSpan w:val="4"/>
            <w:shd w:val="clear" w:color="auto" w:fill="FFCCA6" w:themeFill="accent5" w:themeFillTint="66"/>
          </w:tcPr>
          <w:p w14:paraId="45D0614F"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razvojne mjere</w:t>
            </w:r>
            <w:r>
              <w:rPr>
                <w:rFonts w:ascii="Times New Roman" w:eastAsia="Calibri" w:hAnsi="Times New Roman"/>
                <w:sz w:val="24"/>
                <w:lang w:eastAsia="en-US"/>
              </w:rPr>
              <w:t>: 2.2. Poticanje kružne obnove prostora i zgrada</w:t>
            </w:r>
          </w:p>
        </w:tc>
      </w:tr>
      <w:tr w:rsidR="00496804" w14:paraId="45D06152" w14:textId="77777777">
        <w:tblPrEx>
          <w:shd w:val="clear" w:color="auto" w:fill="auto"/>
        </w:tblPrEx>
        <w:tc>
          <w:tcPr>
            <w:tcW w:w="9488" w:type="dxa"/>
            <w:gridSpan w:val="4"/>
            <w:shd w:val="clear" w:color="auto" w:fill="auto"/>
          </w:tcPr>
          <w:p w14:paraId="45D06151"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lastRenderedPageBreak/>
              <w:t>Naziv pokazatelja</w:t>
            </w:r>
            <w:r>
              <w:rPr>
                <w:rFonts w:ascii="Times New Roman" w:eastAsia="Calibri" w:hAnsi="Times New Roman"/>
                <w:sz w:val="24"/>
                <w:lang w:eastAsia="en-US"/>
              </w:rPr>
              <w:t>: Građevinska bruto površina (GBP) kružno obnovljenih zgrada u okviru poziva za kategorije: nekorištene zgrade, nekorištene zone (monofunkcionalne ili polifunkcionalne)</w:t>
            </w:r>
          </w:p>
        </w:tc>
      </w:tr>
      <w:tr w:rsidR="00496804" w14:paraId="45D06156" w14:textId="77777777">
        <w:tblPrEx>
          <w:shd w:val="clear" w:color="auto" w:fill="auto"/>
        </w:tblPrEx>
        <w:tc>
          <w:tcPr>
            <w:tcW w:w="2550" w:type="dxa"/>
            <w:shd w:val="clear" w:color="auto" w:fill="auto"/>
          </w:tcPr>
          <w:p w14:paraId="45D06153"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Mjerna jedinica</w:t>
            </w:r>
            <w:r>
              <w:rPr>
                <w:rFonts w:ascii="Times New Roman" w:eastAsia="Calibri" w:hAnsi="Times New Roman"/>
                <w:sz w:val="24"/>
                <w:lang w:eastAsia="en-US"/>
              </w:rPr>
              <w:t xml:space="preserve">: </w:t>
            </w:r>
            <w:r>
              <w:rPr>
                <w:rFonts w:ascii="Times New Roman" w:hAnsi="Times New Roman"/>
                <w:sz w:val="24"/>
              </w:rPr>
              <w:t>m</w:t>
            </w:r>
            <w:r>
              <w:rPr>
                <w:rFonts w:ascii="Times New Roman" w:hAnsi="Times New Roman"/>
                <w:sz w:val="24"/>
                <w:vertAlign w:val="superscript"/>
              </w:rPr>
              <w:t>2</w:t>
            </w:r>
          </w:p>
        </w:tc>
        <w:tc>
          <w:tcPr>
            <w:tcW w:w="3257" w:type="dxa"/>
            <w:shd w:val="clear" w:color="auto" w:fill="auto"/>
          </w:tcPr>
          <w:p w14:paraId="45D06154"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Početna vrijednost</w:t>
            </w:r>
            <w:r>
              <w:rPr>
                <w:rFonts w:ascii="Times New Roman" w:eastAsia="Calibri" w:hAnsi="Times New Roman"/>
                <w:sz w:val="24"/>
                <w:lang w:eastAsia="en-US"/>
              </w:rPr>
              <w:t>: 0</w:t>
            </w:r>
          </w:p>
        </w:tc>
        <w:tc>
          <w:tcPr>
            <w:tcW w:w="3681" w:type="dxa"/>
            <w:gridSpan w:val="2"/>
            <w:shd w:val="clear" w:color="auto" w:fill="auto"/>
          </w:tcPr>
          <w:p w14:paraId="45D06155"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Ciljana vrijednost 2030</w:t>
            </w:r>
            <w:r>
              <w:rPr>
                <w:rFonts w:ascii="Times New Roman" w:eastAsia="Calibri" w:hAnsi="Times New Roman"/>
                <w:sz w:val="24"/>
                <w:lang w:eastAsia="en-US"/>
              </w:rPr>
              <w:t>.: 600.000</w:t>
            </w:r>
          </w:p>
        </w:tc>
      </w:tr>
      <w:tr w:rsidR="00496804" w14:paraId="45D06158" w14:textId="77777777">
        <w:tblPrEx>
          <w:shd w:val="clear" w:color="auto" w:fill="auto"/>
        </w:tblPrEx>
        <w:tc>
          <w:tcPr>
            <w:tcW w:w="9488" w:type="dxa"/>
            <w:gridSpan w:val="4"/>
            <w:shd w:val="clear" w:color="auto" w:fill="auto"/>
          </w:tcPr>
          <w:p w14:paraId="45D06157"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Izvor podataka</w:t>
            </w:r>
            <w:r>
              <w:rPr>
                <w:rFonts w:ascii="Times New Roman" w:eastAsia="Calibri" w:hAnsi="Times New Roman"/>
                <w:sz w:val="24"/>
                <w:lang w:eastAsia="en-US"/>
              </w:rPr>
              <w:t>: Izvješća o provedbi projekata (tromjesečna tijekom provedbe i završna po završetku provedbe)</w:t>
            </w:r>
          </w:p>
        </w:tc>
      </w:tr>
      <w:tr w:rsidR="00496804" w14:paraId="45D0615A" w14:textId="77777777">
        <w:tblPrEx>
          <w:shd w:val="clear" w:color="auto" w:fill="auto"/>
        </w:tblPrEx>
        <w:tc>
          <w:tcPr>
            <w:tcW w:w="9488" w:type="dxa"/>
            <w:gridSpan w:val="4"/>
            <w:shd w:val="clear" w:color="auto" w:fill="auto"/>
          </w:tcPr>
          <w:p w14:paraId="45D06159"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Metoda praćenja pokazatelja</w:t>
            </w:r>
            <w:r>
              <w:rPr>
                <w:rFonts w:ascii="Times New Roman" w:eastAsia="Calibri" w:hAnsi="Times New Roman"/>
                <w:sz w:val="24"/>
                <w:lang w:eastAsia="en-US"/>
              </w:rPr>
              <w:t>: Nositelji provedbe projekata kružne obnove nekorištenih zgrada i zona (monofunkcionalnih ili polifunkcionalnih) kojima su odobrena sredstva za sufinanciranje provedbe u okviru javnih poziva dostavljaju ministarstvu nadležnom za poslove prostornoga uređenja, graditeljstva i državne imovine izvješća o provedbi projekta svaka tri mjeseca, dok se po završetku provedbe dostavlja završno izvješće koje sadrži konačne rezultate nastale provedbom projekta. Izvješća sadrže podatke o tipu projekta, osnovnoj namjeni i svrsi projekta, aktivnostima provedenima u izvještajnom razdoblju, ostvarenju pokazatelja, utrošenim financijskim sredstvima te ostale relevantne podatke.</w:t>
            </w:r>
          </w:p>
        </w:tc>
      </w:tr>
      <w:tr w:rsidR="00496804" w14:paraId="45D0615C" w14:textId="77777777">
        <w:tblPrEx>
          <w:shd w:val="clear" w:color="auto" w:fill="auto"/>
        </w:tblPrEx>
        <w:tc>
          <w:tcPr>
            <w:tcW w:w="9488" w:type="dxa"/>
            <w:gridSpan w:val="4"/>
            <w:shd w:val="clear" w:color="auto" w:fill="FFCCA6" w:themeFill="accent5" w:themeFillTint="66"/>
          </w:tcPr>
          <w:p w14:paraId="45D0615B"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razvojne mjere</w:t>
            </w:r>
            <w:r>
              <w:rPr>
                <w:rFonts w:ascii="Times New Roman" w:eastAsia="Calibri" w:hAnsi="Times New Roman"/>
                <w:sz w:val="24"/>
                <w:lang w:eastAsia="en-US"/>
              </w:rPr>
              <w:t>: 2.3. Poticanje inovacija i razvoja u primjeni kružnog gospodarenja prostorom i zgradama</w:t>
            </w:r>
          </w:p>
        </w:tc>
      </w:tr>
      <w:tr w:rsidR="00496804" w14:paraId="45D0615E" w14:textId="77777777">
        <w:tblPrEx>
          <w:shd w:val="clear" w:color="auto" w:fill="auto"/>
        </w:tblPrEx>
        <w:tc>
          <w:tcPr>
            <w:tcW w:w="9488" w:type="dxa"/>
            <w:gridSpan w:val="4"/>
            <w:shd w:val="clear" w:color="auto" w:fill="auto"/>
          </w:tcPr>
          <w:p w14:paraId="45D0615D"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pokazatelja</w:t>
            </w:r>
            <w:r>
              <w:rPr>
                <w:rFonts w:ascii="Times New Roman" w:eastAsia="Calibri" w:hAnsi="Times New Roman"/>
                <w:sz w:val="24"/>
                <w:lang w:eastAsia="en-US"/>
              </w:rPr>
              <w:t>: Broj poticanih projekata inovacija ili certifikata</w:t>
            </w:r>
          </w:p>
        </w:tc>
      </w:tr>
      <w:tr w:rsidR="00496804" w14:paraId="45D06162" w14:textId="77777777">
        <w:tblPrEx>
          <w:shd w:val="clear" w:color="auto" w:fill="auto"/>
        </w:tblPrEx>
        <w:tc>
          <w:tcPr>
            <w:tcW w:w="2550" w:type="dxa"/>
            <w:shd w:val="clear" w:color="auto" w:fill="auto"/>
          </w:tcPr>
          <w:p w14:paraId="45D0615F"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Mjerna jedinica</w:t>
            </w:r>
            <w:r>
              <w:rPr>
                <w:rFonts w:ascii="Times New Roman" w:eastAsia="Calibri" w:hAnsi="Times New Roman"/>
                <w:sz w:val="24"/>
                <w:lang w:eastAsia="en-US"/>
              </w:rPr>
              <w:t>: broj</w:t>
            </w:r>
          </w:p>
        </w:tc>
        <w:tc>
          <w:tcPr>
            <w:tcW w:w="3257" w:type="dxa"/>
            <w:shd w:val="clear" w:color="auto" w:fill="auto"/>
          </w:tcPr>
          <w:p w14:paraId="45D06160"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Početna vrijednost</w:t>
            </w:r>
            <w:r>
              <w:rPr>
                <w:rFonts w:ascii="Times New Roman" w:eastAsia="Calibri" w:hAnsi="Times New Roman"/>
                <w:sz w:val="24"/>
                <w:lang w:eastAsia="en-US"/>
              </w:rPr>
              <w:t>: 0</w:t>
            </w:r>
          </w:p>
        </w:tc>
        <w:tc>
          <w:tcPr>
            <w:tcW w:w="3681" w:type="dxa"/>
            <w:gridSpan w:val="2"/>
            <w:shd w:val="clear" w:color="auto" w:fill="auto"/>
          </w:tcPr>
          <w:p w14:paraId="45D06161"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Ciljana vrijednost 2030</w:t>
            </w:r>
            <w:r>
              <w:rPr>
                <w:rFonts w:ascii="Times New Roman" w:eastAsia="Calibri" w:hAnsi="Times New Roman"/>
                <w:sz w:val="24"/>
                <w:lang w:eastAsia="en-US"/>
              </w:rPr>
              <w:t>.: 100</w:t>
            </w:r>
          </w:p>
        </w:tc>
      </w:tr>
      <w:tr w:rsidR="00496804" w14:paraId="45D06164" w14:textId="77777777">
        <w:tblPrEx>
          <w:shd w:val="clear" w:color="auto" w:fill="auto"/>
        </w:tblPrEx>
        <w:tc>
          <w:tcPr>
            <w:tcW w:w="9488" w:type="dxa"/>
            <w:gridSpan w:val="4"/>
            <w:shd w:val="clear" w:color="auto" w:fill="auto"/>
          </w:tcPr>
          <w:p w14:paraId="45D06163"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Izvor podataka</w:t>
            </w:r>
            <w:r>
              <w:rPr>
                <w:rFonts w:ascii="Times New Roman" w:eastAsia="Calibri" w:hAnsi="Times New Roman"/>
                <w:sz w:val="24"/>
                <w:lang w:eastAsia="en-US"/>
              </w:rPr>
              <w:t>: Izvješće o provedbi aktivnosti (tromjesečna tijekom provedbe i završna po završetku provedbe)</w:t>
            </w:r>
          </w:p>
        </w:tc>
      </w:tr>
      <w:tr w:rsidR="00496804" w14:paraId="45D06166" w14:textId="77777777">
        <w:tblPrEx>
          <w:shd w:val="clear" w:color="auto" w:fill="auto"/>
        </w:tblPrEx>
        <w:tc>
          <w:tcPr>
            <w:tcW w:w="9488" w:type="dxa"/>
            <w:gridSpan w:val="4"/>
            <w:shd w:val="clear" w:color="auto" w:fill="auto"/>
          </w:tcPr>
          <w:p w14:paraId="45D06165"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Metoda praćenja pokazatelja</w:t>
            </w:r>
            <w:r>
              <w:rPr>
                <w:rFonts w:ascii="Times New Roman" w:eastAsia="Calibri" w:hAnsi="Times New Roman"/>
                <w:sz w:val="24"/>
                <w:lang w:eastAsia="en-US"/>
              </w:rPr>
              <w:t>: Nositelji provedbe projekata kojima su odobrena sredstva za sufinanciranje provedbe u okviru javnih poziva dostavljaju ministarstvu nadležnom za poslove prostornoga uređenja, graditeljstva i državne imovine izvješća o provedbi projekta svaka tri mjeseca, dok se po završetku provedbe dostavlja završno izvješće koje sadrži konačne rezultate nastale provedbom projekta. Izvješća sadrže podatke o tipu projekta, osnovnoj namjeni i svrsi projekta, aktivnostima provedenima u izvještajnom razdoblju, ostvarenju pokazatelja, utrošenim financijskim sredstvima te ostale relevantne podatke.</w:t>
            </w:r>
          </w:p>
        </w:tc>
      </w:tr>
    </w:tbl>
    <w:p w14:paraId="45D06167" w14:textId="77777777" w:rsidR="00496804" w:rsidRDefault="00496804">
      <w:pPr>
        <w:spacing w:line="240" w:lineRule="auto"/>
        <w:jc w:val="left"/>
        <w:rPr>
          <w:rFonts w:ascii="Times New Roman" w:eastAsia="Calibri" w:hAnsi="Times New Roman"/>
          <w:sz w:val="24"/>
          <w:lang w:eastAsia="en-US"/>
        </w:rPr>
      </w:pPr>
    </w:p>
    <w:p w14:paraId="45D06168" w14:textId="77777777" w:rsidR="00496804" w:rsidRDefault="0037359D">
      <w:pPr>
        <w:spacing w:line="240" w:lineRule="auto"/>
        <w:rPr>
          <w:rFonts w:ascii="Times New Roman" w:eastAsia="Calibri" w:hAnsi="Times New Roman"/>
          <w:sz w:val="24"/>
          <w:lang w:eastAsia="en-US"/>
        </w:rPr>
      </w:pPr>
      <w:r>
        <w:rPr>
          <w:rFonts w:ascii="Times New Roman" w:hAnsi="Times New Roman"/>
          <w:i/>
          <w:iCs/>
          <w:sz w:val="24"/>
        </w:rPr>
        <w:t>Tablica 31. Praćenje pokazatelja rezultata razvojnih mjera posebnog cilja 3</w:t>
      </w:r>
    </w:p>
    <w:tbl>
      <w:tblPr>
        <w:tblStyle w:val="Reetkatablice3"/>
        <w:tblW w:w="0" w:type="auto"/>
        <w:shd w:val="clear" w:color="auto" w:fill="BEEBDE" w:themeFill="accent4" w:themeFillTint="66"/>
        <w:tblLook w:val="04A0" w:firstRow="1" w:lastRow="0" w:firstColumn="1" w:lastColumn="0" w:noHBand="0" w:noVBand="1"/>
      </w:tblPr>
      <w:tblGrid>
        <w:gridCol w:w="2550"/>
        <w:gridCol w:w="3257"/>
        <w:gridCol w:w="3681"/>
      </w:tblGrid>
      <w:tr w:rsidR="00496804" w14:paraId="45D0616A" w14:textId="77777777">
        <w:tc>
          <w:tcPr>
            <w:tcW w:w="9488" w:type="dxa"/>
            <w:gridSpan w:val="3"/>
            <w:shd w:val="clear" w:color="auto" w:fill="FFB279" w:themeFill="accent5" w:themeFillTint="99"/>
          </w:tcPr>
          <w:p w14:paraId="45D06169"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posebnog cilja</w:t>
            </w:r>
            <w:r>
              <w:rPr>
                <w:rFonts w:ascii="Times New Roman" w:eastAsia="Calibri" w:hAnsi="Times New Roman"/>
                <w:sz w:val="24"/>
                <w:lang w:eastAsia="en-US"/>
              </w:rPr>
              <w:t>: 3. Visoka razina znanja i društvene svijesti o kružnom gospodarenju prostorom i zgradama</w:t>
            </w:r>
          </w:p>
        </w:tc>
      </w:tr>
      <w:tr w:rsidR="00496804" w14:paraId="45D0616C" w14:textId="77777777">
        <w:tblPrEx>
          <w:shd w:val="clear" w:color="auto" w:fill="auto"/>
        </w:tblPrEx>
        <w:tc>
          <w:tcPr>
            <w:tcW w:w="9488" w:type="dxa"/>
            <w:gridSpan w:val="3"/>
            <w:shd w:val="clear" w:color="auto" w:fill="FFCCA6" w:themeFill="accent5" w:themeFillTint="66"/>
          </w:tcPr>
          <w:p w14:paraId="45D0616B" w14:textId="77777777" w:rsidR="00496804" w:rsidRDefault="0037359D">
            <w:pPr>
              <w:tabs>
                <w:tab w:val="left" w:pos="2940"/>
              </w:tabs>
              <w:spacing w:line="240" w:lineRule="auto"/>
              <w:rPr>
                <w:rFonts w:ascii="Times New Roman" w:eastAsia="Calibri" w:hAnsi="Times New Roman"/>
                <w:sz w:val="24"/>
                <w:lang w:eastAsia="en-US"/>
              </w:rPr>
            </w:pPr>
            <w:r>
              <w:rPr>
                <w:rFonts w:ascii="Times New Roman" w:eastAsia="Calibri" w:hAnsi="Times New Roman"/>
                <w:b/>
                <w:bCs/>
                <w:sz w:val="24"/>
                <w:lang w:eastAsia="en-US"/>
              </w:rPr>
              <w:t>Naziv razvojne mjere</w:t>
            </w:r>
            <w:r>
              <w:rPr>
                <w:rFonts w:ascii="Times New Roman" w:eastAsia="Calibri" w:hAnsi="Times New Roman"/>
                <w:sz w:val="24"/>
                <w:lang w:eastAsia="en-US"/>
              </w:rPr>
              <w:t>: 3.1. Afirmacija i informiranje javnosti o kružnom gospodarenju prostorom i zgradama</w:t>
            </w:r>
          </w:p>
        </w:tc>
      </w:tr>
      <w:tr w:rsidR="00496804" w14:paraId="45D0616E" w14:textId="77777777">
        <w:tblPrEx>
          <w:shd w:val="clear" w:color="auto" w:fill="auto"/>
        </w:tblPrEx>
        <w:tc>
          <w:tcPr>
            <w:tcW w:w="9488" w:type="dxa"/>
            <w:gridSpan w:val="3"/>
            <w:shd w:val="clear" w:color="auto" w:fill="auto"/>
          </w:tcPr>
          <w:p w14:paraId="45D0616D"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pokazatelja</w:t>
            </w:r>
            <w:r>
              <w:rPr>
                <w:rFonts w:ascii="Times New Roman" w:eastAsia="Calibri" w:hAnsi="Times New Roman"/>
                <w:sz w:val="24"/>
                <w:lang w:eastAsia="en-US"/>
              </w:rPr>
              <w:t>: Ukupno objave i priopćenja vezana uz temu kružnog gospodarenja prostorom i zgradama (web stranica i sredstva javnog priopćavanja)</w:t>
            </w:r>
          </w:p>
        </w:tc>
      </w:tr>
      <w:tr w:rsidR="00496804" w14:paraId="45D06172" w14:textId="77777777">
        <w:tblPrEx>
          <w:shd w:val="clear" w:color="auto" w:fill="auto"/>
        </w:tblPrEx>
        <w:tc>
          <w:tcPr>
            <w:tcW w:w="2550" w:type="dxa"/>
            <w:shd w:val="clear" w:color="auto" w:fill="auto"/>
          </w:tcPr>
          <w:p w14:paraId="45D0616F"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Mjerna jedinica</w:t>
            </w:r>
            <w:r>
              <w:rPr>
                <w:rFonts w:ascii="Times New Roman" w:eastAsia="Calibri" w:hAnsi="Times New Roman"/>
                <w:sz w:val="24"/>
                <w:lang w:eastAsia="en-US"/>
              </w:rPr>
              <w:t>: broj</w:t>
            </w:r>
          </w:p>
        </w:tc>
        <w:tc>
          <w:tcPr>
            <w:tcW w:w="3257" w:type="dxa"/>
            <w:shd w:val="clear" w:color="auto" w:fill="auto"/>
          </w:tcPr>
          <w:p w14:paraId="45D06170"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Početna vrijednost</w:t>
            </w:r>
            <w:r>
              <w:rPr>
                <w:rFonts w:ascii="Times New Roman" w:eastAsia="Calibri" w:hAnsi="Times New Roman"/>
                <w:sz w:val="24"/>
                <w:lang w:eastAsia="en-US"/>
              </w:rPr>
              <w:t>: 0</w:t>
            </w:r>
          </w:p>
        </w:tc>
        <w:tc>
          <w:tcPr>
            <w:tcW w:w="3681" w:type="dxa"/>
            <w:shd w:val="clear" w:color="auto" w:fill="auto"/>
          </w:tcPr>
          <w:p w14:paraId="45D06171"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Ciljana vrijednost 2030</w:t>
            </w:r>
            <w:r>
              <w:rPr>
                <w:rFonts w:ascii="Times New Roman" w:eastAsia="Calibri" w:hAnsi="Times New Roman"/>
                <w:sz w:val="24"/>
                <w:lang w:eastAsia="en-US"/>
              </w:rPr>
              <w:t>.: 200</w:t>
            </w:r>
          </w:p>
        </w:tc>
      </w:tr>
      <w:tr w:rsidR="00496804" w14:paraId="45D06174" w14:textId="77777777">
        <w:tblPrEx>
          <w:shd w:val="clear" w:color="auto" w:fill="auto"/>
        </w:tblPrEx>
        <w:tc>
          <w:tcPr>
            <w:tcW w:w="9488" w:type="dxa"/>
            <w:gridSpan w:val="3"/>
            <w:shd w:val="clear" w:color="auto" w:fill="auto"/>
          </w:tcPr>
          <w:p w14:paraId="45D06173"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Izvor podataka</w:t>
            </w:r>
            <w:r>
              <w:rPr>
                <w:rFonts w:ascii="Times New Roman" w:eastAsia="Calibri" w:hAnsi="Times New Roman"/>
                <w:sz w:val="24"/>
                <w:lang w:eastAsia="en-US"/>
              </w:rPr>
              <w:t>: Podaci ministarstva nadležnog za poslove prostornoga uređenja, graditeljstva i državne imovine o broju objava i priopćenja</w:t>
            </w:r>
          </w:p>
        </w:tc>
      </w:tr>
      <w:tr w:rsidR="00496804" w14:paraId="45D06176" w14:textId="77777777">
        <w:tblPrEx>
          <w:shd w:val="clear" w:color="auto" w:fill="auto"/>
        </w:tblPrEx>
        <w:tc>
          <w:tcPr>
            <w:tcW w:w="9488" w:type="dxa"/>
            <w:gridSpan w:val="3"/>
            <w:shd w:val="clear" w:color="auto" w:fill="auto"/>
          </w:tcPr>
          <w:p w14:paraId="45D06175"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Metoda praćenja pokazatelja</w:t>
            </w:r>
            <w:r>
              <w:rPr>
                <w:rFonts w:ascii="Times New Roman" w:eastAsia="Calibri" w:hAnsi="Times New Roman"/>
                <w:sz w:val="24"/>
                <w:lang w:eastAsia="en-US"/>
              </w:rPr>
              <w:t>: Osoba unutar ministarstva zadužena za prikupljanje podataka periodično, a najmanje svakih šest mjeseci, prikuplja podatke o broju objava i priopćenja vezanih uz temu zelene infrastrukture od ustrojstvenih jedinica ministarstva zaduženih za komunikaciju i vidljivost.</w:t>
            </w:r>
          </w:p>
        </w:tc>
      </w:tr>
      <w:tr w:rsidR="00496804" w14:paraId="45D06178" w14:textId="77777777">
        <w:tblPrEx>
          <w:shd w:val="clear" w:color="auto" w:fill="auto"/>
        </w:tblPrEx>
        <w:tc>
          <w:tcPr>
            <w:tcW w:w="9488" w:type="dxa"/>
            <w:gridSpan w:val="3"/>
            <w:shd w:val="clear" w:color="auto" w:fill="FFCCA6" w:themeFill="accent5" w:themeFillTint="66"/>
          </w:tcPr>
          <w:p w14:paraId="45D06177"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razvojne mjere</w:t>
            </w:r>
            <w:r>
              <w:rPr>
                <w:rFonts w:ascii="Times New Roman" w:eastAsia="Calibri" w:hAnsi="Times New Roman"/>
                <w:sz w:val="24"/>
                <w:lang w:eastAsia="en-US"/>
              </w:rPr>
              <w:t>: 3.1. Afirmacija i informiranje javnosti o kružnom gospodarenju prostorom i zgradama</w:t>
            </w:r>
          </w:p>
        </w:tc>
      </w:tr>
      <w:tr w:rsidR="00496804" w14:paraId="45D0617A" w14:textId="77777777">
        <w:tblPrEx>
          <w:shd w:val="clear" w:color="auto" w:fill="auto"/>
        </w:tblPrEx>
        <w:tc>
          <w:tcPr>
            <w:tcW w:w="9488" w:type="dxa"/>
            <w:gridSpan w:val="3"/>
            <w:shd w:val="clear" w:color="auto" w:fill="auto"/>
          </w:tcPr>
          <w:p w14:paraId="45D06179"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pokazatelja</w:t>
            </w:r>
            <w:r>
              <w:rPr>
                <w:rFonts w:ascii="Times New Roman" w:eastAsia="Calibri" w:hAnsi="Times New Roman"/>
                <w:sz w:val="24"/>
                <w:lang w:eastAsia="en-US"/>
              </w:rPr>
              <w:t>: Sudionici informativnih radionica, konferencija i tematskih skupova na temu kružnog gospodarenja prostorom i zgradama</w:t>
            </w:r>
          </w:p>
        </w:tc>
      </w:tr>
      <w:tr w:rsidR="00496804" w14:paraId="45D0617E" w14:textId="77777777">
        <w:tblPrEx>
          <w:shd w:val="clear" w:color="auto" w:fill="auto"/>
        </w:tblPrEx>
        <w:tc>
          <w:tcPr>
            <w:tcW w:w="2550" w:type="dxa"/>
            <w:shd w:val="clear" w:color="auto" w:fill="auto"/>
          </w:tcPr>
          <w:p w14:paraId="45D0617B"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Mjerna jedinica</w:t>
            </w:r>
            <w:r>
              <w:rPr>
                <w:rFonts w:ascii="Times New Roman" w:eastAsia="Calibri" w:hAnsi="Times New Roman"/>
                <w:sz w:val="24"/>
                <w:lang w:eastAsia="en-US"/>
              </w:rPr>
              <w:t>: broj</w:t>
            </w:r>
          </w:p>
        </w:tc>
        <w:tc>
          <w:tcPr>
            <w:tcW w:w="3257" w:type="dxa"/>
            <w:shd w:val="clear" w:color="auto" w:fill="auto"/>
          </w:tcPr>
          <w:p w14:paraId="45D0617C"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Početna vrijednost</w:t>
            </w:r>
            <w:r>
              <w:rPr>
                <w:rFonts w:ascii="Times New Roman" w:eastAsia="Calibri" w:hAnsi="Times New Roman"/>
                <w:sz w:val="24"/>
                <w:lang w:eastAsia="en-US"/>
              </w:rPr>
              <w:t>: 0</w:t>
            </w:r>
          </w:p>
        </w:tc>
        <w:tc>
          <w:tcPr>
            <w:tcW w:w="3681" w:type="dxa"/>
            <w:shd w:val="clear" w:color="auto" w:fill="auto"/>
          </w:tcPr>
          <w:p w14:paraId="45D0617D"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Ciljana vrijednost 2030</w:t>
            </w:r>
            <w:r>
              <w:rPr>
                <w:rFonts w:ascii="Times New Roman" w:eastAsia="Calibri" w:hAnsi="Times New Roman"/>
                <w:sz w:val="24"/>
                <w:lang w:eastAsia="en-US"/>
              </w:rPr>
              <w:t>.: 4.000</w:t>
            </w:r>
          </w:p>
        </w:tc>
      </w:tr>
      <w:tr w:rsidR="00496804" w14:paraId="45D06180" w14:textId="77777777">
        <w:tblPrEx>
          <w:shd w:val="clear" w:color="auto" w:fill="auto"/>
        </w:tblPrEx>
        <w:tc>
          <w:tcPr>
            <w:tcW w:w="9488" w:type="dxa"/>
            <w:gridSpan w:val="3"/>
            <w:shd w:val="clear" w:color="auto" w:fill="auto"/>
          </w:tcPr>
          <w:p w14:paraId="45D0617F"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Izvor podataka</w:t>
            </w:r>
            <w:r>
              <w:rPr>
                <w:rFonts w:ascii="Times New Roman" w:eastAsia="Calibri" w:hAnsi="Times New Roman"/>
                <w:sz w:val="24"/>
                <w:lang w:eastAsia="en-US"/>
              </w:rPr>
              <w:t xml:space="preserve">: Izvješća o provedenim informativnim radionicama i tematskim skupovima </w:t>
            </w:r>
          </w:p>
        </w:tc>
      </w:tr>
      <w:tr w:rsidR="00496804" w14:paraId="45D06182" w14:textId="77777777">
        <w:tblPrEx>
          <w:shd w:val="clear" w:color="auto" w:fill="auto"/>
        </w:tblPrEx>
        <w:tc>
          <w:tcPr>
            <w:tcW w:w="9488" w:type="dxa"/>
            <w:gridSpan w:val="3"/>
            <w:shd w:val="clear" w:color="auto" w:fill="auto"/>
          </w:tcPr>
          <w:p w14:paraId="45D06181"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lastRenderedPageBreak/>
              <w:t>Metoda praćenja pokazatelja</w:t>
            </w:r>
            <w:r>
              <w:rPr>
                <w:rFonts w:ascii="Times New Roman" w:eastAsia="Calibri" w:hAnsi="Times New Roman"/>
                <w:sz w:val="24"/>
                <w:lang w:eastAsia="en-US"/>
              </w:rPr>
              <w:t>: Osoba unutar ministarstva zadužena za prikupljanje podataka periodično, a najmanje svakih šest mjeseci, prikuplja podatke</w:t>
            </w:r>
          </w:p>
        </w:tc>
      </w:tr>
      <w:tr w:rsidR="00496804" w14:paraId="45D06184" w14:textId="77777777">
        <w:tblPrEx>
          <w:shd w:val="clear" w:color="auto" w:fill="auto"/>
        </w:tblPrEx>
        <w:tc>
          <w:tcPr>
            <w:tcW w:w="9488" w:type="dxa"/>
            <w:gridSpan w:val="3"/>
            <w:shd w:val="clear" w:color="auto" w:fill="FFCCA6" w:themeFill="accent5" w:themeFillTint="66"/>
          </w:tcPr>
          <w:p w14:paraId="45D06183"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razvojne mjere</w:t>
            </w:r>
            <w:r>
              <w:rPr>
                <w:rFonts w:ascii="Times New Roman" w:eastAsia="Calibri" w:hAnsi="Times New Roman"/>
                <w:sz w:val="24"/>
                <w:lang w:eastAsia="en-US"/>
              </w:rPr>
              <w:t>: 3.2. Edukacija o kružnom gospodarenju prostorom i zgradama</w:t>
            </w:r>
          </w:p>
        </w:tc>
      </w:tr>
      <w:tr w:rsidR="00496804" w14:paraId="45D06186" w14:textId="77777777">
        <w:tblPrEx>
          <w:shd w:val="clear" w:color="auto" w:fill="auto"/>
        </w:tblPrEx>
        <w:tc>
          <w:tcPr>
            <w:tcW w:w="9488" w:type="dxa"/>
            <w:gridSpan w:val="3"/>
            <w:shd w:val="clear" w:color="auto" w:fill="auto"/>
          </w:tcPr>
          <w:p w14:paraId="45D06185"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Naziv pokazatelja</w:t>
            </w:r>
            <w:r>
              <w:rPr>
                <w:rFonts w:ascii="Times New Roman" w:eastAsia="Calibri" w:hAnsi="Times New Roman"/>
                <w:sz w:val="24"/>
                <w:lang w:eastAsia="en-US"/>
              </w:rPr>
              <w:t>: Stručnjaci i predstavnici lokalne/regionalne samouprave koji su sudjelovali na edukativnim događanjima</w:t>
            </w:r>
          </w:p>
        </w:tc>
      </w:tr>
      <w:tr w:rsidR="00496804" w14:paraId="45D0618A" w14:textId="77777777">
        <w:tblPrEx>
          <w:shd w:val="clear" w:color="auto" w:fill="auto"/>
        </w:tblPrEx>
        <w:tc>
          <w:tcPr>
            <w:tcW w:w="2550" w:type="dxa"/>
            <w:shd w:val="clear" w:color="auto" w:fill="auto"/>
          </w:tcPr>
          <w:p w14:paraId="45D06187"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Mjerna jedinica</w:t>
            </w:r>
            <w:r>
              <w:rPr>
                <w:rFonts w:ascii="Times New Roman" w:eastAsia="Calibri" w:hAnsi="Times New Roman"/>
                <w:sz w:val="24"/>
                <w:lang w:eastAsia="en-US"/>
              </w:rPr>
              <w:t>: broj</w:t>
            </w:r>
          </w:p>
        </w:tc>
        <w:tc>
          <w:tcPr>
            <w:tcW w:w="3257" w:type="dxa"/>
            <w:shd w:val="clear" w:color="auto" w:fill="auto"/>
          </w:tcPr>
          <w:p w14:paraId="45D06188"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Početna vrijednost</w:t>
            </w:r>
            <w:r>
              <w:rPr>
                <w:rFonts w:ascii="Times New Roman" w:eastAsia="Calibri" w:hAnsi="Times New Roman"/>
                <w:sz w:val="24"/>
                <w:lang w:eastAsia="en-US"/>
              </w:rPr>
              <w:t>: 0</w:t>
            </w:r>
          </w:p>
        </w:tc>
        <w:tc>
          <w:tcPr>
            <w:tcW w:w="3681" w:type="dxa"/>
            <w:shd w:val="clear" w:color="auto" w:fill="auto"/>
          </w:tcPr>
          <w:p w14:paraId="45D06189"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Ciljana vrijednost 2030</w:t>
            </w:r>
            <w:r>
              <w:rPr>
                <w:rFonts w:ascii="Times New Roman" w:eastAsia="Calibri" w:hAnsi="Times New Roman"/>
                <w:sz w:val="24"/>
                <w:lang w:eastAsia="en-US"/>
              </w:rPr>
              <w:t>.: 1.000</w:t>
            </w:r>
          </w:p>
        </w:tc>
      </w:tr>
      <w:tr w:rsidR="00496804" w14:paraId="45D0618C" w14:textId="77777777">
        <w:tblPrEx>
          <w:shd w:val="clear" w:color="auto" w:fill="auto"/>
        </w:tblPrEx>
        <w:tc>
          <w:tcPr>
            <w:tcW w:w="9488" w:type="dxa"/>
            <w:gridSpan w:val="3"/>
            <w:shd w:val="clear" w:color="auto" w:fill="auto"/>
          </w:tcPr>
          <w:p w14:paraId="45D0618B"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Izvor podataka</w:t>
            </w:r>
            <w:r>
              <w:rPr>
                <w:rFonts w:ascii="Times New Roman" w:eastAsia="Calibri" w:hAnsi="Times New Roman"/>
                <w:sz w:val="24"/>
                <w:lang w:eastAsia="en-US"/>
              </w:rPr>
              <w:t>: Izvješća o provedenim edukativnim događanjima</w:t>
            </w:r>
          </w:p>
        </w:tc>
      </w:tr>
      <w:tr w:rsidR="00496804" w14:paraId="45D0618E" w14:textId="77777777">
        <w:tblPrEx>
          <w:shd w:val="clear" w:color="auto" w:fill="auto"/>
        </w:tblPrEx>
        <w:tc>
          <w:tcPr>
            <w:tcW w:w="9488" w:type="dxa"/>
            <w:gridSpan w:val="3"/>
            <w:shd w:val="clear" w:color="auto" w:fill="auto"/>
          </w:tcPr>
          <w:p w14:paraId="45D0618D" w14:textId="77777777" w:rsidR="00496804" w:rsidRDefault="0037359D">
            <w:pPr>
              <w:spacing w:line="240" w:lineRule="auto"/>
              <w:rPr>
                <w:rFonts w:ascii="Times New Roman" w:eastAsia="Calibri" w:hAnsi="Times New Roman"/>
                <w:sz w:val="24"/>
                <w:lang w:eastAsia="en-US"/>
              </w:rPr>
            </w:pPr>
            <w:r>
              <w:rPr>
                <w:rFonts w:ascii="Times New Roman" w:eastAsia="Calibri" w:hAnsi="Times New Roman"/>
                <w:b/>
                <w:bCs/>
                <w:sz w:val="24"/>
                <w:lang w:eastAsia="en-US"/>
              </w:rPr>
              <w:t>Metoda praćenja pokazatelja</w:t>
            </w:r>
            <w:r>
              <w:rPr>
                <w:rFonts w:ascii="Times New Roman" w:eastAsia="Calibri" w:hAnsi="Times New Roman"/>
                <w:sz w:val="24"/>
                <w:lang w:eastAsia="en-US"/>
              </w:rPr>
              <w:t>: Osoba unutar ministarstva zadužena za prikupljanje podataka periodično, a najmanje svakih šest mjeseci, prikuplja podatke</w:t>
            </w:r>
          </w:p>
        </w:tc>
      </w:tr>
    </w:tbl>
    <w:p w14:paraId="45D0618F" w14:textId="77777777" w:rsidR="00496804" w:rsidRDefault="00496804">
      <w:pPr>
        <w:pStyle w:val="tekst"/>
        <w:spacing w:line="240" w:lineRule="auto"/>
        <w:rPr>
          <w:rFonts w:ascii="Times New Roman" w:hAnsi="Times New Roman" w:cs="Times New Roman"/>
          <w:sz w:val="24"/>
          <w:szCs w:val="24"/>
        </w:rPr>
      </w:pPr>
    </w:p>
    <w:p w14:paraId="45D06190" w14:textId="77777777" w:rsidR="00496804" w:rsidRDefault="00496804">
      <w:pPr>
        <w:pStyle w:val="tekst"/>
        <w:spacing w:line="240" w:lineRule="auto"/>
        <w:rPr>
          <w:rFonts w:ascii="Times New Roman" w:hAnsi="Times New Roman" w:cs="Times New Roman"/>
          <w:sz w:val="24"/>
          <w:szCs w:val="24"/>
        </w:rPr>
      </w:pPr>
    </w:p>
    <w:p w14:paraId="45D06191" w14:textId="77777777" w:rsidR="00496804" w:rsidRDefault="0037359D">
      <w:pPr>
        <w:pStyle w:val="Naslov2"/>
        <w:ind w:left="426" w:hanging="426"/>
        <w:rPr>
          <w:rFonts w:ascii="Times New Roman" w:hAnsi="Times New Roman" w:cs="Times New Roman"/>
          <w:color w:val="auto"/>
          <w:sz w:val="24"/>
          <w:szCs w:val="24"/>
        </w:rPr>
      </w:pPr>
      <w:bookmarkStart w:id="237" w:name="_Toc51851664"/>
      <w:r>
        <w:rPr>
          <w:rFonts w:ascii="Times New Roman" w:hAnsi="Times New Roman" w:cs="Times New Roman"/>
          <w:color w:val="auto"/>
          <w:sz w:val="24"/>
          <w:szCs w:val="24"/>
        </w:rPr>
        <w:t>IZVJEŠTAVANJE O PROVEDBI</w:t>
      </w:r>
      <w:bookmarkEnd w:id="237"/>
    </w:p>
    <w:p w14:paraId="45D06192" w14:textId="77777777" w:rsidR="00496804" w:rsidRDefault="00496804">
      <w:pPr>
        <w:pStyle w:val="tekst"/>
        <w:spacing w:line="240" w:lineRule="auto"/>
        <w:rPr>
          <w:rFonts w:ascii="Times New Roman" w:hAnsi="Times New Roman" w:cs="Times New Roman"/>
          <w:sz w:val="24"/>
          <w:szCs w:val="24"/>
        </w:rPr>
      </w:pPr>
    </w:p>
    <w:p w14:paraId="45D06193"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Praćenje provedbe pokazatelja vezanih uz kružno gospodarenje prostorom i zgradama bi, s obzirom na višestruki utjecaj, trebalo biti interdisciplinarno, odnosno zadatak različitih relevantnih struka tj. institucija. O rezultatima praćenja je potom potrebno obavijestiti nadležno tijelo za provedbu Programa razvoja KG, odnosno ministarstvo nadležno za poslove prostornoga uređenja, graditeljstva i državne imovine koje ima zadaću izvještavanja o ostvarenju pokazatelja i provedbi istoga. </w:t>
      </w:r>
    </w:p>
    <w:p w14:paraId="45D06194"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Na temelju dobivenih podataka od relevantnih institucija, nadležno ministarstvo obvezno je jednom godišnje izraditi detaljno izvješće o stanju provedbe ovog Programa koje treba sadržavati sljedeće:</w:t>
      </w:r>
    </w:p>
    <w:p w14:paraId="45D06195" w14:textId="77777777" w:rsidR="00496804" w:rsidRDefault="0037359D">
      <w:pPr>
        <w:pStyle w:val="tekst"/>
        <w:numPr>
          <w:ilvl w:val="0"/>
          <w:numId w:val="33"/>
        </w:numPr>
        <w:spacing w:line="240" w:lineRule="auto"/>
        <w:ind w:left="426" w:hanging="284"/>
        <w:rPr>
          <w:rFonts w:ascii="Times New Roman" w:hAnsi="Times New Roman" w:cs="Times New Roman"/>
          <w:sz w:val="24"/>
          <w:szCs w:val="24"/>
        </w:rPr>
      </w:pPr>
      <w:r>
        <w:rPr>
          <w:rFonts w:ascii="Times New Roman" w:hAnsi="Times New Roman" w:cs="Times New Roman"/>
          <w:sz w:val="24"/>
          <w:szCs w:val="24"/>
        </w:rPr>
        <w:t xml:space="preserve">tablične podatke o evidentiranom stanju kružnog gospodarenja prostorom i zgradama </w:t>
      </w:r>
    </w:p>
    <w:p w14:paraId="45D06196" w14:textId="77777777" w:rsidR="00496804" w:rsidRDefault="0037359D">
      <w:pPr>
        <w:pStyle w:val="tekst"/>
        <w:numPr>
          <w:ilvl w:val="0"/>
          <w:numId w:val="33"/>
        </w:numPr>
        <w:spacing w:line="240" w:lineRule="auto"/>
        <w:ind w:left="426" w:hanging="284"/>
        <w:rPr>
          <w:rFonts w:ascii="Times New Roman" w:hAnsi="Times New Roman" w:cs="Times New Roman"/>
          <w:sz w:val="24"/>
          <w:szCs w:val="24"/>
        </w:rPr>
      </w:pPr>
      <w:r>
        <w:rPr>
          <w:rFonts w:ascii="Times New Roman" w:hAnsi="Times New Roman" w:cs="Times New Roman"/>
          <w:sz w:val="24"/>
          <w:szCs w:val="24"/>
        </w:rPr>
        <w:t>tablične podatke o realiziranim pokazateljima</w:t>
      </w:r>
    </w:p>
    <w:p w14:paraId="45D06197" w14:textId="77777777" w:rsidR="00496804" w:rsidRDefault="0037359D">
      <w:pPr>
        <w:pStyle w:val="tekst"/>
        <w:numPr>
          <w:ilvl w:val="0"/>
          <w:numId w:val="33"/>
        </w:numPr>
        <w:spacing w:line="240" w:lineRule="auto"/>
        <w:ind w:left="426" w:hanging="284"/>
        <w:rPr>
          <w:rFonts w:ascii="Times New Roman" w:hAnsi="Times New Roman" w:cs="Times New Roman"/>
          <w:sz w:val="24"/>
          <w:szCs w:val="24"/>
        </w:rPr>
      </w:pPr>
      <w:r>
        <w:rPr>
          <w:rFonts w:ascii="Times New Roman" w:hAnsi="Times New Roman" w:cs="Times New Roman"/>
          <w:sz w:val="24"/>
          <w:szCs w:val="24"/>
        </w:rPr>
        <w:t>tekstualni pregled uspješnosti provedbe Programa razvoja KG na temelju ostvarenih vrijednosti pokazatelja i ciljeva definiranih u strateškom okviru Programa razvoja KG</w:t>
      </w:r>
    </w:p>
    <w:p w14:paraId="45D06198" w14:textId="77777777" w:rsidR="00496804" w:rsidRDefault="0037359D">
      <w:pPr>
        <w:pStyle w:val="tekst"/>
        <w:numPr>
          <w:ilvl w:val="0"/>
          <w:numId w:val="33"/>
        </w:numPr>
        <w:spacing w:line="240" w:lineRule="auto"/>
        <w:ind w:left="426" w:hanging="284"/>
        <w:rPr>
          <w:rFonts w:ascii="Times New Roman" w:hAnsi="Times New Roman" w:cs="Times New Roman"/>
          <w:sz w:val="24"/>
          <w:szCs w:val="24"/>
        </w:rPr>
      </w:pPr>
      <w:r>
        <w:rPr>
          <w:rFonts w:ascii="Times New Roman" w:hAnsi="Times New Roman" w:cs="Times New Roman"/>
          <w:sz w:val="24"/>
          <w:szCs w:val="24"/>
        </w:rPr>
        <w:t>pregled uočenih izazova u provođenju Programa</w:t>
      </w:r>
    </w:p>
    <w:p w14:paraId="45D06199" w14:textId="77777777" w:rsidR="00496804" w:rsidRDefault="0037359D">
      <w:pPr>
        <w:pStyle w:val="tekst"/>
        <w:numPr>
          <w:ilvl w:val="0"/>
          <w:numId w:val="33"/>
        </w:numPr>
        <w:spacing w:line="240" w:lineRule="auto"/>
        <w:ind w:left="426" w:hanging="284"/>
        <w:rPr>
          <w:rFonts w:ascii="Times New Roman" w:hAnsi="Times New Roman" w:cs="Times New Roman"/>
          <w:sz w:val="24"/>
          <w:szCs w:val="24"/>
        </w:rPr>
      </w:pPr>
      <w:r>
        <w:rPr>
          <w:rFonts w:ascii="Times New Roman" w:hAnsi="Times New Roman" w:cs="Times New Roman"/>
          <w:sz w:val="24"/>
          <w:szCs w:val="24"/>
        </w:rPr>
        <w:t xml:space="preserve">prijedloge za otklanjanje uočenih izazova kako bi se osigurala učinkovitija provedba Programa razvoja KG. </w:t>
      </w:r>
    </w:p>
    <w:p w14:paraId="45D0619A" w14:textId="77777777" w:rsidR="00496804" w:rsidRDefault="00496804">
      <w:pPr>
        <w:pStyle w:val="tekst"/>
        <w:spacing w:line="240" w:lineRule="auto"/>
        <w:rPr>
          <w:rFonts w:ascii="Times New Roman" w:hAnsi="Times New Roman" w:cs="Times New Roman"/>
          <w:sz w:val="24"/>
          <w:szCs w:val="24"/>
        </w:rPr>
      </w:pPr>
    </w:p>
    <w:p w14:paraId="45D0619B"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Također je tijekom provođenja pilot projekata potrebno dostavljati detaljna izvješća o provedbi i rezultatima provedbe istih s obzirom da navedeno služi kao temelj za definiranje i izradu poziva za predlagatelje. Na temelju ovih izvješća također se utvrđuju izazovi prilikom provođenja ovog Programa koje se nastoje ublažiti ili otkloniti tijekom daljnje provedbe. </w:t>
      </w:r>
    </w:p>
    <w:p w14:paraId="45D0619C" w14:textId="77777777" w:rsidR="00496804" w:rsidRDefault="00496804">
      <w:pPr>
        <w:pStyle w:val="tekst"/>
        <w:spacing w:line="240" w:lineRule="auto"/>
        <w:rPr>
          <w:rFonts w:ascii="Times New Roman" w:hAnsi="Times New Roman" w:cs="Times New Roman"/>
          <w:sz w:val="24"/>
          <w:szCs w:val="24"/>
        </w:rPr>
      </w:pPr>
    </w:p>
    <w:p w14:paraId="45D0619D"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Programom razvoja KG predviđena je nadogradnja</w:t>
      </w:r>
      <w:r>
        <w:t xml:space="preserve"> </w:t>
      </w:r>
      <w:r>
        <w:rPr>
          <w:rFonts w:ascii="Times New Roman" w:hAnsi="Times New Roman" w:cs="Times New Roman"/>
          <w:sz w:val="24"/>
          <w:szCs w:val="24"/>
        </w:rPr>
        <w:t>ISPU, čime će se omogućiti olakšano praćenje provedbe nekih aspekata ne samo ovog Programa, već općenito projekata kružnog gospodarenja prostorom i zgradama u RH.</w:t>
      </w:r>
    </w:p>
    <w:p w14:paraId="45D0619E" w14:textId="77777777" w:rsidR="00496804" w:rsidRDefault="00496804">
      <w:pPr>
        <w:pStyle w:val="tekst"/>
        <w:spacing w:line="240" w:lineRule="auto"/>
        <w:rPr>
          <w:rFonts w:ascii="Times New Roman" w:hAnsi="Times New Roman" w:cs="Times New Roman"/>
          <w:sz w:val="24"/>
          <w:szCs w:val="24"/>
        </w:rPr>
      </w:pPr>
    </w:p>
    <w:p w14:paraId="45D0619F"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Pravilnikom o rokovima i postupcima praćenja i izvještavanja o provedbi akata strateškog planiranja od nacionalnog značaja i od značaja za jedinice lokalne i područne (regionalne) samouprave   propisuju se rokovi i postupci praćenja i izvještavanja o provedbi akata strateškog planiranja od nacionalnog značaja i od značaja za jedinice lokalne i područne (regionalne) samouprave.</w:t>
      </w:r>
    </w:p>
    <w:p w14:paraId="45D061A0" w14:textId="77777777" w:rsidR="00496804" w:rsidRDefault="00496804">
      <w:pPr>
        <w:pStyle w:val="tekst"/>
        <w:spacing w:line="240" w:lineRule="auto"/>
        <w:rPr>
          <w:rFonts w:ascii="Times New Roman" w:hAnsi="Times New Roman" w:cs="Times New Roman"/>
          <w:sz w:val="24"/>
          <w:szCs w:val="24"/>
        </w:rPr>
      </w:pPr>
    </w:p>
    <w:p w14:paraId="45D061A1" w14:textId="77777777" w:rsidR="00496804" w:rsidRDefault="00496804">
      <w:pPr>
        <w:pStyle w:val="tekst"/>
        <w:spacing w:line="240" w:lineRule="auto"/>
        <w:rPr>
          <w:rFonts w:ascii="Times New Roman" w:hAnsi="Times New Roman" w:cs="Times New Roman"/>
          <w:sz w:val="24"/>
          <w:szCs w:val="24"/>
        </w:rPr>
      </w:pPr>
    </w:p>
    <w:p w14:paraId="45D061A2" w14:textId="77777777" w:rsidR="00496804" w:rsidRDefault="0037359D">
      <w:pPr>
        <w:pStyle w:val="Naslov2"/>
        <w:ind w:left="426" w:hanging="426"/>
        <w:rPr>
          <w:rFonts w:ascii="Times New Roman" w:hAnsi="Times New Roman" w:cs="Times New Roman"/>
          <w:color w:val="auto"/>
          <w:sz w:val="24"/>
          <w:szCs w:val="24"/>
        </w:rPr>
      </w:pPr>
      <w:bookmarkStart w:id="238" w:name="_Toc51851665"/>
      <w:r>
        <w:rPr>
          <w:rFonts w:ascii="Times New Roman" w:hAnsi="Times New Roman" w:cs="Times New Roman"/>
          <w:color w:val="auto"/>
          <w:sz w:val="24"/>
          <w:szCs w:val="24"/>
        </w:rPr>
        <w:t>VREDNOVANJE PROVEDBE</w:t>
      </w:r>
      <w:bookmarkEnd w:id="238"/>
    </w:p>
    <w:p w14:paraId="45D061A3" w14:textId="77777777" w:rsidR="00496804" w:rsidRDefault="00496804">
      <w:pPr>
        <w:rPr>
          <w:lang w:eastAsia="hr-HR"/>
        </w:rPr>
      </w:pPr>
    </w:p>
    <w:p w14:paraId="45D061A4"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Vrednovanje provedbe Programa razvoja KG provodi se u skladu sa Zakonom o sustavu strateškog planiranja i upravljanja razvojem RH. Predstavlja evaluaciju procesa izrade akta strateškog planiranja (prethodno vrednovanje), provedbe (srednjoročno vrednovanje) i postignutih razvojnih učinaka i rezultat po isteku provedbenog razdoblja (naknadno vrednovanje): </w:t>
      </w:r>
    </w:p>
    <w:p w14:paraId="45D061A5" w14:textId="77777777" w:rsidR="00496804" w:rsidRDefault="0037359D">
      <w:pPr>
        <w:pStyle w:val="tekst"/>
        <w:numPr>
          <w:ilvl w:val="0"/>
          <w:numId w:val="34"/>
        </w:numPr>
        <w:spacing w:line="240" w:lineRule="auto"/>
        <w:ind w:left="426" w:hanging="284"/>
        <w:rPr>
          <w:rFonts w:ascii="Times New Roman" w:hAnsi="Times New Roman" w:cs="Times New Roman"/>
          <w:sz w:val="24"/>
          <w:szCs w:val="24"/>
        </w:rPr>
      </w:pPr>
      <w:r>
        <w:rPr>
          <w:rFonts w:ascii="Times New Roman" w:hAnsi="Times New Roman" w:cs="Times New Roman"/>
          <w:sz w:val="24"/>
          <w:szCs w:val="24"/>
        </w:rPr>
        <w:lastRenderedPageBreak/>
        <w:t>Vrednovanje tijekom provedbe pomaže donositeljima odluka da tijekom provedbe utvrde nedostatke u provedbi akata strateškog planiranja, i slijedom toga poduzmu potrebne korake ukoliko su potrebne njegove izmjene. Tijelo nadležno za izradu i provedbu ovog Programa samostalno odlučuje što će se vrednovati i kada. Vrednovanje na taj način postaje upravljački alat kojim se pomaže učinkovitija provedba akata strateškog planiranja.</w:t>
      </w:r>
    </w:p>
    <w:p w14:paraId="45D061A6" w14:textId="77777777" w:rsidR="00496804" w:rsidRDefault="0037359D">
      <w:pPr>
        <w:pStyle w:val="tekst"/>
        <w:numPr>
          <w:ilvl w:val="0"/>
          <w:numId w:val="34"/>
        </w:numPr>
        <w:spacing w:line="240" w:lineRule="auto"/>
        <w:ind w:left="426" w:hanging="284"/>
        <w:rPr>
          <w:rFonts w:ascii="Times New Roman" w:hAnsi="Times New Roman" w:cs="Times New Roman"/>
          <w:sz w:val="24"/>
          <w:szCs w:val="24"/>
        </w:rPr>
      </w:pPr>
      <w:r>
        <w:rPr>
          <w:rFonts w:ascii="Times New Roman" w:hAnsi="Times New Roman" w:cs="Times New Roman"/>
          <w:sz w:val="24"/>
          <w:szCs w:val="24"/>
        </w:rPr>
        <w:t>Vrednovanje nakon provedbe sažeto ponavlja i ocjenjuje cjelokupni utjecaj/učinak akata strateškog planiranja, odnosno njihovu djelotvornost i učinkovitost.</w:t>
      </w:r>
    </w:p>
    <w:p w14:paraId="45D061A7" w14:textId="77777777" w:rsidR="00496804" w:rsidRDefault="00496804">
      <w:pPr>
        <w:pStyle w:val="tekst"/>
        <w:spacing w:line="240" w:lineRule="auto"/>
        <w:rPr>
          <w:rFonts w:ascii="Times New Roman" w:hAnsi="Times New Roman" w:cs="Times New Roman"/>
          <w:sz w:val="24"/>
          <w:szCs w:val="24"/>
        </w:rPr>
      </w:pPr>
    </w:p>
    <w:p w14:paraId="45D061A8"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Vrednovanje Programa razvoja KG će provesti vanjski stručnjaci koji su funkcionalno neovisni o tijelu nadležnom za izradu i provedbu istoga, pri čemu će odluka o početku postupka vrednovanja biti donesena od strane čelnika nadležnog tijela. Rezultati, ishodi i učinci provedbe ovog Programa utvrđeni postupkom vrednovanja predstavljaju temelj za reviziju i daljnji proces ažuriranja i provedbe istoga. Po provođenju postupka vrednovanja, rezultate i preporuke će revidirati Koordinacijsko tijelo (središnje tijelo državne uprave nadležno za poslove regionalnoga razvoja i fondova EU-a).</w:t>
      </w:r>
    </w:p>
    <w:p w14:paraId="45D061A9" w14:textId="77777777" w:rsidR="00496804" w:rsidRDefault="00496804">
      <w:pPr>
        <w:pStyle w:val="tekst"/>
        <w:spacing w:line="240" w:lineRule="auto"/>
        <w:rPr>
          <w:rFonts w:ascii="Times New Roman" w:hAnsi="Times New Roman" w:cs="Times New Roman"/>
          <w:sz w:val="24"/>
          <w:szCs w:val="24"/>
        </w:rPr>
      </w:pPr>
    </w:p>
    <w:p w14:paraId="45D061AA"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Metodologija postupka vrednovanja Programa razvoja KG obuhvaća sljedeće korake:</w:t>
      </w:r>
    </w:p>
    <w:p w14:paraId="45D061AB" w14:textId="77777777" w:rsidR="00496804" w:rsidRDefault="0037359D">
      <w:pPr>
        <w:pStyle w:val="tekst"/>
        <w:numPr>
          <w:ilvl w:val="0"/>
          <w:numId w:val="35"/>
        </w:numPr>
        <w:spacing w:line="240" w:lineRule="auto"/>
        <w:ind w:left="426"/>
        <w:rPr>
          <w:rFonts w:ascii="Times New Roman" w:hAnsi="Times New Roman" w:cs="Times New Roman"/>
          <w:b/>
          <w:bCs/>
          <w:sz w:val="24"/>
          <w:szCs w:val="24"/>
        </w:rPr>
      </w:pPr>
      <w:r>
        <w:rPr>
          <w:rFonts w:ascii="Times New Roman" w:hAnsi="Times New Roman" w:cs="Times New Roman"/>
          <w:b/>
          <w:bCs/>
          <w:sz w:val="24"/>
          <w:szCs w:val="24"/>
        </w:rPr>
        <w:t>Pokretanje postupka vrednovanja</w:t>
      </w:r>
    </w:p>
    <w:p w14:paraId="45D061AC" w14:textId="77777777" w:rsidR="00496804" w:rsidRDefault="0037359D">
      <w:pPr>
        <w:pStyle w:val="tekst"/>
        <w:spacing w:line="240" w:lineRule="auto"/>
        <w:ind w:left="426"/>
        <w:rPr>
          <w:rFonts w:ascii="Times New Roman" w:hAnsi="Times New Roman" w:cs="Times New Roman"/>
          <w:sz w:val="24"/>
          <w:szCs w:val="24"/>
        </w:rPr>
      </w:pPr>
      <w:r>
        <w:rPr>
          <w:rFonts w:ascii="Times New Roman" w:hAnsi="Times New Roman" w:cs="Times New Roman"/>
          <w:sz w:val="24"/>
          <w:szCs w:val="24"/>
        </w:rPr>
        <w:t>Postupak vrednovanja pokrenut će čelnik tijela nadležnog za izradu i provedbu ovog Programa (ministarstva nadležnog za poslove prostornoga uređenja, graditeljstva i državne imovine) kroz odluku o početku postupka vrednovanja.</w:t>
      </w:r>
    </w:p>
    <w:p w14:paraId="45D061AD" w14:textId="77777777" w:rsidR="00496804" w:rsidRDefault="0037359D">
      <w:pPr>
        <w:pStyle w:val="tekst"/>
        <w:numPr>
          <w:ilvl w:val="0"/>
          <w:numId w:val="35"/>
        </w:numPr>
        <w:spacing w:line="240" w:lineRule="auto"/>
        <w:ind w:left="426"/>
        <w:rPr>
          <w:rFonts w:ascii="Times New Roman" w:hAnsi="Times New Roman" w:cs="Times New Roman"/>
          <w:b/>
          <w:bCs/>
          <w:sz w:val="24"/>
          <w:szCs w:val="24"/>
        </w:rPr>
      </w:pPr>
      <w:r>
        <w:rPr>
          <w:rFonts w:ascii="Times New Roman" w:hAnsi="Times New Roman" w:cs="Times New Roman"/>
          <w:b/>
          <w:bCs/>
          <w:sz w:val="24"/>
          <w:szCs w:val="24"/>
        </w:rPr>
        <w:t>Osnivanje Odbora za vrednovanje</w:t>
      </w:r>
    </w:p>
    <w:p w14:paraId="45D061AE" w14:textId="77777777" w:rsidR="00496804" w:rsidRDefault="0037359D">
      <w:pPr>
        <w:pStyle w:val="tekst"/>
        <w:spacing w:line="240" w:lineRule="auto"/>
        <w:ind w:left="426"/>
        <w:rPr>
          <w:rFonts w:ascii="Times New Roman" w:hAnsi="Times New Roman" w:cs="Times New Roman"/>
          <w:sz w:val="24"/>
          <w:szCs w:val="24"/>
        </w:rPr>
      </w:pPr>
      <w:r>
        <w:rPr>
          <w:rFonts w:ascii="Times New Roman" w:hAnsi="Times New Roman" w:cs="Times New Roman"/>
          <w:sz w:val="24"/>
          <w:szCs w:val="24"/>
        </w:rPr>
        <w:t>Nadležno tijelo imenuje članove Odbora za vrednovanje. Članove čine predstavnici Koordinacijskog tijela (središnje tijelo državne uprave nadležno za poslove regionalnoga razvoja i fondova EU-a), predstavnici nadležnog tijela za izradu i provedbu ovog Programa te ostali vanjski i unutarnji članovi sukladno odluci nadležnog tijela.</w:t>
      </w:r>
    </w:p>
    <w:p w14:paraId="45D061AF" w14:textId="77777777" w:rsidR="00496804" w:rsidRDefault="0037359D">
      <w:pPr>
        <w:pStyle w:val="tekst"/>
        <w:numPr>
          <w:ilvl w:val="0"/>
          <w:numId w:val="35"/>
        </w:numPr>
        <w:spacing w:line="240" w:lineRule="auto"/>
        <w:ind w:left="426"/>
        <w:rPr>
          <w:rFonts w:ascii="Times New Roman" w:hAnsi="Times New Roman" w:cs="Times New Roman"/>
          <w:b/>
          <w:bCs/>
          <w:sz w:val="24"/>
          <w:szCs w:val="24"/>
        </w:rPr>
      </w:pPr>
      <w:r>
        <w:rPr>
          <w:rFonts w:ascii="Times New Roman" w:hAnsi="Times New Roman" w:cs="Times New Roman"/>
          <w:b/>
          <w:bCs/>
          <w:sz w:val="24"/>
          <w:szCs w:val="24"/>
        </w:rPr>
        <w:t>Utvrđivanje opisa djelovanja Odbora za vrednovanje</w:t>
      </w:r>
    </w:p>
    <w:p w14:paraId="45D061B0" w14:textId="77777777" w:rsidR="00496804" w:rsidRDefault="0037359D">
      <w:pPr>
        <w:pStyle w:val="tekst"/>
        <w:spacing w:line="240" w:lineRule="auto"/>
        <w:ind w:left="426"/>
        <w:rPr>
          <w:rFonts w:ascii="Times New Roman" w:hAnsi="Times New Roman" w:cs="Times New Roman"/>
          <w:sz w:val="24"/>
          <w:szCs w:val="24"/>
        </w:rPr>
      </w:pPr>
      <w:r>
        <w:rPr>
          <w:rFonts w:ascii="Times New Roman" w:hAnsi="Times New Roman" w:cs="Times New Roman"/>
          <w:sz w:val="24"/>
          <w:szCs w:val="24"/>
        </w:rPr>
        <w:t>Nadležno tijelo, uz savjetovanje sa članovima Odbora za vrednovanje, izrađuje nacrt opisa djelovanja. Opis djelovanja sadrži ciljeve, ulogu Odbora za vrednovanje, razinu napora, proračun, vremenske rokove, sastav tima za vrednovanje, ukoliko se radi o vanjskim evaluatorima, zahtjeve za javno nadmetanje, isporučevine, zahtjeve izvještavanja, standarde kvalitete te očekivane rezultate i proces odobravanja rezultata.</w:t>
      </w:r>
    </w:p>
    <w:p w14:paraId="45D061B1" w14:textId="77777777" w:rsidR="00496804" w:rsidRDefault="0037359D">
      <w:pPr>
        <w:pStyle w:val="tekst"/>
        <w:numPr>
          <w:ilvl w:val="0"/>
          <w:numId w:val="35"/>
        </w:numPr>
        <w:spacing w:line="240" w:lineRule="auto"/>
        <w:ind w:left="426"/>
        <w:rPr>
          <w:rFonts w:ascii="Times New Roman" w:hAnsi="Times New Roman" w:cs="Times New Roman"/>
          <w:b/>
          <w:bCs/>
          <w:sz w:val="24"/>
          <w:szCs w:val="24"/>
        </w:rPr>
      </w:pPr>
      <w:r>
        <w:rPr>
          <w:rFonts w:ascii="Times New Roman" w:hAnsi="Times New Roman" w:cs="Times New Roman"/>
          <w:b/>
          <w:bCs/>
          <w:sz w:val="24"/>
          <w:szCs w:val="24"/>
        </w:rPr>
        <w:t>Osnivanje tima za vrednovanje</w:t>
      </w:r>
    </w:p>
    <w:p w14:paraId="45D061B2" w14:textId="77777777" w:rsidR="00496804" w:rsidRDefault="0037359D">
      <w:pPr>
        <w:pStyle w:val="tekst"/>
        <w:spacing w:line="240" w:lineRule="auto"/>
        <w:ind w:left="426"/>
        <w:rPr>
          <w:rFonts w:ascii="Times New Roman" w:hAnsi="Times New Roman" w:cs="Times New Roman"/>
          <w:sz w:val="24"/>
          <w:szCs w:val="24"/>
        </w:rPr>
      </w:pPr>
      <w:r>
        <w:rPr>
          <w:rFonts w:ascii="Times New Roman" w:hAnsi="Times New Roman" w:cs="Times New Roman"/>
          <w:sz w:val="24"/>
          <w:szCs w:val="24"/>
        </w:rPr>
        <w:t>Nadležno tijelo osniva tim za vrednovanje koji može biti unutarnji (unutarnji stručnjaci, funkcionalno neovisni o nadležnom tijelu), vanjski (vanjski evaluatori) ili mješoviti.</w:t>
      </w:r>
    </w:p>
    <w:p w14:paraId="45D061B3" w14:textId="77777777" w:rsidR="00496804" w:rsidRDefault="0037359D">
      <w:pPr>
        <w:pStyle w:val="tekst"/>
        <w:numPr>
          <w:ilvl w:val="0"/>
          <w:numId w:val="35"/>
        </w:numPr>
        <w:spacing w:line="240" w:lineRule="auto"/>
        <w:ind w:left="426"/>
        <w:rPr>
          <w:rFonts w:ascii="Times New Roman" w:hAnsi="Times New Roman" w:cs="Times New Roman"/>
          <w:b/>
          <w:bCs/>
          <w:sz w:val="24"/>
          <w:szCs w:val="24"/>
        </w:rPr>
      </w:pPr>
      <w:r>
        <w:rPr>
          <w:rFonts w:ascii="Times New Roman" w:hAnsi="Times New Roman" w:cs="Times New Roman"/>
          <w:b/>
          <w:bCs/>
          <w:sz w:val="24"/>
          <w:szCs w:val="24"/>
        </w:rPr>
        <w:t>Provođenje istraživanja i analize</w:t>
      </w:r>
    </w:p>
    <w:p w14:paraId="45D061B4" w14:textId="77777777" w:rsidR="00496804" w:rsidRDefault="0037359D">
      <w:pPr>
        <w:pStyle w:val="tekst"/>
        <w:spacing w:line="240" w:lineRule="auto"/>
        <w:ind w:left="426"/>
        <w:rPr>
          <w:rFonts w:ascii="Times New Roman" w:hAnsi="Times New Roman" w:cs="Times New Roman"/>
          <w:sz w:val="24"/>
          <w:szCs w:val="24"/>
        </w:rPr>
      </w:pPr>
      <w:r>
        <w:rPr>
          <w:rFonts w:ascii="Times New Roman" w:hAnsi="Times New Roman" w:cs="Times New Roman"/>
          <w:sz w:val="24"/>
          <w:szCs w:val="24"/>
        </w:rPr>
        <w:t>Tim za vrednovanje provodi opsežna istraživanja i analize u okviru postupka vrednovanja. Obuhvat i priroda istraživanja definiraju se opisom djelovanja i svrhom vrednovanja.</w:t>
      </w:r>
    </w:p>
    <w:p w14:paraId="45D061B5" w14:textId="77777777" w:rsidR="00496804" w:rsidRDefault="0037359D">
      <w:pPr>
        <w:pStyle w:val="tekst"/>
        <w:numPr>
          <w:ilvl w:val="0"/>
          <w:numId w:val="35"/>
        </w:numPr>
        <w:spacing w:line="240" w:lineRule="auto"/>
        <w:ind w:left="426"/>
        <w:rPr>
          <w:rFonts w:ascii="Times New Roman" w:hAnsi="Times New Roman" w:cs="Times New Roman"/>
          <w:b/>
          <w:bCs/>
          <w:sz w:val="24"/>
          <w:szCs w:val="24"/>
        </w:rPr>
      </w:pPr>
      <w:r>
        <w:rPr>
          <w:rFonts w:ascii="Times New Roman" w:hAnsi="Times New Roman" w:cs="Times New Roman"/>
          <w:b/>
          <w:bCs/>
          <w:sz w:val="24"/>
          <w:szCs w:val="24"/>
        </w:rPr>
        <w:t>Upravljanje postupkom vrednovanja</w:t>
      </w:r>
    </w:p>
    <w:p w14:paraId="45D061B6" w14:textId="77777777" w:rsidR="00496804" w:rsidRDefault="0037359D">
      <w:pPr>
        <w:pStyle w:val="tekst"/>
        <w:spacing w:line="240" w:lineRule="auto"/>
        <w:ind w:left="426"/>
        <w:rPr>
          <w:rFonts w:ascii="Times New Roman" w:hAnsi="Times New Roman" w:cs="Times New Roman"/>
          <w:sz w:val="24"/>
          <w:szCs w:val="24"/>
        </w:rPr>
      </w:pPr>
      <w:r>
        <w:rPr>
          <w:rFonts w:ascii="Times New Roman" w:hAnsi="Times New Roman" w:cs="Times New Roman"/>
          <w:sz w:val="24"/>
          <w:szCs w:val="24"/>
        </w:rPr>
        <w:t>Tim za vrednovanje izvješćuje nadležno tijelo i Odbor za vrednovanje sukladno prethodno utvrđenom vremenskom planu provedbe postupka vrednovanja. Uloga nadležnog tijela i Odbora za vrednovanje je osigurati sukladnost rada i rezultata s opisom djelovanja, olakšati pristup potrebnim informacijama timu za vrednovanje te osigurati kvalitetu vrednovanja. Nadležno tijelo i Odbor za vrednovanje ne mogu nametati i mijenjati zaključke i preporuke tima za vrednovanje, sukladno potrebi za funkcionalnom neovisnošću tima za vrednovanje.</w:t>
      </w:r>
    </w:p>
    <w:p w14:paraId="45D061B7" w14:textId="77777777" w:rsidR="00496804" w:rsidRDefault="0037359D">
      <w:pPr>
        <w:pStyle w:val="tekst"/>
        <w:numPr>
          <w:ilvl w:val="0"/>
          <w:numId w:val="35"/>
        </w:numPr>
        <w:spacing w:line="240" w:lineRule="auto"/>
        <w:ind w:left="426"/>
        <w:rPr>
          <w:rFonts w:ascii="Times New Roman" w:hAnsi="Times New Roman" w:cs="Times New Roman"/>
          <w:b/>
          <w:bCs/>
          <w:sz w:val="24"/>
          <w:szCs w:val="24"/>
        </w:rPr>
      </w:pPr>
      <w:r>
        <w:rPr>
          <w:rFonts w:ascii="Times New Roman" w:hAnsi="Times New Roman" w:cs="Times New Roman"/>
          <w:b/>
          <w:bCs/>
          <w:sz w:val="24"/>
          <w:szCs w:val="24"/>
        </w:rPr>
        <w:t>Dovršetak, provjera i odobravanje izvješća o vrednovanju i njegovih preporuka</w:t>
      </w:r>
    </w:p>
    <w:p w14:paraId="45D061B8" w14:textId="77777777" w:rsidR="00496804" w:rsidRDefault="0037359D">
      <w:pPr>
        <w:pStyle w:val="tekst"/>
        <w:spacing w:line="240" w:lineRule="auto"/>
        <w:ind w:left="426"/>
        <w:rPr>
          <w:rFonts w:ascii="Times New Roman" w:hAnsi="Times New Roman" w:cs="Times New Roman"/>
          <w:sz w:val="24"/>
          <w:szCs w:val="24"/>
        </w:rPr>
      </w:pPr>
      <w:r>
        <w:rPr>
          <w:rFonts w:ascii="Times New Roman" w:hAnsi="Times New Roman" w:cs="Times New Roman"/>
          <w:sz w:val="24"/>
          <w:szCs w:val="24"/>
        </w:rPr>
        <w:t>Nacrt izvješća vrednovanja provjerava Odbor za vrednovanje te pruža povratne informacije timu za vrednovanje. Konačno izvješće o vrednovanju usvaja Odbor za vrednovanje. Nadležno tijelo izrađuje sažetak preporuka temeljem rezultata vrednovanja. U slučaju da se izvješće o vrednovanju ne usvoji, osniva se novi tim za vrednovanje te se pokreće izrada novog izvješća.</w:t>
      </w:r>
    </w:p>
    <w:p w14:paraId="45D061B9" w14:textId="77777777" w:rsidR="00496804" w:rsidRDefault="0037359D">
      <w:pPr>
        <w:pStyle w:val="tekst"/>
        <w:numPr>
          <w:ilvl w:val="0"/>
          <w:numId w:val="35"/>
        </w:numPr>
        <w:spacing w:line="240" w:lineRule="auto"/>
        <w:ind w:left="426"/>
        <w:rPr>
          <w:rFonts w:ascii="Times New Roman" w:hAnsi="Times New Roman" w:cs="Times New Roman"/>
          <w:b/>
          <w:sz w:val="24"/>
          <w:szCs w:val="24"/>
        </w:rPr>
      </w:pPr>
      <w:r>
        <w:rPr>
          <w:rFonts w:ascii="Times New Roman" w:hAnsi="Times New Roman" w:cs="Times New Roman"/>
          <w:b/>
          <w:sz w:val="24"/>
          <w:szCs w:val="24"/>
        </w:rPr>
        <w:t>Objavljivanje rezultata</w:t>
      </w:r>
    </w:p>
    <w:p w14:paraId="45D061BA" w14:textId="77777777" w:rsidR="00496804" w:rsidRDefault="0037359D">
      <w:pPr>
        <w:pStyle w:val="tekst"/>
        <w:spacing w:line="240" w:lineRule="auto"/>
        <w:ind w:left="426"/>
        <w:rPr>
          <w:rFonts w:ascii="Times New Roman" w:hAnsi="Times New Roman" w:cs="Times New Roman"/>
          <w:sz w:val="24"/>
          <w:szCs w:val="24"/>
        </w:rPr>
      </w:pPr>
      <w:r>
        <w:rPr>
          <w:rFonts w:ascii="Times New Roman" w:hAnsi="Times New Roman" w:cs="Times New Roman"/>
          <w:sz w:val="24"/>
          <w:szCs w:val="24"/>
        </w:rPr>
        <w:lastRenderedPageBreak/>
        <w:t>Po usvajanju izvješća o vrednovanju od strane Odbora za vrednovanje, ono se objavljuje na internetskim stranicama nadležnog tijela.</w:t>
      </w:r>
    </w:p>
    <w:p w14:paraId="45D061BB" w14:textId="77777777" w:rsidR="00496804" w:rsidRDefault="0037359D">
      <w:pPr>
        <w:pStyle w:val="tekst"/>
        <w:numPr>
          <w:ilvl w:val="0"/>
          <w:numId w:val="35"/>
        </w:numPr>
        <w:spacing w:line="240" w:lineRule="auto"/>
        <w:ind w:left="426"/>
        <w:rPr>
          <w:rFonts w:ascii="Times New Roman" w:hAnsi="Times New Roman" w:cs="Times New Roman"/>
          <w:b/>
          <w:bCs/>
          <w:sz w:val="24"/>
          <w:szCs w:val="24"/>
        </w:rPr>
      </w:pPr>
      <w:r>
        <w:rPr>
          <w:rFonts w:ascii="Times New Roman" w:hAnsi="Times New Roman" w:cs="Times New Roman"/>
          <w:b/>
          <w:bCs/>
          <w:sz w:val="24"/>
          <w:szCs w:val="24"/>
        </w:rPr>
        <w:t>Povratno integriranje rezultata u sustav strateškog planiranja</w:t>
      </w:r>
    </w:p>
    <w:p w14:paraId="45D061BC" w14:textId="77777777" w:rsidR="00496804" w:rsidRDefault="0037359D">
      <w:pPr>
        <w:pStyle w:val="tekst"/>
        <w:spacing w:line="240" w:lineRule="auto"/>
        <w:ind w:left="426"/>
        <w:rPr>
          <w:rFonts w:ascii="Times New Roman" w:hAnsi="Times New Roman" w:cs="Times New Roman"/>
          <w:sz w:val="24"/>
          <w:szCs w:val="24"/>
        </w:rPr>
      </w:pPr>
      <w:r>
        <w:rPr>
          <w:rFonts w:ascii="Times New Roman" w:hAnsi="Times New Roman" w:cs="Times New Roman"/>
          <w:sz w:val="24"/>
          <w:szCs w:val="24"/>
        </w:rPr>
        <w:t>Sažetak preporuka proizašlih iz vrednovanja nadležno tijelo dostavlja mjerodavnim tijelima više razine kako bi mogle biti ugrađene u sljedeći novi ili ažurirani akt strateškog planiranja. Ovo zahtijeva povezivanje preporuka s posebnim ciljevima strategija višeg reda, identificiranje mjera potrebnih za provedbu preporuka, odabir mjera /ciljnih vrijednosti rezultata i utvrđivanje procjene njihova troška.</w:t>
      </w:r>
    </w:p>
    <w:p w14:paraId="45D061BD" w14:textId="77777777" w:rsidR="00496804" w:rsidRDefault="0037359D">
      <w:pPr>
        <w:pStyle w:val="tekst"/>
        <w:numPr>
          <w:ilvl w:val="0"/>
          <w:numId w:val="35"/>
        </w:numPr>
        <w:spacing w:line="240" w:lineRule="auto"/>
        <w:ind w:left="426"/>
        <w:rPr>
          <w:rFonts w:ascii="Times New Roman" w:hAnsi="Times New Roman" w:cs="Times New Roman"/>
          <w:b/>
          <w:bCs/>
          <w:sz w:val="24"/>
          <w:szCs w:val="24"/>
        </w:rPr>
      </w:pPr>
      <w:r>
        <w:rPr>
          <w:rFonts w:ascii="Times New Roman" w:hAnsi="Times New Roman" w:cs="Times New Roman"/>
          <w:b/>
          <w:bCs/>
          <w:sz w:val="24"/>
          <w:szCs w:val="24"/>
        </w:rPr>
        <w:t>Povratno izvješćivanje o provedbi preporuka proizašlih iz vrednovanja</w:t>
      </w:r>
    </w:p>
    <w:p w14:paraId="45D061BE" w14:textId="77777777" w:rsidR="00496804" w:rsidRDefault="0037359D">
      <w:pPr>
        <w:pStyle w:val="tekst"/>
        <w:spacing w:line="240" w:lineRule="auto"/>
        <w:ind w:left="426"/>
        <w:rPr>
          <w:rFonts w:ascii="Times New Roman" w:hAnsi="Times New Roman" w:cs="Times New Roman"/>
          <w:sz w:val="24"/>
          <w:szCs w:val="24"/>
        </w:rPr>
      </w:pPr>
      <w:r>
        <w:rPr>
          <w:rFonts w:ascii="Times New Roman" w:hAnsi="Times New Roman" w:cs="Times New Roman"/>
          <w:sz w:val="24"/>
          <w:szCs w:val="24"/>
        </w:rPr>
        <w:t>Godinu dana nakon završetka vrednovanja nadležno tijelo izrađuje procjenu stupnja integriranosti dogovorenih preporuka proizašlih iz vrednovanja u nove/ažurirane akte strateškog planiranja mjerodavnih tijela.</w:t>
      </w:r>
    </w:p>
    <w:p w14:paraId="45D061BF" w14:textId="77777777" w:rsidR="00496804" w:rsidRDefault="00496804">
      <w:pPr>
        <w:pStyle w:val="tekst"/>
        <w:spacing w:line="240" w:lineRule="auto"/>
        <w:ind w:left="426"/>
        <w:rPr>
          <w:rFonts w:ascii="Times New Roman" w:hAnsi="Times New Roman" w:cs="Times New Roman"/>
          <w:sz w:val="24"/>
          <w:szCs w:val="24"/>
        </w:rPr>
      </w:pPr>
    </w:p>
    <w:p w14:paraId="45D061C0" w14:textId="77777777" w:rsidR="00496804" w:rsidRDefault="0037359D">
      <w:pPr>
        <w:pStyle w:val="tekst"/>
        <w:spacing w:line="240" w:lineRule="auto"/>
        <w:rPr>
          <w:rFonts w:ascii="Times New Roman" w:hAnsi="Times New Roman" w:cs="Times New Roman"/>
          <w:sz w:val="24"/>
          <w:szCs w:val="24"/>
        </w:rPr>
      </w:pPr>
      <w:r>
        <w:rPr>
          <w:rFonts w:ascii="Times New Roman" w:hAnsi="Times New Roman" w:cs="Times New Roman"/>
          <w:sz w:val="24"/>
          <w:szCs w:val="24"/>
        </w:rPr>
        <w:t xml:space="preserve">Provedbom postupka vrednovanja cilj je odrediti stupanj ostvarenja posebnih ciljeva, mjera i aktivnosti te s njima povezanih pokazatelja ishoda i rezultata. Vrednovanjem će se utvrditi prepreke u provedbi ovog Programa i alternativne mogućnosti djelovanja, čime će se doprinijeti učinkovitijem ostvarenju željenih ciljeva. Vrednovanjem će se utvrditi jesu li postignuti rezultati ostvareni na ekonomičan način, odnosno na koji način se može postići veća ekonomičnost u provedbi mjera i aktivnosti. Postupkom vrednovanja utvrđuje se u kojoj mjeri su zastupljene i ostvarene obveze preuzete iz NRS 2030 te ostalih relevantnih sektorskih i višesektorskih strategija. </w:t>
      </w:r>
    </w:p>
    <w:p w14:paraId="45D061C1" w14:textId="77777777" w:rsidR="00496804" w:rsidRDefault="00496804">
      <w:pPr>
        <w:spacing w:line="240" w:lineRule="auto"/>
        <w:rPr>
          <w:rFonts w:ascii="Times New Roman" w:hAnsi="Times New Roman"/>
          <w:sz w:val="24"/>
        </w:rPr>
      </w:pPr>
    </w:p>
    <w:p w14:paraId="45D061C2" w14:textId="77777777" w:rsidR="00496804" w:rsidRDefault="0037359D">
      <w:pPr>
        <w:spacing w:line="240" w:lineRule="auto"/>
        <w:jc w:val="left"/>
        <w:rPr>
          <w:rFonts w:ascii="Times New Roman" w:hAnsi="Times New Roman"/>
          <w:sz w:val="24"/>
          <w:lang w:eastAsia="hr-HR"/>
        </w:rPr>
      </w:pPr>
      <w:r>
        <w:rPr>
          <w:rFonts w:ascii="Times New Roman" w:hAnsi="Times New Roman"/>
          <w:sz w:val="24"/>
        </w:rPr>
        <w:br w:type="page"/>
      </w:r>
    </w:p>
    <w:p w14:paraId="45D061C3" w14:textId="77777777" w:rsidR="00496804" w:rsidRDefault="0037359D">
      <w:pPr>
        <w:pStyle w:val="Naslov10"/>
        <w:spacing w:line="240" w:lineRule="auto"/>
        <w:ind w:left="426" w:hanging="426"/>
        <w:outlineLvl w:val="0"/>
        <w:rPr>
          <w:rFonts w:ascii="Times New Roman" w:hAnsi="Times New Roman" w:cs="Times New Roman"/>
          <w:sz w:val="24"/>
          <w:szCs w:val="24"/>
        </w:rPr>
      </w:pPr>
      <w:bookmarkStart w:id="239" w:name="_Toc51851666"/>
      <w:r>
        <w:rPr>
          <w:rFonts w:ascii="Times New Roman" w:hAnsi="Times New Roman" w:cs="Times New Roman"/>
          <w:sz w:val="24"/>
          <w:szCs w:val="24"/>
        </w:rPr>
        <w:lastRenderedPageBreak/>
        <w:t>POPIS LITERATURE I IZVORA PODATAKA</w:t>
      </w:r>
      <w:bookmarkEnd w:id="239"/>
    </w:p>
    <w:p w14:paraId="45D061C4" w14:textId="77777777" w:rsidR="00496804" w:rsidRDefault="00496804">
      <w:pPr>
        <w:spacing w:after="120" w:line="240" w:lineRule="auto"/>
        <w:rPr>
          <w:rFonts w:ascii="Times New Roman" w:hAnsi="Times New Roman"/>
          <w:sz w:val="24"/>
        </w:rPr>
      </w:pPr>
    </w:p>
    <w:p w14:paraId="45D061C5"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European Commission, Communication from the Commission to the European Parliament, the Council, the European Economic and Social Committee and the Committee of the Regions: A European Strategy for Plastics in a Circular Economy, 2018</w:t>
      </w:r>
    </w:p>
    <w:p w14:paraId="45D061C6"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European Commission, Communication from the Commission to the European Parliament, the Council, the European Economic and Social Committee and the Committee of the Regions: Closing the loop – An EU action plan for the Circular Economy, 2015</w:t>
      </w:r>
    </w:p>
    <w:p w14:paraId="45D061C7"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 xml:space="preserve">European Commission, Report from the Commission to the European Parliament, the Council, the European Economic and Social Committee and the Committee of the Regions: on the implementation of the Circular Economy Action Plan, 2019 </w:t>
      </w:r>
    </w:p>
    <w:p w14:paraId="45D061C8"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European Commisssion, Communication from the Commission to the European Parliament, the Council, the European Economic and Social Committee and the Committee of the Regions: A European Strategy for Plastics in a Circular Economy, 2018</w:t>
      </w:r>
    </w:p>
    <w:p w14:paraId="45D061C9"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European Commission, A Circular Economy for Plastics: Insights from research and innovation to inform policy and funding decisions, 2019</w:t>
      </w:r>
    </w:p>
    <w:p w14:paraId="45D061CA"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European Commission, The Circular Economy: Connecting, creating and conserving value</w:t>
      </w:r>
    </w:p>
    <w:p w14:paraId="45D061CB"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European Commission, Green Paper on a European Strategy on Plastic Waste in the Environment, 2013</w:t>
      </w:r>
    </w:p>
    <w:p w14:paraId="45D061CC"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EU Directive 2008/98/EC of the European Parliament and of the Council on waste and repealing certain Directives, https://eur-lex.europa.eu/legal-content/EN/TXT/?uri=celex%3A32008L0098</w:t>
      </w:r>
    </w:p>
    <w:p w14:paraId="45D061CD"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EU Directive 2006/66/EC of the European Parliament and of the Council on batteries and accumulators and waste batteries and accumulators and repealing Directive 91/157/EEC, https://eur-lex.europa.eu/legal-content/EN/TXT/?uri=celex:32006L0066</w:t>
      </w:r>
    </w:p>
    <w:p w14:paraId="45D061CE"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 xml:space="preserve">EU Directive 2012/19/EU of the European Parliament and of the Council on waste electical and electronic equipment https://eur-lex.europa.eu/legal-content/EN/TXT/?uri=uriserv:OJ.L_.2012.197.01.0038.01.ENG </w:t>
      </w:r>
    </w:p>
    <w:p w14:paraId="45D061CF"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EU Directive 2009/125/EC of the European Parliament and of the Council of establishing a framework for the setting of ecodesign requirements for energy-related products, https://eur-lex.europa.eu/LexUriServ/LexUriServ.do?uri=OJ:L:2009:285:0010:0035:en:PDF</w:t>
      </w:r>
    </w:p>
    <w:p w14:paraId="45D061D0"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Urban agenda for the EU, Circular Economy: Action plan, 2018</w:t>
      </w:r>
    </w:p>
    <w:p w14:paraId="45D061D1"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ESPON, Interact, Interreg Europe and URBACT – Pathways to a circular economy in cities and regions. Policy brief addressed to policy makers from European cities and regions, 2016</w:t>
      </w:r>
    </w:p>
    <w:p w14:paraId="45D061D2"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European Investment Bank, The EIB Circular Economy Guide: Supporting the circular transition, 2019</w:t>
      </w:r>
    </w:p>
    <w:p w14:paraId="45D061D3"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Lewandowski, M., 2016: Designing the Business Model for Circular Economy – Towards the Conceptual Framework, Sustainability 8 (43), 1-28</w:t>
      </w:r>
    </w:p>
    <w:p w14:paraId="45D061D4"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Strategija prostornog razvoja Republike Hrvatske (NN 106/17)</w:t>
      </w:r>
    </w:p>
    <w:p w14:paraId="45D061D5"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Proston, F., 2012: A Global Redesign? Shaping the Circular Economy, Energy, Environment and Resource Governance 2012/02</w:t>
      </w:r>
    </w:p>
    <w:p w14:paraId="45D061D6"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Valavanidis, A., 2018: Concept and Practice of the Circular Economy, http://chem-tox-ecotox.org/ScientificReviews/ (26.09.2019.)</w:t>
      </w:r>
    </w:p>
    <w:p w14:paraId="45D061D7"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lastRenderedPageBreak/>
        <w:t xml:space="preserve">Wautelet, T., 2018: The Concept of Circular Economy: its Origins and its Evolution, https://www.researchgate.net/publication/322555840_The_Concept_of_Circular_Economy_its_Origins_and_its_Evolution (26.09.2019.) </w:t>
      </w:r>
    </w:p>
    <w:p w14:paraId="45D061D8"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 xml:space="preserve">UNCTAD, 2018: Circular Economy: The New Normal?, Policy Brief 61 </w:t>
      </w:r>
    </w:p>
    <w:p w14:paraId="45D061D9"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Banzhaf, E., Kabisch, S., Knapp, S., Rink, D., Wolff, M., &amp; Kindler, A. (2017). Integrated research on land-use changes in the face of urban transformations–An analytic framework for further studies. Land use policy, 60, 403-407.</w:t>
      </w:r>
    </w:p>
    <w:p w14:paraId="45D061DA"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Bibri, S. E., &amp; Krogstie, J. (2017). Smart sustainable cities of the future: An extensive interdisciplinary literature review. Sustainable Cities and Society, 31, 183-212.</w:t>
      </w:r>
    </w:p>
    <w:p w14:paraId="45D061DB"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Bulkeley, H. (2006). Urban sustainability: learning from best practice? Environment and planning A, 38(6), 1029-1044.</w:t>
      </w:r>
    </w:p>
    <w:p w14:paraId="45D061DC"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Campbell, S. D. (2016). The Planner's Triangle Revisited: Sustainability and the Evolution of a Planning Ideal That Can't Stand Still. Journal of the American Planning Association, 82(4), 388-397.</w:t>
      </w:r>
    </w:p>
    <w:p w14:paraId="45D061DD"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Cohesion policy and sustainable development, Final Synthesis Report, Institute for European Environmental Policy (IEEP), 2011.</w:t>
      </w:r>
    </w:p>
    <w:p w14:paraId="45D061DE"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De Jong, M., Joss, S., Schraven, D., Zhan, C., &amp; Weijnen, M. (2015). Sustainable–smart–resilient–low carbon–eco–knowledge cities; making sense of a multitude of concepts promoting sustainable urbanization. Journal of Cleaner production, 109, 25-38.</w:t>
      </w:r>
    </w:p>
    <w:p w14:paraId="45D061DF"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EEA (2016). The direct and indirect impacts of EU policies on land, EEA Report.</w:t>
      </w:r>
    </w:p>
    <w:p w14:paraId="45D061E0"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Fikken, W. J., van Timmeren, A., &amp; Wamelink, J. W. F. (2014). Equalization of the costs and benefits of sustainability measures in area development: two cases to bring new focus. WIT Transactions on Ecology and the Environment, 181, 267-278.</w:t>
      </w:r>
    </w:p>
    <w:p w14:paraId="45D061E1"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Fusco Girard, L. (2013). Toward a smart sustainable development of port cities/areas: The role of the “Historic Urban Landscape” approach. Sustainability, 5(10), 4329-4348.</w:t>
      </w:r>
    </w:p>
    <w:p w14:paraId="45D061E2"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Geneletti, D., La Rosa, D., Spyra, M., &amp; Cortinovis, C. (2017). A review of approaches and challenges for sustainable planning in urban peripheries. Landscape and Urban Planning, 165, 231-243.</w:t>
      </w:r>
    </w:p>
    <w:p w14:paraId="45D061E3"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Goedman, H., &amp; Zonneveld, W. (2008). Dutch Spatial Planning: From implicit towards explicit sustainable urban development. In Proceedings of the44th ISOCARP Congress.</w:t>
      </w:r>
    </w:p>
    <w:p w14:paraId="45D061E4"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Jabareen, Y. R. (2006). Sustainable urban forms: Their typologies, models, and concepts. Journal of planning education and research, 26(1), 38-52.</w:t>
      </w:r>
    </w:p>
    <w:p w14:paraId="45D061E5"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Kenworthy, J. R. (2006). The eco-city: ten key transport and planning dimensions for sustainable city development. Environment and urbanization, 18(1), 67-85.</w:t>
      </w:r>
    </w:p>
    <w:p w14:paraId="45D061E6"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Mans, U., Meerow, S., &amp; Verrest, H. (2013). Best practices in urban planning and management technologies: Netherlands best practice. (Working paper series: land and urban management). Kingston: The University of the West Indies.</w:t>
      </w:r>
    </w:p>
    <w:p w14:paraId="45D061E7"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Nordregio, Austrian Institute for Spatial Planning &amp; OTB Research for the Built Environment, Delft University of Technology (2016). Co-creating Attractive and Sustainable Urban Areas and Lifestyles: Exploring new forms of inclusive urban governance, Synthesis Report from the CASUAL Project, Stockholm: Nordregio.</w:t>
      </w:r>
    </w:p>
    <w:p w14:paraId="45D061E8"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Ochoa, J. J., Tan, Y., Qian, Q. K., Shen, L., &amp; Moreno, E. L. (2018). Learning from best practices in sustainable urbanization. Habitat international, 78, 83-95.</w:t>
      </w:r>
    </w:p>
    <w:p w14:paraId="45D061E9"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lastRenderedPageBreak/>
        <w:t>OECD (2018), Rethinking Urban Sprawl: Moving Towards Sustainable Cities, OECD Publishing, Paris. http://dx.doi.org/10.1787/9789264189881-en</w:t>
      </w:r>
    </w:p>
    <w:p w14:paraId="45D061EA"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Prévost, A., Molines, N.,  Dehan, P., Bandet, J. The urban planning of French cities and the challenge of sustainable town planning: improvement and limits. AESOP 26th Annual Congress, Jul 2012, Ankara, Turkey. hal-01179362 Urban Development and Building Heights, Guidelines for Planning Authorities, December 2018, Government of Ireland.</w:t>
      </w:r>
    </w:p>
    <w:p w14:paraId="45D061EB"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Stewart, D. (2010) Smart Growth: From Rhetoric to Reality in Irish Urban Planning 1997-2007. Doctoral Thesis. Dublin, Dublin Institute of Technology. doi:10.21427/D75G6V</w:t>
      </w:r>
    </w:p>
    <w:p w14:paraId="45D061EC"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Stewart, D., Sirr, L., Kelly, R. (2006) Smart Growth: A Buffer Zone Between Decentrist And Centrist Theory? International Journal of Sustainable Development 1, 1-13.</w:t>
      </w:r>
    </w:p>
    <w:p w14:paraId="45D061ED" w14:textId="77777777" w:rsidR="00496804" w:rsidRDefault="0037359D">
      <w:pPr>
        <w:pStyle w:val="Odlomakpopisa"/>
        <w:numPr>
          <w:ilvl w:val="0"/>
          <w:numId w:val="36"/>
        </w:numPr>
        <w:spacing w:after="120" w:line="240" w:lineRule="auto"/>
        <w:ind w:left="425" w:hanging="425"/>
        <w:contextualSpacing w:val="0"/>
        <w:rPr>
          <w:rFonts w:ascii="Times New Roman" w:hAnsi="Times New Roman"/>
          <w:b w:val="0"/>
          <w:bCs/>
          <w:sz w:val="24"/>
          <w:lang w:val="en-GB" w:eastAsia="hr-HR"/>
        </w:rPr>
      </w:pPr>
      <w:r>
        <w:rPr>
          <w:rFonts w:ascii="Times New Roman" w:hAnsi="Times New Roman"/>
          <w:b w:val="0"/>
          <w:bCs/>
          <w:sz w:val="24"/>
          <w:lang w:val="en-GB" w:eastAsia="hr-HR"/>
        </w:rPr>
        <w:t>Westerink, J., Haase, D., Bauer, A., Ravetz, J., Jarrige, F., &amp; Aalbers, C. B. (2013). Dealing with sustainability trade-offs of the compact city in peri-urban planning across European city regions. European Planning Studies, 21(4), 473-497.</w:t>
      </w:r>
    </w:p>
    <w:p w14:paraId="45D061EE" w14:textId="77777777" w:rsidR="00496804" w:rsidRDefault="00496804">
      <w:pPr>
        <w:spacing w:line="240" w:lineRule="auto"/>
        <w:jc w:val="left"/>
        <w:rPr>
          <w:rFonts w:ascii="Times New Roman" w:hAnsi="Times New Roman"/>
          <w:sz w:val="24"/>
        </w:rPr>
      </w:pPr>
    </w:p>
    <w:sectPr w:rsidR="00496804">
      <w:pgSz w:w="11900" w:h="16840"/>
      <w:pgMar w:top="1701" w:right="1134" w:bottom="1134" w:left="1134" w:header="709" w:footer="28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BF4159" w14:textId="77777777" w:rsidR="00F362EB" w:rsidRDefault="00F362EB">
      <w:pPr>
        <w:spacing w:line="240" w:lineRule="auto"/>
      </w:pPr>
      <w:r>
        <w:separator/>
      </w:r>
    </w:p>
  </w:endnote>
  <w:endnote w:type="continuationSeparator" w:id="0">
    <w:p w14:paraId="23963167" w14:textId="77777777" w:rsidR="00F362EB" w:rsidRDefault="00F362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Futura Lt BT">
    <w:altName w:val="Segoe Print"/>
    <w:charset w:val="00"/>
    <w:family w:val="swiss"/>
    <w:pitch w:val="variable"/>
    <w:sig w:usb0="00000087" w:usb1="00000000" w:usb2="00000000" w:usb3="00000000" w:csb0="0000001B" w:csb1="00000000"/>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STXinwei">
    <w:charset w:val="86"/>
    <w:family w:val="auto"/>
    <w:pitch w:val="variable"/>
    <w:sig w:usb0="00000001" w:usb1="080F0000" w:usb2="00000010" w:usb3="00000000" w:csb0="00040000" w:csb1="00000000"/>
  </w:font>
  <w:font w:name="Helvetica Neue">
    <w:altName w:val="Times New Roman"/>
    <w:charset w:val="00"/>
    <w:family w:val="auto"/>
    <w:pitch w:val="variable"/>
    <w:sig w:usb0="E50002FF" w:usb1="500079DB" w:usb2="00000010" w:usb3="00000000" w:csb0="00000001" w:csb1="00000000"/>
  </w:font>
  <w:font w:name="方正姚体">
    <w:altName w:val="Segoe Print"/>
    <w:charset w:val="00"/>
    <w:family w:val="auto"/>
    <w:pitch w:val="default"/>
  </w:font>
  <w:font w:name="Myriad Pro">
    <w:altName w:val="Arial"/>
    <w:panose1 w:val="00000000000000000000"/>
    <w:charset w:val="00"/>
    <w:family w:val="swiss"/>
    <w:notTrueType/>
    <w:pitch w:val="variable"/>
    <w:sig w:usb0="00000003" w:usb1="00000000" w:usb2="00000000" w:usb3="00000000" w:csb0="00000001" w:csb1="00000000"/>
  </w:font>
  <w:font w:name="Times">
    <w:altName w:val="Times New Roman"/>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766016"/>
    </w:sdtPr>
    <w:sdtEndPr>
      <w:rPr>
        <w:rFonts w:ascii="Times New Roman" w:hAnsi="Times New Roman"/>
      </w:rPr>
    </w:sdtEndPr>
    <w:sdtContent>
      <w:p w14:paraId="45D06236" w14:textId="50471C92" w:rsidR="00053AD3" w:rsidRDefault="00053AD3">
        <w:pPr>
          <w:pStyle w:val="Podnoje"/>
          <w:jc w:val="right"/>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sidR="00CB7B98">
          <w:rPr>
            <w:rFonts w:ascii="Times New Roman" w:hAnsi="Times New Roman"/>
            <w:noProof/>
          </w:rPr>
          <w:t>85</w:t>
        </w:r>
        <w:r>
          <w:rPr>
            <w:rFonts w:ascii="Times New Roman" w:hAnsi="Times New Roman"/>
          </w:rPr>
          <w:fldChar w:fldCharType="end"/>
        </w:r>
      </w:p>
    </w:sdtContent>
  </w:sdt>
  <w:p w14:paraId="45D06237" w14:textId="77777777" w:rsidR="00053AD3" w:rsidRDefault="00053AD3">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06238" w14:textId="77777777" w:rsidR="00053AD3" w:rsidRDefault="00053AD3">
    <w:pPr>
      <w:pStyle w:val="Podnoje"/>
      <w:jc w:val="right"/>
    </w:pPr>
  </w:p>
  <w:p w14:paraId="45D06239" w14:textId="77777777" w:rsidR="00053AD3" w:rsidRDefault="00053AD3">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0DD29C" w14:textId="77777777" w:rsidR="00F362EB" w:rsidRDefault="00F362EB">
      <w:pPr>
        <w:spacing w:line="240" w:lineRule="auto"/>
      </w:pPr>
      <w:r>
        <w:separator/>
      </w:r>
    </w:p>
  </w:footnote>
  <w:footnote w:type="continuationSeparator" w:id="0">
    <w:p w14:paraId="188A8121" w14:textId="77777777" w:rsidR="00F362EB" w:rsidRDefault="00F362EB">
      <w:pPr>
        <w:spacing w:line="240" w:lineRule="auto"/>
      </w:pPr>
      <w:r>
        <w:continuationSeparator/>
      </w:r>
    </w:p>
  </w:footnote>
  <w:footnote w:id="1">
    <w:p w14:paraId="45D0623A" w14:textId="77777777" w:rsidR="00053AD3" w:rsidRDefault="00053AD3">
      <w:pPr>
        <w:pStyle w:val="Tekstfusnote"/>
      </w:pPr>
      <w:r>
        <w:rPr>
          <w:rStyle w:val="Referencafusnote"/>
        </w:rPr>
        <w:footnoteRef/>
      </w:r>
      <w:r>
        <w:t xml:space="preserve"> Strategija prostornog razvoja Republike Hrvatske (NN 106/17), dostupno na:</w:t>
      </w:r>
      <w:r>
        <w:rPr>
          <w:rFonts w:eastAsiaTheme="minorHAnsi"/>
          <w:color w:val="56C7AA" w:themeColor="hyperlink"/>
          <w:u w:val="single"/>
          <w:lang w:val="en-US" w:eastAsia="en-US"/>
        </w:rPr>
        <w:t xml:space="preserve"> </w:t>
      </w:r>
      <w:r>
        <w:rPr>
          <w:rStyle w:val="Hiperveza"/>
          <w:rFonts w:ascii="Times New Roman" w:eastAsiaTheme="minorHAnsi" w:hAnsi="Times New Roman"/>
          <w:color w:val="0000FF"/>
          <w:sz w:val="16"/>
          <w:u w:val="single"/>
          <w:lang w:eastAsia="en-US"/>
        </w:rPr>
        <w:t>https://narodne-novine.nn.hr/clanci/sluzbeni/2017_10_106_2423.html</w:t>
      </w:r>
      <w:r>
        <w:t xml:space="preserve"> </w:t>
      </w:r>
    </w:p>
  </w:footnote>
  <w:footnote w:id="2">
    <w:p w14:paraId="45D0623B" w14:textId="77777777" w:rsidR="00053AD3" w:rsidRDefault="00053AD3">
      <w:pPr>
        <w:pStyle w:val="Tekstfusnote"/>
      </w:pPr>
      <w:r>
        <w:rPr>
          <w:rStyle w:val="Referencafusnote"/>
        </w:rPr>
        <w:footnoteRef/>
      </w:r>
      <w:r>
        <w:rPr>
          <w:i/>
        </w:rPr>
        <w:t xml:space="preserve"> </w:t>
      </w:r>
      <w:r>
        <w:t xml:space="preserve">Komunikacija Komisije Europskom parlamentu, Europskom vijeću, Vijeću, Europskom gospodarskom i socijalnom odboru i Odboru regija:  Europski zeleni plan (COM(2019) 640 final) od 11.12.2019. godine, dostupno na: </w:t>
      </w:r>
    </w:p>
    <w:p w14:paraId="45D0623C" w14:textId="77777777" w:rsidR="00053AD3" w:rsidRDefault="00053AD3">
      <w:pPr>
        <w:pStyle w:val="Tekstfusnote"/>
      </w:pPr>
      <w:r>
        <w:rPr>
          <w:rStyle w:val="Hiperveza"/>
          <w:rFonts w:ascii="Times New Roman" w:eastAsiaTheme="minorHAnsi" w:hAnsi="Times New Roman"/>
          <w:color w:val="0000FF"/>
          <w:sz w:val="16"/>
          <w:lang w:eastAsia="en-US"/>
        </w:rPr>
        <w:t xml:space="preserve">  </w:t>
      </w:r>
      <w:r>
        <w:rPr>
          <w:rStyle w:val="Hiperveza"/>
          <w:rFonts w:ascii="Times New Roman" w:eastAsiaTheme="minorHAnsi" w:hAnsi="Times New Roman"/>
          <w:color w:val="0000FF"/>
          <w:sz w:val="16"/>
          <w:u w:val="single"/>
          <w:lang w:eastAsia="en-US"/>
        </w:rPr>
        <w:t>https://eur-lex.europa.eu/legal-content/HR/TXT/?uri=CELEX:52019DC0640</w:t>
      </w:r>
    </w:p>
  </w:footnote>
  <w:footnote w:id="3">
    <w:p w14:paraId="45D0623D" w14:textId="77777777" w:rsidR="00053AD3" w:rsidRDefault="00053AD3">
      <w:pPr>
        <w:pStyle w:val="Tekstfusnote"/>
        <w:rPr>
          <w:rStyle w:val="Hiperveza"/>
          <w:rFonts w:ascii="Times New Roman" w:eastAsiaTheme="minorHAnsi" w:hAnsi="Times New Roman"/>
          <w:color w:val="0000FF"/>
          <w:sz w:val="16"/>
          <w:u w:val="single"/>
          <w:lang w:eastAsia="en-US"/>
        </w:rPr>
      </w:pPr>
      <w:r>
        <w:rPr>
          <w:rStyle w:val="Referencafusnote"/>
        </w:rPr>
        <w:footnoteRef/>
      </w:r>
      <w:r>
        <w:rPr>
          <w:i/>
        </w:rPr>
        <w:t xml:space="preserve"> </w:t>
      </w:r>
      <w:r>
        <w:t xml:space="preserve">Zakon o prostornom uređenju (NN 153/13, 65/17, 114/18, 39/19, 98/19), dostupno na: </w:t>
      </w:r>
      <w:r>
        <w:rPr>
          <w:rStyle w:val="Hiperveza"/>
          <w:rFonts w:ascii="Times New Roman" w:eastAsiaTheme="minorHAnsi" w:hAnsi="Times New Roman"/>
          <w:color w:val="0000FF"/>
          <w:sz w:val="16"/>
          <w:u w:val="single"/>
          <w:lang w:eastAsia="en-US"/>
        </w:rPr>
        <w:t>https://narodne-novine.nn.hr/search.aspx?upit=zakon+o+prostornom+ure%c4%91enju&amp;naslovi=da&amp;sortiraj=0&amp;kategorija=1&amp;rpp=10&amp;qtype=3&amp;pretraga=da</w:t>
      </w:r>
    </w:p>
  </w:footnote>
  <w:footnote w:id="4">
    <w:p w14:paraId="45D0623E" w14:textId="77777777" w:rsidR="00053AD3" w:rsidRDefault="00053AD3">
      <w:pPr>
        <w:pStyle w:val="Tekstfusnote"/>
      </w:pPr>
      <w:r>
        <w:rPr>
          <w:rStyle w:val="Referencafusnote"/>
        </w:rPr>
        <w:footnoteRef/>
      </w:r>
      <w:r>
        <w:rPr>
          <w:rStyle w:val="Referencafusnote"/>
        </w:rPr>
        <w:t xml:space="preserve"> </w:t>
      </w:r>
      <w:r>
        <w:rPr>
          <w:rStyle w:val="Referencafusnote"/>
          <w:vertAlign w:val="baseline"/>
        </w:rPr>
        <w:t xml:space="preserve">Program Ujedinjenih naroda za održivi razvoj 2030, dostupno na: </w:t>
      </w:r>
      <w:r>
        <w:rPr>
          <w:rStyle w:val="Hiperveza"/>
          <w:rFonts w:ascii="Times New Roman" w:eastAsiaTheme="minorHAnsi" w:hAnsi="Times New Roman"/>
          <w:color w:val="0000FF"/>
          <w:sz w:val="16"/>
          <w:u w:val="single"/>
          <w:lang w:eastAsia="en-US"/>
        </w:rPr>
        <w:t>https://www.un.org/ga/search/view_doc.asp?symbol=A/RES/70/1&amp;Lang=E</w:t>
      </w:r>
    </w:p>
  </w:footnote>
  <w:footnote w:id="5">
    <w:p w14:paraId="45D0623F" w14:textId="77777777" w:rsidR="00053AD3" w:rsidRDefault="00053AD3">
      <w:pPr>
        <w:pStyle w:val="Tekstfusnote"/>
      </w:pPr>
      <w:r>
        <w:rPr>
          <w:rStyle w:val="Referencafusnote"/>
        </w:rPr>
        <w:footnoteRef/>
      </w:r>
      <w:r>
        <w:t xml:space="preserve"> Nova urbana agenda, dostupno na: </w:t>
      </w:r>
      <w:hyperlink r:id="rId1" w:history="1">
        <w:r>
          <w:rPr>
            <w:rStyle w:val="Hiperveza"/>
            <w:rFonts w:ascii="Times New Roman" w:eastAsiaTheme="minorHAnsi" w:hAnsi="Times New Roman"/>
            <w:color w:val="0000FF"/>
            <w:sz w:val="16"/>
            <w:u w:val="single"/>
            <w:lang w:eastAsia="en-US"/>
          </w:rPr>
          <w:t>https://www.un.org/en/development/desa/population/migration/generalassembly/docs/globalcompact/A_RES_71_256.pdf</w:t>
        </w:r>
      </w:hyperlink>
      <w:r>
        <w:t xml:space="preserve"> </w:t>
      </w:r>
    </w:p>
  </w:footnote>
  <w:footnote w:id="6">
    <w:p w14:paraId="45D06240" w14:textId="77777777" w:rsidR="00053AD3" w:rsidRDefault="00053AD3">
      <w:pPr>
        <w:pStyle w:val="Tekstfusnote"/>
      </w:pPr>
      <w:r>
        <w:rPr>
          <w:rStyle w:val="Referencafusnote"/>
        </w:rPr>
        <w:footnoteRef/>
      </w:r>
      <w:r>
        <w:t xml:space="preserve"> World Urbanization Prospects, 2018., dostupno na: </w:t>
      </w:r>
      <w:hyperlink r:id="rId2" w:history="1">
        <w:r>
          <w:rPr>
            <w:rStyle w:val="Hiperveza"/>
            <w:rFonts w:ascii="Times New Roman" w:eastAsiaTheme="minorHAnsi" w:hAnsi="Times New Roman"/>
            <w:color w:val="0000FF"/>
            <w:sz w:val="16"/>
            <w:u w:val="single"/>
            <w:lang w:eastAsia="en-US"/>
          </w:rPr>
          <w:t>https://population.un.org/wup/Publications/Files/WUP2018-Report.pdf</w:t>
        </w:r>
      </w:hyperlink>
      <w:r>
        <w:t xml:space="preserve"> </w:t>
      </w:r>
    </w:p>
  </w:footnote>
  <w:footnote w:id="7">
    <w:p w14:paraId="45D06241" w14:textId="77777777" w:rsidR="00053AD3" w:rsidRDefault="00053AD3">
      <w:pPr>
        <w:pStyle w:val="Tekstfusnote"/>
      </w:pPr>
      <w:r>
        <w:rPr>
          <w:rStyle w:val="Referencafusnote"/>
        </w:rPr>
        <w:footnoteRef/>
      </w:r>
      <w:r>
        <w:t xml:space="preserve"> Pariški sporazum, dostupno na: </w:t>
      </w:r>
      <w:hyperlink r:id="rId3" w:history="1">
        <w:r>
          <w:rPr>
            <w:rStyle w:val="Hiperveza"/>
            <w:rFonts w:ascii="Times New Roman" w:eastAsiaTheme="minorHAnsi" w:hAnsi="Times New Roman"/>
            <w:color w:val="0000FF"/>
            <w:sz w:val="16"/>
            <w:u w:val="single"/>
            <w:lang w:eastAsia="en-US"/>
          </w:rPr>
          <w:t>https://unfccc.int/process-and-meetings/the-paris-agreement/the-paris-agreement</w:t>
        </w:r>
      </w:hyperlink>
      <w:r>
        <w:t xml:space="preserve"> </w:t>
      </w:r>
    </w:p>
  </w:footnote>
  <w:footnote w:id="8">
    <w:p w14:paraId="45D06242" w14:textId="77777777" w:rsidR="00053AD3" w:rsidRDefault="00053AD3">
      <w:pPr>
        <w:pStyle w:val="Tekstfusnote"/>
      </w:pPr>
      <w:r>
        <w:rPr>
          <w:rStyle w:val="Referencafusnote"/>
        </w:rPr>
        <w:footnoteRef/>
      </w:r>
      <w:r>
        <w:t xml:space="preserve"> Europa 2020. Europska strategija za pametan, održiv i uključiv rast, dostupno na: </w:t>
      </w:r>
    </w:p>
    <w:p w14:paraId="45D06243" w14:textId="77777777" w:rsidR="00053AD3" w:rsidRDefault="00053AD3">
      <w:pPr>
        <w:pStyle w:val="Tekstfusnote"/>
      </w:pPr>
      <w:r>
        <w:t xml:space="preserve"> </w:t>
      </w:r>
      <w:hyperlink r:id="rId4" w:history="1">
        <w:r>
          <w:rPr>
            <w:rStyle w:val="Hiperveza"/>
            <w:rFonts w:ascii="Times New Roman" w:eastAsiaTheme="minorHAnsi" w:hAnsi="Times New Roman"/>
            <w:color w:val="0000FF"/>
            <w:sz w:val="16"/>
            <w:u w:val="single"/>
            <w:lang w:eastAsia="en-US"/>
          </w:rPr>
          <w:t>https://strukturnifondovi.hr/wp-content/uploads/2017/03/Strategija-EUROPA-2020.-hr.pdf</w:t>
        </w:r>
      </w:hyperlink>
      <w:r>
        <w:t xml:space="preserve"> </w:t>
      </w:r>
    </w:p>
  </w:footnote>
  <w:footnote w:id="9">
    <w:p w14:paraId="45D06244" w14:textId="77777777" w:rsidR="00053AD3" w:rsidRDefault="00053AD3">
      <w:pPr>
        <w:pStyle w:val="Tekstfusnote"/>
      </w:pPr>
      <w:r>
        <w:rPr>
          <w:rStyle w:val="Referencafusnote"/>
        </w:rPr>
        <w:footnoteRef/>
      </w:r>
      <w:r>
        <w:t xml:space="preserve"> Urbana agenda za EU, dostupno na: </w:t>
      </w:r>
      <w:hyperlink r:id="rId5" w:history="1">
        <w:r>
          <w:rPr>
            <w:rStyle w:val="Hiperveza"/>
            <w:rFonts w:ascii="Times New Roman" w:eastAsiaTheme="minorHAnsi" w:hAnsi="Times New Roman"/>
            <w:color w:val="0000FF"/>
            <w:sz w:val="16"/>
            <w:u w:val="single"/>
            <w:lang w:eastAsia="en-US"/>
          </w:rPr>
          <w:t>https://ec.europa.eu/futurium/en/urban-agenda</w:t>
        </w:r>
      </w:hyperlink>
      <w:r>
        <w:t xml:space="preserve"> </w:t>
      </w:r>
    </w:p>
  </w:footnote>
  <w:footnote w:id="10">
    <w:p w14:paraId="45D06245" w14:textId="77777777" w:rsidR="00053AD3" w:rsidRDefault="00053AD3">
      <w:pPr>
        <w:pStyle w:val="Tekstfusnote"/>
      </w:pPr>
      <w:r>
        <w:rPr>
          <w:rStyle w:val="Referencafusnote"/>
        </w:rPr>
        <w:footnoteRef/>
      </w:r>
      <w:r>
        <w:t xml:space="preserve"> Partnership on Circular Economy, Circular Economy Action Plan, dostupno na: </w:t>
      </w:r>
    </w:p>
    <w:p w14:paraId="45D06246" w14:textId="77777777" w:rsidR="00053AD3" w:rsidRDefault="00053AD3">
      <w:pPr>
        <w:pStyle w:val="Tekstfusnote"/>
      </w:pPr>
      <w:r>
        <w:t xml:space="preserve"> </w:t>
      </w:r>
      <w:r>
        <w:rPr>
          <w:rStyle w:val="Hiperveza"/>
          <w:rFonts w:ascii="Times New Roman" w:eastAsiaTheme="minorHAnsi" w:hAnsi="Times New Roman"/>
          <w:color w:val="0000FF"/>
          <w:sz w:val="16"/>
          <w:u w:val="single"/>
          <w:lang w:eastAsia="en-US"/>
        </w:rPr>
        <w:t>https://ec.europa.eu/futurium/en/system/files/ged/ua_ce_action_plan_30.11.2018_final.pdf</w:t>
      </w:r>
      <w:r>
        <w:t xml:space="preserve"> </w:t>
      </w:r>
    </w:p>
  </w:footnote>
  <w:footnote w:id="11">
    <w:p w14:paraId="45D06247" w14:textId="77777777" w:rsidR="00053AD3" w:rsidRDefault="00053AD3">
      <w:pPr>
        <w:pStyle w:val="Tekstfusnote"/>
        <w:rPr>
          <w:rStyle w:val="Hiperveza"/>
          <w:rFonts w:ascii="Times New Roman" w:eastAsiaTheme="minorHAnsi" w:hAnsi="Times New Roman"/>
          <w:color w:val="0000FF"/>
          <w:sz w:val="16"/>
          <w:u w:val="single"/>
          <w:lang w:eastAsia="en-US"/>
        </w:rPr>
      </w:pPr>
      <w:r>
        <w:rPr>
          <w:rStyle w:val="Referencafusnote"/>
        </w:rPr>
        <w:footnoteRef/>
      </w:r>
      <w:r>
        <w:t xml:space="preserve"> Teritorijalna agenda Europske unije 2020, dostupno na: </w:t>
      </w:r>
      <w:hyperlink r:id="rId6" w:history="1">
        <w:r>
          <w:rPr>
            <w:rStyle w:val="Hiperveza"/>
            <w:rFonts w:ascii="Times New Roman" w:eastAsiaTheme="minorHAnsi" w:hAnsi="Times New Roman"/>
            <w:color w:val="0000FF"/>
            <w:sz w:val="16"/>
            <w:u w:val="single"/>
            <w:lang w:eastAsia="en-US"/>
          </w:rPr>
          <w:t>https://ec.europa.eu/regional_policy/en/information/publications/communications/2011/territorial-agenda-of-the-european-union-2020</w:t>
        </w:r>
      </w:hyperlink>
    </w:p>
  </w:footnote>
  <w:footnote w:id="12">
    <w:p w14:paraId="45D06248" w14:textId="4E4D8225" w:rsidR="00053AD3" w:rsidRDefault="00053AD3">
      <w:pPr>
        <w:pStyle w:val="Tekstfusnote"/>
      </w:pPr>
      <w:r>
        <w:rPr>
          <w:rStyle w:val="Referencafusnote"/>
        </w:rPr>
        <w:footnoteRef/>
      </w:r>
      <w:r>
        <w:t xml:space="preserve"> Teritorijalna agenda 2030, prosinac 2020., dostupno na: </w:t>
      </w:r>
      <w:r w:rsidRPr="00015BFA">
        <w:t>https://ec.europa.eu/regional_policy/en/information/publications/brochures/2021/territorial-agenda-2030-a-future-for-all-places</w:t>
      </w:r>
      <w:r>
        <w:t xml:space="preserve"> </w:t>
      </w:r>
      <w:hyperlink w:history="1"/>
    </w:p>
  </w:footnote>
  <w:footnote w:id="13">
    <w:p w14:paraId="34EC307B" w14:textId="459DF586" w:rsidR="00053AD3" w:rsidRDefault="00053AD3">
      <w:pPr>
        <w:pStyle w:val="Tekstfusnote"/>
      </w:pPr>
      <w:r>
        <w:rPr>
          <w:rStyle w:val="Referencafusnote"/>
        </w:rPr>
        <w:footnoteRef/>
      </w:r>
      <w:r>
        <w:t xml:space="preserve"> </w:t>
      </w:r>
      <w:r w:rsidRPr="00FF0E17">
        <w:t xml:space="preserve">New Leipzig Charter- The transformative power of cities for the common good, studeni 2020., dostupno na: </w:t>
      </w:r>
      <w:hyperlink r:id="rId7" w:history="1">
        <w:r w:rsidR="002B296D" w:rsidRPr="0045193D">
          <w:rPr>
            <w:rStyle w:val="Hiperveza"/>
            <w:rFonts w:ascii="Times New Roman" w:hAnsi="Times New Roman"/>
            <w:sz w:val="16"/>
          </w:rPr>
          <w:t>https://ec.europa.eu/regional_policy/en/information/publications/brochures/2020/new-leipzig-charter-the-transformative-power-of-cities-for-the-common-good</w:t>
        </w:r>
      </w:hyperlink>
      <w:r w:rsidR="002B296D">
        <w:t xml:space="preserve"> </w:t>
      </w:r>
    </w:p>
  </w:footnote>
  <w:footnote w:id="14">
    <w:p w14:paraId="45D06249" w14:textId="77777777" w:rsidR="00053AD3" w:rsidRDefault="00053AD3">
      <w:pPr>
        <w:pStyle w:val="123456"/>
      </w:pPr>
      <w:r>
        <w:rPr>
          <w:rStyle w:val="Referencafusnote"/>
        </w:rPr>
        <w:footnoteRef/>
      </w:r>
      <w:r>
        <w:t xml:space="preserve"> Komunikacija Komisije Europskom parlamentu, Vijeću, Europskom gospodarskom i socijalnom odboru i Odboru regija: Zatvaranje kruga — akcijski plan EU-a za kružno gospodarstvo (COM(2015) 614 final) od 2.12.2015. godine, dostupno na: </w:t>
      </w:r>
    </w:p>
    <w:p w14:paraId="45D0624A" w14:textId="77777777" w:rsidR="00053AD3" w:rsidRDefault="00053AD3">
      <w:pPr>
        <w:pStyle w:val="Tekstfusnote"/>
      </w:pPr>
      <w:r>
        <w:t xml:space="preserve"> </w:t>
      </w:r>
      <w:hyperlink r:id="rId8" w:history="1">
        <w:r>
          <w:rPr>
            <w:rStyle w:val="Hiperveza"/>
            <w:rFonts w:ascii="Times New Roman" w:eastAsiaTheme="minorHAnsi" w:hAnsi="Times New Roman"/>
            <w:color w:val="0000FF"/>
            <w:sz w:val="16"/>
            <w:u w:val="single"/>
            <w:lang w:eastAsia="en-US"/>
          </w:rPr>
          <w:t>https://eur-lex.europa.eu/legal-content/HR/TXT/HTML/?uri=CELEX:52015DC0614&amp;from=HR</w:t>
        </w:r>
      </w:hyperlink>
      <w:r>
        <w:t xml:space="preserve"> </w:t>
      </w:r>
    </w:p>
  </w:footnote>
  <w:footnote w:id="15">
    <w:p w14:paraId="45D0624B" w14:textId="77777777" w:rsidR="00053AD3" w:rsidRDefault="00053AD3">
      <w:pPr>
        <w:pStyle w:val="Tekstfusnote"/>
      </w:pPr>
      <w:r>
        <w:rPr>
          <w:rStyle w:val="Referencafusnote"/>
        </w:rPr>
        <w:footnoteRef/>
      </w:r>
      <w:r>
        <w:t xml:space="preserve"> Komunikacija Komisije Europskom parlamentu, Vijeću, Europskom gospodarskom i socijalnom odboru i Odboru regija: Novi akcijski plan za kružno gospodarstvo - Za čišću i konkurentniju Europu (COM(2020) 98 final) od 11.3.2020. godine, dostupno na:  </w:t>
      </w:r>
    </w:p>
    <w:p w14:paraId="45D0624C" w14:textId="77777777" w:rsidR="00053AD3" w:rsidRDefault="0031420A">
      <w:pPr>
        <w:pStyle w:val="Tekstfusnote"/>
        <w:rPr>
          <w:rStyle w:val="Hiperveza"/>
          <w:rFonts w:ascii="Times New Roman" w:eastAsiaTheme="minorHAnsi" w:hAnsi="Times New Roman"/>
          <w:color w:val="0000FF"/>
          <w:sz w:val="16"/>
          <w:u w:val="single"/>
          <w:lang w:eastAsia="en-US"/>
        </w:rPr>
      </w:pPr>
      <w:hyperlink r:id="rId9" w:history="1">
        <w:r w:rsidR="00053AD3">
          <w:rPr>
            <w:rStyle w:val="Hiperveza"/>
            <w:rFonts w:ascii="Times New Roman" w:eastAsiaTheme="minorHAnsi" w:hAnsi="Times New Roman"/>
            <w:sz w:val="16"/>
            <w:lang w:eastAsia="en-US"/>
          </w:rPr>
          <w:t>https://eur-lex.europa.eu/legal-content/HR/TXT/?qid=1585811887070&amp;uri=CELEX:52020DC0098</w:t>
        </w:r>
      </w:hyperlink>
      <w:r w:rsidR="00053AD3">
        <w:rPr>
          <w:rStyle w:val="Hiperveza"/>
          <w:rFonts w:ascii="Times New Roman" w:eastAsiaTheme="minorHAnsi" w:hAnsi="Times New Roman"/>
          <w:color w:val="0000FF"/>
          <w:sz w:val="16"/>
          <w:u w:val="single"/>
          <w:lang w:eastAsia="en-US"/>
        </w:rPr>
        <w:t xml:space="preserve"> </w:t>
      </w:r>
    </w:p>
  </w:footnote>
  <w:footnote w:id="16">
    <w:p w14:paraId="45D0624D" w14:textId="77777777" w:rsidR="00053AD3" w:rsidRDefault="00053AD3">
      <w:pPr>
        <w:pStyle w:val="123456"/>
      </w:pPr>
      <w:r>
        <w:rPr>
          <w:rStyle w:val="Referencafusnote"/>
        </w:rPr>
        <w:footnoteRef/>
      </w:r>
      <w:r>
        <w:t xml:space="preserve"> </w:t>
      </w:r>
      <w:bookmarkStart w:id="28" w:name="_Hlk36840295"/>
      <w:r>
        <w:t xml:space="preserve">Level(s), dostupno na: </w:t>
      </w:r>
      <w:hyperlink r:id="rId10" w:history="1">
        <w:r>
          <w:rPr>
            <w:rStyle w:val="Hiperveza"/>
            <w:rFonts w:ascii="Times New Roman" w:eastAsiaTheme="minorHAnsi" w:hAnsi="Times New Roman"/>
            <w:color w:val="0000FF"/>
            <w:sz w:val="16"/>
            <w:u w:val="single"/>
            <w:lang w:eastAsia="en-US"/>
          </w:rPr>
          <w:t>https://ec.europa.eu/environment/eussd/buildings.htm</w:t>
        </w:r>
      </w:hyperlink>
      <w:bookmarkEnd w:id="28"/>
      <w:r>
        <w:t xml:space="preserve"> </w:t>
      </w:r>
    </w:p>
  </w:footnote>
  <w:footnote w:id="17">
    <w:p w14:paraId="45D0624E" w14:textId="77777777" w:rsidR="00053AD3" w:rsidRDefault="00053AD3">
      <w:pPr>
        <w:spacing w:line="240" w:lineRule="auto"/>
        <w:jc w:val="left"/>
        <w:rPr>
          <w:rStyle w:val="Referencafusnote"/>
          <w:rFonts w:ascii="Times New Roman" w:hAnsi="Times New Roman"/>
          <w:sz w:val="16"/>
          <w:szCs w:val="16"/>
          <w:vertAlign w:val="baseline"/>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Komunikacija Komisije Europskom parlamentu i Vijeću: Strategija za održivu konkurentnost građevinskog sektora i poduzeća u tom sektoru</w:t>
      </w:r>
      <w:r>
        <w:rPr>
          <w:rFonts w:ascii="Times New Roman" w:hAnsi="Times New Roman"/>
          <w:sz w:val="16"/>
          <w:szCs w:val="16"/>
        </w:rPr>
        <w:t xml:space="preserve"> (COM(2012) 0433 final) od 31.7.2012. godine</w:t>
      </w:r>
      <w:r>
        <w:rPr>
          <w:rStyle w:val="Referencafusnote"/>
          <w:rFonts w:ascii="Times New Roman" w:hAnsi="Times New Roman"/>
          <w:sz w:val="16"/>
          <w:szCs w:val="16"/>
          <w:vertAlign w:val="baseline"/>
        </w:rPr>
        <w:t xml:space="preserve">, dostupno na: </w:t>
      </w:r>
      <w:hyperlink r:id="rId11" w:history="1">
        <w:r>
          <w:rPr>
            <w:rStyle w:val="Hiperveza"/>
            <w:rFonts w:ascii="Times New Roman" w:eastAsiaTheme="minorHAnsi" w:hAnsi="Times New Roman"/>
            <w:color w:val="0000FF"/>
            <w:sz w:val="16"/>
            <w:szCs w:val="16"/>
            <w:u w:val="single"/>
            <w:lang w:eastAsia="en-US"/>
          </w:rPr>
          <w:t>https://eur-lex.europa.eu/legal-content/EN/TXT/?uri=CELEX:52012DC0433</w:t>
        </w:r>
      </w:hyperlink>
    </w:p>
  </w:footnote>
  <w:footnote w:id="18">
    <w:p w14:paraId="45D0624F" w14:textId="77777777" w:rsidR="00053AD3" w:rsidRDefault="00053AD3">
      <w:pPr>
        <w:spacing w:line="240" w:lineRule="auto"/>
        <w:jc w:val="left"/>
        <w:rPr>
          <w:rStyle w:val="Referencafusnote"/>
          <w:rFonts w:ascii="Times New Roman" w:hAnsi="Times New Roman"/>
          <w:sz w:val="16"/>
          <w:szCs w:val="16"/>
        </w:rPr>
      </w:pPr>
      <w:r>
        <w:rPr>
          <w:rStyle w:val="Referencafusnote"/>
          <w:rFonts w:ascii="Times New Roman" w:hAnsi="Times New Roman"/>
          <w:sz w:val="16"/>
          <w:szCs w:val="16"/>
        </w:rPr>
        <w:footnoteRef/>
      </w:r>
      <w:r>
        <w:rPr>
          <w:rStyle w:val="Referencafusnote"/>
          <w:rFonts w:ascii="Times New Roman" w:hAnsi="Times New Roman"/>
          <w:sz w:val="16"/>
          <w:szCs w:val="16"/>
          <w:vertAlign w:val="baseline"/>
        </w:rPr>
        <w:t>Europsk</w:t>
      </w:r>
      <w:r>
        <w:rPr>
          <w:rFonts w:ascii="Times New Roman" w:hAnsi="Times New Roman"/>
          <w:sz w:val="16"/>
          <w:szCs w:val="16"/>
        </w:rPr>
        <w:t>a komisija:</w:t>
      </w:r>
      <w:r>
        <w:rPr>
          <w:rStyle w:val="Referencafusnote"/>
          <w:rFonts w:ascii="Times New Roman" w:hAnsi="Times New Roman"/>
          <w:sz w:val="16"/>
          <w:szCs w:val="16"/>
          <w:vertAlign w:val="baseline"/>
        </w:rPr>
        <w:t xml:space="preserve"> Paket za čistu energiju za sve Europljane, dostupno na:</w:t>
      </w:r>
      <w:r>
        <w:rPr>
          <w:rStyle w:val="Referencafusnote"/>
          <w:rFonts w:ascii="Times New Roman" w:hAnsi="Times New Roman"/>
          <w:sz w:val="16"/>
          <w:szCs w:val="16"/>
        </w:rPr>
        <w:t xml:space="preserve"> </w:t>
      </w:r>
    </w:p>
    <w:p w14:paraId="45D06250" w14:textId="77777777" w:rsidR="00053AD3" w:rsidRDefault="00053AD3">
      <w:pPr>
        <w:spacing w:line="240" w:lineRule="auto"/>
        <w:jc w:val="left"/>
        <w:rPr>
          <w:rStyle w:val="Referencafusnote"/>
          <w:rFonts w:ascii="Times New Roman" w:hAnsi="Times New Roman"/>
          <w:sz w:val="16"/>
          <w:szCs w:val="16"/>
          <w:vertAlign w:val="baseline"/>
        </w:rPr>
      </w:pPr>
      <w:r>
        <w:rPr>
          <w:rStyle w:val="Referencafusnote"/>
          <w:rFonts w:ascii="Times New Roman" w:hAnsi="Times New Roman"/>
          <w:sz w:val="16"/>
          <w:szCs w:val="16"/>
          <w:vertAlign w:val="baseline"/>
        </w:rPr>
        <w:t xml:space="preserve"> </w:t>
      </w:r>
      <w:hyperlink r:id="rId12" w:history="1">
        <w:r>
          <w:rPr>
            <w:rStyle w:val="Hiperveza"/>
            <w:rFonts w:ascii="Times New Roman" w:eastAsiaTheme="minorHAnsi" w:hAnsi="Times New Roman"/>
            <w:color w:val="0000FF"/>
            <w:sz w:val="16"/>
            <w:szCs w:val="16"/>
            <w:u w:val="single"/>
            <w:lang w:eastAsia="en-US"/>
          </w:rPr>
          <w:t>https://ec.europa.eu/energy/en/topics/energy-strategy/clean-energy-all-europeans</w:t>
        </w:r>
      </w:hyperlink>
      <w:r>
        <w:rPr>
          <w:rFonts w:ascii="Times New Roman" w:hAnsi="Times New Roman"/>
          <w:sz w:val="16"/>
          <w:szCs w:val="16"/>
        </w:rPr>
        <w:t xml:space="preserve"> </w:t>
      </w:r>
    </w:p>
  </w:footnote>
  <w:footnote w:id="19">
    <w:p w14:paraId="45D06251" w14:textId="77777777" w:rsidR="00053AD3" w:rsidRDefault="00053AD3">
      <w:pPr>
        <w:spacing w:line="240" w:lineRule="auto"/>
        <w:jc w:val="left"/>
        <w:rPr>
          <w:rStyle w:val="Referencafusnote"/>
          <w:rFonts w:ascii="Times New Roman" w:hAnsi="Times New Roman"/>
          <w:sz w:val="16"/>
          <w:szCs w:val="16"/>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Europsk</w:t>
      </w:r>
      <w:r>
        <w:rPr>
          <w:rFonts w:ascii="Times New Roman" w:hAnsi="Times New Roman"/>
          <w:sz w:val="16"/>
          <w:szCs w:val="16"/>
        </w:rPr>
        <w:t>a komisija:</w:t>
      </w:r>
      <w:r>
        <w:rPr>
          <w:rStyle w:val="Referencafusnote"/>
          <w:rFonts w:ascii="Times New Roman" w:hAnsi="Times New Roman"/>
          <w:sz w:val="16"/>
          <w:szCs w:val="16"/>
          <w:vertAlign w:val="baseline"/>
        </w:rPr>
        <w:t xml:space="preserve"> E</w:t>
      </w:r>
      <w:r>
        <w:rPr>
          <w:rFonts w:ascii="Times New Roman" w:hAnsi="Times New Roman"/>
          <w:sz w:val="16"/>
          <w:szCs w:val="16"/>
        </w:rPr>
        <w:t>U</w:t>
      </w:r>
      <w:r>
        <w:rPr>
          <w:rStyle w:val="Referencafusnote"/>
          <w:rFonts w:ascii="Times New Roman" w:hAnsi="Times New Roman"/>
          <w:sz w:val="16"/>
          <w:szCs w:val="16"/>
          <w:vertAlign w:val="baseline"/>
        </w:rPr>
        <w:t xml:space="preserve"> protokol i smjernice za gradnju i upravljanje građevnim otpadom, dostupno na:</w:t>
      </w:r>
      <w:r>
        <w:rPr>
          <w:rStyle w:val="Referencafusnote"/>
          <w:rFonts w:ascii="Times New Roman" w:hAnsi="Times New Roman"/>
          <w:sz w:val="16"/>
          <w:szCs w:val="16"/>
        </w:rPr>
        <w:t xml:space="preserve"> </w:t>
      </w:r>
    </w:p>
    <w:p w14:paraId="45D06252" w14:textId="77777777" w:rsidR="00053AD3" w:rsidRDefault="00053AD3">
      <w:pPr>
        <w:spacing w:line="240" w:lineRule="auto"/>
        <w:jc w:val="left"/>
        <w:rPr>
          <w:rStyle w:val="Referencafusnote"/>
          <w:rFonts w:ascii="Times New Roman" w:hAnsi="Times New Roman"/>
          <w:sz w:val="16"/>
          <w:szCs w:val="16"/>
          <w:vertAlign w:val="baseline"/>
        </w:rPr>
      </w:pPr>
      <w:r>
        <w:rPr>
          <w:rStyle w:val="Referencafusnote"/>
          <w:rFonts w:ascii="Times New Roman" w:hAnsi="Times New Roman"/>
          <w:sz w:val="16"/>
          <w:szCs w:val="16"/>
          <w:vertAlign w:val="baseline"/>
        </w:rPr>
        <w:t xml:space="preserve"> </w:t>
      </w:r>
      <w:hyperlink r:id="rId13" w:history="1">
        <w:r>
          <w:rPr>
            <w:rStyle w:val="Hiperveza"/>
            <w:rFonts w:ascii="Times New Roman" w:eastAsiaTheme="minorHAnsi" w:hAnsi="Times New Roman"/>
            <w:color w:val="0000FF"/>
            <w:sz w:val="16"/>
            <w:szCs w:val="16"/>
            <w:u w:val="single"/>
            <w:lang w:eastAsia="en-US"/>
          </w:rPr>
          <w:t>https://ec.europa.eu/growth/content/eu-construction-and-demolition-waste-protocol-0_en</w:t>
        </w:r>
      </w:hyperlink>
      <w:r>
        <w:rPr>
          <w:rStyle w:val="Hiperveza"/>
          <w:rFonts w:ascii="Times New Roman" w:eastAsiaTheme="minorHAnsi" w:hAnsi="Times New Roman"/>
          <w:color w:val="0000FF"/>
          <w:sz w:val="16"/>
          <w:u w:val="single"/>
          <w:lang w:eastAsia="en-US"/>
        </w:rPr>
        <w:t xml:space="preserve"> </w:t>
      </w:r>
    </w:p>
  </w:footnote>
  <w:footnote w:id="20">
    <w:p w14:paraId="45D06253" w14:textId="77777777" w:rsidR="00053AD3" w:rsidRDefault="00053AD3">
      <w:pPr>
        <w:spacing w:line="240" w:lineRule="auto"/>
        <w:jc w:val="left"/>
        <w:rPr>
          <w:rStyle w:val="Referencafusnote"/>
          <w:rFonts w:ascii="Times New Roman" w:hAnsi="Times New Roman"/>
          <w:sz w:val="16"/>
          <w:szCs w:val="16"/>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Europsk</w:t>
      </w:r>
      <w:r>
        <w:rPr>
          <w:rFonts w:ascii="Times New Roman" w:hAnsi="Times New Roman"/>
          <w:sz w:val="16"/>
          <w:szCs w:val="16"/>
        </w:rPr>
        <w:t>a komisija:</w:t>
      </w:r>
      <w:r>
        <w:rPr>
          <w:rStyle w:val="Referencafusnote"/>
          <w:rFonts w:ascii="Times New Roman" w:hAnsi="Times New Roman"/>
          <w:sz w:val="16"/>
          <w:szCs w:val="16"/>
          <w:vertAlign w:val="baseline"/>
        </w:rPr>
        <w:t xml:space="preserve"> Principi kružnog gospodarenja u dizajna zgrada, dostupno na: </w:t>
      </w:r>
      <w:hyperlink r:id="rId14" w:history="1">
        <w:r>
          <w:rPr>
            <w:rStyle w:val="Hiperveza"/>
            <w:rFonts w:ascii="Times New Roman" w:eastAsiaTheme="minorHAnsi" w:hAnsi="Times New Roman"/>
            <w:color w:val="0000FF"/>
            <w:sz w:val="16"/>
            <w:szCs w:val="16"/>
            <w:u w:val="single"/>
            <w:lang w:eastAsia="en-US"/>
          </w:rPr>
          <w:t>https://ec.europa.eu/docsroom/documents/39984</w:t>
        </w:r>
      </w:hyperlink>
      <w:r>
        <w:rPr>
          <w:rStyle w:val="Hiperveza"/>
          <w:rFonts w:ascii="Times New Roman" w:eastAsiaTheme="minorHAnsi" w:hAnsi="Times New Roman"/>
          <w:color w:val="0000FF"/>
          <w:sz w:val="16"/>
          <w:u w:val="single"/>
          <w:lang w:eastAsia="en-US"/>
        </w:rPr>
        <w:t xml:space="preserve"> </w:t>
      </w:r>
    </w:p>
  </w:footnote>
  <w:footnote w:id="21">
    <w:p w14:paraId="45D06254" w14:textId="77777777" w:rsidR="00053AD3" w:rsidRDefault="00053AD3">
      <w:pPr>
        <w:spacing w:line="240" w:lineRule="auto"/>
        <w:jc w:val="left"/>
        <w:rPr>
          <w:rStyle w:val="Referencafusnote"/>
          <w:rFonts w:ascii="Times New Roman" w:hAnsi="Times New Roman"/>
          <w:sz w:val="16"/>
          <w:szCs w:val="16"/>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Direktiva 2012/27/EU Europskog parlamenta i Vijeća od 25. listopada 2012. o energetskoj učinkovitosti, izmjeni direktiva 2009/125/EZ i 2010/30/EU i stavljanju izvan snage direktiva 2004/8/EZ i 2006/32/EZ</w:t>
      </w:r>
      <w:r>
        <w:rPr>
          <w:rFonts w:ascii="Times New Roman" w:hAnsi="Times New Roman"/>
          <w:sz w:val="16"/>
          <w:szCs w:val="16"/>
        </w:rPr>
        <w:t xml:space="preserve"> (Tekst značajan za EGP)</w:t>
      </w:r>
      <w:r>
        <w:rPr>
          <w:rFonts w:ascii="Times New Roman" w:hAnsi="Times New Roman"/>
          <w:sz w:val="16"/>
          <w:szCs w:val="16"/>
          <w:vertAlign w:val="superscript"/>
        </w:rPr>
        <w:t xml:space="preserve"> </w:t>
      </w:r>
      <w:r>
        <w:rPr>
          <w:rFonts w:ascii="Times New Roman" w:hAnsi="Times New Roman"/>
          <w:sz w:val="16"/>
          <w:szCs w:val="16"/>
        </w:rPr>
        <w:t xml:space="preserve">(SL L 315/1, 14.11.2012.), </w:t>
      </w:r>
      <w:r>
        <w:rPr>
          <w:rStyle w:val="Referencafusnote"/>
          <w:rFonts w:ascii="Times New Roman" w:hAnsi="Times New Roman"/>
          <w:sz w:val="16"/>
          <w:szCs w:val="16"/>
          <w:vertAlign w:val="baseline"/>
        </w:rPr>
        <w:t>dostupno na:</w:t>
      </w:r>
      <w:r>
        <w:rPr>
          <w:rStyle w:val="Referencafusnote"/>
          <w:rFonts w:ascii="Times New Roman" w:hAnsi="Times New Roman"/>
          <w:sz w:val="16"/>
          <w:szCs w:val="16"/>
        </w:rPr>
        <w:t xml:space="preserve"> </w:t>
      </w:r>
    </w:p>
    <w:p w14:paraId="45D06255" w14:textId="77777777" w:rsidR="00053AD3" w:rsidRDefault="00053AD3">
      <w:pPr>
        <w:spacing w:line="240" w:lineRule="auto"/>
        <w:jc w:val="left"/>
        <w:rPr>
          <w:rStyle w:val="Referencafusnote"/>
          <w:rFonts w:ascii="Times New Roman" w:hAnsi="Times New Roman"/>
          <w:sz w:val="16"/>
          <w:szCs w:val="16"/>
          <w:vertAlign w:val="baseline"/>
        </w:rPr>
      </w:pPr>
      <w:r>
        <w:rPr>
          <w:rStyle w:val="Hiperveza"/>
          <w:rFonts w:ascii="Times New Roman" w:eastAsiaTheme="minorHAnsi" w:hAnsi="Times New Roman"/>
          <w:color w:val="0000FF"/>
          <w:sz w:val="16"/>
          <w:u w:val="single"/>
          <w:lang w:eastAsia="en-US"/>
        </w:rPr>
        <w:t>https://eur-lex.europa.eu/legal-content/HR/TXT/PDF/?uri=CELEX:32012L0027&amp;from=EN</w:t>
      </w:r>
    </w:p>
  </w:footnote>
  <w:footnote w:id="22">
    <w:p w14:paraId="45D06256" w14:textId="77777777" w:rsidR="00053AD3" w:rsidRDefault="00053AD3">
      <w:pPr>
        <w:spacing w:line="240" w:lineRule="auto"/>
        <w:jc w:val="left"/>
        <w:rPr>
          <w:rStyle w:val="Referencafusnote"/>
          <w:rFonts w:ascii="Times New Roman" w:hAnsi="Times New Roman"/>
          <w:sz w:val="16"/>
          <w:szCs w:val="16"/>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Direktiva (EU) 2018/844  Europskog parlamenta i Vijeća od 30. svibnja 2018. o izmjeni Direktive 2010/31/EU o energetskim svojstvima zgrada i Direktive 2012/27/EU o energetskoj učinkovitosti</w:t>
      </w:r>
      <w:r>
        <w:rPr>
          <w:rFonts w:ascii="Times New Roman" w:hAnsi="Times New Roman"/>
          <w:sz w:val="16"/>
          <w:szCs w:val="16"/>
        </w:rPr>
        <w:t xml:space="preserve"> (Tekst značajan za EGP) </w:t>
      </w:r>
      <w:bookmarkStart w:id="32" w:name="_Hlk51248643"/>
      <w:r>
        <w:rPr>
          <w:rFonts w:ascii="Times New Roman" w:hAnsi="Times New Roman"/>
          <w:sz w:val="16"/>
          <w:szCs w:val="16"/>
        </w:rPr>
        <w:t>(SL L 156/75, 19.6.2018.)</w:t>
      </w:r>
      <w:bookmarkEnd w:id="32"/>
      <w:r>
        <w:rPr>
          <w:rFonts w:ascii="Times New Roman" w:hAnsi="Times New Roman"/>
          <w:sz w:val="16"/>
          <w:szCs w:val="16"/>
        </w:rPr>
        <w:t xml:space="preserve">, </w:t>
      </w:r>
      <w:r>
        <w:rPr>
          <w:rStyle w:val="Referencafusnote"/>
          <w:rFonts w:ascii="Times New Roman" w:hAnsi="Times New Roman"/>
          <w:sz w:val="16"/>
          <w:szCs w:val="16"/>
          <w:vertAlign w:val="baseline"/>
        </w:rPr>
        <w:t>dostupno na:</w:t>
      </w:r>
      <w:r>
        <w:rPr>
          <w:rStyle w:val="Referencafusnote"/>
          <w:rFonts w:ascii="Times New Roman" w:hAnsi="Times New Roman"/>
          <w:sz w:val="16"/>
          <w:szCs w:val="16"/>
        </w:rPr>
        <w:t xml:space="preserve"> </w:t>
      </w:r>
    </w:p>
    <w:p w14:paraId="45D06257" w14:textId="77777777" w:rsidR="00053AD3" w:rsidRDefault="00053AD3">
      <w:pPr>
        <w:spacing w:line="240" w:lineRule="auto"/>
        <w:jc w:val="left"/>
        <w:rPr>
          <w:rStyle w:val="Referencafusnote"/>
          <w:rFonts w:ascii="Times New Roman" w:hAnsi="Times New Roman"/>
          <w:sz w:val="16"/>
          <w:szCs w:val="16"/>
          <w:vertAlign w:val="baseline"/>
        </w:rPr>
      </w:pPr>
      <w:r>
        <w:rPr>
          <w:rStyle w:val="Hiperveza"/>
          <w:rFonts w:ascii="Times New Roman" w:eastAsiaTheme="minorHAnsi" w:hAnsi="Times New Roman"/>
          <w:color w:val="0000FF"/>
          <w:sz w:val="16"/>
          <w:u w:val="single"/>
          <w:lang w:eastAsia="en-US"/>
        </w:rPr>
        <w:t>https://eur-lex.europa.eu/eli/dir/2018/844/oj?locale=hr</w:t>
      </w:r>
    </w:p>
  </w:footnote>
  <w:footnote w:id="23">
    <w:p w14:paraId="45D06258" w14:textId="77777777" w:rsidR="00053AD3" w:rsidRDefault="00053AD3">
      <w:pPr>
        <w:spacing w:line="240" w:lineRule="auto"/>
        <w:jc w:val="left"/>
        <w:rPr>
          <w:rFonts w:ascii="Times New Roman" w:hAnsi="Times New Roman"/>
          <w:sz w:val="16"/>
          <w:szCs w:val="16"/>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Fonts w:ascii="Times New Roman" w:hAnsi="Times New Roman"/>
          <w:sz w:val="16"/>
          <w:szCs w:val="16"/>
        </w:rPr>
        <w:t>Izvješće Komisije Europskom parlamentu, Vijeću, Europskom gospodarskom i socijalnom odboru, Europskom odboru regija i Europskoj investicijskoj banci:</w:t>
      </w:r>
      <w:r>
        <w:rPr>
          <w:rFonts w:ascii="Times New Roman" w:hAnsi="Times New Roman"/>
          <w:bCs/>
          <w:sz w:val="16"/>
          <w:szCs w:val="16"/>
        </w:rPr>
        <w:t xml:space="preserve"> Četvrto izvješće o stanju energetske unije (COM(2019) 175 final) od 9.4.2019. godine</w:t>
      </w:r>
      <w:r>
        <w:rPr>
          <w:rStyle w:val="Referencafusnote"/>
          <w:rFonts w:ascii="Times New Roman" w:hAnsi="Times New Roman"/>
          <w:sz w:val="16"/>
          <w:szCs w:val="16"/>
          <w:vertAlign w:val="baseline"/>
        </w:rPr>
        <w:t xml:space="preserve">, dostupno na: </w:t>
      </w:r>
    </w:p>
    <w:p w14:paraId="45D06259" w14:textId="77777777" w:rsidR="00053AD3" w:rsidRDefault="0031420A">
      <w:pPr>
        <w:spacing w:line="240" w:lineRule="auto"/>
        <w:jc w:val="left"/>
        <w:rPr>
          <w:rStyle w:val="Referencafusnote"/>
          <w:rFonts w:ascii="Times New Roman" w:hAnsi="Times New Roman"/>
          <w:sz w:val="16"/>
          <w:szCs w:val="16"/>
        </w:rPr>
      </w:pPr>
      <w:hyperlink r:id="rId15" w:history="1">
        <w:r w:rsidR="00053AD3">
          <w:rPr>
            <w:rStyle w:val="Hiperveza"/>
            <w:rFonts w:ascii="Times New Roman" w:eastAsiaTheme="minorHAnsi" w:hAnsi="Times New Roman"/>
            <w:color w:val="0000FF"/>
            <w:sz w:val="16"/>
            <w:u w:val="single"/>
            <w:lang w:eastAsia="en-US"/>
          </w:rPr>
          <w:t>https://ec.europa.eu/transparency/regdoc/rep/1/2019/HR/COM-2019-175-F1-HR-MAIN-PART-1.PDF</w:t>
        </w:r>
      </w:hyperlink>
      <w:r w:rsidR="00053AD3">
        <w:rPr>
          <w:rFonts w:ascii="Times New Roman" w:hAnsi="Times New Roman"/>
          <w:sz w:val="16"/>
          <w:szCs w:val="16"/>
        </w:rPr>
        <w:t xml:space="preserve"> </w:t>
      </w:r>
    </w:p>
  </w:footnote>
  <w:footnote w:id="24">
    <w:p w14:paraId="45D0625A" w14:textId="77777777" w:rsidR="00053AD3" w:rsidRDefault="00053AD3">
      <w:pPr>
        <w:spacing w:line="240" w:lineRule="auto"/>
        <w:jc w:val="left"/>
        <w:rPr>
          <w:rStyle w:val="Hiperveza"/>
          <w:rFonts w:ascii="Times New Roman" w:hAnsi="Times New Roman"/>
          <w:sz w:val="16"/>
          <w:szCs w:val="16"/>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bookmarkStart w:id="34" w:name="_Hlk51314379"/>
      <w:r>
        <w:rPr>
          <w:rFonts w:ascii="Times New Roman" w:hAnsi="Times New Roman"/>
          <w:sz w:val="16"/>
          <w:szCs w:val="16"/>
        </w:rPr>
        <w:t xml:space="preserve">Prijedlog </w:t>
      </w:r>
      <w:r>
        <w:rPr>
          <w:rStyle w:val="Referencafusnote"/>
          <w:rFonts w:ascii="Times New Roman" w:hAnsi="Times New Roman"/>
          <w:sz w:val="16"/>
          <w:szCs w:val="16"/>
          <w:vertAlign w:val="baseline"/>
        </w:rPr>
        <w:t>Uredbe europskog parlamenta i vijeća</w:t>
      </w:r>
      <w:r>
        <w:rPr>
          <w:rFonts w:ascii="Times New Roman" w:hAnsi="Times New Roman"/>
          <w:sz w:val="16"/>
          <w:szCs w:val="16"/>
        </w:rPr>
        <w:t xml:space="preserve"> o Europskom fondu za regionalni razvoj i Kohezijskom fondu</w:t>
      </w:r>
      <w:r>
        <w:rPr>
          <w:rStyle w:val="Referencafusnote"/>
          <w:rFonts w:ascii="Times New Roman" w:hAnsi="Times New Roman"/>
          <w:sz w:val="16"/>
          <w:szCs w:val="16"/>
          <w:vertAlign w:val="baseline"/>
        </w:rPr>
        <w:t xml:space="preserve"> (COM(2018) 372 final – 2018/0197 (COD)) </w:t>
      </w:r>
      <w:bookmarkStart w:id="35" w:name="_Hlk51318414"/>
      <w:r>
        <w:rPr>
          <w:rFonts w:ascii="Times New Roman" w:hAnsi="Times New Roman"/>
          <w:sz w:val="16"/>
          <w:szCs w:val="16"/>
        </w:rPr>
        <w:t>od 29.5.2018. godine</w:t>
      </w:r>
      <w:bookmarkEnd w:id="34"/>
      <w:bookmarkEnd w:id="35"/>
      <w:r>
        <w:rPr>
          <w:rFonts w:ascii="Times New Roman" w:hAnsi="Times New Roman"/>
          <w:sz w:val="16"/>
          <w:szCs w:val="16"/>
        </w:rPr>
        <w:t>,</w:t>
      </w:r>
      <w:r>
        <w:rPr>
          <w:rStyle w:val="Referencafusnote"/>
          <w:rFonts w:ascii="Times New Roman" w:hAnsi="Times New Roman"/>
          <w:sz w:val="16"/>
          <w:szCs w:val="16"/>
          <w:vertAlign w:val="baseline"/>
        </w:rPr>
        <w:t xml:space="preserve"> dostupno na:</w:t>
      </w:r>
      <w:r>
        <w:rPr>
          <w:rFonts w:ascii="Times New Roman" w:hAnsi="Times New Roman"/>
          <w:sz w:val="16"/>
          <w:szCs w:val="16"/>
        </w:rPr>
        <w:t xml:space="preserve"> </w:t>
      </w:r>
      <w:r>
        <w:rPr>
          <w:rStyle w:val="Hiperveza"/>
          <w:rFonts w:ascii="Times New Roman" w:eastAsiaTheme="minorHAnsi" w:hAnsi="Times New Roman"/>
          <w:color w:val="0000FF"/>
          <w:sz w:val="16"/>
          <w:u w:val="single"/>
          <w:lang w:eastAsia="en-US"/>
        </w:rPr>
        <w:t>https://eur-lex.europa.eu/legal-content/HR/TXT/HTML/?uri=CELEX:52018PC0372&amp;from=EN</w:t>
      </w:r>
      <w:r>
        <w:rPr>
          <w:rStyle w:val="Referencafusnote"/>
          <w:rFonts w:ascii="Times New Roman" w:hAnsi="Times New Roman"/>
          <w:sz w:val="16"/>
          <w:szCs w:val="16"/>
          <w:vertAlign w:val="baseline"/>
        </w:rPr>
        <w:t xml:space="preserve"> </w:t>
      </w:r>
    </w:p>
  </w:footnote>
  <w:footnote w:id="25">
    <w:p w14:paraId="45D0625B" w14:textId="77777777" w:rsidR="00053AD3" w:rsidRDefault="00053AD3">
      <w:pPr>
        <w:spacing w:line="240" w:lineRule="auto"/>
        <w:jc w:val="left"/>
        <w:rPr>
          <w:rFonts w:ascii="Times New Roman" w:hAnsi="Times New Roman"/>
          <w:sz w:val="16"/>
          <w:szCs w:val="16"/>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Zakon o gradnji (NN 153/13, 20/17, 39/19 i 125/19), dostupno na:</w:t>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 xml:space="preserve"> </w:t>
      </w:r>
    </w:p>
    <w:p w14:paraId="45D0625C" w14:textId="77777777" w:rsidR="00053AD3" w:rsidRDefault="0031420A">
      <w:pPr>
        <w:spacing w:line="240" w:lineRule="auto"/>
        <w:jc w:val="left"/>
        <w:rPr>
          <w:sz w:val="16"/>
          <w:szCs w:val="16"/>
        </w:rPr>
      </w:pPr>
      <w:hyperlink r:id="rId16" w:history="1">
        <w:r w:rsidR="00053AD3">
          <w:rPr>
            <w:rStyle w:val="Hiperveza"/>
            <w:rFonts w:ascii="Times New Roman" w:eastAsiaTheme="minorHAnsi" w:hAnsi="Times New Roman"/>
            <w:color w:val="0000FF"/>
            <w:sz w:val="16"/>
            <w:u w:val="single"/>
            <w:lang w:eastAsia="en-US"/>
          </w:rPr>
          <w:t>https://narodne-novine.nn.hr/search.aspx?upit=Zakon%20o%20gradnji&amp;sortiraj=0&amp;kategorija=1&amp;rpp=10&amp;qtype=3&amp;pretraga=da&amp;naslovi=da</w:t>
        </w:r>
      </w:hyperlink>
      <w:r w:rsidR="00053AD3">
        <w:rPr>
          <w:rFonts w:ascii="Times New Roman" w:hAnsi="Times New Roman"/>
          <w:sz w:val="16"/>
          <w:szCs w:val="16"/>
        </w:rPr>
        <w:t xml:space="preserve"> </w:t>
      </w:r>
    </w:p>
  </w:footnote>
  <w:footnote w:id="26">
    <w:p w14:paraId="25869E08" w14:textId="77777777" w:rsidR="00053AD3" w:rsidRDefault="00053AD3">
      <w:pPr>
        <w:spacing w:line="240" w:lineRule="auto"/>
        <w:jc w:val="left"/>
        <w:rPr>
          <w:rFonts w:ascii="Times New Roman" w:hAnsi="Times New Roman"/>
          <w:sz w:val="16"/>
          <w:szCs w:val="16"/>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Zakon o sustavu strateškog planiranja i upravljanja razvojem Republike Hrvatske (NN 123/17)</w:t>
      </w:r>
      <w:r>
        <w:rPr>
          <w:rFonts w:ascii="Times New Roman" w:hAnsi="Times New Roman"/>
          <w:sz w:val="16"/>
          <w:szCs w:val="16"/>
        </w:rPr>
        <w:t>,</w:t>
      </w:r>
      <w:r>
        <w:rPr>
          <w:rStyle w:val="Referencafusnote"/>
          <w:rFonts w:ascii="Times New Roman" w:hAnsi="Times New Roman"/>
          <w:sz w:val="16"/>
          <w:szCs w:val="16"/>
          <w:vertAlign w:val="baseline"/>
        </w:rPr>
        <w:t xml:space="preserve"> dostupno na:</w:t>
      </w:r>
      <w:r>
        <w:rPr>
          <w:rFonts w:ascii="Times New Roman" w:hAnsi="Times New Roman"/>
          <w:sz w:val="16"/>
          <w:szCs w:val="16"/>
        </w:rPr>
        <w:t xml:space="preserve"> </w:t>
      </w:r>
    </w:p>
    <w:p w14:paraId="45D0625E" w14:textId="3C506A01" w:rsidR="00053AD3" w:rsidRDefault="0031420A">
      <w:pPr>
        <w:spacing w:line="240" w:lineRule="auto"/>
        <w:jc w:val="left"/>
        <w:rPr>
          <w:rStyle w:val="Referencafusnote"/>
          <w:rFonts w:ascii="Times New Roman" w:hAnsi="Times New Roman"/>
          <w:sz w:val="16"/>
          <w:szCs w:val="16"/>
          <w:vertAlign w:val="baseline"/>
        </w:rPr>
      </w:pPr>
      <w:hyperlink r:id="rId17" w:history="1">
        <w:r w:rsidR="00053AD3">
          <w:rPr>
            <w:rStyle w:val="Hiperveza"/>
            <w:rFonts w:ascii="Times New Roman" w:eastAsiaTheme="minorHAnsi" w:hAnsi="Times New Roman"/>
            <w:color w:val="0000FF"/>
            <w:sz w:val="16"/>
            <w:u w:val="single"/>
            <w:lang w:eastAsia="en-US"/>
          </w:rPr>
          <w:t>https://narodne-novine.nn.hr/clanci/sluzbeni/2017_12_123_2798.html</w:t>
        </w:r>
      </w:hyperlink>
      <w:r w:rsidR="00053AD3">
        <w:rPr>
          <w:rFonts w:ascii="Times New Roman" w:hAnsi="Times New Roman"/>
          <w:sz w:val="16"/>
          <w:szCs w:val="16"/>
        </w:rPr>
        <w:t xml:space="preserve"> </w:t>
      </w:r>
    </w:p>
  </w:footnote>
  <w:footnote w:id="27">
    <w:p w14:paraId="45D0625F" w14:textId="77777777" w:rsidR="00053AD3" w:rsidRDefault="00053AD3">
      <w:pPr>
        <w:pStyle w:val="Tekstfusnote"/>
      </w:pPr>
      <w:r>
        <w:rPr>
          <w:rStyle w:val="Referencafusnote"/>
        </w:rPr>
        <w:footnoteRef/>
      </w:r>
      <w:r>
        <w:t xml:space="preserve"> Nacionalna razvojna strategija Republike Hrvatske do 2030. godine (NN 13/2021), dostupno na:</w:t>
      </w:r>
      <w:r>
        <w:br/>
      </w:r>
      <w:hyperlink r:id="rId18" w:history="1">
        <w:r>
          <w:rPr>
            <w:rStyle w:val="Hiperveza"/>
            <w:rFonts w:ascii="Times New Roman" w:eastAsiaTheme="minorHAnsi" w:hAnsi="Times New Roman"/>
            <w:color w:val="0000FF"/>
            <w:sz w:val="16"/>
            <w:szCs w:val="24"/>
            <w:u w:val="single"/>
            <w:lang w:eastAsia="en-US"/>
          </w:rPr>
          <w:t>https://narodne-novine.nn.hr/clanci/sluzbeni/2021_02_13_230.html</w:t>
        </w:r>
      </w:hyperlink>
      <w:r>
        <w:t xml:space="preserve"> </w:t>
      </w:r>
    </w:p>
  </w:footnote>
  <w:footnote w:id="28">
    <w:p w14:paraId="45D06260" w14:textId="77777777" w:rsidR="00053AD3" w:rsidRDefault="00053AD3">
      <w:pPr>
        <w:spacing w:line="240" w:lineRule="auto"/>
        <w:jc w:val="left"/>
        <w:rPr>
          <w:rStyle w:val="Hiperveza"/>
          <w:rFonts w:ascii="Times New Roman" w:eastAsiaTheme="minorHAnsi" w:hAnsi="Times New Roman"/>
          <w:color w:val="0000FF"/>
          <w:sz w:val="16"/>
          <w:u w:val="single"/>
          <w:lang w:eastAsia="en-US"/>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 xml:space="preserve">Uredba o smjernicama za izradu akata strateškog planiranja od nacionalnog značaja i od značaja za jedinice lokalne i područne (regionalne) samouprave (NN 89/18), dostupno na: </w:t>
      </w:r>
      <w:hyperlink r:id="rId19" w:history="1">
        <w:r>
          <w:rPr>
            <w:rStyle w:val="Hiperveza"/>
            <w:rFonts w:ascii="Times New Roman" w:eastAsiaTheme="minorHAnsi" w:hAnsi="Times New Roman"/>
            <w:color w:val="0000FF"/>
            <w:sz w:val="16"/>
            <w:u w:val="single"/>
            <w:lang w:eastAsia="en-US"/>
          </w:rPr>
          <w:t>https://narodne-novine.nn.hr/clanci/sluzbeni/2018_10_89_1748.html</w:t>
        </w:r>
      </w:hyperlink>
      <w:r>
        <w:rPr>
          <w:rStyle w:val="Hiperveza"/>
          <w:rFonts w:ascii="Times New Roman" w:eastAsiaTheme="minorHAnsi" w:hAnsi="Times New Roman"/>
          <w:color w:val="0000FF"/>
          <w:sz w:val="16"/>
          <w:u w:val="single"/>
          <w:lang w:eastAsia="en-US"/>
        </w:rPr>
        <w:t xml:space="preserve"> </w:t>
      </w:r>
    </w:p>
  </w:footnote>
  <w:footnote w:id="29">
    <w:p w14:paraId="45D06261" w14:textId="77777777" w:rsidR="00053AD3" w:rsidRDefault="00053AD3">
      <w:pPr>
        <w:spacing w:line="240" w:lineRule="auto"/>
        <w:jc w:val="left"/>
        <w:rPr>
          <w:rStyle w:val="Referencafusnote"/>
          <w:rFonts w:ascii="Times New Roman" w:hAnsi="Times New Roman"/>
          <w:sz w:val="16"/>
          <w:szCs w:val="16"/>
          <w:vertAlign w:val="baseline"/>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Pravilnik o rokovima i postupcima praćenja i izvještavanja o provedbi akata strateškog planiranja od nacionalnog značaja i od značaja za jedinice lokalne i područne (regionalne) samouprave (NN 6/19)</w:t>
      </w:r>
      <w:r>
        <w:rPr>
          <w:rFonts w:ascii="Times New Roman" w:hAnsi="Times New Roman"/>
          <w:sz w:val="16"/>
          <w:szCs w:val="16"/>
        </w:rPr>
        <w:t>,</w:t>
      </w:r>
      <w:r>
        <w:rPr>
          <w:rStyle w:val="Referencafusnote"/>
          <w:rFonts w:ascii="Times New Roman" w:hAnsi="Times New Roman"/>
          <w:sz w:val="16"/>
          <w:szCs w:val="16"/>
          <w:vertAlign w:val="baseline"/>
        </w:rPr>
        <w:t xml:space="preserve"> dostupno na: </w:t>
      </w:r>
      <w:hyperlink r:id="rId20" w:history="1">
        <w:r>
          <w:rPr>
            <w:rStyle w:val="Hiperveza"/>
            <w:rFonts w:ascii="Times New Roman" w:eastAsiaTheme="minorHAnsi" w:hAnsi="Times New Roman"/>
            <w:color w:val="0000FF"/>
            <w:sz w:val="16"/>
            <w:u w:val="single"/>
            <w:lang w:eastAsia="en-US"/>
          </w:rPr>
          <w:t>https://narodne-novine.nn.hr/clanci/sluzbeni/2019_01_6_136.html</w:t>
        </w:r>
      </w:hyperlink>
      <w:r>
        <w:rPr>
          <w:rStyle w:val="Hiperveza"/>
          <w:rFonts w:ascii="Times New Roman" w:eastAsiaTheme="minorHAnsi" w:hAnsi="Times New Roman"/>
          <w:color w:val="0000FF"/>
          <w:sz w:val="16"/>
          <w:u w:val="single"/>
          <w:lang w:eastAsia="en-US"/>
        </w:rPr>
        <w:t xml:space="preserve"> </w:t>
      </w:r>
    </w:p>
  </w:footnote>
  <w:footnote w:id="30">
    <w:p w14:paraId="45D06262" w14:textId="18C743E2" w:rsidR="00053AD3" w:rsidRDefault="00053AD3">
      <w:pPr>
        <w:spacing w:line="240" w:lineRule="auto"/>
        <w:jc w:val="left"/>
        <w:rPr>
          <w:rStyle w:val="Referencafusnote"/>
          <w:rFonts w:ascii="Times New Roman" w:hAnsi="Times New Roman"/>
          <w:sz w:val="16"/>
          <w:szCs w:val="16"/>
          <w:vertAlign w:val="baseline"/>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Integrirani nacionalni energetski i klimatski plan za R</w:t>
      </w:r>
      <w:r>
        <w:rPr>
          <w:rFonts w:ascii="Times New Roman" w:hAnsi="Times New Roman"/>
          <w:sz w:val="16"/>
          <w:szCs w:val="16"/>
        </w:rPr>
        <w:t>epubliku Hrvatsku</w:t>
      </w:r>
      <w:r>
        <w:rPr>
          <w:rStyle w:val="Referencafusnote"/>
          <w:rFonts w:ascii="Times New Roman" w:hAnsi="Times New Roman"/>
          <w:sz w:val="16"/>
          <w:szCs w:val="16"/>
          <w:vertAlign w:val="baseline"/>
        </w:rPr>
        <w:t xml:space="preserve"> za razdoblje</w:t>
      </w:r>
      <w:r>
        <w:rPr>
          <w:rFonts w:ascii="Times New Roman" w:hAnsi="Times New Roman"/>
          <w:sz w:val="16"/>
          <w:szCs w:val="16"/>
        </w:rPr>
        <w:t xml:space="preserve"> od</w:t>
      </w:r>
      <w:r>
        <w:rPr>
          <w:rStyle w:val="Referencafusnote"/>
          <w:rFonts w:ascii="Times New Roman" w:hAnsi="Times New Roman"/>
          <w:sz w:val="16"/>
          <w:szCs w:val="16"/>
          <w:vertAlign w:val="baseline"/>
        </w:rPr>
        <w:t xml:space="preserve"> 2021. do 2030.</w:t>
      </w:r>
      <w:r>
        <w:rPr>
          <w:rFonts w:ascii="Times New Roman" w:hAnsi="Times New Roman"/>
          <w:sz w:val="16"/>
          <w:szCs w:val="16"/>
        </w:rPr>
        <w:t>,</w:t>
      </w:r>
      <w:r>
        <w:rPr>
          <w:rStyle w:val="Referencafusnote"/>
          <w:rFonts w:ascii="Times New Roman" w:hAnsi="Times New Roman"/>
          <w:sz w:val="16"/>
          <w:szCs w:val="16"/>
          <w:vertAlign w:val="baseline"/>
        </w:rPr>
        <w:t xml:space="preserve"> </w:t>
      </w:r>
      <w:r>
        <w:rPr>
          <w:rFonts w:ascii="Times New Roman" w:hAnsi="Times New Roman"/>
          <w:sz w:val="16"/>
          <w:szCs w:val="16"/>
        </w:rPr>
        <w:t xml:space="preserve">prosinac 2019., </w:t>
      </w:r>
      <w:r>
        <w:rPr>
          <w:rStyle w:val="Referencafusnote"/>
          <w:rFonts w:ascii="Times New Roman" w:hAnsi="Times New Roman"/>
          <w:sz w:val="16"/>
          <w:szCs w:val="16"/>
          <w:vertAlign w:val="baseline"/>
        </w:rPr>
        <w:t>dostupno na:</w:t>
      </w:r>
    </w:p>
    <w:p w14:paraId="45D06263" w14:textId="77777777" w:rsidR="00053AD3" w:rsidRDefault="0031420A">
      <w:pPr>
        <w:spacing w:line="240" w:lineRule="auto"/>
        <w:jc w:val="left"/>
        <w:rPr>
          <w:sz w:val="16"/>
          <w:szCs w:val="16"/>
        </w:rPr>
      </w:pPr>
      <w:hyperlink r:id="rId21" w:history="1">
        <w:r w:rsidR="00053AD3">
          <w:rPr>
            <w:rStyle w:val="Hiperveza"/>
            <w:rFonts w:ascii="Times New Roman" w:eastAsiaTheme="minorHAnsi" w:hAnsi="Times New Roman"/>
            <w:color w:val="0000FF"/>
            <w:sz w:val="16"/>
            <w:u w:val="single"/>
            <w:lang w:eastAsia="en-US"/>
          </w:rPr>
          <w:t>https://ec.europa.eu/energy/sites/ener/files/documents/hr_final_necp_main_hr.pdf</w:t>
        </w:r>
      </w:hyperlink>
      <w:r w:rsidR="00053AD3">
        <w:rPr>
          <w:rFonts w:ascii="Times New Roman" w:hAnsi="Times New Roman"/>
          <w:sz w:val="16"/>
          <w:szCs w:val="16"/>
        </w:rPr>
        <w:t xml:space="preserve"> </w:t>
      </w:r>
    </w:p>
  </w:footnote>
  <w:footnote w:id="31">
    <w:p w14:paraId="45D06264" w14:textId="77777777" w:rsidR="00053AD3" w:rsidRDefault="00053AD3">
      <w:pPr>
        <w:spacing w:line="240" w:lineRule="auto"/>
        <w:jc w:val="left"/>
        <w:rPr>
          <w:rStyle w:val="Hiperveza"/>
          <w:rFonts w:ascii="Times New Roman" w:eastAsiaTheme="minorHAnsi" w:hAnsi="Times New Roman"/>
          <w:color w:val="0000FF"/>
          <w:sz w:val="16"/>
          <w:u w:val="single"/>
          <w:lang w:eastAsia="en-US"/>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Četvrti nacionalni akcijski plan energetske učinkovitosti</w:t>
      </w:r>
      <w:r>
        <w:rPr>
          <w:rFonts w:ascii="Times New Roman" w:hAnsi="Times New Roman"/>
          <w:sz w:val="16"/>
          <w:szCs w:val="16"/>
        </w:rPr>
        <w:t xml:space="preserve"> za razdoblje do kraja 2019. godine</w:t>
      </w:r>
      <w:r>
        <w:rPr>
          <w:rStyle w:val="Referencafusnote"/>
          <w:rFonts w:ascii="Times New Roman" w:hAnsi="Times New Roman"/>
          <w:sz w:val="16"/>
          <w:szCs w:val="16"/>
          <w:vertAlign w:val="baseline"/>
        </w:rPr>
        <w:t>, dostupno na:</w:t>
      </w:r>
      <w:r>
        <w:rPr>
          <w:rStyle w:val="Hiperveza"/>
          <w:rFonts w:ascii="Times New Roman" w:eastAsiaTheme="minorHAnsi" w:hAnsi="Times New Roman"/>
          <w:color w:val="0000FF"/>
          <w:sz w:val="16"/>
          <w:u w:val="single"/>
          <w:lang w:eastAsia="en-US"/>
        </w:rPr>
        <w:t xml:space="preserve"> </w:t>
      </w:r>
    </w:p>
    <w:p w14:paraId="45D06265" w14:textId="77777777" w:rsidR="00053AD3" w:rsidRDefault="00053AD3">
      <w:pPr>
        <w:spacing w:line="240" w:lineRule="auto"/>
        <w:jc w:val="left"/>
        <w:rPr>
          <w:rStyle w:val="Hiperveza"/>
          <w:rFonts w:ascii="Times New Roman" w:eastAsiaTheme="minorHAnsi" w:hAnsi="Times New Roman"/>
          <w:color w:val="0000FF"/>
          <w:sz w:val="16"/>
          <w:u w:val="single"/>
          <w:lang w:eastAsia="en-US"/>
        </w:rPr>
      </w:pPr>
      <w:r>
        <w:rPr>
          <w:rStyle w:val="Hiperveza"/>
          <w:rFonts w:ascii="Times New Roman" w:eastAsiaTheme="minorHAnsi" w:hAnsi="Times New Roman"/>
          <w:color w:val="0000FF"/>
          <w:sz w:val="16"/>
          <w:u w:val="single"/>
          <w:lang w:eastAsia="en-US"/>
        </w:rPr>
        <w:t>https://mzoe.gov.hr/djelokrug-4925/energetika/energetska-trzista-i-infrastruktura/energetski-zakoni/energetska-ucinkovitost-2023/2023</w:t>
      </w:r>
      <w:r>
        <w:t xml:space="preserve"> </w:t>
      </w:r>
    </w:p>
  </w:footnote>
  <w:footnote w:id="32">
    <w:p w14:paraId="45D06266" w14:textId="77777777" w:rsidR="00053AD3" w:rsidRDefault="00053AD3">
      <w:pPr>
        <w:spacing w:line="240" w:lineRule="auto"/>
        <w:jc w:val="left"/>
        <w:rPr>
          <w:rStyle w:val="Referencafusnote"/>
          <w:rFonts w:ascii="Times New Roman" w:hAnsi="Times New Roman"/>
          <w:sz w:val="16"/>
          <w:szCs w:val="16"/>
          <w:vertAlign w:val="baseline"/>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Energetska obnova zgrada, dostupno na:</w:t>
      </w:r>
    </w:p>
    <w:p w14:paraId="45D06267" w14:textId="77777777" w:rsidR="00053AD3" w:rsidRDefault="00053AD3">
      <w:pPr>
        <w:spacing w:line="240" w:lineRule="auto"/>
        <w:jc w:val="left"/>
        <w:rPr>
          <w:sz w:val="16"/>
          <w:szCs w:val="16"/>
        </w:rPr>
      </w:pPr>
      <w:r>
        <w:rPr>
          <w:rStyle w:val="Hiperveza"/>
          <w:rFonts w:ascii="Times New Roman" w:eastAsiaTheme="minorHAnsi" w:hAnsi="Times New Roman"/>
          <w:color w:val="0000FF"/>
          <w:sz w:val="16"/>
          <w:u w:val="single"/>
          <w:lang w:eastAsia="en-US"/>
        </w:rPr>
        <w:t xml:space="preserve"> </w:t>
      </w:r>
      <w:hyperlink r:id="rId22" w:history="1">
        <w:r>
          <w:rPr>
            <w:rStyle w:val="Hiperveza"/>
            <w:rFonts w:ascii="Times New Roman" w:eastAsiaTheme="minorHAnsi" w:hAnsi="Times New Roman"/>
            <w:color w:val="0000FF"/>
            <w:sz w:val="16"/>
            <w:u w:val="single"/>
            <w:lang w:eastAsia="en-US"/>
          </w:rPr>
          <w:t>https://mgipu.gov.hr/o-ministarstvu-15/djelokrug/energetska-ucinkovitost-u-zgradarstvu/energetska-obnova-zgrada-8321/8321</w:t>
        </w:r>
      </w:hyperlink>
      <w:r>
        <w:rPr>
          <w:rFonts w:ascii="Times New Roman" w:hAnsi="Times New Roman"/>
          <w:sz w:val="16"/>
          <w:szCs w:val="16"/>
        </w:rPr>
        <w:t xml:space="preserve"> </w:t>
      </w:r>
    </w:p>
  </w:footnote>
  <w:footnote w:id="33">
    <w:p w14:paraId="45D06268" w14:textId="77777777" w:rsidR="00053AD3" w:rsidRDefault="00053AD3">
      <w:pPr>
        <w:pStyle w:val="Tekstfusnote"/>
      </w:pPr>
      <w:r>
        <w:rPr>
          <w:rStyle w:val="Referencafusnote"/>
        </w:rPr>
        <w:footnoteRef/>
      </w:r>
      <w:r>
        <w:t xml:space="preserve"> Dugoročna strategija obnove nacionalnog fonda zgrada do 2050. godine (NN 140/2020), dostupno na:</w:t>
      </w:r>
      <w:r>
        <w:br/>
      </w:r>
      <w:hyperlink r:id="rId23" w:history="1">
        <w:r>
          <w:rPr>
            <w:rStyle w:val="Hiperveza"/>
            <w:rFonts w:ascii="Times New Roman" w:eastAsiaTheme="minorHAnsi" w:hAnsi="Times New Roman"/>
            <w:color w:val="0000FF"/>
            <w:sz w:val="16"/>
            <w:szCs w:val="24"/>
            <w:u w:val="single"/>
            <w:lang w:eastAsia="en-US"/>
          </w:rPr>
          <w:t>https://mgipu.gov.hr/UserDocsImages/dokumenti/EnergetskaUcinkovitost/DSO_14.12.2020.pdf</w:t>
        </w:r>
      </w:hyperlink>
      <w:r>
        <w:t xml:space="preserve"> </w:t>
      </w:r>
    </w:p>
  </w:footnote>
  <w:footnote w:id="34">
    <w:p w14:paraId="45D06269" w14:textId="52A4DC6D" w:rsidR="00053AD3" w:rsidRDefault="00053AD3">
      <w:pPr>
        <w:spacing w:line="240" w:lineRule="auto"/>
        <w:ind w:left="142" w:hanging="142"/>
        <w:jc w:val="left"/>
        <w:rPr>
          <w:rStyle w:val="Referencafusnote"/>
          <w:rFonts w:ascii="Times New Roman" w:hAnsi="Times New Roman"/>
          <w:sz w:val="16"/>
          <w:szCs w:val="16"/>
          <w:vertAlign w:val="baseline"/>
        </w:rPr>
      </w:pPr>
      <w:r>
        <w:rPr>
          <w:rStyle w:val="Referencafusnote"/>
          <w:rFonts w:ascii="Times New Roman" w:hAnsi="Times New Roman"/>
          <w:sz w:val="16"/>
          <w:szCs w:val="16"/>
        </w:rPr>
        <w:footnoteRef/>
      </w:r>
      <w:r>
        <w:rPr>
          <w:rStyle w:val="Referencafusnote"/>
          <w:rFonts w:ascii="Times New Roman" w:hAnsi="Times New Roman"/>
          <w:sz w:val="16"/>
          <w:szCs w:val="16"/>
          <w:vertAlign w:val="baseline"/>
        </w:rPr>
        <w:t>Izvješće o stanju u prostoru Republike Hrvatske 201</w:t>
      </w:r>
      <w:r>
        <w:rPr>
          <w:rFonts w:ascii="Times New Roman" w:hAnsi="Times New Roman"/>
          <w:sz w:val="16"/>
          <w:szCs w:val="16"/>
        </w:rPr>
        <w:t>3</w:t>
      </w:r>
      <w:r>
        <w:rPr>
          <w:rStyle w:val="Referencafusnote"/>
          <w:rFonts w:ascii="Times New Roman" w:hAnsi="Times New Roman"/>
          <w:sz w:val="16"/>
          <w:szCs w:val="16"/>
          <w:vertAlign w:val="baseline"/>
        </w:rPr>
        <w:t>.-201</w:t>
      </w:r>
      <w:r>
        <w:rPr>
          <w:rFonts w:ascii="Times New Roman" w:hAnsi="Times New Roman"/>
          <w:sz w:val="16"/>
          <w:szCs w:val="16"/>
        </w:rPr>
        <w:t>9</w:t>
      </w:r>
      <w:r>
        <w:rPr>
          <w:rStyle w:val="Referencafusnote"/>
          <w:rFonts w:ascii="Times New Roman" w:hAnsi="Times New Roman"/>
          <w:sz w:val="16"/>
          <w:szCs w:val="16"/>
          <w:vertAlign w:val="baseline"/>
        </w:rPr>
        <w:t>., dostupno na:</w:t>
      </w:r>
      <w:r>
        <w:rPr>
          <w:rFonts w:ascii="Times New Roman" w:hAnsi="Times New Roman"/>
          <w:sz w:val="16"/>
          <w:szCs w:val="16"/>
        </w:rPr>
        <w:t xml:space="preserve"> </w:t>
      </w:r>
      <w:hyperlink r:id="rId24" w:history="1">
        <w:r w:rsidRPr="00671C6F">
          <w:rPr>
            <w:rStyle w:val="Hiperveza"/>
            <w:rFonts w:ascii="Times New Roman" w:hAnsi="Times New Roman"/>
            <w:sz w:val="16"/>
            <w:szCs w:val="16"/>
          </w:rPr>
          <w:t>https://sabor.hr/sites/default/files/uploads/sabor/2021-02-25/154403/IZVJ_STANJE_U_PROSTORU_RH_2013-2019.pdf</w:t>
        </w:r>
      </w:hyperlink>
      <w:r>
        <w:rPr>
          <w:rFonts w:ascii="Times New Roman" w:hAnsi="Times New Roman"/>
          <w:sz w:val="16"/>
          <w:szCs w:val="16"/>
        </w:rPr>
        <w:t xml:space="preserve"> </w:t>
      </w:r>
    </w:p>
  </w:footnote>
  <w:footnote w:id="35">
    <w:p w14:paraId="45D0626A" w14:textId="77777777" w:rsidR="00053AD3" w:rsidRDefault="00053AD3">
      <w:pPr>
        <w:spacing w:line="240" w:lineRule="auto"/>
        <w:jc w:val="left"/>
        <w:rPr>
          <w:rStyle w:val="Hiperveza"/>
          <w:rFonts w:ascii="Times New Roman" w:eastAsiaTheme="minorHAnsi" w:hAnsi="Times New Roman"/>
          <w:color w:val="0000FF"/>
          <w:sz w:val="16"/>
          <w:u w:val="single"/>
          <w:lang w:eastAsia="en-US"/>
        </w:rPr>
      </w:pPr>
      <w:r>
        <w:rPr>
          <w:rStyle w:val="Referencafusnote"/>
          <w:rFonts w:ascii="Times New Roman" w:hAnsi="Times New Roman"/>
          <w:sz w:val="16"/>
          <w:szCs w:val="16"/>
        </w:rPr>
        <w:footnoteRef/>
      </w:r>
      <w:r>
        <w:rPr>
          <w:rFonts w:ascii="Times New Roman" w:hAnsi="Times New Roman"/>
          <w:sz w:val="16"/>
          <w:szCs w:val="16"/>
        </w:rPr>
        <w:t xml:space="preserve"> Podaci o energetskoj obnovi zgrada Ministarstva prostornoga uređenja, graditeljstva i državne imovine, </w:t>
      </w:r>
      <w:r>
        <w:rPr>
          <w:rStyle w:val="Referencafusnote"/>
          <w:rFonts w:ascii="Times New Roman" w:hAnsi="Times New Roman"/>
          <w:sz w:val="16"/>
          <w:szCs w:val="16"/>
          <w:vertAlign w:val="baseline"/>
        </w:rPr>
        <w:t xml:space="preserve">dostupno na: </w:t>
      </w:r>
      <w:hyperlink r:id="rId25" w:history="1">
        <w:r>
          <w:rPr>
            <w:rStyle w:val="Hiperveza"/>
            <w:rFonts w:ascii="Times New Roman" w:eastAsiaTheme="minorHAnsi" w:hAnsi="Times New Roman"/>
            <w:color w:val="0000FF"/>
            <w:sz w:val="16"/>
            <w:u w:val="single"/>
            <w:lang w:eastAsia="en-US"/>
          </w:rPr>
          <w:t>https://mgipu.gov.hr/</w:t>
        </w:r>
      </w:hyperlink>
      <w:r>
        <w:rPr>
          <w:rStyle w:val="Hiperveza"/>
          <w:rFonts w:ascii="Times New Roman" w:eastAsiaTheme="minorHAnsi" w:hAnsi="Times New Roman"/>
          <w:color w:val="0000FF"/>
          <w:sz w:val="16"/>
          <w:u w:val="single"/>
          <w:lang w:eastAsia="en-US"/>
        </w:rPr>
        <w:t xml:space="preserve"> </w:t>
      </w:r>
    </w:p>
  </w:footnote>
  <w:footnote w:id="36">
    <w:p w14:paraId="45D0626B" w14:textId="77777777" w:rsidR="00053AD3" w:rsidRDefault="00053AD3">
      <w:pPr>
        <w:spacing w:line="240" w:lineRule="auto"/>
        <w:jc w:val="left"/>
        <w:rPr>
          <w:rStyle w:val="Referencafusnote"/>
          <w:rFonts w:ascii="Times New Roman" w:hAnsi="Times New Roman"/>
          <w:sz w:val="16"/>
          <w:szCs w:val="16"/>
          <w:vertAlign w:val="baseline"/>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Fonts w:ascii="Times New Roman" w:hAnsi="Times New Roman"/>
          <w:sz w:val="16"/>
          <w:szCs w:val="16"/>
        </w:rPr>
        <w:t xml:space="preserve">Informacijski sustav prostornog uređenja, </w:t>
      </w:r>
      <w:r>
        <w:rPr>
          <w:rStyle w:val="Referencafusnote"/>
          <w:rFonts w:ascii="Times New Roman" w:hAnsi="Times New Roman"/>
          <w:sz w:val="16"/>
          <w:szCs w:val="16"/>
          <w:vertAlign w:val="baseline"/>
        </w:rPr>
        <w:t xml:space="preserve">dostupno na: </w:t>
      </w:r>
      <w:hyperlink r:id="rId26" w:history="1">
        <w:r>
          <w:rPr>
            <w:rStyle w:val="Hiperveza"/>
            <w:rFonts w:ascii="Times New Roman" w:eastAsiaTheme="minorHAnsi" w:hAnsi="Times New Roman"/>
            <w:color w:val="0000FF"/>
            <w:sz w:val="16"/>
            <w:u w:val="single"/>
            <w:lang w:eastAsia="en-US"/>
          </w:rPr>
          <w:t>https://ispu.mgipu.hr/</w:t>
        </w:r>
      </w:hyperlink>
      <w:r>
        <w:rPr>
          <w:rStyle w:val="Referencafusnote"/>
          <w:rFonts w:ascii="Times New Roman" w:hAnsi="Times New Roman"/>
          <w:sz w:val="16"/>
          <w:szCs w:val="16"/>
          <w:vertAlign w:val="baseline"/>
        </w:rPr>
        <w:t xml:space="preserve"> </w:t>
      </w:r>
    </w:p>
  </w:footnote>
  <w:footnote w:id="37">
    <w:p w14:paraId="45D0626C" w14:textId="77777777" w:rsidR="00053AD3" w:rsidRDefault="00053AD3">
      <w:pPr>
        <w:spacing w:line="240" w:lineRule="auto"/>
        <w:jc w:val="left"/>
        <w:rPr>
          <w:rStyle w:val="Referencafusnote"/>
          <w:rFonts w:ascii="Times New Roman" w:hAnsi="Times New Roman"/>
          <w:sz w:val="16"/>
          <w:szCs w:val="16"/>
          <w:vertAlign w:val="baseline"/>
        </w:rPr>
      </w:pPr>
      <w:r>
        <w:rPr>
          <w:rStyle w:val="Referencafusnote"/>
          <w:rFonts w:ascii="Times New Roman" w:hAnsi="Times New Roman"/>
          <w:sz w:val="16"/>
          <w:szCs w:val="16"/>
        </w:rPr>
        <w:footnoteRef/>
      </w:r>
      <w:r>
        <w:rPr>
          <w:rFonts w:ascii="Times New Roman" w:hAnsi="Times New Roman"/>
          <w:sz w:val="16"/>
          <w:szCs w:val="16"/>
        </w:rPr>
        <w:t xml:space="preserve"> Državni zavod za statistiku, </w:t>
      </w:r>
      <w:r>
        <w:rPr>
          <w:rStyle w:val="Referencafusnote"/>
          <w:rFonts w:ascii="Times New Roman" w:hAnsi="Times New Roman"/>
          <w:sz w:val="16"/>
          <w:szCs w:val="16"/>
          <w:vertAlign w:val="baseline"/>
        </w:rPr>
        <w:t xml:space="preserve">dostupno na: </w:t>
      </w:r>
      <w:hyperlink r:id="rId27" w:history="1">
        <w:r>
          <w:rPr>
            <w:rStyle w:val="Hiperveza"/>
            <w:rFonts w:ascii="Times New Roman" w:eastAsiaTheme="minorHAnsi" w:hAnsi="Times New Roman"/>
            <w:color w:val="0000FF"/>
            <w:sz w:val="16"/>
            <w:u w:val="single"/>
            <w:lang w:eastAsia="en-US"/>
          </w:rPr>
          <w:t>https://www.dzs.hr/</w:t>
        </w:r>
      </w:hyperlink>
      <w:r>
        <w:rPr>
          <w:rStyle w:val="Hiperveza"/>
          <w:rFonts w:ascii="Times New Roman" w:eastAsiaTheme="minorHAnsi" w:hAnsi="Times New Roman"/>
          <w:color w:val="0000FF"/>
          <w:sz w:val="16"/>
          <w:u w:val="single"/>
          <w:lang w:eastAsia="en-US"/>
        </w:rPr>
        <w:t xml:space="preserve"> </w:t>
      </w:r>
    </w:p>
  </w:footnote>
  <w:footnote w:id="38">
    <w:p w14:paraId="45D0626D" w14:textId="77777777" w:rsidR="00053AD3" w:rsidRDefault="00053AD3">
      <w:pPr>
        <w:spacing w:line="240" w:lineRule="auto"/>
        <w:jc w:val="left"/>
        <w:rPr>
          <w:rStyle w:val="Hiperveza"/>
          <w:rFonts w:ascii="Times New Roman" w:eastAsiaTheme="minorHAnsi" w:hAnsi="Times New Roman"/>
          <w:color w:val="0000FF"/>
          <w:sz w:val="16"/>
          <w:u w:val="single"/>
          <w:lang w:eastAsia="en-US"/>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Konferencija" Zelena budućnost grada"</w:t>
      </w:r>
      <w:r>
        <w:rPr>
          <w:rFonts w:ascii="Times New Roman" w:hAnsi="Times New Roman"/>
          <w:sz w:val="16"/>
          <w:szCs w:val="16"/>
        </w:rPr>
        <w:t>,</w:t>
      </w:r>
      <w:r>
        <w:rPr>
          <w:rStyle w:val="Referencafusnote"/>
          <w:rFonts w:ascii="Times New Roman" w:hAnsi="Times New Roman"/>
          <w:sz w:val="16"/>
          <w:szCs w:val="16"/>
          <w:vertAlign w:val="baseline"/>
        </w:rPr>
        <w:t xml:space="preserve"> dostupno na: </w:t>
      </w:r>
      <w:hyperlink r:id="rId28" w:history="1">
        <w:r>
          <w:rPr>
            <w:rStyle w:val="Hiperveza"/>
            <w:rFonts w:ascii="Times New Roman" w:eastAsiaTheme="minorHAnsi" w:hAnsi="Times New Roman"/>
            <w:color w:val="0000FF"/>
            <w:sz w:val="16"/>
            <w:u w:val="single"/>
            <w:lang w:eastAsia="en-US"/>
          </w:rPr>
          <w:t>https://mgipu.gov.hr/vijesti/u-zagrebu-odrzana-konferencija-zelena-buducnost-grada/10428</w:t>
        </w:r>
      </w:hyperlink>
    </w:p>
  </w:footnote>
  <w:footnote w:id="39">
    <w:p w14:paraId="45D0626E" w14:textId="77777777" w:rsidR="00053AD3" w:rsidRDefault="00053AD3">
      <w:pPr>
        <w:spacing w:line="240" w:lineRule="auto"/>
        <w:jc w:val="left"/>
        <w:rPr>
          <w:rFonts w:ascii="Times New Roman" w:hAnsi="Times New Roman"/>
          <w:sz w:val="16"/>
          <w:szCs w:val="16"/>
        </w:rPr>
      </w:pPr>
      <w:bookmarkStart w:id="40" w:name="_Hlk36840274"/>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 xml:space="preserve">Arhitektonski fakultet Sveučilišta u Zagrebu, 2019., Anketni upitnik / ZELENA INFRASTRUKTURA U URBANIM PODRUČJIMA I KRUŽNO GOSPODARENJE PROSTOROM I ZGRADAMA REPUBLIKE HRVATSKE /, dostupno na: </w:t>
      </w:r>
    </w:p>
    <w:p w14:paraId="45D0626F" w14:textId="77777777" w:rsidR="00053AD3" w:rsidRDefault="0031420A">
      <w:pPr>
        <w:spacing w:line="240" w:lineRule="auto"/>
        <w:jc w:val="left"/>
        <w:rPr>
          <w:rStyle w:val="Referencafusnote"/>
          <w:rFonts w:ascii="Times New Roman" w:hAnsi="Times New Roman"/>
          <w:sz w:val="18"/>
          <w:szCs w:val="18"/>
          <w:vertAlign w:val="baseline"/>
        </w:rPr>
      </w:pPr>
      <w:hyperlink r:id="rId29" w:history="1">
        <w:r w:rsidR="00053AD3">
          <w:rPr>
            <w:rStyle w:val="Hiperveza"/>
            <w:rFonts w:ascii="Times New Roman" w:eastAsiaTheme="minorHAnsi" w:hAnsi="Times New Roman"/>
            <w:color w:val="0000FF"/>
            <w:sz w:val="16"/>
            <w:u w:val="single"/>
            <w:lang w:eastAsia="en-US"/>
          </w:rPr>
          <w:t>https://docs.google.com/forms/d/e/1FAIpQLSf99dEUkt0uYkQzMOfiZwtGrauKI3udlaxrTxlNsSfgSZ_hHw/viewform</w:t>
        </w:r>
      </w:hyperlink>
      <w:bookmarkEnd w:id="40"/>
      <w:r w:rsidR="00053AD3">
        <w:rPr>
          <w:rFonts w:ascii="Times New Roman" w:hAnsi="Times New Roman"/>
          <w:sz w:val="16"/>
          <w:szCs w:val="16"/>
        </w:rPr>
        <w:t xml:space="preserve"> </w:t>
      </w:r>
    </w:p>
  </w:footnote>
  <w:footnote w:id="40">
    <w:p w14:paraId="45D06270" w14:textId="77777777" w:rsidR="00053AD3" w:rsidRDefault="00053AD3">
      <w:pPr>
        <w:spacing w:line="240" w:lineRule="auto"/>
        <w:jc w:val="left"/>
        <w:rPr>
          <w:rStyle w:val="Hiperveza"/>
          <w:rFonts w:ascii="Times New Roman" w:eastAsiaTheme="minorHAnsi" w:hAnsi="Times New Roman"/>
          <w:color w:val="0000FF"/>
          <w:sz w:val="16"/>
          <w:u w:val="single"/>
          <w:lang w:eastAsia="en-US"/>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Europska komisija, Construction and Demolition Waste (CDW), dostupno na:</w:t>
      </w:r>
      <w:r>
        <w:t xml:space="preserve"> </w:t>
      </w:r>
      <w:hyperlink r:id="rId30" w:history="1">
        <w:r>
          <w:rPr>
            <w:rStyle w:val="Hiperveza"/>
            <w:rFonts w:ascii="Times New Roman" w:eastAsiaTheme="minorHAnsi" w:hAnsi="Times New Roman"/>
            <w:color w:val="0000FF"/>
            <w:sz w:val="16"/>
            <w:u w:val="single"/>
            <w:lang w:eastAsia="en-US"/>
          </w:rPr>
          <w:t>https://ec.europa.eu/environment/waste/construction_demolition.htm</w:t>
        </w:r>
      </w:hyperlink>
      <w:r>
        <w:rPr>
          <w:rStyle w:val="Hiperveza"/>
          <w:rFonts w:ascii="Times New Roman" w:eastAsiaTheme="minorHAnsi" w:hAnsi="Times New Roman"/>
          <w:color w:val="0000FF"/>
          <w:sz w:val="16"/>
          <w:u w:val="single"/>
          <w:lang w:eastAsia="en-US"/>
        </w:rPr>
        <w:t xml:space="preserve"> </w:t>
      </w:r>
    </w:p>
  </w:footnote>
  <w:footnote w:id="41">
    <w:p w14:paraId="45D06271" w14:textId="77777777" w:rsidR="00053AD3" w:rsidRDefault="00053AD3">
      <w:pPr>
        <w:spacing w:line="240" w:lineRule="auto"/>
        <w:jc w:val="left"/>
        <w:rPr>
          <w:rStyle w:val="Referencafusnote"/>
          <w:rFonts w:ascii="Times New Roman" w:hAnsi="Times New Roman"/>
          <w:sz w:val="16"/>
          <w:szCs w:val="16"/>
          <w:vertAlign w:val="baseline"/>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Komunikacij</w:t>
      </w:r>
      <w:r>
        <w:rPr>
          <w:rFonts w:ascii="Times New Roman" w:hAnsi="Times New Roman"/>
          <w:sz w:val="16"/>
          <w:szCs w:val="16"/>
        </w:rPr>
        <w:t>a</w:t>
      </w:r>
      <w:r>
        <w:rPr>
          <w:rStyle w:val="Referencafusnote"/>
          <w:rFonts w:ascii="Times New Roman" w:hAnsi="Times New Roman"/>
          <w:sz w:val="16"/>
          <w:szCs w:val="16"/>
          <w:vertAlign w:val="baseline"/>
        </w:rPr>
        <w:t xml:space="preserve"> Komisije Europskom parlamentu i Vijeću: Strategija za održivu konkurentnost građevinskog sektora i poduzeća u tom sektoru</w:t>
      </w:r>
      <w:r>
        <w:rPr>
          <w:rFonts w:ascii="Times New Roman" w:hAnsi="Times New Roman"/>
          <w:sz w:val="16"/>
          <w:szCs w:val="16"/>
        </w:rPr>
        <w:t xml:space="preserve">  (COM(2012) 0433 final) od 31.7.2012. godine, </w:t>
      </w:r>
      <w:r>
        <w:rPr>
          <w:rStyle w:val="Referencafusnote"/>
          <w:rFonts w:ascii="Times New Roman" w:hAnsi="Times New Roman"/>
          <w:sz w:val="16"/>
          <w:szCs w:val="16"/>
          <w:vertAlign w:val="baseline"/>
        </w:rPr>
        <w:t>dostupno na:</w:t>
      </w:r>
      <w:r>
        <w:t xml:space="preserve"> </w:t>
      </w:r>
      <w:hyperlink r:id="rId31" w:history="1">
        <w:r>
          <w:rPr>
            <w:rStyle w:val="Hiperveza"/>
            <w:rFonts w:ascii="Times New Roman" w:eastAsiaTheme="minorHAnsi" w:hAnsi="Times New Roman"/>
            <w:color w:val="0000FF"/>
            <w:sz w:val="16"/>
            <w:u w:val="single"/>
            <w:lang w:eastAsia="en-US"/>
          </w:rPr>
          <w:t>https://eur-lex.europa.eu/legal-content/EN/TXT/?uri=celex%3A52012DC0433</w:t>
        </w:r>
      </w:hyperlink>
      <w:r>
        <w:rPr>
          <w:rStyle w:val="Hiperveza"/>
          <w:rFonts w:ascii="Times New Roman" w:eastAsiaTheme="minorHAnsi" w:hAnsi="Times New Roman"/>
          <w:color w:val="0000FF"/>
          <w:sz w:val="16"/>
          <w:u w:val="single"/>
          <w:lang w:eastAsia="en-US"/>
        </w:rPr>
        <w:t xml:space="preserve">  </w:t>
      </w:r>
    </w:p>
  </w:footnote>
  <w:footnote w:id="42">
    <w:p w14:paraId="45D06272" w14:textId="77777777" w:rsidR="00053AD3" w:rsidRDefault="00053AD3">
      <w:pPr>
        <w:spacing w:line="240" w:lineRule="auto"/>
        <w:jc w:val="left"/>
        <w:rPr>
          <w:rStyle w:val="Referencafusnote"/>
          <w:rFonts w:ascii="Times New Roman" w:hAnsi="Times New Roman"/>
          <w:sz w:val="16"/>
          <w:szCs w:val="16"/>
          <w:vertAlign w:val="baseline"/>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bookmarkStart w:id="46" w:name="_Hlk51315453"/>
      <w:r>
        <w:rPr>
          <w:rStyle w:val="Referencafusnote"/>
          <w:rFonts w:ascii="Times New Roman" w:hAnsi="Times New Roman"/>
          <w:sz w:val="16"/>
          <w:szCs w:val="16"/>
          <w:vertAlign w:val="baseline"/>
        </w:rPr>
        <w:t>Komunikacija Komisije Europskom parlamentu, Vijeću, Europskom gospodarskom i socijalnom odboru i Odboru regija</w:t>
      </w:r>
      <w:r>
        <w:rPr>
          <w:rFonts w:ascii="Times New Roman" w:hAnsi="Times New Roman"/>
          <w:sz w:val="16"/>
          <w:szCs w:val="16"/>
        </w:rPr>
        <w:t>:</w:t>
      </w:r>
      <w:r>
        <w:rPr>
          <w:rStyle w:val="Referencafusnote"/>
          <w:rFonts w:ascii="Times New Roman" w:hAnsi="Times New Roman"/>
          <w:sz w:val="16"/>
          <w:szCs w:val="16"/>
          <w:vertAlign w:val="baseline"/>
        </w:rPr>
        <w:t xml:space="preserve"> Prilik</w:t>
      </w:r>
      <w:r>
        <w:rPr>
          <w:rFonts w:ascii="Times New Roman" w:hAnsi="Times New Roman"/>
          <w:sz w:val="16"/>
          <w:szCs w:val="16"/>
        </w:rPr>
        <w:t>e</w:t>
      </w:r>
      <w:r>
        <w:rPr>
          <w:rStyle w:val="Referencafusnote"/>
          <w:rFonts w:ascii="Times New Roman" w:hAnsi="Times New Roman"/>
          <w:sz w:val="16"/>
          <w:szCs w:val="16"/>
          <w:vertAlign w:val="baseline"/>
        </w:rPr>
        <w:t xml:space="preserve"> za učinkovit</w:t>
      </w:r>
      <w:r>
        <w:rPr>
          <w:rFonts w:ascii="Times New Roman" w:hAnsi="Times New Roman"/>
          <w:sz w:val="16"/>
          <w:szCs w:val="16"/>
        </w:rPr>
        <w:t>ije</w:t>
      </w:r>
      <w:r>
        <w:rPr>
          <w:rStyle w:val="Referencafusnote"/>
          <w:rFonts w:ascii="Times New Roman" w:hAnsi="Times New Roman"/>
          <w:sz w:val="16"/>
          <w:szCs w:val="16"/>
          <w:vertAlign w:val="baseline"/>
        </w:rPr>
        <w:t xml:space="preserve"> </w:t>
      </w:r>
      <w:r>
        <w:rPr>
          <w:rFonts w:ascii="Times New Roman" w:hAnsi="Times New Roman"/>
          <w:sz w:val="16"/>
          <w:szCs w:val="16"/>
        </w:rPr>
        <w:t xml:space="preserve"> </w:t>
      </w:r>
      <w:r>
        <w:rPr>
          <w:rStyle w:val="Referencafusnote"/>
          <w:rFonts w:ascii="Times New Roman" w:hAnsi="Times New Roman"/>
          <w:sz w:val="16"/>
          <w:szCs w:val="16"/>
          <w:vertAlign w:val="baseline"/>
        </w:rPr>
        <w:t>korištenje resursa u građevinskom sektoru</w:t>
      </w:r>
      <w:r>
        <w:rPr>
          <w:rFonts w:ascii="Times New Roman" w:hAnsi="Times New Roman"/>
          <w:sz w:val="16"/>
          <w:szCs w:val="16"/>
        </w:rPr>
        <w:t xml:space="preserve"> (COM(2014) 0445 final) od 1.7.2014. godine</w:t>
      </w:r>
      <w:bookmarkEnd w:id="46"/>
      <w:r>
        <w:rPr>
          <w:rFonts w:ascii="Times New Roman" w:hAnsi="Times New Roman"/>
          <w:sz w:val="16"/>
          <w:szCs w:val="16"/>
        </w:rPr>
        <w:t xml:space="preserve">, </w:t>
      </w:r>
      <w:r>
        <w:rPr>
          <w:rStyle w:val="Referencafusnote"/>
          <w:rFonts w:ascii="Times New Roman" w:hAnsi="Times New Roman"/>
          <w:sz w:val="16"/>
          <w:szCs w:val="16"/>
          <w:vertAlign w:val="baseline"/>
        </w:rPr>
        <w:t xml:space="preserve"> dostupno na: </w:t>
      </w:r>
    </w:p>
    <w:p w14:paraId="45D06273" w14:textId="77777777" w:rsidR="00053AD3" w:rsidRDefault="00053AD3">
      <w:pPr>
        <w:spacing w:line="240" w:lineRule="auto"/>
        <w:jc w:val="left"/>
        <w:rPr>
          <w:rStyle w:val="Referencafusnote"/>
          <w:rFonts w:ascii="Times New Roman" w:hAnsi="Times New Roman"/>
          <w:sz w:val="18"/>
          <w:szCs w:val="18"/>
          <w:vertAlign w:val="baseline"/>
        </w:rPr>
      </w:pPr>
      <w:r>
        <w:rPr>
          <w:rStyle w:val="Referencafusnote"/>
          <w:rFonts w:ascii="Times New Roman" w:hAnsi="Times New Roman"/>
          <w:sz w:val="16"/>
          <w:szCs w:val="16"/>
          <w:vertAlign w:val="baseline"/>
        </w:rPr>
        <w:t xml:space="preserve">  </w:t>
      </w:r>
      <w:hyperlink r:id="rId32" w:history="1">
        <w:r>
          <w:rPr>
            <w:rStyle w:val="Hiperveza"/>
            <w:rFonts w:ascii="Times New Roman" w:eastAsiaTheme="minorHAnsi" w:hAnsi="Times New Roman"/>
            <w:color w:val="0000FF"/>
            <w:sz w:val="16"/>
            <w:u w:val="single"/>
            <w:lang w:eastAsia="en-US"/>
          </w:rPr>
          <w:t>https://eur-lex.europa.eu/legal-content/HR/TXT/?uri=CELEX%3A52014DC0445</w:t>
        </w:r>
      </w:hyperlink>
      <w:r>
        <w:rPr>
          <w:rFonts w:ascii="Times New Roman" w:hAnsi="Times New Roman"/>
          <w:sz w:val="16"/>
          <w:szCs w:val="16"/>
        </w:rPr>
        <w:t xml:space="preserve"> </w:t>
      </w:r>
    </w:p>
  </w:footnote>
  <w:footnote w:id="43">
    <w:p w14:paraId="45D06274" w14:textId="77777777" w:rsidR="00053AD3" w:rsidRDefault="00053AD3">
      <w:pPr>
        <w:spacing w:line="240" w:lineRule="auto"/>
        <w:jc w:val="left"/>
        <w:rPr>
          <w:rStyle w:val="Referencafusnote"/>
          <w:rFonts w:ascii="Times New Roman" w:hAnsi="Times New Roman"/>
          <w:sz w:val="18"/>
          <w:szCs w:val="18"/>
          <w:vertAlign w:val="baseline"/>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Nature Based Solution</w:t>
      </w:r>
      <w:r>
        <w:rPr>
          <w:rFonts w:ascii="Times New Roman" w:hAnsi="Times New Roman"/>
          <w:sz w:val="16"/>
          <w:szCs w:val="16"/>
        </w:rPr>
        <w:t>s</w:t>
      </w:r>
      <w:r>
        <w:rPr>
          <w:rStyle w:val="Referencafusnote"/>
          <w:rFonts w:ascii="Times New Roman" w:hAnsi="Times New Roman"/>
          <w:sz w:val="16"/>
          <w:szCs w:val="16"/>
          <w:vertAlign w:val="baseline"/>
        </w:rPr>
        <w:t>, dostupno na:</w:t>
      </w:r>
      <w:r>
        <w:rPr>
          <w:rStyle w:val="Hiperveza"/>
          <w:rFonts w:ascii="Times New Roman" w:eastAsiaTheme="minorHAnsi" w:hAnsi="Times New Roman"/>
          <w:color w:val="0000FF"/>
          <w:sz w:val="16"/>
          <w:u w:val="single"/>
          <w:lang w:eastAsia="en-US"/>
        </w:rPr>
        <w:t xml:space="preserve">  </w:t>
      </w:r>
      <w:hyperlink r:id="rId33" w:history="1">
        <w:r>
          <w:rPr>
            <w:rStyle w:val="Hiperveza"/>
            <w:rFonts w:ascii="Times New Roman" w:eastAsiaTheme="minorHAnsi" w:hAnsi="Times New Roman"/>
            <w:color w:val="0000FF"/>
            <w:sz w:val="16"/>
            <w:u w:val="single"/>
            <w:lang w:eastAsia="en-US"/>
          </w:rPr>
          <w:t>https://www.iucn.org/commissions/commission-ecosystem-management/our-work/nature-based-solutions</w:t>
        </w:r>
      </w:hyperlink>
      <w:r>
        <w:rPr>
          <w:rFonts w:ascii="Times New Roman" w:hAnsi="Times New Roman"/>
          <w:sz w:val="16"/>
          <w:szCs w:val="16"/>
        </w:rPr>
        <w:t xml:space="preserve"> </w:t>
      </w:r>
    </w:p>
  </w:footnote>
  <w:footnote w:id="44">
    <w:p w14:paraId="45D06275" w14:textId="77777777" w:rsidR="00053AD3" w:rsidRDefault="00053AD3">
      <w:pPr>
        <w:spacing w:line="240" w:lineRule="auto"/>
        <w:jc w:val="left"/>
        <w:rPr>
          <w:sz w:val="16"/>
          <w:szCs w:val="16"/>
        </w:rPr>
      </w:pPr>
      <w:r>
        <w:rPr>
          <w:rStyle w:val="Referencafusnote"/>
          <w:rFonts w:ascii="Times New Roman" w:hAnsi="Times New Roman"/>
          <w:sz w:val="16"/>
          <w:szCs w:val="16"/>
        </w:rPr>
        <w:footnoteRef/>
      </w:r>
      <w:r>
        <w:rPr>
          <w:rFonts w:ascii="Times New Roman" w:hAnsi="Times New Roman"/>
          <w:sz w:val="16"/>
          <w:szCs w:val="16"/>
        </w:rPr>
        <w:t xml:space="preserve"> Europska komisija, </w:t>
      </w:r>
      <w:r>
        <w:rPr>
          <w:rStyle w:val="Referencafusnote"/>
          <w:rFonts w:ascii="Times New Roman" w:hAnsi="Times New Roman"/>
          <w:sz w:val="16"/>
          <w:szCs w:val="16"/>
          <w:vertAlign w:val="baseline"/>
        </w:rPr>
        <w:t xml:space="preserve">Level(s), dostupno na: </w:t>
      </w:r>
      <w:hyperlink r:id="rId34" w:history="1">
        <w:r>
          <w:rPr>
            <w:rStyle w:val="Hiperveza"/>
            <w:rFonts w:ascii="Times New Roman" w:eastAsiaTheme="minorHAnsi" w:hAnsi="Times New Roman"/>
            <w:color w:val="0000FF"/>
            <w:sz w:val="16"/>
            <w:u w:val="single"/>
            <w:lang w:eastAsia="en-US"/>
          </w:rPr>
          <w:t>https://ec.europa.eu/environment/eussd/buildings.htm</w:t>
        </w:r>
      </w:hyperlink>
      <w:r>
        <w:rPr>
          <w:rFonts w:ascii="Times New Roman" w:hAnsi="Times New Roman"/>
          <w:sz w:val="16"/>
          <w:szCs w:val="16"/>
        </w:rPr>
        <w:t xml:space="preserve"> </w:t>
      </w:r>
    </w:p>
  </w:footnote>
  <w:footnote w:id="45">
    <w:p w14:paraId="45D06276" w14:textId="77777777" w:rsidR="00053AD3" w:rsidRDefault="00053AD3">
      <w:pPr>
        <w:spacing w:line="240" w:lineRule="auto"/>
        <w:jc w:val="left"/>
        <w:rPr>
          <w:rStyle w:val="Referencafusnote"/>
          <w:rFonts w:ascii="Times New Roman" w:hAnsi="Times New Roman"/>
          <w:sz w:val="18"/>
          <w:szCs w:val="18"/>
          <w:vertAlign w:val="baseline"/>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Europska komisija, Leading the way to a global circular economy: state of play and outlook (</w:t>
      </w:r>
      <w:r>
        <w:rPr>
          <w:rFonts w:ascii="Times New Roman" w:hAnsi="Times New Roman"/>
          <w:sz w:val="16"/>
          <w:szCs w:val="16"/>
        </w:rPr>
        <w:t xml:space="preserve">SWD(2020) 100 final) od 11.3.2020. godine, </w:t>
      </w:r>
      <w:r>
        <w:rPr>
          <w:rStyle w:val="Referencafusnote"/>
          <w:rFonts w:ascii="Times New Roman" w:hAnsi="Times New Roman"/>
          <w:sz w:val="16"/>
          <w:szCs w:val="16"/>
          <w:vertAlign w:val="baseline"/>
        </w:rPr>
        <w:t>dostupno na:</w:t>
      </w:r>
      <w:r>
        <w:rPr>
          <w:rFonts w:ascii="Times New Roman" w:hAnsi="Times New Roman"/>
          <w:sz w:val="16"/>
          <w:szCs w:val="16"/>
        </w:rPr>
        <w:t xml:space="preserve"> </w:t>
      </w:r>
      <w:hyperlink r:id="rId35" w:history="1">
        <w:r>
          <w:rPr>
            <w:rStyle w:val="Hiperveza"/>
            <w:rFonts w:ascii="Times New Roman" w:eastAsiaTheme="minorHAnsi" w:hAnsi="Times New Roman"/>
            <w:color w:val="0000FF"/>
            <w:sz w:val="16"/>
            <w:u w:val="single"/>
            <w:lang w:eastAsia="en-US"/>
          </w:rPr>
          <w:t>https://ec.europa.eu/environment/circular-economy/pdf/leading_way_global_circular_economy.pdf</w:t>
        </w:r>
      </w:hyperlink>
      <w:r>
        <w:rPr>
          <w:rFonts w:ascii="Times New Roman" w:hAnsi="Times New Roman"/>
          <w:sz w:val="16"/>
          <w:szCs w:val="16"/>
        </w:rPr>
        <w:t xml:space="preserve"> </w:t>
      </w:r>
    </w:p>
  </w:footnote>
  <w:footnote w:id="46">
    <w:p w14:paraId="45D06277" w14:textId="77777777" w:rsidR="00053AD3" w:rsidRDefault="00053AD3">
      <w:pPr>
        <w:spacing w:line="240" w:lineRule="auto"/>
        <w:jc w:val="left"/>
        <w:rPr>
          <w:sz w:val="16"/>
          <w:szCs w:val="16"/>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Fonts w:ascii="Times New Roman" w:hAnsi="Times New Roman"/>
          <w:sz w:val="16"/>
          <w:szCs w:val="16"/>
        </w:rPr>
        <w:t>MPGI, Registar brownfield područja u Republici Hrvatskoj</w:t>
      </w:r>
      <w:r>
        <w:rPr>
          <w:rStyle w:val="Referencafusnote"/>
          <w:rFonts w:ascii="Times New Roman" w:hAnsi="Times New Roman"/>
          <w:sz w:val="16"/>
          <w:szCs w:val="16"/>
          <w:vertAlign w:val="baseline"/>
        </w:rPr>
        <w:t>, dostupno na:</w:t>
      </w:r>
      <w:r>
        <w:rPr>
          <w:rFonts w:ascii="Times New Roman" w:hAnsi="Times New Roman"/>
          <w:sz w:val="16"/>
          <w:szCs w:val="16"/>
        </w:rPr>
        <w:t xml:space="preserve"> </w:t>
      </w:r>
      <w:r>
        <w:rPr>
          <w:rStyle w:val="Hiperveza"/>
          <w:rFonts w:ascii="Times New Roman" w:eastAsiaTheme="minorHAnsi" w:hAnsi="Times New Roman"/>
          <w:color w:val="0000FF"/>
          <w:sz w:val="16"/>
          <w:u w:val="single"/>
          <w:lang w:eastAsia="en-US"/>
        </w:rPr>
        <w:t>https://ispu.mgipu.hr/</w:t>
      </w:r>
    </w:p>
  </w:footnote>
  <w:footnote w:id="47">
    <w:p w14:paraId="45D06278" w14:textId="77777777" w:rsidR="00053AD3" w:rsidRDefault="00053AD3">
      <w:pPr>
        <w:spacing w:line="240" w:lineRule="auto"/>
        <w:jc w:val="left"/>
        <w:rPr>
          <w:sz w:val="16"/>
          <w:szCs w:val="16"/>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Vlada RH, 2019.</w:t>
      </w:r>
      <w:r>
        <w:rPr>
          <w:rFonts w:ascii="Times New Roman" w:hAnsi="Times New Roman"/>
          <w:sz w:val="16"/>
          <w:szCs w:val="16"/>
        </w:rPr>
        <w:t xml:space="preserve">: </w:t>
      </w:r>
      <w:r>
        <w:rPr>
          <w:rStyle w:val="Referencafusnote"/>
          <w:rFonts w:ascii="Times New Roman" w:hAnsi="Times New Roman"/>
          <w:sz w:val="16"/>
          <w:szCs w:val="16"/>
          <w:vertAlign w:val="baseline"/>
        </w:rPr>
        <w:t xml:space="preserve"> 2021. – 2030. ukupno 10.930.698 m² novih zgrada, 2031. – 2040. 14.721.602 m²</w:t>
      </w:r>
    </w:p>
  </w:footnote>
  <w:footnote w:id="48">
    <w:p w14:paraId="45D06279" w14:textId="77777777" w:rsidR="00053AD3" w:rsidRDefault="00053AD3">
      <w:pPr>
        <w:spacing w:line="240" w:lineRule="auto"/>
        <w:jc w:val="left"/>
        <w:rPr>
          <w:rFonts w:ascii="Times New Roman" w:hAnsi="Times New Roman"/>
          <w:sz w:val="16"/>
          <w:szCs w:val="16"/>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 xml:space="preserve">Procjena rizika od katastrofa za Republiku Hrvatsku, </w:t>
      </w:r>
      <w:bookmarkStart w:id="127" w:name="_Hlk37780764"/>
      <w:r>
        <w:rPr>
          <w:rStyle w:val="Referencafusnote"/>
          <w:rFonts w:ascii="Times New Roman" w:hAnsi="Times New Roman"/>
          <w:sz w:val="16"/>
          <w:szCs w:val="16"/>
          <w:vertAlign w:val="baseline"/>
        </w:rPr>
        <w:t>Glavna radna skupina Hrvatske platforme za smanjenje rizika od katastrofa</w:t>
      </w:r>
      <w:bookmarkEnd w:id="127"/>
      <w:r>
        <w:rPr>
          <w:rStyle w:val="Referencafusnote"/>
          <w:rFonts w:ascii="Times New Roman" w:hAnsi="Times New Roman"/>
          <w:sz w:val="16"/>
          <w:szCs w:val="16"/>
          <w:vertAlign w:val="baseline"/>
        </w:rPr>
        <w:t xml:space="preserve">, dostupno na:  </w:t>
      </w:r>
    </w:p>
    <w:p w14:paraId="45D0627A" w14:textId="77777777" w:rsidR="00053AD3" w:rsidRDefault="0031420A">
      <w:pPr>
        <w:spacing w:line="240" w:lineRule="auto"/>
        <w:jc w:val="left"/>
        <w:rPr>
          <w:rStyle w:val="Hiperveza"/>
          <w:rFonts w:ascii="Times New Roman" w:eastAsiaTheme="minorHAnsi" w:hAnsi="Times New Roman"/>
          <w:color w:val="0000FF"/>
          <w:sz w:val="16"/>
          <w:u w:val="single"/>
          <w:lang w:eastAsia="en-US"/>
        </w:rPr>
      </w:pPr>
      <w:hyperlink r:id="rId36" w:history="1">
        <w:r w:rsidR="00053AD3">
          <w:rPr>
            <w:rStyle w:val="Hiperveza"/>
            <w:rFonts w:ascii="Times New Roman" w:eastAsiaTheme="minorHAnsi" w:hAnsi="Times New Roman"/>
            <w:color w:val="0000FF"/>
            <w:sz w:val="16"/>
            <w:u w:val="single"/>
            <w:lang w:eastAsia="en-US"/>
          </w:rPr>
          <w:t>https://civilna-zastita.gov.hr/UserDocsImages/CIVILNA%20ZA%C5%A0TITA/PDF_ZA%20WEB/Procjena_rizika%20od%20katastrofa_2019.pdf</w:t>
        </w:r>
      </w:hyperlink>
      <w:r w:rsidR="00053AD3">
        <w:rPr>
          <w:rStyle w:val="Hiperveza"/>
          <w:rFonts w:ascii="Times New Roman" w:eastAsiaTheme="minorHAnsi" w:hAnsi="Times New Roman"/>
          <w:color w:val="0000FF"/>
          <w:sz w:val="16"/>
          <w:u w:val="single"/>
          <w:lang w:eastAsia="en-US"/>
        </w:rPr>
        <w:t xml:space="preserve"> </w:t>
      </w:r>
    </w:p>
  </w:footnote>
  <w:footnote w:id="49">
    <w:p w14:paraId="45D0627B" w14:textId="77777777" w:rsidR="00053AD3" w:rsidRDefault="00053AD3">
      <w:pPr>
        <w:spacing w:line="240" w:lineRule="auto"/>
        <w:jc w:val="left"/>
        <w:rPr>
          <w:rStyle w:val="Referencafusnote"/>
          <w:rFonts w:ascii="Times New Roman" w:hAnsi="Times New Roman"/>
          <w:sz w:val="16"/>
          <w:szCs w:val="16"/>
          <w:vertAlign w:val="baseline"/>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Pravilnik o otpornosti na požar i drugim zahtjevima koje građevine moraju zadovoljiti u slučaju požara (NN 112/17, 34/18, NN 36/19, NN 98/19), dostupno na:</w:t>
      </w:r>
      <w:r>
        <w:rPr>
          <w:rFonts w:ascii="Times New Roman" w:hAnsi="Times New Roman"/>
          <w:sz w:val="16"/>
          <w:szCs w:val="16"/>
        </w:rPr>
        <w:t xml:space="preserve"> </w:t>
      </w:r>
      <w:r>
        <w:rPr>
          <w:rStyle w:val="Hiperveza"/>
          <w:rFonts w:ascii="Times New Roman" w:eastAsiaTheme="minorHAnsi" w:hAnsi="Times New Roman"/>
          <w:color w:val="0000FF"/>
          <w:sz w:val="16"/>
          <w:u w:val="single"/>
          <w:lang w:eastAsia="en-US"/>
        </w:rPr>
        <w:t>https://narodne-novine.nn.hr/search.aspx?upit=Pravilnik+o+otpornosti+na+po%c5%bear+i+drugim+zahtjevima+koje+gra%c4%91evine+moraju+zadovoljiti+u+slu%c4%8daju+po%c5%beara&amp;naslovi=da&amp;sortiraj=0&amp;kategorija=1&amp;rpp=10&amp;qtype=3&amp;pretraga=da</w:t>
      </w:r>
    </w:p>
  </w:footnote>
  <w:footnote w:id="50">
    <w:p w14:paraId="45D0627C" w14:textId="77777777" w:rsidR="00053AD3" w:rsidRDefault="00053AD3">
      <w:pPr>
        <w:spacing w:line="240" w:lineRule="auto"/>
        <w:jc w:val="left"/>
        <w:rPr>
          <w:rStyle w:val="Referencafusnote"/>
          <w:rFonts w:ascii="Times New Roman" w:hAnsi="Times New Roman"/>
          <w:sz w:val="18"/>
          <w:szCs w:val="18"/>
          <w:vertAlign w:val="baseline"/>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Pravilnik o jednostavnim i drugim građevinama i radovima (NN 112/17, 34/18, 36/19, 98/19, 31/20)</w:t>
      </w:r>
      <w:r>
        <w:rPr>
          <w:rFonts w:ascii="Times New Roman" w:hAnsi="Times New Roman"/>
          <w:sz w:val="16"/>
          <w:szCs w:val="16"/>
        </w:rPr>
        <w:t>,</w:t>
      </w:r>
      <w:r>
        <w:rPr>
          <w:rStyle w:val="Referencafusnote"/>
          <w:rFonts w:ascii="Times New Roman" w:hAnsi="Times New Roman"/>
          <w:sz w:val="16"/>
          <w:szCs w:val="16"/>
          <w:vertAlign w:val="baseline"/>
        </w:rPr>
        <w:t xml:space="preserve"> dostupno na: </w:t>
      </w:r>
      <w:r>
        <w:rPr>
          <w:rStyle w:val="Hiperveza"/>
          <w:rFonts w:ascii="Times New Roman" w:eastAsiaTheme="minorHAnsi" w:hAnsi="Times New Roman"/>
          <w:color w:val="0000FF"/>
          <w:sz w:val="16"/>
          <w:u w:val="single"/>
          <w:lang w:eastAsia="en-US"/>
        </w:rPr>
        <w:t xml:space="preserve">https://narodne-novine.nn.hr/search.aspx?upit=PRAVILNIK++O+JEDNOSTAVNIM+I+DRUGIM+GRA%c4%90EVINAMA+I+RADOVIMA&amp;naslovi=da&amp;sortiraj=0&amp;kategorija=1&amp;rpp=10&amp;qtype=3&amp;pretraga=da </w:t>
      </w:r>
    </w:p>
  </w:footnote>
  <w:footnote w:id="51">
    <w:p w14:paraId="45D0627D" w14:textId="77777777" w:rsidR="00053AD3" w:rsidRDefault="00053AD3">
      <w:pPr>
        <w:spacing w:line="240" w:lineRule="auto"/>
        <w:jc w:val="left"/>
        <w:rPr>
          <w:rStyle w:val="Hiperveza"/>
          <w:rFonts w:ascii="Times New Roman" w:eastAsiaTheme="minorHAnsi" w:hAnsi="Times New Roman"/>
          <w:color w:val="0000FF"/>
          <w:sz w:val="16"/>
          <w:u w:val="single"/>
          <w:lang w:eastAsia="en-US"/>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 xml:space="preserve">Zakon o održivom gospodarenju otpadom (NN 94/13, 73/17, 14/19, 98/19), dostupno na: </w:t>
      </w:r>
      <w:r>
        <w:rPr>
          <w:rStyle w:val="Hiperveza"/>
          <w:rFonts w:ascii="Times New Roman" w:eastAsiaTheme="minorHAnsi" w:hAnsi="Times New Roman"/>
          <w:color w:val="0000FF"/>
          <w:sz w:val="16"/>
          <w:u w:val="single"/>
          <w:lang w:eastAsia="en-US"/>
        </w:rPr>
        <w:t>https://narodne-novine.nn.hr/search.aspx?upit=ZAKONA+O+ODR%c5%bdIVOM+GOSPODARENJU+OTPADOM&amp;naslovi=da&amp;sortiraj=0&amp;kategorija=1&amp;rpp=10&amp;qtype=3&amp;pretraga=da</w:t>
      </w:r>
    </w:p>
  </w:footnote>
  <w:footnote w:id="52">
    <w:p w14:paraId="45D0627E" w14:textId="77777777" w:rsidR="00053AD3" w:rsidRDefault="00053AD3">
      <w:pPr>
        <w:spacing w:line="240" w:lineRule="auto"/>
        <w:jc w:val="left"/>
        <w:rPr>
          <w:rStyle w:val="Referencafusnote"/>
          <w:rFonts w:ascii="Times New Roman" w:hAnsi="Times New Roman"/>
          <w:sz w:val="16"/>
          <w:szCs w:val="16"/>
          <w:vertAlign w:val="baseline"/>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Odluka o donošenju Plana gospodarenja otpadom Republike Hrvatske za razdoblje 2017. - 2022. godine, dostupno na:</w:t>
      </w:r>
    </w:p>
    <w:p w14:paraId="45D0627F" w14:textId="77777777" w:rsidR="00053AD3" w:rsidRDefault="0031420A">
      <w:pPr>
        <w:spacing w:line="240" w:lineRule="auto"/>
        <w:jc w:val="left"/>
        <w:rPr>
          <w:rStyle w:val="Referencafusnote"/>
          <w:rFonts w:ascii="Times New Roman" w:hAnsi="Times New Roman"/>
          <w:sz w:val="16"/>
          <w:szCs w:val="16"/>
          <w:vertAlign w:val="baseline"/>
        </w:rPr>
      </w:pPr>
      <w:hyperlink r:id="rId37" w:history="1">
        <w:r w:rsidR="00053AD3">
          <w:rPr>
            <w:rStyle w:val="Hiperveza"/>
            <w:rFonts w:ascii="Times New Roman" w:eastAsiaTheme="minorHAnsi" w:hAnsi="Times New Roman"/>
            <w:color w:val="0000FF"/>
            <w:sz w:val="16"/>
            <w:u w:val="single"/>
            <w:lang w:eastAsia="en-US"/>
          </w:rPr>
          <w:t>https://narodne-novine.nn.hr/clanci/sluzbeni/2017_01_3_120.html</w:t>
        </w:r>
      </w:hyperlink>
      <w:r w:rsidR="00053AD3">
        <w:rPr>
          <w:rFonts w:ascii="Times New Roman" w:hAnsi="Times New Roman"/>
          <w:sz w:val="16"/>
          <w:szCs w:val="16"/>
        </w:rPr>
        <w:t xml:space="preserve"> </w:t>
      </w:r>
    </w:p>
  </w:footnote>
  <w:footnote w:id="53">
    <w:p w14:paraId="45D06280" w14:textId="77777777" w:rsidR="00053AD3" w:rsidRDefault="00053AD3">
      <w:pPr>
        <w:spacing w:line="240" w:lineRule="auto"/>
        <w:jc w:val="left"/>
        <w:rPr>
          <w:rStyle w:val="Referencafusnote"/>
          <w:rFonts w:ascii="Times New Roman" w:hAnsi="Times New Roman"/>
          <w:sz w:val="18"/>
          <w:szCs w:val="18"/>
          <w:vertAlign w:val="baseline"/>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Državni zavod za statistiku / Statistički ljetopis RH 2018. /</w:t>
      </w:r>
      <w:r>
        <w:rPr>
          <w:rFonts w:ascii="Times New Roman" w:hAnsi="Times New Roman"/>
          <w:sz w:val="16"/>
          <w:szCs w:val="16"/>
        </w:rPr>
        <w:t>,</w:t>
      </w:r>
      <w:r>
        <w:rPr>
          <w:rStyle w:val="Referencafusnote"/>
          <w:rFonts w:ascii="Times New Roman" w:hAnsi="Times New Roman"/>
          <w:sz w:val="16"/>
          <w:szCs w:val="16"/>
          <w:vertAlign w:val="baseline"/>
        </w:rPr>
        <w:t xml:space="preserve"> dostupno na:</w:t>
      </w:r>
      <w:r>
        <w:t xml:space="preserve"> </w:t>
      </w:r>
      <w:hyperlink r:id="rId38" w:history="1">
        <w:r>
          <w:rPr>
            <w:rStyle w:val="Hiperveza"/>
            <w:rFonts w:ascii="Times New Roman" w:eastAsiaTheme="minorHAnsi" w:hAnsi="Times New Roman"/>
            <w:color w:val="0000FF"/>
            <w:sz w:val="16"/>
            <w:u w:val="single"/>
            <w:lang w:eastAsia="en-US"/>
          </w:rPr>
          <w:t>https://www.dzs.hr/Hrv_Eng/ljetopis/2017/sljh2017.pdf</w:t>
        </w:r>
      </w:hyperlink>
      <w:r>
        <w:rPr>
          <w:rStyle w:val="Hiperveza"/>
          <w:rFonts w:ascii="Times New Roman" w:eastAsiaTheme="minorHAnsi" w:hAnsi="Times New Roman"/>
          <w:color w:val="0000FF"/>
          <w:sz w:val="16"/>
          <w:u w:val="single"/>
          <w:lang w:eastAsia="en-US"/>
        </w:rPr>
        <w:t xml:space="preserve">  </w:t>
      </w:r>
    </w:p>
  </w:footnote>
  <w:footnote w:id="54">
    <w:p w14:paraId="45D06281" w14:textId="7979DA4D" w:rsidR="00053AD3" w:rsidRDefault="00053AD3">
      <w:pPr>
        <w:spacing w:line="240" w:lineRule="auto"/>
        <w:jc w:val="left"/>
        <w:rPr>
          <w:rStyle w:val="Referencafusnote"/>
          <w:rFonts w:ascii="Times New Roman" w:hAnsi="Times New Roman"/>
          <w:sz w:val="16"/>
          <w:szCs w:val="16"/>
          <w:vertAlign w:val="baseline"/>
        </w:rPr>
      </w:pPr>
      <w:bookmarkStart w:id="135" w:name="_Hlk36840363"/>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Style w:val="Referencafusnote"/>
          <w:rFonts w:ascii="Times New Roman" w:hAnsi="Times New Roman"/>
          <w:sz w:val="16"/>
          <w:szCs w:val="16"/>
          <w:vertAlign w:val="baseline"/>
        </w:rPr>
        <w:t>Hrvatska agencija za okoliš i prirodu</w:t>
      </w:r>
      <w:r>
        <w:rPr>
          <w:rFonts w:ascii="Times New Roman" w:hAnsi="Times New Roman"/>
          <w:sz w:val="16"/>
          <w:szCs w:val="16"/>
        </w:rPr>
        <w:t>,</w:t>
      </w:r>
      <w:r>
        <w:rPr>
          <w:rStyle w:val="Referencafusnote"/>
          <w:rFonts w:ascii="Times New Roman" w:hAnsi="Times New Roman"/>
          <w:sz w:val="16"/>
          <w:szCs w:val="16"/>
          <w:vertAlign w:val="baseline"/>
        </w:rPr>
        <w:t xml:space="preserve"> Pregled podataka o gospodarenju građevnim otpadom u 2017. godini</w:t>
      </w:r>
      <w:r>
        <w:rPr>
          <w:rFonts w:ascii="Times New Roman" w:hAnsi="Times New Roman"/>
          <w:sz w:val="16"/>
          <w:szCs w:val="16"/>
        </w:rPr>
        <w:t>,</w:t>
      </w:r>
      <w:r>
        <w:rPr>
          <w:rStyle w:val="Referencafusnote"/>
          <w:rFonts w:ascii="Times New Roman" w:hAnsi="Times New Roman"/>
          <w:sz w:val="16"/>
          <w:szCs w:val="16"/>
          <w:vertAlign w:val="baseline"/>
        </w:rPr>
        <w:t xml:space="preserve"> </w:t>
      </w:r>
      <w:r>
        <w:rPr>
          <w:rFonts w:ascii="Times New Roman" w:hAnsi="Times New Roman"/>
          <w:sz w:val="16"/>
          <w:szCs w:val="16"/>
        </w:rPr>
        <w:t xml:space="preserve">studeni 2020., </w:t>
      </w:r>
      <w:r>
        <w:rPr>
          <w:rStyle w:val="Referencafusnote"/>
          <w:rFonts w:ascii="Times New Roman" w:hAnsi="Times New Roman"/>
          <w:sz w:val="16"/>
          <w:szCs w:val="16"/>
          <w:vertAlign w:val="baseline"/>
        </w:rPr>
        <w:t>dostupno na:</w:t>
      </w:r>
      <w:r>
        <w:rPr>
          <w:rFonts w:ascii="Times New Roman" w:hAnsi="Times New Roman"/>
          <w:sz w:val="16"/>
          <w:szCs w:val="16"/>
        </w:rPr>
        <w:t xml:space="preserve"> </w:t>
      </w:r>
      <w:r w:rsidRPr="002D344B">
        <w:rPr>
          <w:rFonts w:ascii="Times New Roman" w:hAnsi="Times New Roman"/>
          <w:sz w:val="16"/>
          <w:szCs w:val="16"/>
        </w:rPr>
        <w:t>http://www.haop.hr/sites/default/files/uploads/dokumenti/021_otpad/Izvjesca/ostalo/OTP_Gradjevni_izvjesce_2019.pdf</w:t>
      </w:r>
    </w:p>
    <w:bookmarkEnd w:id="135"/>
    <w:p w14:paraId="45D06282" w14:textId="3D336190" w:rsidR="00053AD3" w:rsidRDefault="00053AD3">
      <w:pPr>
        <w:spacing w:line="240" w:lineRule="auto"/>
        <w:jc w:val="left"/>
        <w:rPr>
          <w:rStyle w:val="Referencafusnote"/>
          <w:rFonts w:ascii="Times New Roman" w:hAnsi="Times New Roman"/>
          <w:sz w:val="18"/>
          <w:szCs w:val="18"/>
          <w:vertAlign w:val="baseline"/>
        </w:rPr>
      </w:pPr>
    </w:p>
  </w:footnote>
  <w:footnote w:id="55">
    <w:p w14:paraId="45D06283" w14:textId="77777777" w:rsidR="00053AD3" w:rsidRDefault="00053AD3">
      <w:pPr>
        <w:spacing w:line="240" w:lineRule="auto"/>
        <w:jc w:val="left"/>
        <w:rPr>
          <w:rFonts w:ascii="Times New Roman" w:hAnsi="Times New Roman"/>
          <w:sz w:val="16"/>
          <w:szCs w:val="16"/>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Fonts w:ascii="Times New Roman" w:hAnsi="Times New Roman"/>
          <w:bCs/>
          <w:sz w:val="16"/>
          <w:szCs w:val="16"/>
        </w:rPr>
        <w:t>Izvješće Komisije Europskom parlamentu, Vijeću i Europskom gospodarskom i socijalnom odboru regija o provedbi zakonodavstva EU-a o otpadu u razdoblju 2010. – 2012. Provedba Direktive 2008/98/EZ o otpadu, Direktive 86/278/EEZ o mulju iz otpadnih voda, Direktive 1999/31/EZ o odlagalištima otpada, Direktive 94/62/EZ o ambalaži i ambalažnom otpadu, Direktive 2002/96/EZ o otpadnoj električnoj i elektroničkoj opremi (OEEO) i Direktive 2006/66/EZ o baterijama i akumulatorima (COM(2017) 88 final) od 27.2.2017. godine</w:t>
      </w:r>
      <w:r>
        <w:rPr>
          <w:rFonts w:ascii="Times New Roman" w:hAnsi="Times New Roman"/>
          <w:sz w:val="16"/>
          <w:szCs w:val="16"/>
        </w:rPr>
        <w:t>,</w:t>
      </w:r>
      <w:r>
        <w:rPr>
          <w:rStyle w:val="Referencafusnote"/>
          <w:rFonts w:ascii="Times New Roman" w:hAnsi="Times New Roman"/>
          <w:sz w:val="16"/>
          <w:szCs w:val="16"/>
          <w:vertAlign w:val="baseline"/>
        </w:rPr>
        <w:t xml:space="preserve"> dostupno na: </w:t>
      </w:r>
    </w:p>
    <w:p w14:paraId="45D06284" w14:textId="77777777" w:rsidR="00053AD3" w:rsidRDefault="00053AD3">
      <w:pPr>
        <w:spacing w:line="240" w:lineRule="auto"/>
        <w:jc w:val="left"/>
        <w:rPr>
          <w:rStyle w:val="Referencafusnote"/>
          <w:rFonts w:ascii="Times New Roman" w:hAnsi="Times New Roman"/>
          <w:sz w:val="16"/>
          <w:szCs w:val="16"/>
          <w:vertAlign w:val="baseline"/>
        </w:rPr>
      </w:pPr>
      <w:r>
        <w:rPr>
          <w:rStyle w:val="Hiperveza"/>
          <w:rFonts w:ascii="Times New Roman" w:eastAsiaTheme="minorHAnsi" w:hAnsi="Times New Roman"/>
          <w:color w:val="0000FF"/>
          <w:sz w:val="16"/>
          <w:u w:val="single"/>
          <w:lang w:eastAsia="en-US"/>
        </w:rPr>
        <w:t>https://eur-lex.europa.eu/legal-content/hr/TXT/?uri=CELEX:52017DC0088</w:t>
      </w:r>
    </w:p>
  </w:footnote>
  <w:footnote w:id="56">
    <w:p w14:paraId="45D06285" w14:textId="77777777" w:rsidR="00053AD3" w:rsidRDefault="00053AD3">
      <w:pPr>
        <w:spacing w:line="240" w:lineRule="auto"/>
        <w:jc w:val="left"/>
        <w:rPr>
          <w:rFonts w:ascii="Times New Roman" w:hAnsi="Times New Roman"/>
          <w:sz w:val="16"/>
          <w:szCs w:val="16"/>
        </w:rPr>
      </w:pPr>
      <w:r>
        <w:rPr>
          <w:rStyle w:val="Referencafusnote"/>
          <w:rFonts w:ascii="Times New Roman" w:hAnsi="Times New Roman"/>
          <w:sz w:val="16"/>
          <w:szCs w:val="16"/>
        </w:rPr>
        <w:footnoteRef/>
      </w:r>
      <w:r>
        <w:rPr>
          <w:rStyle w:val="Referencafusnote"/>
          <w:rFonts w:ascii="Times New Roman" w:hAnsi="Times New Roman"/>
          <w:sz w:val="16"/>
          <w:szCs w:val="16"/>
        </w:rPr>
        <w:t xml:space="preserve"> </w:t>
      </w:r>
      <w:r>
        <w:rPr>
          <w:rFonts w:ascii="Times New Roman" w:hAnsi="Times New Roman"/>
          <w:bCs/>
          <w:sz w:val="16"/>
          <w:szCs w:val="16"/>
        </w:rPr>
        <w:t>Direktiva 2008/98/EZ Europskog parlamenta i Vijeća od 19. studenoga 2008. o otpadu i stavljanju izvan snage određenih direktiva (Tekst značajan za EGP) (SL L 312/3 22.11.2008.)</w:t>
      </w:r>
      <w:r>
        <w:rPr>
          <w:rFonts w:ascii="Times New Roman" w:hAnsi="Times New Roman"/>
          <w:sz w:val="16"/>
          <w:szCs w:val="16"/>
        </w:rPr>
        <w:t>,</w:t>
      </w:r>
      <w:r>
        <w:rPr>
          <w:rStyle w:val="Referencafusnote"/>
          <w:rFonts w:ascii="Times New Roman" w:hAnsi="Times New Roman"/>
          <w:sz w:val="16"/>
          <w:szCs w:val="16"/>
          <w:vertAlign w:val="baseline"/>
        </w:rPr>
        <w:t xml:space="preserve"> dostupno na: </w:t>
      </w:r>
      <w:hyperlink r:id="rId39" w:history="1">
        <w:r>
          <w:rPr>
            <w:rStyle w:val="Hiperveza"/>
            <w:rFonts w:ascii="Times New Roman" w:eastAsiaTheme="minorHAnsi" w:hAnsi="Times New Roman"/>
            <w:color w:val="0000FF"/>
            <w:sz w:val="16"/>
            <w:u w:val="single"/>
            <w:lang w:eastAsia="en-US"/>
          </w:rPr>
          <w:t>https://eur-lex.europa.eu/legal-content/HR/TXT/?uri=CELEX%3A32008L0098</w:t>
        </w:r>
      </w:hyperlink>
    </w:p>
    <w:p w14:paraId="45D06286" w14:textId="77777777" w:rsidR="00053AD3" w:rsidRDefault="00053AD3">
      <w:pPr>
        <w:spacing w:line="240" w:lineRule="auto"/>
        <w:jc w:val="left"/>
        <w:rPr>
          <w:rStyle w:val="Referencafusnote"/>
          <w:rFonts w:ascii="Times New Roman" w:hAnsi="Times New Roman"/>
          <w:sz w:val="16"/>
          <w:szCs w:val="16"/>
          <w:vertAlign w:val="baseline"/>
        </w:rPr>
      </w:pPr>
    </w:p>
  </w:footnote>
  <w:footnote w:id="57">
    <w:p w14:paraId="45D06287" w14:textId="77777777" w:rsidR="00053AD3" w:rsidRDefault="00053AD3">
      <w:pPr>
        <w:spacing w:line="240" w:lineRule="auto"/>
        <w:jc w:val="left"/>
        <w:rPr>
          <w:rStyle w:val="Referencafusnote"/>
          <w:rFonts w:ascii="Times New Roman" w:hAnsi="Times New Roman"/>
          <w:sz w:val="16"/>
          <w:szCs w:val="16"/>
          <w:vertAlign w:val="baseline"/>
        </w:rPr>
      </w:pPr>
      <w:r>
        <w:rPr>
          <w:rStyle w:val="Referencafusnote"/>
          <w:rFonts w:ascii="Times New Roman" w:hAnsi="Times New Roman"/>
          <w:sz w:val="16"/>
          <w:szCs w:val="16"/>
        </w:rPr>
        <w:footnoteRef/>
      </w:r>
      <w:r>
        <w:rPr>
          <w:rFonts w:ascii="Times New Roman" w:hAnsi="Times New Roman"/>
          <w:sz w:val="16"/>
          <w:szCs w:val="16"/>
        </w:rPr>
        <w:t xml:space="preserve"> </w:t>
      </w:r>
      <w:r>
        <w:rPr>
          <w:rStyle w:val="Referencafusnote"/>
          <w:rFonts w:ascii="Times New Roman" w:hAnsi="Times New Roman"/>
          <w:sz w:val="16"/>
          <w:szCs w:val="16"/>
          <w:vertAlign w:val="baseline"/>
        </w:rPr>
        <w:t xml:space="preserve">Ministarstvo državne imovine </w:t>
      </w:r>
      <w:r>
        <w:rPr>
          <w:rFonts w:ascii="Times New Roman" w:hAnsi="Times New Roman"/>
          <w:sz w:val="16"/>
          <w:szCs w:val="16"/>
        </w:rPr>
        <w:t>(od srpnja 2020. godine Ministarstvo prostornoga uređenja, graditeljstva i državne imovine)</w:t>
      </w:r>
      <w:r>
        <w:rPr>
          <w:rStyle w:val="Referencafusnote"/>
          <w:rFonts w:ascii="Times New Roman" w:hAnsi="Times New Roman"/>
          <w:sz w:val="16"/>
          <w:szCs w:val="16"/>
          <w:vertAlign w:val="baseline"/>
        </w:rPr>
        <w:t xml:space="preserve">/Strategija upravljanja državnom imovinom za razdoblje 2019.-2025. (NN 52/18), dostupno na: </w:t>
      </w:r>
      <w:hyperlink r:id="rId40" w:history="1">
        <w:r>
          <w:rPr>
            <w:rStyle w:val="Hiperveza"/>
            <w:rFonts w:ascii="Times New Roman" w:eastAsiaTheme="minorHAnsi" w:hAnsi="Times New Roman"/>
            <w:color w:val="0000FF"/>
            <w:sz w:val="16"/>
            <w:u w:val="single"/>
            <w:lang w:eastAsia="en-US"/>
          </w:rPr>
          <w:t>https://imovina.gov.hr/UserDocsImages//dokumenti/Izvjesca//Strategija%20Ministarstva%20državne%20imovine%20za%20razdoblje%202019-2025_2019_10_96_1863.pdf</w:t>
        </w:r>
      </w:hyperlink>
      <w:r>
        <w:rPr>
          <w:rFonts w:ascii="Times New Roman" w:hAnsi="Times New Roman"/>
          <w:sz w:val="16"/>
          <w:szCs w:val="16"/>
        </w:rPr>
        <w:t xml:space="preserve"> </w:t>
      </w:r>
    </w:p>
  </w:footnote>
  <w:footnote w:id="58">
    <w:p w14:paraId="45D06288" w14:textId="77777777" w:rsidR="00053AD3" w:rsidRDefault="00053AD3">
      <w:pPr>
        <w:pStyle w:val="Tekstfusnote"/>
      </w:pPr>
      <w:r>
        <w:rPr>
          <w:rStyle w:val="Referencafusnote"/>
        </w:rPr>
        <w:footnoteRef/>
      </w:r>
      <w:r>
        <w:t xml:space="preserve"> Komunikacija Komisije Europskom parlamentu, Vijeću, Europskom gospodarskom i socijalnom odboru i Odboru regija: Okvir za praćenje kružnog gospodarstva</w:t>
      </w:r>
      <w:r>
        <w:rPr>
          <w:rFonts w:ascii="Calibri" w:eastAsia="Times New Roman" w:hAnsi="Calibri"/>
          <w:sz w:val="22"/>
          <w:szCs w:val="24"/>
          <w:lang w:eastAsia="en-GB"/>
        </w:rPr>
        <w:t xml:space="preserve"> </w:t>
      </w:r>
      <w:r>
        <w:t>(COM(2018) 29 final)</w:t>
      </w:r>
      <w:r>
        <w:rPr>
          <w:rFonts w:ascii="Calibri" w:eastAsia="Times New Roman" w:hAnsi="Calibri"/>
          <w:sz w:val="22"/>
          <w:szCs w:val="24"/>
          <w:lang w:eastAsia="en-GB"/>
        </w:rPr>
        <w:t xml:space="preserve"> </w:t>
      </w:r>
      <w:r>
        <w:t>od 16.1.2018. godine, dostupno na:</w:t>
      </w:r>
    </w:p>
    <w:p w14:paraId="45D06289" w14:textId="77777777" w:rsidR="00053AD3" w:rsidRDefault="00053AD3">
      <w:pPr>
        <w:spacing w:line="240" w:lineRule="auto"/>
        <w:jc w:val="left"/>
      </w:pPr>
      <w:r>
        <w:t xml:space="preserve"> </w:t>
      </w:r>
      <w:hyperlink r:id="rId41" w:history="1">
        <w:r>
          <w:rPr>
            <w:rStyle w:val="Hiperveza"/>
            <w:rFonts w:ascii="Times New Roman" w:eastAsiaTheme="minorHAnsi" w:hAnsi="Times New Roman"/>
            <w:color w:val="0000FF"/>
            <w:sz w:val="16"/>
            <w:u w:val="single"/>
            <w:lang w:eastAsia="en-US"/>
          </w:rPr>
          <w:t>https://eur-lex.europa.eu/legal-content/HR/TXT/PDF/?uri=CELEX:52018DC0029&amp;from=EN</w:t>
        </w:r>
      </w:hyperlink>
      <w:r>
        <w:t xml:space="preserve"> </w:t>
      </w:r>
    </w:p>
  </w:footnote>
  <w:footnote w:id="59">
    <w:p w14:paraId="45D0628A" w14:textId="77777777" w:rsidR="00053AD3" w:rsidRDefault="00053AD3">
      <w:pPr>
        <w:pStyle w:val="Tekstfusnote"/>
      </w:pPr>
      <w:r>
        <w:rPr>
          <w:rStyle w:val="Referencafusnote"/>
        </w:rPr>
        <w:footnoteRef/>
      </w:r>
      <w:r>
        <w:t xml:space="preserve"> ERDF &amp; CF Pokazatelji / European Regional Development Fund &amp; Cohesion Fund Indicators, dostupno na: </w:t>
      </w:r>
      <w:hyperlink r:id="rId42" w:history="1">
        <w:r>
          <w:rPr>
            <w:rStyle w:val="Hiperveza"/>
            <w:rFonts w:ascii="Times New Roman" w:eastAsiaTheme="minorHAnsi" w:hAnsi="Times New Roman"/>
            <w:color w:val="0000FF"/>
            <w:sz w:val="16"/>
            <w:szCs w:val="24"/>
            <w:u w:val="single"/>
            <w:lang w:eastAsia="en-US"/>
          </w:rPr>
          <w:t>https://ec.europa.eu/regional_policy/sources/docgener/evaluation/doc/29112018/6_Indicators2021_evalnet.pdf</w:t>
        </w:r>
      </w:hyperlink>
      <w:r>
        <w:t xml:space="preserve"> </w:t>
      </w:r>
    </w:p>
  </w:footnote>
  <w:footnote w:id="60">
    <w:p w14:paraId="45D0628B" w14:textId="77777777" w:rsidR="00053AD3" w:rsidRDefault="00053AD3">
      <w:pPr>
        <w:pStyle w:val="Tekstfusnote"/>
        <w:rPr>
          <w:i/>
        </w:rPr>
      </w:pPr>
      <w:r>
        <w:rPr>
          <w:rStyle w:val="Referencafusnote"/>
          <w:iCs/>
        </w:rPr>
        <w:footnoteRef/>
      </w:r>
      <w:r>
        <w:t xml:space="preserve"> Prijedlog Uredbe Europskog parlamenta i Vijeća o utvrđivanju zajedničkih odredbi o Europskom fondu za regionalni razvoj, Europskom socijalnom fondu plus, Kohezijskom fondu i Europskom fondu za pomorstvo i ribarstvo i financijskih pravila za njih i za Fond za azil i migracije, Fond za unutarnju sigurnost i Instrument za upravljanje granicama i vize (COM(2018) 375 final - 2018/0196(COD)) od 29.5.2018. godine, dostupno na: </w:t>
      </w:r>
      <w:r>
        <w:rPr>
          <w:rStyle w:val="Hiperveza"/>
          <w:rFonts w:ascii="Times New Roman" w:eastAsiaTheme="minorHAnsi" w:hAnsi="Times New Roman"/>
          <w:color w:val="0000FF"/>
          <w:sz w:val="16"/>
          <w:szCs w:val="24"/>
          <w:u w:val="single"/>
          <w:lang w:eastAsia="en-US"/>
        </w:rPr>
        <w:t>https://eur-lex.europa.eu/legal-content/HR/TXT/HTML/?uri=CELEX:52018PC0375&amp;from=EN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06235" w14:textId="77777777" w:rsidR="00053AD3" w:rsidRDefault="00053AD3">
    <w:pPr>
      <w:pStyle w:val="Zaglavlje"/>
      <w:jc w:val="center"/>
      <w:rPr>
        <w:rFonts w:ascii="Times New Roman" w:hAnsi="Times New Roman" w:cs="Times New Roman"/>
      </w:rPr>
    </w:pPr>
    <w:r>
      <w:rPr>
        <w:rFonts w:ascii="Times New Roman" w:hAnsi="Times New Roman" w:cs="Times New Roman"/>
        <w:sz w:val="16"/>
        <w:szCs w:val="16"/>
      </w:rPr>
      <w:t>Nacrt prijedloga Programa razvoja kružnog gospodarenja prostorom i zgradama za razdoblje 2021. do 2030. godine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52457"/>
    <w:multiLevelType w:val="multilevel"/>
    <w:tmpl w:val="0085245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304629"/>
    <w:multiLevelType w:val="multilevel"/>
    <w:tmpl w:val="013046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2713EF"/>
    <w:multiLevelType w:val="multilevel"/>
    <w:tmpl w:val="03271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49E40C1"/>
    <w:multiLevelType w:val="multilevel"/>
    <w:tmpl w:val="049E40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81B1C79"/>
    <w:multiLevelType w:val="multilevel"/>
    <w:tmpl w:val="081B1C79"/>
    <w:lvl w:ilvl="0">
      <w:start w:val="1"/>
      <w:numFmt w:val="decimal"/>
      <w:lvlText w:val="%1."/>
      <w:lvlJc w:val="left"/>
      <w:pPr>
        <w:ind w:left="360" w:hanging="360"/>
      </w:pPr>
    </w:lvl>
    <w:lvl w:ilvl="1">
      <w:start w:val="1"/>
      <w:numFmt w:val="decimal"/>
      <w:pStyle w:val="Naslov5"/>
      <w:lvlText w:val="%1.%2."/>
      <w:lvlJc w:val="left"/>
      <w:pPr>
        <w:ind w:left="792" w:hanging="432"/>
      </w:pPr>
    </w:lvl>
    <w:lvl w:ilvl="2">
      <w:start w:val="1"/>
      <w:numFmt w:val="decimal"/>
      <w:pStyle w:val="Naslov6"/>
      <w:lvlText w:val="%1.%2.%3."/>
      <w:lvlJc w:val="left"/>
      <w:pPr>
        <w:ind w:left="1224" w:hanging="504"/>
      </w:pPr>
    </w:lvl>
    <w:lvl w:ilvl="3">
      <w:start w:val="1"/>
      <w:numFmt w:val="decimal"/>
      <w:pStyle w:val="Naslov7"/>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706FB5"/>
    <w:multiLevelType w:val="multilevel"/>
    <w:tmpl w:val="0B706FB5"/>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ECD7A59"/>
    <w:multiLevelType w:val="multilevel"/>
    <w:tmpl w:val="0ECD7A59"/>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2130C61"/>
    <w:multiLevelType w:val="multilevel"/>
    <w:tmpl w:val="12130C61"/>
    <w:lvl w:ilvl="0">
      <w:start w:val="1"/>
      <w:numFmt w:val="lowerLetter"/>
      <w:lvlText w:val="%1."/>
      <w:lvlJc w:val="left"/>
      <w:pPr>
        <w:ind w:left="6030" w:hanging="360"/>
      </w:pPr>
    </w:lvl>
    <w:lvl w:ilvl="1">
      <w:start w:val="1"/>
      <w:numFmt w:val="lowerLetter"/>
      <w:lvlText w:val="%2."/>
      <w:lvlJc w:val="left"/>
      <w:pPr>
        <w:ind w:left="6750" w:hanging="360"/>
      </w:pPr>
    </w:lvl>
    <w:lvl w:ilvl="2">
      <w:start w:val="1"/>
      <w:numFmt w:val="lowerRoman"/>
      <w:lvlText w:val="%3."/>
      <w:lvlJc w:val="right"/>
      <w:pPr>
        <w:ind w:left="7470" w:hanging="180"/>
      </w:pPr>
    </w:lvl>
    <w:lvl w:ilvl="3">
      <w:start w:val="1"/>
      <w:numFmt w:val="decimal"/>
      <w:lvlText w:val="%4."/>
      <w:lvlJc w:val="left"/>
      <w:pPr>
        <w:ind w:left="8190" w:hanging="360"/>
      </w:pPr>
    </w:lvl>
    <w:lvl w:ilvl="4">
      <w:start w:val="1"/>
      <w:numFmt w:val="lowerLetter"/>
      <w:lvlText w:val="%5."/>
      <w:lvlJc w:val="left"/>
      <w:pPr>
        <w:ind w:left="8910" w:hanging="360"/>
      </w:pPr>
    </w:lvl>
    <w:lvl w:ilvl="5">
      <w:start w:val="1"/>
      <w:numFmt w:val="lowerRoman"/>
      <w:lvlText w:val="%6."/>
      <w:lvlJc w:val="right"/>
      <w:pPr>
        <w:ind w:left="9630" w:hanging="180"/>
      </w:pPr>
    </w:lvl>
    <w:lvl w:ilvl="6">
      <w:start w:val="1"/>
      <w:numFmt w:val="decimal"/>
      <w:lvlText w:val="%7."/>
      <w:lvlJc w:val="left"/>
      <w:pPr>
        <w:ind w:left="10350" w:hanging="360"/>
      </w:pPr>
    </w:lvl>
    <w:lvl w:ilvl="7">
      <w:start w:val="1"/>
      <w:numFmt w:val="lowerLetter"/>
      <w:lvlText w:val="%8."/>
      <w:lvlJc w:val="left"/>
      <w:pPr>
        <w:ind w:left="11070" w:hanging="360"/>
      </w:pPr>
    </w:lvl>
    <w:lvl w:ilvl="8">
      <w:start w:val="1"/>
      <w:numFmt w:val="lowerRoman"/>
      <w:lvlText w:val="%9."/>
      <w:lvlJc w:val="right"/>
      <w:pPr>
        <w:ind w:left="11790" w:hanging="180"/>
      </w:pPr>
    </w:lvl>
  </w:abstractNum>
  <w:abstractNum w:abstractNumId="8" w15:restartNumberingAfterBreak="0">
    <w:nsid w:val="1682251D"/>
    <w:multiLevelType w:val="multilevel"/>
    <w:tmpl w:val="1682251D"/>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81A6072"/>
    <w:multiLevelType w:val="multilevel"/>
    <w:tmpl w:val="181A6072"/>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F1050F3"/>
    <w:multiLevelType w:val="multilevel"/>
    <w:tmpl w:val="1F1050F3"/>
    <w:lvl w:ilvl="0">
      <w:start w:val="1"/>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0301343"/>
    <w:multiLevelType w:val="multilevel"/>
    <w:tmpl w:val="203013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03D015D"/>
    <w:multiLevelType w:val="multilevel"/>
    <w:tmpl w:val="203D015D"/>
    <w:lvl w:ilvl="0">
      <w:start w:val="1"/>
      <w:numFmt w:val="decimal"/>
      <w:pStyle w:val="Ilustracijapotpis"/>
      <w:lvlText w:val="%1."/>
      <w:lvlJc w:val="left"/>
      <w:pPr>
        <w:ind w:left="720" w:hanging="360"/>
      </w:pPr>
      <w:rPr>
        <w:rFonts w:ascii="Calibri" w:hAnsi="Calibri" w:cs="Futura Lt BT"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0617172"/>
    <w:multiLevelType w:val="multilevel"/>
    <w:tmpl w:val="20617172"/>
    <w:lvl w:ilvl="0">
      <w:start w:val="1"/>
      <w:numFmt w:val="bullet"/>
      <w:lvlText w:val="-"/>
      <w:lvlJc w:val="left"/>
      <w:pPr>
        <w:ind w:left="720" w:hanging="360"/>
      </w:pPr>
      <w:rPr>
        <w:rFonts w:ascii="Symbol" w:eastAsiaTheme="minorHAnsi" w:hAnsi="Symbol"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B995076"/>
    <w:multiLevelType w:val="multilevel"/>
    <w:tmpl w:val="2B995076"/>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F5C1CB6"/>
    <w:multiLevelType w:val="multilevel"/>
    <w:tmpl w:val="2F5C1C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FC26856"/>
    <w:multiLevelType w:val="multilevel"/>
    <w:tmpl w:val="2FC26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0E0E95"/>
    <w:multiLevelType w:val="multilevel"/>
    <w:tmpl w:val="320E0E9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 w15:restartNumberingAfterBreak="0">
    <w:nsid w:val="32BD2953"/>
    <w:multiLevelType w:val="multilevel"/>
    <w:tmpl w:val="32BD29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83C14FA"/>
    <w:multiLevelType w:val="multilevel"/>
    <w:tmpl w:val="383C14FA"/>
    <w:lvl w:ilvl="0">
      <w:start w:val="1"/>
      <w:numFmt w:val="decimal"/>
      <w:pStyle w:val="Naslov1"/>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C2752DD"/>
    <w:multiLevelType w:val="multilevel"/>
    <w:tmpl w:val="3C2752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3CAA0DE3"/>
    <w:multiLevelType w:val="multilevel"/>
    <w:tmpl w:val="3CAA0DE3"/>
    <w:lvl w:ilvl="0">
      <w:start w:val="1"/>
      <w:numFmt w:val="bullet"/>
      <w:lvlText w:val="-"/>
      <w:lvlJc w:val="left"/>
      <w:pPr>
        <w:ind w:left="1440" w:hanging="360"/>
      </w:pPr>
      <w:rPr>
        <w:rFonts w:ascii="Symbol" w:eastAsiaTheme="minorHAnsi" w:hAnsi="Symbol" w:cs="Calibri"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2" w15:restartNumberingAfterBreak="0">
    <w:nsid w:val="421C5C77"/>
    <w:multiLevelType w:val="multilevel"/>
    <w:tmpl w:val="421C5C7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77E67BB"/>
    <w:multiLevelType w:val="multilevel"/>
    <w:tmpl w:val="477E67B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8C16729"/>
    <w:multiLevelType w:val="multilevel"/>
    <w:tmpl w:val="48C16729"/>
    <w:lvl w:ilvl="0">
      <w:start w:val="1"/>
      <w:numFmt w:val="bullet"/>
      <w:lvlText w:val="-"/>
      <w:lvlJc w:val="left"/>
      <w:pPr>
        <w:ind w:left="720" w:hanging="360"/>
      </w:pPr>
      <w:rPr>
        <w:rFonts w:ascii="Symbol" w:eastAsiaTheme="minorHAnsi" w:hAnsi="Symbol"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9EE74BE"/>
    <w:multiLevelType w:val="multilevel"/>
    <w:tmpl w:val="49EE74BE"/>
    <w:lvl w:ilvl="0">
      <w:start w:val="1"/>
      <w:numFmt w:val="decimal"/>
      <w:pStyle w:val="Naslov10"/>
      <w:lvlText w:val="%1."/>
      <w:lvlJc w:val="left"/>
      <w:pPr>
        <w:ind w:left="1070" w:hanging="360"/>
      </w:pPr>
      <w:rPr>
        <w:rFonts w:ascii="Times New Roman" w:hAnsi="Times New Roman" w:cs="Times New Roman" w:hint="default"/>
      </w:rPr>
    </w:lvl>
    <w:lvl w:ilvl="1">
      <w:start w:val="1"/>
      <w:numFmt w:val="decimal"/>
      <w:pStyle w:val="Naslov2"/>
      <w:lvlText w:val="%1.%2."/>
      <w:lvlJc w:val="left"/>
      <w:pPr>
        <w:ind w:left="1288" w:hanging="720"/>
      </w:pPr>
    </w:lvl>
    <w:lvl w:ilvl="2">
      <w:start w:val="1"/>
      <w:numFmt w:val="decimal"/>
      <w:lvlText w:val="%1.%2.%3."/>
      <w:lvlJc w:val="left"/>
      <w:pPr>
        <w:ind w:left="1440" w:hanging="1080"/>
      </w:pPr>
      <w:rPr>
        <w:strike w:val="0"/>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4BE37584"/>
    <w:multiLevelType w:val="multilevel"/>
    <w:tmpl w:val="4BE37584"/>
    <w:lvl w:ilvl="0">
      <w:start w:val="1"/>
      <w:numFmt w:val="bullet"/>
      <w:lvlText w:val="-"/>
      <w:lvlJc w:val="left"/>
      <w:pPr>
        <w:ind w:left="720" w:hanging="360"/>
      </w:pPr>
      <w:rPr>
        <w:rFonts w:ascii="Symbol" w:eastAsiaTheme="minorHAnsi" w:hAnsi="Symbol"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EBA6AFC"/>
    <w:multiLevelType w:val="multilevel"/>
    <w:tmpl w:val="4EBA6AF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FC04E28"/>
    <w:multiLevelType w:val="multilevel"/>
    <w:tmpl w:val="4FC04E2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C763BF1"/>
    <w:multiLevelType w:val="multilevel"/>
    <w:tmpl w:val="6C763BF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C8F6FC4"/>
    <w:multiLevelType w:val="multilevel"/>
    <w:tmpl w:val="6C8F6FC4"/>
    <w:lvl w:ilvl="0">
      <w:start w:val="1"/>
      <w:numFmt w:val="bullet"/>
      <w:lvlText w:val="-"/>
      <w:lvlJc w:val="left"/>
      <w:pPr>
        <w:ind w:left="1440" w:hanging="360"/>
      </w:pPr>
      <w:rPr>
        <w:rFonts w:ascii="Symbol" w:eastAsiaTheme="minorHAnsi" w:hAnsi="Symbol" w:cs="Calibri"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1" w15:restartNumberingAfterBreak="0">
    <w:nsid w:val="6EDE19C7"/>
    <w:multiLevelType w:val="multilevel"/>
    <w:tmpl w:val="6EDE19C7"/>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53E1ACF"/>
    <w:multiLevelType w:val="multilevel"/>
    <w:tmpl w:val="753E1A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56449AA"/>
    <w:multiLevelType w:val="multilevel"/>
    <w:tmpl w:val="756449AA"/>
    <w:lvl w:ilvl="0">
      <w:start w:val="1"/>
      <w:numFmt w:val="bullet"/>
      <w:lvlText w:val="-"/>
      <w:lvlJc w:val="left"/>
      <w:pPr>
        <w:ind w:left="720" w:hanging="360"/>
      </w:pPr>
      <w:rPr>
        <w:rFonts w:ascii="Symbol" w:eastAsiaTheme="minorHAnsi" w:hAnsi="Symbol"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7D44A0F"/>
    <w:multiLevelType w:val="multilevel"/>
    <w:tmpl w:val="77D44A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4"/>
  </w:num>
  <w:num w:numId="4">
    <w:abstractNumId w:val="12"/>
  </w:num>
  <w:num w:numId="5">
    <w:abstractNumId w:val="17"/>
  </w:num>
  <w:num w:numId="6">
    <w:abstractNumId w:val="11"/>
  </w:num>
  <w:num w:numId="7">
    <w:abstractNumId w:val="32"/>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2"/>
  </w:num>
  <w:num w:numId="11">
    <w:abstractNumId w:val="29"/>
  </w:num>
  <w:num w:numId="12">
    <w:abstractNumId w:val="34"/>
  </w:num>
  <w:num w:numId="13">
    <w:abstractNumId w:val="18"/>
  </w:num>
  <w:num w:numId="14">
    <w:abstractNumId w:val="3"/>
  </w:num>
  <w:num w:numId="15">
    <w:abstractNumId w:val="24"/>
  </w:num>
  <w:num w:numId="16">
    <w:abstractNumId w:val="7"/>
  </w:num>
  <w:num w:numId="17">
    <w:abstractNumId w:val="0"/>
  </w:num>
  <w:num w:numId="18">
    <w:abstractNumId w:val="21"/>
  </w:num>
  <w:num w:numId="19">
    <w:abstractNumId w:val="30"/>
  </w:num>
  <w:num w:numId="20">
    <w:abstractNumId w:val="23"/>
  </w:num>
  <w:num w:numId="21">
    <w:abstractNumId w:val="1"/>
  </w:num>
  <w:num w:numId="22">
    <w:abstractNumId w:val="13"/>
  </w:num>
  <w:num w:numId="23">
    <w:abstractNumId w:val="16"/>
  </w:num>
  <w:num w:numId="24">
    <w:abstractNumId w:val="27"/>
  </w:num>
  <w:num w:numId="25">
    <w:abstractNumId w:val="31"/>
  </w:num>
  <w:num w:numId="26">
    <w:abstractNumId w:val="9"/>
  </w:num>
  <w:num w:numId="27">
    <w:abstractNumId w:val="5"/>
  </w:num>
  <w:num w:numId="28">
    <w:abstractNumId w:val="10"/>
  </w:num>
  <w:num w:numId="29">
    <w:abstractNumId w:val="8"/>
  </w:num>
  <w:num w:numId="30">
    <w:abstractNumId w:val="6"/>
  </w:num>
  <w:num w:numId="31">
    <w:abstractNumId w:val="28"/>
  </w:num>
  <w:num w:numId="32">
    <w:abstractNumId w:val="14"/>
  </w:num>
  <w:num w:numId="33">
    <w:abstractNumId w:val="20"/>
  </w:num>
  <w:num w:numId="34">
    <w:abstractNumId w:val="33"/>
  </w:num>
  <w:num w:numId="35">
    <w:abstractNumId w:val="26"/>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stylePaneFormatFilter w:val="1521" w:allStyles="1" w:customStyles="0" w:latentStyles="0" w:stylesInUse="0" w:headingStyles="1" w:numberingStyles="0" w:tableStyles="0" w:directFormattingOnRuns="1" w:directFormattingOnParagraphs="0" w:directFormattingOnNumbering="1"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097"/>
    <w:rsid w:val="0000017E"/>
    <w:rsid w:val="00001160"/>
    <w:rsid w:val="00001166"/>
    <w:rsid w:val="00001226"/>
    <w:rsid w:val="000018D1"/>
    <w:rsid w:val="0000195A"/>
    <w:rsid w:val="000026CE"/>
    <w:rsid w:val="00002912"/>
    <w:rsid w:val="0000293A"/>
    <w:rsid w:val="000029AA"/>
    <w:rsid w:val="00002D5B"/>
    <w:rsid w:val="00002DDE"/>
    <w:rsid w:val="00002EEC"/>
    <w:rsid w:val="000038DD"/>
    <w:rsid w:val="000040A1"/>
    <w:rsid w:val="00004787"/>
    <w:rsid w:val="00004A72"/>
    <w:rsid w:val="00006937"/>
    <w:rsid w:val="00006DD1"/>
    <w:rsid w:val="00007199"/>
    <w:rsid w:val="0000733F"/>
    <w:rsid w:val="000078FE"/>
    <w:rsid w:val="0001063E"/>
    <w:rsid w:val="000108C0"/>
    <w:rsid w:val="000108C1"/>
    <w:rsid w:val="00010BB3"/>
    <w:rsid w:val="00011007"/>
    <w:rsid w:val="000116C9"/>
    <w:rsid w:val="00011B46"/>
    <w:rsid w:val="000122A6"/>
    <w:rsid w:val="000124EF"/>
    <w:rsid w:val="00012F12"/>
    <w:rsid w:val="0001311A"/>
    <w:rsid w:val="0001353F"/>
    <w:rsid w:val="000141C6"/>
    <w:rsid w:val="00014314"/>
    <w:rsid w:val="00014CA5"/>
    <w:rsid w:val="00014DE6"/>
    <w:rsid w:val="0001519C"/>
    <w:rsid w:val="00015454"/>
    <w:rsid w:val="000155B5"/>
    <w:rsid w:val="00015B6B"/>
    <w:rsid w:val="00015BFA"/>
    <w:rsid w:val="00015C6E"/>
    <w:rsid w:val="00015E1D"/>
    <w:rsid w:val="0001610E"/>
    <w:rsid w:val="00016BDB"/>
    <w:rsid w:val="000178DD"/>
    <w:rsid w:val="000179FF"/>
    <w:rsid w:val="00017E46"/>
    <w:rsid w:val="00020566"/>
    <w:rsid w:val="000209D9"/>
    <w:rsid w:val="00020C2B"/>
    <w:rsid w:val="00020D05"/>
    <w:rsid w:val="000212E5"/>
    <w:rsid w:val="000216AF"/>
    <w:rsid w:val="00022D1A"/>
    <w:rsid w:val="000234E9"/>
    <w:rsid w:val="00023984"/>
    <w:rsid w:val="00023B71"/>
    <w:rsid w:val="00025E5F"/>
    <w:rsid w:val="00026185"/>
    <w:rsid w:val="000262DA"/>
    <w:rsid w:val="00026374"/>
    <w:rsid w:val="000265A0"/>
    <w:rsid w:val="00026E85"/>
    <w:rsid w:val="00027A14"/>
    <w:rsid w:val="000319A7"/>
    <w:rsid w:val="00031C73"/>
    <w:rsid w:val="000325F3"/>
    <w:rsid w:val="00032E6D"/>
    <w:rsid w:val="00032E81"/>
    <w:rsid w:val="0003302A"/>
    <w:rsid w:val="00033237"/>
    <w:rsid w:val="00033300"/>
    <w:rsid w:val="000333E6"/>
    <w:rsid w:val="00033620"/>
    <w:rsid w:val="00033C85"/>
    <w:rsid w:val="00033CB6"/>
    <w:rsid w:val="00034CA7"/>
    <w:rsid w:val="00034DDC"/>
    <w:rsid w:val="00035447"/>
    <w:rsid w:val="00035BDD"/>
    <w:rsid w:val="00035CE4"/>
    <w:rsid w:val="0003678B"/>
    <w:rsid w:val="0003681F"/>
    <w:rsid w:val="000370AD"/>
    <w:rsid w:val="00037203"/>
    <w:rsid w:val="0003788B"/>
    <w:rsid w:val="000378CB"/>
    <w:rsid w:val="00037FB2"/>
    <w:rsid w:val="00041299"/>
    <w:rsid w:val="0004133E"/>
    <w:rsid w:val="00041349"/>
    <w:rsid w:val="00041DA1"/>
    <w:rsid w:val="000421AC"/>
    <w:rsid w:val="00042EB8"/>
    <w:rsid w:val="00043A52"/>
    <w:rsid w:val="00044AC4"/>
    <w:rsid w:val="00044CAA"/>
    <w:rsid w:val="00044F7C"/>
    <w:rsid w:val="00044FB3"/>
    <w:rsid w:val="00045B3D"/>
    <w:rsid w:val="00045F6A"/>
    <w:rsid w:val="00045FF8"/>
    <w:rsid w:val="000460F2"/>
    <w:rsid w:val="00046604"/>
    <w:rsid w:val="00047212"/>
    <w:rsid w:val="00047571"/>
    <w:rsid w:val="00047805"/>
    <w:rsid w:val="000504AD"/>
    <w:rsid w:val="00050601"/>
    <w:rsid w:val="00050F73"/>
    <w:rsid w:val="000518D5"/>
    <w:rsid w:val="00051D4B"/>
    <w:rsid w:val="0005275A"/>
    <w:rsid w:val="00052782"/>
    <w:rsid w:val="00053392"/>
    <w:rsid w:val="0005355B"/>
    <w:rsid w:val="00053810"/>
    <w:rsid w:val="000538A2"/>
    <w:rsid w:val="00053AD3"/>
    <w:rsid w:val="00054372"/>
    <w:rsid w:val="00054891"/>
    <w:rsid w:val="00054F3B"/>
    <w:rsid w:val="00056889"/>
    <w:rsid w:val="00057A4F"/>
    <w:rsid w:val="00057D60"/>
    <w:rsid w:val="000600EF"/>
    <w:rsid w:val="00060574"/>
    <w:rsid w:val="00060612"/>
    <w:rsid w:val="000610BE"/>
    <w:rsid w:val="000610F9"/>
    <w:rsid w:val="00061351"/>
    <w:rsid w:val="00061991"/>
    <w:rsid w:val="00061B21"/>
    <w:rsid w:val="00061EE5"/>
    <w:rsid w:val="0006253D"/>
    <w:rsid w:val="00063030"/>
    <w:rsid w:val="000630AB"/>
    <w:rsid w:val="000645FB"/>
    <w:rsid w:val="00064990"/>
    <w:rsid w:val="00064DAA"/>
    <w:rsid w:val="0006500D"/>
    <w:rsid w:val="00065677"/>
    <w:rsid w:val="00065B1A"/>
    <w:rsid w:val="000667A7"/>
    <w:rsid w:val="00066F9A"/>
    <w:rsid w:val="00067659"/>
    <w:rsid w:val="00067B16"/>
    <w:rsid w:val="00067B18"/>
    <w:rsid w:val="000704B8"/>
    <w:rsid w:val="0007092E"/>
    <w:rsid w:val="0007143F"/>
    <w:rsid w:val="00071557"/>
    <w:rsid w:val="0007240C"/>
    <w:rsid w:val="000724BE"/>
    <w:rsid w:val="000725A0"/>
    <w:rsid w:val="000727A9"/>
    <w:rsid w:val="00072B5C"/>
    <w:rsid w:val="00072F4F"/>
    <w:rsid w:val="0007438F"/>
    <w:rsid w:val="0007464F"/>
    <w:rsid w:val="0007576B"/>
    <w:rsid w:val="00075881"/>
    <w:rsid w:val="00075CA0"/>
    <w:rsid w:val="00075EE4"/>
    <w:rsid w:val="00076441"/>
    <w:rsid w:val="0007658A"/>
    <w:rsid w:val="0007673E"/>
    <w:rsid w:val="00076AA7"/>
    <w:rsid w:val="00076F17"/>
    <w:rsid w:val="00077418"/>
    <w:rsid w:val="0007768D"/>
    <w:rsid w:val="000779FD"/>
    <w:rsid w:val="00077AB7"/>
    <w:rsid w:val="00077BB3"/>
    <w:rsid w:val="0008082E"/>
    <w:rsid w:val="00080A3D"/>
    <w:rsid w:val="00081007"/>
    <w:rsid w:val="00081199"/>
    <w:rsid w:val="000815FA"/>
    <w:rsid w:val="00081D66"/>
    <w:rsid w:val="00081FA9"/>
    <w:rsid w:val="000825D1"/>
    <w:rsid w:val="00083375"/>
    <w:rsid w:val="00083412"/>
    <w:rsid w:val="0008422A"/>
    <w:rsid w:val="00085227"/>
    <w:rsid w:val="000855A9"/>
    <w:rsid w:val="0008565E"/>
    <w:rsid w:val="00085EBD"/>
    <w:rsid w:val="00086093"/>
    <w:rsid w:val="0008625C"/>
    <w:rsid w:val="00086718"/>
    <w:rsid w:val="00087A3F"/>
    <w:rsid w:val="00090590"/>
    <w:rsid w:val="00090738"/>
    <w:rsid w:val="00090928"/>
    <w:rsid w:val="00090AB6"/>
    <w:rsid w:val="00090C3B"/>
    <w:rsid w:val="000914A2"/>
    <w:rsid w:val="0009174F"/>
    <w:rsid w:val="00091B39"/>
    <w:rsid w:val="00091BF9"/>
    <w:rsid w:val="00091F1C"/>
    <w:rsid w:val="0009230F"/>
    <w:rsid w:val="0009369F"/>
    <w:rsid w:val="00094111"/>
    <w:rsid w:val="0009414B"/>
    <w:rsid w:val="000963C9"/>
    <w:rsid w:val="000964B0"/>
    <w:rsid w:val="00096C61"/>
    <w:rsid w:val="000973C7"/>
    <w:rsid w:val="00097BC7"/>
    <w:rsid w:val="000A092B"/>
    <w:rsid w:val="000A0AAF"/>
    <w:rsid w:val="000A0B72"/>
    <w:rsid w:val="000A1752"/>
    <w:rsid w:val="000A1AEC"/>
    <w:rsid w:val="000A2074"/>
    <w:rsid w:val="000A271F"/>
    <w:rsid w:val="000A2F45"/>
    <w:rsid w:val="000A3079"/>
    <w:rsid w:val="000A31EA"/>
    <w:rsid w:val="000A3588"/>
    <w:rsid w:val="000A38E9"/>
    <w:rsid w:val="000A3B9B"/>
    <w:rsid w:val="000A4147"/>
    <w:rsid w:val="000A42E7"/>
    <w:rsid w:val="000A45D3"/>
    <w:rsid w:val="000A4C91"/>
    <w:rsid w:val="000A56B1"/>
    <w:rsid w:val="000A571F"/>
    <w:rsid w:val="000A5722"/>
    <w:rsid w:val="000A6508"/>
    <w:rsid w:val="000A6DAB"/>
    <w:rsid w:val="000A718A"/>
    <w:rsid w:val="000A7476"/>
    <w:rsid w:val="000A7721"/>
    <w:rsid w:val="000A7CE1"/>
    <w:rsid w:val="000B00EB"/>
    <w:rsid w:val="000B0233"/>
    <w:rsid w:val="000B0979"/>
    <w:rsid w:val="000B0E12"/>
    <w:rsid w:val="000B1170"/>
    <w:rsid w:val="000B1D90"/>
    <w:rsid w:val="000B1E37"/>
    <w:rsid w:val="000B349A"/>
    <w:rsid w:val="000B369E"/>
    <w:rsid w:val="000B3D37"/>
    <w:rsid w:val="000B3E21"/>
    <w:rsid w:val="000B5183"/>
    <w:rsid w:val="000B5C2B"/>
    <w:rsid w:val="000B5F84"/>
    <w:rsid w:val="000B6596"/>
    <w:rsid w:val="000B660E"/>
    <w:rsid w:val="000B692A"/>
    <w:rsid w:val="000B693C"/>
    <w:rsid w:val="000B7BE0"/>
    <w:rsid w:val="000B7FBC"/>
    <w:rsid w:val="000C11A4"/>
    <w:rsid w:val="000C1A05"/>
    <w:rsid w:val="000C2693"/>
    <w:rsid w:val="000C4163"/>
    <w:rsid w:val="000C486D"/>
    <w:rsid w:val="000C4871"/>
    <w:rsid w:val="000C4CFB"/>
    <w:rsid w:val="000C5424"/>
    <w:rsid w:val="000C5BD4"/>
    <w:rsid w:val="000C5C9C"/>
    <w:rsid w:val="000C5F27"/>
    <w:rsid w:val="000C6A7A"/>
    <w:rsid w:val="000C73DF"/>
    <w:rsid w:val="000C7911"/>
    <w:rsid w:val="000C7CE9"/>
    <w:rsid w:val="000D01E2"/>
    <w:rsid w:val="000D03EB"/>
    <w:rsid w:val="000D0899"/>
    <w:rsid w:val="000D10F9"/>
    <w:rsid w:val="000D30B2"/>
    <w:rsid w:val="000D31CF"/>
    <w:rsid w:val="000D38F0"/>
    <w:rsid w:val="000D3E3D"/>
    <w:rsid w:val="000D3EDC"/>
    <w:rsid w:val="000D4684"/>
    <w:rsid w:val="000D4B57"/>
    <w:rsid w:val="000D51B0"/>
    <w:rsid w:val="000D54BC"/>
    <w:rsid w:val="000D554C"/>
    <w:rsid w:val="000D568E"/>
    <w:rsid w:val="000D5F92"/>
    <w:rsid w:val="000D5FD2"/>
    <w:rsid w:val="000D6A83"/>
    <w:rsid w:val="000D6C41"/>
    <w:rsid w:val="000D6DD9"/>
    <w:rsid w:val="000D71A7"/>
    <w:rsid w:val="000D771F"/>
    <w:rsid w:val="000E0076"/>
    <w:rsid w:val="000E0D24"/>
    <w:rsid w:val="000E1C1D"/>
    <w:rsid w:val="000E2B5B"/>
    <w:rsid w:val="000E3135"/>
    <w:rsid w:val="000E44B9"/>
    <w:rsid w:val="000E455D"/>
    <w:rsid w:val="000E462C"/>
    <w:rsid w:val="000E4CFC"/>
    <w:rsid w:val="000E5632"/>
    <w:rsid w:val="000E5BE5"/>
    <w:rsid w:val="000E5E51"/>
    <w:rsid w:val="000E6266"/>
    <w:rsid w:val="000E63AE"/>
    <w:rsid w:val="000E6ED7"/>
    <w:rsid w:val="000E6F54"/>
    <w:rsid w:val="000F0690"/>
    <w:rsid w:val="000F1553"/>
    <w:rsid w:val="000F20DF"/>
    <w:rsid w:val="000F2A69"/>
    <w:rsid w:val="000F2A9A"/>
    <w:rsid w:val="000F2D61"/>
    <w:rsid w:val="000F303B"/>
    <w:rsid w:val="000F3D25"/>
    <w:rsid w:val="000F4539"/>
    <w:rsid w:val="000F514C"/>
    <w:rsid w:val="000F5458"/>
    <w:rsid w:val="000F5C00"/>
    <w:rsid w:val="000F60CC"/>
    <w:rsid w:val="000F612E"/>
    <w:rsid w:val="000F65F6"/>
    <w:rsid w:val="000F6C46"/>
    <w:rsid w:val="000F721B"/>
    <w:rsid w:val="000F7334"/>
    <w:rsid w:val="000F75E3"/>
    <w:rsid w:val="000F7FC4"/>
    <w:rsid w:val="001011C1"/>
    <w:rsid w:val="001015A0"/>
    <w:rsid w:val="00102084"/>
    <w:rsid w:val="00102F21"/>
    <w:rsid w:val="0010302C"/>
    <w:rsid w:val="00104039"/>
    <w:rsid w:val="00105229"/>
    <w:rsid w:val="0010544A"/>
    <w:rsid w:val="00105820"/>
    <w:rsid w:val="00105C02"/>
    <w:rsid w:val="0010620C"/>
    <w:rsid w:val="00106902"/>
    <w:rsid w:val="00106F3D"/>
    <w:rsid w:val="0010742E"/>
    <w:rsid w:val="00107735"/>
    <w:rsid w:val="00107913"/>
    <w:rsid w:val="0011082E"/>
    <w:rsid w:val="00111690"/>
    <w:rsid w:val="001117F5"/>
    <w:rsid w:val="00111B30"/>
    <w:rsid w:val="00112411"/>
    <w:rsid w:val="00112D1E"/>
    <w:rsid w:val="001131CD"/>
    <w:rsid w:val="001135BC"/>
    <w:rsid w:val="0011418A"/>
    <w:rsid w:val="00114358"/>
    <w:rsid w:val="00114A10"/>
    <w:rsid w:val="00114A7A"/>
    <w:rsid w:val="00114AC3"/>
    <w:rsid w:val="00115311"/>
    <w:rsid w:val="001157C4"/>
    <w:rsid w:val="0011587E"/>
    <w:rsid w:val="00115895"/>
    <w:rsid w:val="00115D92"/>
    <w:rsid w:val="001162AD"/>
    <w:rsid w:val="0011785E"/>
    <w:rsid w:val="0012091B"/>
    <w:rsid w:val="00121187"/>
    <w:rsid w:val="00121E43"/>
    <w:rsid w:val="00121E51"/>
    <w:rsid w:val="00122181"/>
    <w:rsid w:val="00122A8C"/>
    <w:rsid w:val="00122AA1"/>
    <w:rsid w:val="00122D5E"/>
    <w:rsid w:val="00122E3C"/>
    <w:rsid w:val="001230AA"/>
    <w:rsid w:val="001236D3"/>
    <w:rsid w:val="00124C15"/>
    <w:rsid w:val="00124D68"/>
    <w:rsid w:val="0012576D"/>
    <w:rsid w:val="0012580A"/>
    <w:rsid w:val="001270EE"/>
    <w:rsid w:val="00130074"/>
    <w:rsid w:val="0013098A"/>
    <w:rsid w:val="00131BBE"/>
    <w:rsid w:val="001320E5"/>
    <w:rsid w:val="001325B2"/>
    <w:rsid w:val="0013363E"/>
    <w:rsid w:val="00133F97"/>
    <w:rsid w:val="00134757"/>
    <w:rsid w:val="0013523A"/>
    <w:rsid w:val="001354C2"/>
    <w:rsid w:val="00135997"/>
    <w:rsid w:val="00135E66"/>
    <w:rsid w:val="0013688B"/>
    <w:rsid w:val="00136BDB"/>
    <w:rsid w:val="00136F36"/>
    <w:rsid w:val="00137781"/>
    <w:rsid w:val="00137849"/>
    <w:rsid w:val="001406BD"/>
    <w:rsid w:val="00140A51"/>
    <w:rsid w:val="00140DE6"/>
    <w:rsid w:val="00141047"/>
    <w:rsid w:val="0014121D"/>
    <w:rsid w:val="0014123F"/>
    <w:rsid w:val="00141C19"/>
    <w:rsid w:val="00141C88"/>
    <w:rsid w:val="001425EC"/>
    <w:rsid w:val="0014260A"/>
    <w:rsid w:val="00142810"/>
    <w:rsid w:val="0014351C"/>
    <w:rsid w:val="00143BB1"/>
    <w:rsid w:val="00143BBC"/>
    <w:rsid w:val="00144408"/>
    <w:rsid w:val="00144A49"/>
    <w:rsid w:val="001458FB"/>
    <w:rsid w:val="00145F20"/>
    <w:rsid w:val="00146A62"/>
    <w:rsid w:val="00146F6B"/>
    <w:rsid w:val="00147853"/>
    <w:rsid w:val="00147969"/>
    <w:rsid w:val="001501F2"/>
    <w:rsid w:val="001502BF"/>
    <w:rsid w:val="001509FE"/>
    <w:rsid w:val="001523E1"/>
    <w:rsid w:val="00152666"/>
    <w:rsid w:val="00152912"/>
    <w:rsid w:val="00152961"/>
    <w:rsid w:val="00152A38"/>
    <w:rsid w:val="00152AC3"/>
    <w:rsid w:val="00152D49"/>
    <w:rsid w:val="00153168"/>
    <w:rsid w:val="00153267"/>
    <w:rsid w:val="0015388B"/>
    <w:rsid w:val="00153D17"/>
    <w:rsid w:val="00153DBC"/>
    <w:rsid w:val="00154501"/>
    <w:rsid w:val="00155159"/>
    <w:rsid w:val="001552F4"/>
    <w:rsid w:val="00155423"/>
    <w:rsid w:val="00155F98"/>
    <w:rsid w:val="00156E4F"/>
    <w:rsid w:val="00156F6A"/>
    <w:rsid w:val="00156F91"/>
    <w:rsid w:val="00157864"/>
    <w:rsid w:val="00157ADF"/>
    <w:rsid w:val="00157EC1"/>
    <w:rsid w:val="00157F47"/>
    <w:rsid w:val="00160522"/>
    <w:rsid w:val="0016136B"/>
    <w:rsid w:val="001615EB"/>
    <w:rsid w:val="001628E5"/>
    <w:rsid w:val="00163C32"/>
    <w:rsid w:val="00164638"/>
    <w:rsid w:val="00164A65"/>
    <w:rsid w:val="0016513D"/>
    <w:rsid w:val="00165803"/>
    <w:rsid w:val="00165BBD"/>
    <w:rsid w:val="00165D9F"/>
    <w:rsid w:val="00167833"/>
    <w:rsid w:val="00167A77"/>
    <w:rsid w:val="00167F67"/>
    <w:rsid w:val="00167F7D"/>
    <w:rsid w:val="00170335"/>
    <w:rsid w:val="001708C1"/>
    <w:rsid w:val="00170927"/>
    <w:rsid w:val="001709EE"/>
    <w:rsid w:val="0017146F"/>
    <w:rsid w:val="00171B8E"/>
    <w:rsid w:val="00171CD6"/>
    <w:rsid w:val="001728AC"/>
    <w:rsid w:val="00172EC3"/>
    <w:rsid w:val="00174064"/>
    <w:rsid w:val="0017439A"/>
    <w:rsid w:val="0017467C"/>
    <w:rsid w:val="00174B33"/>
    <w:rsid w:val="00174B37"/>
    <w:rsid w:val="00174B4A"/>
    <w:rsid w:val="00174CDF"/>
    <w:rsid w:val="00174E65"/>
    <w:rsid w:val="00174F8B"/>
    <w:rsid w:val="00175436"/>
    <w:rsid w:val="0017610E"/>
    <w:rsid w:val="001761A9"/>
    <w:rsid w:val="001764E9"/>
    <w:rsid w:val="001767E6"/>
    <w:rsid w:val="00176D6B"/>
    <w:rsid w:val="00177176"/>
    <w:rsid w:val="0017755F"/>
    <w:rsid w:val="00177C2A"/>
    <w:rsid w:val="00177CA1"/>
    <w:rsid w:val="00180076"/>
    <w:rsid w:val="001800CF"/>
    <w:rsid w:val="00181EBC"/>
    <w:rsid w:val="00183794"/>
    <w:rsid w:val="0018469E"/>
    <w:rsid w:val="0018513D"/>
    <w:rsid w:val="001851C4"/>
    <w:rsid w:val="0018559B"/>
    <w:rsid w:val="00185952"/>
    <w:rsid w:val="0018715C"/>
    <w:rsid w:val="001875AF"/>
    <w:rsid w:val="00187EB1"/>
    <w:rsid w:val="001900F7"/>
    <w:rsid w:val="001902DC"/>
    <w:rsid w:val="0019069E"/>
    <w:rsid w:val="001910B2"/>
    <w:rsid w:val="00191375"/>
    <w:rsid w:val="001928B8"/>
    <w:rsid w:val="0019315B"/>
    <w:rsid w:val="00193F8E"/>
    <w:rsid w:val="00194943"/>
    <w:rsid w:val="00194996"/>
    <w:rsid w:val="00195019"/>
    <w:rsid w:val="00196034"/>
    <w:rsid w:val="00196117"/>
    <w:rsid w:val="00196723"/>
    <w:rsid w:val="0019712F"/>
    <w:rsid w:val="001972D0"/>
    <w:rsid w:val="001979B2"/>
    <w:rsid w:val="001979E6"/>
    <w:rsid w:val="00197DB3"/>
    <w:rsid w:val="00197DD8"/>
    <w:rsid w:val="001A052B"/>
    <w:rsid w:val="001A1453"/>
    <w:rsid w:val="001A17DB"/>
    <w:rsid w:val="001A1C25"/>
    <w:rsid w:val="001A1C5B"/>
    <w:rsid w:val="001A234B"/>
    <w:rsid w:val="001A252E"/>
    <w:rsid w:val="001A2785"/>
    <w:rsid w:val="001A2C86"/>
    <w:rsid w:val="001A2EDE"/>
    <w:rsid w:val="001A3298"/>
    <w:rsid w:val="001A351D"/>
    <w:rsid w:val="001A354D"/>
    <w:rsid w:val="001A3AAF"/>
    <w:rsid w:val="001A3FB1"/>
    <w:rsid w:val="001A43E1"/>
    <w:rsid w:val="001A441D"/>
    <w:rsid w:val="001A47E2"/>
    <w:rsid w:val="001A4D0E"/>
    <w:rsid w:val="001A5288"/>
    <w:rsid w:val="001A58D2"/>
    <w:rsid w:val="001A5E85"/>
    <w:rsid w:val="001A7D37"/>
    <w:rsid w:val="001B0588"/>
    <w:rsid w:val="001B08B2"/>
    <w:rsid w:val="001B10FE"/>
    <w:rsid w:val="001B169B"/>
    <w:rsid w:val="001B1B54"/>
    <w:rsid w:val="001B264F"/>
    <w:rsid w:val="001B363B"/>
    <w:rsid w:val="001B395C"/>
    <w:rsid w:val="001B3C12"/>
    <w:rsid w:val="001B4870"/>
    <w:rsid w:val="001B4875"/>
    <w:rsid w:val="001B4B46"/>
    <w:rsid w:val="001B5504"/>
    <w:rsid w:val="001B55E7"/>
    <w:rsid w:val="001B5790"/>
    <w:rsid w:val="001B61F8"/>
    <w:rsid w:val="001B6C89"/>
    <w:rsid w:val="001B728D"/>
    <w:rsid w:val="001B7363"/>
    <w:rsid w:val="001B7D01"/>
    <w:rsid w:val="001B7FF1"/>
    <w:rsid w:val="001C004C"/>
    <w:rsid w:val="001C00ED"/>
    <w:rsid w:val="001C0E0A"/>
    <w:rsid w:val="001C14B9"/>
    <w:rsid w:val="001C1B88"/>
    <w:rsid w:val="001C201D"/>
    <w:rsid w:val="001C201E"/>
    <w:rsid w:val="001C2D3F"/>
    <w:rsid w:val="001C30AE"/>
    <w:rsid w:val="001C3D03"/>
    <w:rsid w:val="001C471B"/>
    <w:rsid w:val="001C545C"/>
    <w:rsid w:val="001C5B8E"/>
    <w:rsid w:val="001C63AE"/>
    <w:rsid w:val="001C6867"/>
    <w:rsid w:val="001C6A8F"/>
    <w:rsid w:val="001C73D1"/>
    <w:rsid w:val="001C767A"/>
    <w:rsid w:val="001C79BD"/>
    <w:rsid w:val="001C7AF9"/>
    <w:rsid w:val="001C7E5B"/>
    <w:rsid w:val="001D10FE"/>
    <w:rsid w:val="001D1F1B"/>
    <w:rsid w:val="001D2565"/>
    <w:rsid w:val="001D27A3"/>
    <w:rsid w:val="001D2829"/>
    <w:rsid w:val="001D2AF4"/>
    <w:rsid w:val="001D2DA4"/>
    <w:rsid w:val="001D2E52"/>
    <w:rsid w:val="001D3C4D"/>
    <w:rsid w:val="001D419A"/>
    <w:rsid w:val="001D429F"/>
    <w:rsid w:val="001D48E9"/>
    <w:rsid w:val="001D4978"/>
    <w:rsid w:val="001D49A0"/>
    <w:rsid w:val="001D4B5C"/>
    <w:rsid w:val="001D4F29"/>
    <w:rsid w:val="001D581B"/>
    <w:rsid w:val="001D598C"/>
    <w:rsid w:val="001D60DC"/>
    <w:rsid w:val="001D60F4"/>
    <w:rsid w:val="001D633C"/>
    <w:rsid w:val="001D6D18"/>
    <w:rsid w:val="001D71B7"/>
    <w:rsid w:val="001D7400"/>
    <w:rsid w:val="001D7F97"/>
    <w:rsid w:val="001E013E"/>
    <w:rsid w:val="001E01D6"/>
    <w:rsid w:val="001E1085"/>
    <w:rsid w:val="001E163B"/>
    <w:rsid w:val="001E2673"/>
    <w:rsid w:val="001E3622"/>
    <w:rsid w:val="001E3872"/>
    <w:rsid w:val="001E3C6C"/>
    <w:rsid w:val="001E40F8"/>
    <w:rsid w:val="001E43CC"/>
    <w:rsid w:val="001E4479"/>
    <w:rsid w:val="001E4C6A"/>
    <w:rsid w:val="001E4FB8"/>
    <w:rsid w:val="001E5CA6"/>
    <w:rsid w:val="001E640E"/>
    <w:rsid w:val="001E6EB9"/>
    <w:rsid w:val="001E7942"/>
    <w:rsid w:val="001E7E1E"/>
    <w:rsid w:val="001F04D1"/>
    <w:rsid w:val="001F04F1"/>
    <w:rsid w:val="001F0508"/>
    <w:rsid w:val="001F0525"/>
    <w:rsid w:val="001F0550"/>
    <w:rsid w:val="001F224F"/>
    <w:rsid w:val="001F29BD"/>
    <w:rsid w:val="001F3361"/>
    <w:rsid w:val="001F3CBC"/>
    <w:rsid w:val="001F56AA"/>
    <w:rsid w:val="001F5C79"/>
    <w:rsid w:val="001F6076"/>
    <w:rsid w:val="001F6245"/>
    <w:rsid w:val="001F6484"/>
    <w:rsid w:val="001F64F1"/>
    <w:rsid w:val="001F69EB"/>
    <w:rsid w:val="001F6A1A"/>
    <w:rsid w:val="001F70BE"/>
    <w:rsid w:val="001F7125"/>
    <w:rsid w:val="001F7227"/>
    <w:rsid w:val="001F7C45"/>
    <w:rsid w:val="002007C2"/>
    <w:rsid w:val="00200A0C"/>
    <w:rsid w:val="00200CA2"/>
    <w:rsid w:val="00200D01"/>
    <w:rsid w:val="002010F5"/>
    <w:rsid w:val="002019BC"/>
    <w:rsid w:val="002020A0"/>
    <w:rsid w:val="00202540"/>
    <w:rsid w:val="002027CD"/>
    <w:rsid w:val="00202F24"/>
    <w:rsid w:val="00203384"/>
    <w:rsid w:val="00203D1F"/>
    <w:rsid w:val="0020418C"/>
    <w:rsid w:val="00204498"/>
    <w:rsid w:val="002045A3"/>
    <w:rsid w:val="00204B55"/>
    <w:rsid w:val="00204E05"/>
    <w:rsid w:val="0020555E"/>
    <w:rsid w:val="002063E1"/>
    <w:rsid w:val="0020656C"/>
    <w:rsid w:val="00206973"/>
    <w:rsid w:val="00207B0F"/>
    <w:rsid w:val="00207C91"/>
    <w:rsid w:val="00207F5F"/>
    <w:rsid w:val="00210113"/>
    <w:rsid w:val="002102D0"/>
    <w:rsid w:val="002106BF"/>
    <w:rsid w:val="00211E87"/>
    <w:rsid w:val="00211ECB"/>
    <w:rsid w:val="002124E9"/>
    <w:rsid w:val="00212521"/>
    <w:rsid w:val="002125E2"/>
    <w:rsid w:val="00212DBB"/>
    <w:rsid w:val="00213273"/>
    <w:rsid w:val="002133B9"/>
    <w:rsid w:val="00213B7C"/>
    <w:rsid w:val="00213FAC"/>
    <w:rsid w:val="002143BF"/>
    <w:rsid w:val="00214732"/>
    <w:rsid w:val="00214821"/>
    <w:rsid w:val="00215029"/>
    <w:rsid w:val="00215766"/>
    <w:rsid w:val="00216752"/>
    <w:rsid w:val="002172BB"/>
    <w:rsid w:val="002172DF"/>
    <w:rsid w:val="002174D0"/>
    <w:rsid w:val="002174D2"/>
    <w:rsid w:val="00217971"/>
    <w:rsid w:val="00217DD9"/>
    <w:rsid w:val="00220597"/>
    <w:rsid w:val="00220CB6"/>
    <w:rsid w:val="0022123B"/>
    <w:rsid w:val="00223437"/>
    <w:rsid w:val="00223E0B"/>
    <w:rsid w:val="00224003"/>
    <w:rsid w:val="00224D2E"/>
    <w:rsid w:val="0022548C"/>
    <w:rsid w:val="00225F22"/>
    <w:rsid w:val="0023198F"/>
    <w:rsid w:val="0023213A"/>
    <w:rsid w:val="0023261C"/>
    <w:rsid w:val="00232D13"/>
    <w:rsid w:val="0023316F"/>
    <w:rsid w:val="00233AC1"/>
    <w:rsid w:val="002343D0"/>
    <w:rsid w:val="00234674"/>
    <w:rsid w:val="00235611"/>
    <w:rsid w:val="00235A9C"/>
    <w:rsid w:val="00235EA1"/>
    <w:rsid w:val="002360CD"/>
    <w:rsid w:val="002400F5"/>
    <w:rsid w:val="0024035A"/>
    <w:rsid w:val="00240803"/>
    <w:rsid w:val="00240C5C"/>
    <w:rsid w:val="00241180"/>
    <w:rsid w:val="0024118B"/>
    <w:rsid w:val="0024144A"/>
    <w:rsid w:val="0024167A"/>
    <w:rsid w:val="0024186F"/>
    <w:rsid w:val="00241D96"/>
    <w:rsid w:val="00242610"/>
    <w:rsid w:val="00242ADD"/>
    <w:rsid w:val="00242FF4"/>
    <w:rsid w:val="002431A2"/>
    <w:rsid w:val="002457BD"/>
    <w:rsid w:val="00245E9B"/>
    <w:rsid w:val="00245F96"/>
    <w:rsid w:val="0024684A"/>
    <w:rsid w:val="00246AC3"/>
    <w:rsid w:val="00246C92"/>
    <w:rsid w:val="002473C9"/>
    <w:rsid w:val="002473EE"/>
    <w:rsid w:val="002507EC"/>
    <w:rsid w:val="00251229"/>
    <w:rsid w:val="00251920"/>
    <w:rsid w:val="00252562"/>
    <w:rsid w:val="00253550"/>
    <w:rsid w:val="00253FE4"/>
    <w:rsid w:val="0025412F"/>
    <w:rsid w:val="00254435"/>
    <w:rsid w:val="00254453"/>
    <w:rsid w:val="0025602A"/>
    <w:rsid w:val="002565BB"/>
    <w:rsid w:val="00256775"/>
    <w:rsid w:val="002567DC"/>
    <w:rsid w:val="00256DF2"/>
    <w:rsid w:val="002575D1"/>
    <w:rsid w:val="002576BA"/>
    <w:rsid w:val="00257D78"/>
    <w:rsid w:val="00260B5F"/>
    <w:rsid w:val="00261720"/>
    <w:rsid w:val="00261933"/>
    <w:rsid w:val="002638DC"/>
    <w:rsid w:val="00263CBC"/>
    <w:rsid w:val="002643E2"/>
    <w:rsid w:val="002644A9"/>
    <w:rsid w:val="00265E2F"/>
    <w:rsid w:val="00266C9D"/>
    <w:rsid w:val="002672F5"/>
    <w:rsid w:val="00267717"/>
    <w:rsid w:val="00267750"/>
    <w:rsid w:val="00267E2A"/>
    <w:rsid w:val="00267EE0"/>
    <w:rsid w:val="002701A1"/>
    <w:rsid w:val="002715A0"/>
    <w:rsid w:val="00271E11"/>
    <w:rsid w:val="002720B2"/>
    <w:rsid w:val="00273304"/>
    <w:rsid w:val="00273BA4"/>
    <w:rsid w:val="00274362"/>
    <w:rsid w:val="002747C6"/>
    <w:rsid w:val="00274EC4"/>
    <w:rsid w:val="00275210"/>
    <w:rsid w:val="002759AF"/>
    <w:rsid w:val="00275A69"/>
    <w:rsid w:val="00275BEA"/>
    <w:rsid w:val="00276025"/>
    <w:rsid w:val="00276D7A"/>
    <w:rsid w:val="00277016"/>
    <w:rsid w:val="002774FB"/>
    <w:rsid w:val="002779EB"/>
    <w:rsid w:val="00277BBA"/>
    <w:rsid w:val="00280652"/>
    <w:rsid w:val="002806A9"/>
    <w:rsid w:val="0028115D"/>
    <w:rsid w:val="002811C6"/>
    <w:rsid w:val="00281535"/>
    <w:rsid w:val="002817D9"/>
    <w:rsid w:val="00281CE1"/>
    <w:rsid w:val="00282679"/>
    <w:rsid w:val="0028272C"/>
    <w:rsid w:val="0028287A"/>
    <w:rsid w:val="00283BEA"/>
    <w:rsid w:val="00283EE0"/>
    <w:rsid w:val="00284D5C"/>
    <w:rsid w:val="00284DEE"/>
    <w:rsid w:val="00285296"/>
    <w:rsid w:val="002866E8"/>
    <w:rsid w:val="00286B8C"/>
    <w:rsid w:val="00287296"/>
    <w:rsid w:val="0028767B"/>
    <w:rsid w:val="002907F6"/>
    <w:rsid w:val="00290860"/>
    <w:rsid w:val="00290DA0"/>
    <w:rsid w:val="002913E5"/>
    <w:rsid w:val="002913E9"/>
    <w:rsid w:val="002916BD"/>
    <w:rsid w:val="00291983"/>
    <w:rsid w:val="00291AB1"/>
    <w:rsid w:val="00291DC6"/>
    <w:rsid w:val="00291F0D"/>
    <w:rsid w:val="00292CCA"/>
    <w:rsid w:val="00292F50"/>
    <w:rsid w:val="002930D5"/>
    <w:rsid w:val="0029324D"/>
    <w:rsid w:val="00293B88"/>
    <w:rsid w:val="00294192"/>
    <w:rsid w:val="002954FA"/>
    <w:rsid w:val="0029673C"/>
    <w:rsid w:val="00296F80"/>
    <w:rsid w:val="002971CC"/>
    <w:rsid w:val="0029722E"/>
    <w:rsid w:val="0029730C"/>
    <w:rsid w:val="0029788E"/>
    <w:rsid w:val="00297BB3"/>
    <w:rsid w:val="00297F61"/>
    <w:rsid w:val="002A01B8"/>
    <w:rsid w:val="002A03D1"/>
    <w:rsid w:val="002A0BC3"/>
    <w:rsid w:val="002A1833"/>
    <w:rsid w:val="002A1F2D"/>
    <w:rsid w:val="002A306D"/>
    <w:rsid w:val="002A32AF"/>
    <w:rsid w:val="002A373D"/>
    <w:rsid w:val="002A38E1"/>
    <w:rsid w:val="002A398B"/>
    <w:rsid w:val="002A3E90"/>
    <w:rsid w:val="002A46FF"/>
    <w:rsid w:val="002A4F08"/>
    <w:rsid w:val="002A57AB"/>
    <w:rsid w:val="002A5F20"/>
    <w:rsid w:val="002A6629"/>
    <w:rsid w:val="002A6B99"/>
    <w:rsid w:val="002A7237"/>
    <w:rsid w:val="002A7E23"/>
    <w:rsid w:val="002A7F2B"/>
    <w:rsid w:val="002B111D"/>
    <w:rsid w:val="002B1337"/>
    <w:rsid w:val="002B16B3"/>
    <w:rsid w:val="002B199E"/>
    <w:rsid w:val="002B203B"/>
    <w:rsid w:val="002B22E8"/>
    <w:rsid w:val="002B23EA"/>
    <w:rsid w:val="002B26D9"/>
    <w:rsid w:val="002B274E"/>
    <w:rsid w:val="002B2836"/>
    <w:rsid w:val="002B296D"/>
    <w:rsid w:val="002B2EC1"/>
    <w:rsid w:val="002B4B31"/>
    <w:rsid w:val="002B53B3"/>
    <w:rsid w:val="002B5704"/>
    <w:rsid w:val="002B58CE"/>
    <w:rsid w:val="002B5C6F"/>
    <w:rsid w:val="002B5CBC"/>
    <w:rsid w:val="002B5F8C"/>
    <w:rsid w:val="002B6101"/>
    <w:rsid w:val="002B68AE"/>
    <w:rsid w:val="002B6F2D"/>
    <w:rsid w:val="002B74C2"/>
    <w:rsid w:val="002B756A"/>
    <w:rsid w:val="002B7CE5"/>
    <w:rsid w:val="002C02F8"/>
    <w:rsid w:val="002C0455"/>
    <w:rsid w:val="002C07A4"/>
    <w:rsid w:val="002C1097"/>
    <w:rsid w:val="002C1121"/>
    <w:rsid w:val="002C121A"/>
    <w:rsid w:val="002C1393"/>
    <w:rsid w:val="002C1A04"/>
    <w:rsid w:val="002C1FC0"/>
    <w:rsid w:val="002C2008"/>
    <w:rsid w:val="002C20A1"/>
    <w:rsid w:val="002C213B"/>
    <w:rsid w:val="002C23DF"/>
    <w:rsid w:val="002C2693"/>
    <w:rsid w:val="002C270F"/>
    <w:rsid w:val="002C2C44"/>
    <w:rsid w:val="002C33EA"/>
    <w:rsid w:val="002C390F"/>
    <w:rsid w:val="002C5264"/>
    <w:rsid w:val="002C56CE"/>
    <w:rsid w:val="002C6056"/>
    <w:rsid w:val="002C69B9"/>
    <w:rsid w:val="002C6DC9"/>
    <w:rsid w:val="002C6F27"/>
    <w:rsid w:val="002C721C"/>
    <w:rsid w:val="002C7225"/>
    <w:rsid w:val="002C7390"/>
    <w:rsid w:val="002D0D63"/>
    <w:rsid w:val="002D0DB3"/>
    <w:rsid w:val="002D1421"/>
    <w:rsid w:val="002D1867"/>
    <w:rsid w:val="002D1DC8"/>
    <w:rsid w:val="002D1F89"/>
    <w:rsid w:val="002D270D"/>
    <w:rsid w:val="002D305E"/>
    <w:rsid w:val="002D344B"/>
    <w:rsid w:val="002D3A7E"/>
    <w:rsid w:val="002D3C24"/>
    <w:rsid w:val="002D3C72"/>
    <w:rsid w:val="002D3F54"/>
    <w:rsid w:val="002D46BC"/>
    <w:rsid w:val="002D5A3D"/>
    <w:rsid w:val="002D5CCB"/>
    <w:rsid w:val="002D5DE3"/>
    <w:rsid w:val="002D5EFD"/>
    <w:rsid w:val="002D63ED"/>
    <w:rsid w:val="002D7231"/>
    <w:rsid w:val="002D78DB"/>
    <w:rsid w:val="002E070C"/>
    <w:rsid w:val="002E145F"/>
    <w:rsid w:val="002E1948"/>
    <w:rsid w:val="002E1BD5"/>
    <w:rsid w:val="002E223A"/>
    <w:rsid w:val="002E2B75"/>
    <w:rsid w:val="002E2C2A"/>
    <w:rsid w:val="002E31D6"/>
    <w:rsid w:val="002E32D3"/>
    <w:rsid w:val="002E39B4"/>
    <w:rsid w:val="002E5959"/>
    <w:rsid w:val="002E681F"/>
    <w:rsid w:val="002E6958"/>
    <w:rsid w:val="002E7279"/>
    <w:rsid w:val="002E7577"/>
    <w:rsid w:val="002E7962"/>
    <w:rsid w:val="002F0196"/>
    <w:rsid w:val="002F03A7"/>
    <w:rsid w:val="002F075C"/>
    <w:rsid w:val="002F08A9"/>
    <w:rsid w:val="002F0C05"/>
    <w:rsid w:val="002F0DD6"/>
    <w:rsid w:val="002F1112"/>
    <w:rsid w:val="002F2528"/>
    <w:rsid w:val="002F4242"/>
    <w:rsid w:val="002F4D24"/>
    <w:rsid w:val="002F4F0F"/>
    <w:rsid w:val="002F51F0"/>
    <w:rsid w:val="002F537E"/>
    <w:rsid w:val="002F57B7"/>
    <w:rsid w:val="002F58AD"/>
    <w:rsid w:val="002F6687"/>
    <w:rsid w:val="002F6FD1"/>
    <w:rsid w:val="002F70A7"/>
    <w:rsid w:val="002F72EA"/>
    <w:rsid w:val="002F76FC"/>
    <w:rsid w:val="002F7D2A"/>
    <w:rsid w:val="002F7FA8"/>
    <w:rsid w:val="00300F4A"/>
    <w:rsid w:val="0030138E"/>
    <w:rsid w:val="00302B71"/>
    <w:rsid w:val="00302BCD"/>
    <w:rsid w:val="00303977"/>
    <w:rsid w:val="00303DE9"/>
    <w:rsid w:val="0030408B"/>
    <w:rsid w:val="00304663"/>
    <w:rsid w:val="003048E7"/>
    <w:rsid w:val="00304E4A"/>
    <w:rsid w:val="0030565D"/>
    <w:rsid w:val="00306254"/>
    <w:rsid w:val="0030659D"/>
    <w:rsid w:val="00306A7C"/>
    <w:rsid w:val="00306C30"/>
    <w:rsid w:val="00306FDF"/>
    <w:rsid w:val="00307AD9"/>
    <w:rsid w:val="003107AA"/>
    <w:rsid w:val="00310DB6"/>
    <w:rsid w:val="003122EA"/>
    <w:rsid w:val="0031240F"/>
    <w:rsid w:val="00312B2A"/>
    <w:rsid w:val="00313643"/>
    <w:rsid w:val="00313FE7"/>
    <w:rsid w:val="00314087"/>
    <w:rsid w:val="0031420A"/>
    <w:rsid w:val="0031479C"/>
    <w:rsid w:val="00314BFD"/>
    <w:rsid w:val="00314F4A"/>
    <w:rsid w:val="003152BB"/>
    <w:rsid w:val="0031563D"/>
    <w:rsid w:val="003156EC"/>
    <w:rsid w:val="00316E38"/>
    <w:rsid w:val="00317219"/>
    <w:rsid w:val="003172A2"/>
    <w:rsid w:val="003204D8"/>
    <w:rsid w:val="0032079A"/>
    <w:rsid w:val="00320841"/>
    <w:rsid w:val="00320A66"/>
    <w:rsid w:val="00320CA9"/>
    <w:rsid w:val="0032111E"/>
    <w:rsid w:val="0032138D"/>
    <w:rsid w:val="0032151F"/>
    <w:rsid w:val="003218FA"/>
    <w:rsid w:val="003224D7"/>
    <w:rsid w:val="0032259C"/>
    <w:rsid w:val="00322996"/>
    <w:rsid w:val="00322B78"/>
    <w:rsid w:val="00323542"/>
    <w:rsid w:val="00324200"/>
    <w:rsid w:val="00324B5D"/>
    <w:rsid w:val="003251A4"/>
    <w:rsid w:val="003256DD"/>
    <w:rsid w:val="00325FCA"/>
    <w:rsid w:val="0032613B"/>
    <w:rsid w:val="00326A6F"/>
    <w:rsid w:val="0032714A"/>
    <w:rsid w:val="0032755E"/>
    <w:rsid w:val="00327604"/>
    <w:rsid w:val="00327A97"/>
    <w:rsid w:val="003306F7"/>
    <w:rsid w:val="00331828"/>
    <w:rsid w:val="00331EC8"/>
    <w:rsid w:val="00332E4B"/>
    <w:rsid w:val="003330BD"/>
    <w:rsid w:val="00333550"/>
    <w:rsid w:val="00333551"/>
    <w:rsid w:val="00334E49"/>
    <w:rsid w:val="00334EB9"/>
    <w:rsid w:val="00335009"/>
    <w:rsid w:val="003352E2"/>
    <w:rsid w:val="00335575"/>
    <w:rsid w:val="003355AC"/>
    <w:rsid w:val="00335AEA"/>
    <w:rsid w:val="0033645E"/>
    <w:rsid w:val="00337537"/>
    <w:rsid w:val="00337D26"/>
    <w:rsid w:val="003401DE"/>
    <w:rsid w:val="003405A1"/>
    <w:rsid w:val="00340A2A"/>
    <w:rsid w:val="00340D29"/>
    <w:rsid w:val="00340D7F"/>
    <w:rsid w:val="00340F31"/>
    <w:rsid w:val="00341657"/>
    <w:rsid w:val="00341EFD"/>
    <w:rsid w:val="00342000"/>
    <w:rsid w:val="00342196"/>
    <w:rsid w:val="003421E7"/>
    <w:rsid w:val="003428C1"/>
    <w:rsid w:val="00342C64"/>
    <w:rsid w:val="00343296"/>
    <w:rsid w:val="00343930"/>
    <w:rsid w:val="00344165"/>
    <w:rsid w:val="00344914"/>
    <w:rsid w:val="00344C46"/>
    <w:rsid w:val="00344ED9"/>
    <w:rsid w:val="00344EED"/>
    <w:rsid w:val="00344F5A"/>
    <w:rsid w:val="003459D3"/>
    <w:rsid w:val="00345A43"/>
    <w:rsid w:val="00346208"/>
    <w:rsid w:val="00346FED"/>
    <w:rsid w:val="00347081"/>
    <w:rsid w:val="003473EB"/>
    <w:rsid w:val="003474E7"/>
    <w:rsid w:val="00347712"/>
    <w:rsid w:val="00347FE9"/>
    <w:rsid w:val="0035152F"/>
    <w:rsid w:val="00351967"/>
    <w:rsid w:val="0035261C"/>
    <w:rsid w:val="0035350F"/>
    <w:rsid w:val="003537EB"/>
    <w:rsid w:val="00353A3B"/>
    <w:rsid w:val="003540A4"/>
    <w:rsid w:val="0035431C"/>
    <w:rsid w:val="00354B93"/>
    <w:rsid w:val="0035541A"/>
    <w:rsid w:val="00355A06"/>
    <w:rsid w:val="003561CE"/>
    <w:rsid w:val="00356A61"/>
    <w:rsid w:val="00356ABF"/>
    <w:rsid w:val="003575F9"/>
    <w:rsid w:val="0035765D"/>
    <w:rsid w:val="0035783B"/>
    <w:rsid w:val="003605FD"/>
    <w:rsid w:val="00360C17"/>
    <w:rsid w:val="00360F3B"/>
    <w:rsid w:val="00361A2D"/>
    <w:rsid w:val="00361BB1"/>
    <w:rsid w:val="00361BEC"/>
    <w:rsid w:val="00361EB5"/>
    <w:rsid w:val="00362727"/>
    <w:rsid w:val="00363466"/>
    <w:rsid w:val="00363A66"/>
    <w:rsid w:val="00364090"/>
    <w:rsid w:val="00364683"/>
    <w:rsid w:val="0036631E"/>
    <w:rsid w:val="00366A3B"/>
    <w:rsid w:val="0036725E"/>
    <w:rsid w:val="003672B0"/>
    <w:rsid w:val="003674FC"/>
    <w:rsid w:val="003676EE"/>
    <w:rsid w:val="00367C40"/>
    <w:rsid w:val="00370955"/>
    <w:rsid w:val="00370F68"/>
    <w:rsid w:val="00371305"/>
    <w:rsid w:val="003723C5"/>
    <w:rsid w:val="00373107"/>
    <w:rsid w:val="00373182"/>
    <w:rsid w:val="0037359D"/>
    <w:rsid w:val="00373A66"/>
    <w:rsid w:val="00373E1F"/>
    <w:rsid w:val="00373E3C"/>
    <w:rsid w:val="003743EB"/>
    <w:rsid w:val="00374F9C"/>
    <w:rsid w:val="00375240"/>
    <w:rsid w:val="003756CC"/>
    <w:rsid w:val="00375815"/>
    <w:rsid w:val="00375A6A"/>
    <w:rsid w:val="00375E0A"/>
    <w:rsid w:val="0037686E"/>
    <w:rsid w:val="00376892"/>
    <w:rsid w:val="003800DB"/>
    <w:rsid w:val="0038019B"/>
    <w:rsid w:val="003805F9"/>
    <w:rsid w:val="003806A3"/>
    <w:rsid w:val="00381021"/>
    <w:rsid w:val="003812D7"/>
    <w:rsid w:val="00381533"/>
    <w:rsid w:val="003815EC"/>
    <w:rsid w:val="0038164C"/>
    <w:rsid w:val="00381E5B"/>
    <w:rsid w:val="00382799"/>
    <w:rsid w:val="00383494"/>
    <w:rsid w:val="00384AEE"/>
    <w:rsid w:val="00384D77"/>
    <w:rsid w:val="003854B7"/>
    <w:rsid w:val="00385CE2"/>
    <w:rsid w:val="00386234"/>
    <w:rsid w:val="00386783"/>
    <w:rsid w:val="00387555"/>
    <w:rsid w:val="00390090"/>
    <w:rsid w:val="003900DF"/>
    <w:rsid w:val="0039179E"/>
    <w:rsid w:val="0039180E"/>
    <w:rsid w:val="00391EBA"/>
    <w:rsid w:val="003920E8"/>
    <w:rsid w:val="00392100"/>
    <w:rsid w:val="0039276A"/>
    <w:rsid w:val="00392838"/>
    <w:rsid w:val="00392E7F"/>
    <w:rsid w:val="003947A2"/>
    <w:rsid w:val="003947B7"/>
    <w:rsid w:val="00394BF9"/>
    <w:rsid w:val="00394D1C"/>
    <w:rsid w:val="00395030"/>
    <w:rsid w:val="00395888"/>
    <w:rsid w:val="0039619E"/>
    <w:rsid w:val="0039652F"/>
    <w:rsid w:val="00396D6F"/>
    <w:rsid w:val="00397A5E"/>
    <w:rsid w:val="00397C32"/>
    <w:rsid w:val="003A173D"/>
    <w:rsid w:val="003A194D"/>
    <w:rsid w:val="003A1B56"/>
    <w:rsid w:val="003A1F26"/>
    <w:rsid w:val="003A1F63"/>
    <w:rsid w:val="003A256C"/>
    <w:rsid w:val="003A28B7"/>
    <w:rsid w:val="003A29E8"/>
    <w:rsid w:val="003A2CF4"/>
    <w:rsid w:val="003A325C"/>
    <w:rsid w:val="003A36CD"/>
    <w:rsid w:val="003A408B"/>
    <w:rsid w:val="003A40B3"/>
    <w:rsid w:val="003A47B2"/>
    <w:rsid w:val="003A540E"/>
    <w:rsid w:val="003A54F6"/>
    <w:rsid w:val="003A5639"/>
    <w:rsid w:val="003A6ADA"/>
    <w:rsid w:val="003B019B"/>
    <w:rsid w:val="003B0C6C"/>
    <w:rsid w:val="003B0C94"/>
    <w:rsid w:val="003B0C98"/>
    <w:rsid w:val="003B18FB"/>
    <w:rsid w:val="003B1CC8"/>
    <w:rsid w:val="003B1D03"/>
    <w:rsid w:val="003B1D91"/>
    <w:rsid w:val="003B21C1"/>
    <w:rsid w:val="003B2E1A"/>
    <w:rsid w:val="003B314E"/>
    <w:rsid w:val="003B3BFC"/>
    <w:rsid w:val="003B4119"/>
    <w:rsid w:val="003B428C"/>
    <w:rsid w:val="003B4506"/>
    <w:rsid w:val="003B4525"/>
    <w:rsid w:val="003B4E80"/>
    <w:rsid w:val="003B5ACF"/>
    <w:rsid w:val="003B61E7"/>
    <w:rsid w:val="003B731A"/>
    <w:rsid w:val="003B76E9"/>
    <w:rsid w:val="003C0065"/>
    <w:rsid w:val="003C0E4A"/>
    <w:rsid w:val="003C0FE5"/>
    <w:rsid w:val="003C1171"/>
    <w:rsid w:val="003C1E35"/>
    <w:rsid w:val="003C1EB0"/>
    <w:rsid w:val="003C2A09"/>
    <w:rsid w:val="003C2AF1"/>
    <w:rsid w:val="003C3384"/>
    <w:rsid w:val="003C3A60"/>
    <w:rsid w:val="003C50A3"/>
    <w:rsid w:val="003C50CF"/>
    <w:rsid w:val="003C548B"/>
    <w:rsid w:val="003C55B7"/>
    <w:rsid w:val="003C55BD"/>
    <w:rsid w:val="003C56FF"/>
    <w:rsid w:val="003C5941"/>
    <w:rsid w:val="003C5EC7"/>
    <w:rsid w:val="003C63BE"/>
    <w:rsid w:val="003C6E5A"/>
    <w:rsid w:val="003C6FE0"/>
    <w:rsid w:val="003C70AF"/>
    <w:rsid w:val="003C722E"/>
    <w:rsid w:val="003D05DF"/>
    <w:rsid w:val="003D085A"/>
    <w:rsid w:val="003D08DF"/>
    <w:rsid w:val="003D09B2"/>
    <w:rsid w:val="003D0A31"/>
    <w:rsid w:val="003D0AFA"/>
    <w:rsid w:val="003D0C92"/>
    <w:rsid w:val="003D0E8A"/>
    <w:rsid w:val="003D16C3"/>
    <w:rsid w:val="003D16EB"/>
    <w:rsid w:val="003D1C83"/>
    <w:rsid w:val="003D1CA6"/>
    <w:rsid w:val="003D2198"/>
    <w:rsid w:val="003D350A"/>
    <w:rsid w:val="003D5016"/>
    <w:rsid w:val="003D51DF"/>
    <w:rsid w:val="003D5A57"/>
    <w:rsid w:val="003D5B20"/>
    <w:rsid w:val="003D5C3D"/>
    <w:rsid w:val="003D5E2D"/>
    <w:rsid w:val="003D653B"/>
    <w:rsid w:val="003D7B1C"/>
    <w:rsid w:val="003D7D73"/>
    <w:rsid w:val="003E03D1"/>
    <w:rsid w:val="003E058C"/>
    <w:rsid w:val="003E0691"/>
    <w:rsid w:val="003E0FD3"/>
    <w:rsid w:val="003E1505"/>
    <w:rsid w:val="003E1640"/>
    <w:rsid w:val="003E1D72"/>
    <w:rsid w:val="003E1DDC"/>
    <w:rsid w:val="003E1E05"/>
    <w:rsid w:val="003E28B2"/>
    <w:rsid w:val="003E3A57"/>
    <w:rsid w:val="003E3D65"/>
    <w:rsid w:val="003E4566"/>
    <w:rsid w:val="003E4790"/>
    <w:rsid w:val="003E5253"/>
    <w:rsid w:val="003E5852"/>
    <w:rsid w:val="003E6BF0"/>
    <w:rsid w:val="003E6DEF"/>
    <w:rsid w:val="003E6E35"/>
    <w:rsid w:val="003E750F"/>
    <w:rsid w:val="003F0DD0"/>
    <w:rsid w:val="003F1F07"/>
    <w:rsid w:val="003F27BF"/>
    <w:rsid w:val="003F3315"/>
    <w:rsid w:val="003F3D81"/>
    <w:rsid w:val="003F3FD9"/>
    <w:rsid w:val="003F4A26"/>
    <w:rsid w:val="003F4D46"/>
    <w:rsid w:val="003F5F0C"/>
    <w:rsid w:val="003F603A"/>
    <w:rsid w:val="003F6330"/>
    <w:rsid w:val="003F64A2"/>
    <w:rsid w:val="003F65AF"/>
    <w:rsid w:val="003F65E4"/>
    <w:rsid w:val="003F7374"/>
    <w:rsid w:val="003F7D00"/>
    <w:rsid w:val="003F7D70"/>
    <w:rsid w:val="003F7E6B"/>
    <w:rsid w:val="003F7E98"/>
    <w:rsid w:val="00400346"/>
    <w:rsid w:val="00400562"/>
    <w:rsid w:val="004007A2"/>
    <w:rsid w:val="00401392"/>
    <w:rsid w:val="004013E3"/>
    <w:rsid w:val="00401817"/>
    <w:rsid w:val="0040204F"/>
    <w:rsid w:val="0040257D"/>
    <w:rsid w:val="00403412"/>
    <w:rsid w:val="00403D55"/>
    <w:rsid w:val="00404D26"/>
    <w:rsid w:val="0040527D"/>
    <w:rsid w:val="004054F3"/>
    <w:rsid w:val="0040552C"/>
    <w:rsid w:val="0040604A"/>
    <w:rsid w:val="00406495"/>
    <w:rsid w:val="00407339"/>
    <w:rsid w:val="00407556"/>
    <w:rsid w:val="00407803"/>
    <w:rsid w:val="004103F1"/>
    <w:rsid w:val="00410E8D"/>
    <w:rsid w:val="00410ED3"/>
    <w:rsid w:val="00410F39"/>
    <w:rsid w:val="00410F73"/>
    <w:rsid w:val="00411BE8"/>
    <w:rsid w:val="00411DE5"/>
    <w:rsid w:val="004121AA"/>
    <w:rsid w:val="004128AA"/>
    <w:rsid w:val="00412E74"/>
    <w:rsid w:val="00413387"/>
    <w:rsid w:val="00413489"/>
    <w:rsid w:val="0041423B"/>
    <w:rsid w:val="00415B0C"/>
    <w:rsid w:val="0041655B"/>
    <w:rsid w:val="00416CEF"/>
    <w:rsid w:val="00417096"/>
    <w:rsid w:val="00417232"/>
    <w:rsid w:val="004204DE"/>
    <w:rsid w:val="00420AFA"/>
    <w:rsid w:val="00421AC0"/>
    <w:rsid w:val="00421C5E"/>
    <w:rsid w:val="00422E5D"/>
    <w:rsid w:val="00423012"/>
    <w:rsid w:val="0042336B"/>
    <w:rsid w:val="004238A5"/>
    <w:rsid w:val="00424399"/>
    <w:rsid w:val="004248B5"/>
    <w:rsid w:val="00424FA0"/>
    <w:rsid w:val="004256B2"/>
    <w:rsid w:val="0042609D"/>
    <w:rsid w:val="004260FF"/>
    <w:rsid w:val="00427435"/>
    <w:rsid w:val="004278D4"/>
    <w:rsid w:val="00430006"/>
    <w:rsid w:val="004308E3"/>
    <w:rsid w:val="00430E65"/>
    <w:rsid w:val="0043152D"/>
    <w:rsid w:val="00431619"/>
    <w:rsid w:val="004322C8"/>
    <w:rsid w:val="0043233D"/>
    <w:rsid w:val="00432417"/>
    <w:rsid w:val="00432946"/>
    <w:rsid w:val="00432B4D"/>
    <w:rsid w:val="00433255"/>
    <w:rsid w:val="004336CE"/>
    <w:rsid w:val="0043374B"/>
    <w:rsid w:val="00433D9A"/>
    <w:rsid w:val="00433F83"/>
    <w:rsid w:val="0043434F"/>
    <w:rsid w:val="00434414"/>
    <w:rsid w:val="00434836"/>
    <w:rsid w:val="00434B8C"/>
    <w:rsid w:val="00434C4A"/>
    <w:rsid w:val="004353DF"/>
    <w:rsid w:val="00435698"/>
    <w:rsid w:val="00435F75"/>
    <w:rsid w:val="00436D57"/>
    <w:rsid w:val="00436D5D"/>
    <w:rsid w:val="00436F2E"/>
    <w:rsid w:val="0043751A"/>
    <w:rsid w:val="00437DA5"/>
    <w:rsid w:val="0044000C"/>
    <w:rsid w:val="00440267"/>
    <w:rsid w:val="004407D4"/>
    <w:rsid w:val="004411C3"/>
    <w:rsid w:val="00441210"/>
    <w:rsid w:val="004415FF"/>
    <w:rsid w:val="00441839"/>
    <w:rsid w:val="00442A50"/>
    <w:rsid w:val="00442B9F"/>
    <w:rsid w:val="004433D4"/>
    <w:rsid w:val="0044346B"/>
    <w:rsid w:val="00444340"/>
    <w:rsid w:val="00444931"/>
    <w:rsid w:val="00444D04"/>
    <w:rsid w:val="00444D23"/>
    <w:rsid w:val="0044573D"/>
    <w:rsid w:val="00445BAF"/>
    <w:rsid w:val="00446118"/>
    <w:rsid w:val="00446146"/>
    <w:rsid w:val="00446215"/>
    <w:rsid w:val="0044640B"/>
    <w:rsid w:val="0044642E"/>
    <w:rsid w:val="00446783"/>
    <w:rsid w:val="00447763"/>
    <w:rsid w:val="004477E6"/>
    <w:rsid w:val="004479FA"/>
    <w:rsid w:val="00450111"/>
    <w:rsid w:val="00450462"/>
    <w:rsid w:val="004518F2"/>
    <w:rsid w:val="0045199D"/>
    <w:rsid w:val="00451DD5"/>
    <w:rsid w:val="00452513"/>
    <w:rsid w:val="004526EF"/>
    <w:rsid w:val="004529C7"/>
    <w:rsid w:val="00452C21"/>
    <w:rsid w:val="00452EF2"/>
    <w:rsid w:val="00453033"/>
    <w:rsid w:val="00453DEB"/>
    <w:rsid w:val="00453E6F"/>
    <w:rsid w:val="004546EB"/>
    <w:rsid w:val="00455E90"/>
    <w:rsid w:val="004562DA"/>
    <w:rsid w:val="0045668C"/>
    <w:rsid w:val="00456E96"/>
    <w:rsid w:val="004576CE"/>
    <w:rsid w:val="004579F6"/>
    <w:rsid w:val="00457D7F"/>
    <w:rsid w:val="00457F42"/>
    <w:rsid w:val="004601A6"/>
    <w:rsid w:val="004604E6"/>
    <w:rsid w:val="004606BF"/>
    <w:rsid w:val="004609AF"/>
    <w:rsid w:val="00462363"/>
    <w:rsid w:val="00462498"/>
    <w:rsid w:val="0046284C"/>
    <w:rsid w:val="0046286E"/>
    <w:rsid w:val="004632D2"/>
    <w:rsid w:val="0046370E"/>
    <w:rsid w:val="00463851"/>
    <w:rsid w:val="004638B0"/>
    <w:rsid w:val="004639C3"/>
    <w:rsid w:val="00463BB6"/>
    <w:rsid w:val="0046476B"/>
    <w:rsid w:val="004647B9"/>
    <w:rsid w:val="0046559A"/>
    <w:rsid w:val="0046635F"/>
    <w:rsid w:val="00466E03"/>
    <w:rsid w:val="00467019"/>
    <w:rsid w:val="004670A7"/>
    <w:rsid w:val="004670AC"/>
    <w:rsid w:val="00467F4F"/>
    <w:rsid w:val="00470969"/>
    <w:rsid w:val="00470BE7"/>
    <w:rsid w:val="004711B7"/>
    <w:rsid w:val="0047129D"/>
    <w:rsid w:val="004712B3"/>
    <w:rsid w:val="004718E7"/>
    <w:rsid w:val="00471F40"/>
    <w:rsid w:val="00472F44"/>
    <w:rsid w:val="00472F47"/>
    <w:rsid w:val="004739F9"/>
    <w:rsid w:val="0047406E"/>
    <w:rsid w:val="00474251"/>
    <w:rsid w:val="004747F6"/>
    <w:rsid w:val="00474A17"/>
    <w:rsid w:val="00474AFE"/>
    <w:rsid w:val="00474D72"/>
    <w:rsid w:val="00474FC5"/>
    <w:rsid w:val="00475315"/>
    <w:rsid w:val="00475B7F"/>
    <w:rsid w:val="004762C9"/>
    <w:rsid w:val="0047631E"/>
    <w:rsid w:val="0047649D"/>
    <w:rsid w:val="004771E9"/>
    <w:rsid w:val="00477438"/>
    <w:rsid w:val="00480F49"/>
    <w:rsid w:val="00483FCD"/>
    <w:rsid w:val="00484589"/>
    <w:rsid w:val="004849A8"/>
    <w:rsid w:val="004850CB"/>
    <w:rsid w:val="004858AB"/>
    <w:rsid w:val="00485950"/>
    <w:rsid w:val="00485C54"/>
    <w:rsid w:val="00485F12"/>
    <w:rsid w:val="004860C2"/>
    <w:rsid w:val="00486412"/>
    <w:rsid w:val="004864C0"/>
    <w:rsid w:val="00486AF9"/>
    <w:rsid w:val="00487242"/>
    <w:rsid w:val="0048758E"/>
    <w:rsid w:val="00487E9A"/>
    <w:rsid w:val="00490B23"/>
    <w:rsid w:val="00490F24"/>
    <w:rsid w:val="00491E0F"/>
    <w:rsid w:val="00491E53"/>
    <w:rsid w:val="00491EC2"/>
    <w:rsid w:val="00492628"/>
    <w:rsid w:val="00492887"/>
    <w:rsid w:val="00493F5A"/>
    <w:rsid w:val="004945B7"/>
    <w:rsid w:val="0049461B"/>
    <w:rsid w:val="00494D68"/>
    <w:rsid w:val="0049556C"/>
    <w:rsid w:val="004958F8"/>
    <w:rsid w:val="00495ADA"/>
    <w:rsid w:val="004962CB"/>
    <w:rsid w:val="004966E1"/>
    <w:rsid w:val="00496804"/>
    <w:rsid w:val="0049755B"/>
    <w:rsid w:val="00497A49"/>
    <w:rsid w:val="00497A4F"/>
    <w:rsid w:val="004A02B0"/>
    <w:rsid w:val="004A0F18"/>
    <w:rsid w:val="004A1671"/>
    <w:rsid w:val="004A1D76"/>
    <w:rsid w:val="004A2114"/>
    <w:rsid w:val="004A2364"/>
    <w:rsid w:val="004A2B86"/>
    <w:rsid w:val="004A2BF8"/>
    <w:rsid w:val="004A34E2"/>
    <w:rsid w:val="004A3998"/>
    <w:rsid w:val="004A3AB7"/>
    <w:rsid w:val="004A3FEC"/>
    <w:rsid w:val="004A4DAA"/>
    <w:rsid w:val="004A4FF3"/>
    <w:rsid w:val="004A5434"/>
    <w:rsid w:val="004A552D"/>
    <w:rsid w:val="004A55AD"/>
    <w:rsid w:val="004A5935"/>
    <w:rsid w:val="004A5A62"/>
    <w:rsid w:val="004A5FD0"/>
    <w:rsid w:val="004A66C7"/>
    <w:rsid w:val="004A6DC7"/>
    <w:rsid w:val="004A6F70"/>
    <w:rsid w:val="004A728B"/>
    <w:rsid w:val="004A761E"/>
    <w:rsid w:val="004A76E9"/>
    <w:rsid w:val="004A7F08"/>
    <w:rsid w:val="004B05B1"/>
    <w:rsid w:val="004B0B3A"/>
    <w:rsid w:val="004B199C"/>
    <w:rsid w:val="004B3079"/>
    <w:rsid w:val="004B3C31"/>
    <w:rsid w:val="004B4A3B"/>
    <w:rsid w:val="004B4B6E"/>
    <w:rsid w:val="004B50D7"/>
    <w:rsid w:val="004B52E4"/>
    <w:rsid w:val="004B5D53"/>
    <w:rsid w:val="004B61F8"/>
    <w:rsid w:val="004B6259"/>
    <w:rsid w:val="004B6279"/>
    <w:rsid w:val="004B629E"/>
    <w:rsid w:val="004B7377"/>
    <w:rsid w:val="004B7718"/>
    <w:rsid w:val="004C0445"/>
    <w:rsid w:val="004C05FB"/>
    <w:rsid w:val="004C0807"/>
    <w:rsid w:val="004C0DD5"/>
    <w:rsid w:val="004C12F9"/>
    <w:rsid w:val="004C16DD"/>
    <w:rsid w:val="004C18BF"/>
    <w:rsid w:val="004C2306"/>
    <w:rsid w:val="004C242D"/>
    <w:rsid w:val="004C2588"/>
    <w:rsid w:val="004C32C7"/>
    <w:rsid w:val="004C39AF"/>
    <w:rsid w:val="004C48E5"/>
    <w:rsid w:val="004C5D97"/>
    <w:rsid w:val="004C5F6B"/>
    <w:rsid w:val="004C72F1"/>
    <w:rsid w:val="004D09C1"/>
    <w:rsid w:val="004D0F99"/>
    <w:rsid w:val="004D15A0"/>
    <w:rsid w:val="004D1966"/>
    <w:rsid w:val="004D3362"/>
    <w:rsid w:val="004D3B9A"/>
    <w:rsid w:val="004D4260"/>
    <w:rsid w:val="004D46C0"/>
    <w:rsid w:val="004D47B1"/>
    <w:rsid w:val="004D47B3"/>
    <w:rsid w:val="004D4EA9"/>
    <w:rsid w:val="004D5458"/>
    <w:rsid w:val="004D5493"/>
    <w:rsid w:val="004D5D22"/>
    <w:rsid w:val="004D693B"/>
    <w:rsid w:val="004D7597"/>
    <w:rsid w:val="004D7716"/>
    <w:rsid w:val="004E0120"/>
    <w:rsid w:val="004E0E0E"/>
    <w:rsid w:val="004E160A"/>
    <w:rsid w:val="004E1681"/>
    <w:rsid w:val="004E19E1"/>
    <w:rsid w:val="004E269B"/>
    <w:rsid w:val="004E26EE"/>
    <w:rsid w:val="004E2DC6"/>
    <w:rsid w:val="004E30F0"/>
    <w:rsid w:val="004E3319"/>
    <w:rsid w:val="004E43FA"/>
    <w:rsid w:val="004E45F0"/>
    <w:rsid w:val="004E4FE7"/>
    <w:rsid w:val="004E505E"/>
    <w:rsid w:val="004E6ADB"/>
    <w:rsid w:val="004E7043"/>
    <w:rsid w:val="004E7384"/>
    <w:rsid w:val="004F118A"/>
    <w:rsid w:val="004F11FE"/>
    <w:rsid w:val="004F125E"/>
    <w:rsid w:val="004F1444"/>
    <w:rsid w:val="004F14B6"/>
    <w:rsid w:val="004F1624"/>
    <w:rsid w:val="004F223E"/>
    <w:rsid w:val="004F270E"/>
    <w:rsid w:val="004F3C96"/>
    <w:rsid w:val="004F486D"/>
    <w:rsid w:val="004F48C0"/>
    <w:rsid w:val="004F54EE"/>
    <w:rsid w:val="004F59B0"/>
    <w:rsid w:val="004F59F4"/>
    <w:rsid w:val="004F5FF0"/>
    <w:rsid w:val="004F607F"/>
    <w:rsid w:val="004F63F0"/>
    <w:rsid w:val="004F7239"/>
    <w:rsid w:val="004F74F0"/>
    <w:rsid w:val="004F75FA"/>
    <w:rsid w:val="004F7CC2"/>
    <w:rsid w:val="00500244"/>
    <w:rsid w:val="005006E1"/>
    <w:rsid w:val="00500C8C"/>
    <w:rsid w:val="00501A9B"/>
    <w:rsid w:val="005023AC"/>
    <w:rsid w:val="005027DF"/>
    <w:rsid w:val="00502A12"/>
    <w:rsid w:val="00502F6D"/>
    <w:rsid w:val="005034EE"/>
    <w:rsid w:val="00503AE9"/>
    <w:rsid w:val="00503FFD"/>
    <w:rsid w:val="00504589"/>
    <w:rsid w:val="00505DE3"/>
    <w:rsid w:val="00506028"/>
    <w:rsid w:val="00506693"/>
    <w:rsid w:val="005066FB"/>
    <w:rsid w:val="00506D4E"/>
    <w:rsid w:val="00507041"/>
    <w:rsid w:val="0050730F"/>
    <w:rsid w:val="00507660"/>
    <w:rsid w:val="005105B5"/>
    <w:rsid w:val="00510692"/>
    <w:rsid w:val="0051099E"/>
    <w:rsid w:val="00510D31"/>
    <w:rsid w:val="00510D80"/>
    <w:rsid w:val="0051143F"/>
    <w:rsid w:val="00511449"/>
    <w:rsid w:val="00511468"/>
    <w:rsid w:val="005114B6"/>
    <w:rsid w:val="00511C41"/>
    <w:rsid w:val="00512175"/>
    <w:rsid w:val="005129F3"/>
    <w:rsid w:val="00513B0C"/>
    <w:rsid w:val="00513FBA"/>
    <w:rsid w:val="005146EB"/>
    <w:rsid w:val="00514F3C"/>
    <w:rsid w:val="0051509F"/>
    <w:rsid w:val="00515ADD"/>
    <w:rsid w:val="005162E4"/>
    <w:rsid w:val="0051680D"/>
    <w:rsid w:val="005168E5"/>
    <w:rsid w:val="00516A6E"/>
    <w:rsid w:val="005170FA"/>
    <w:rsid w:val="00517972"/>
    <w:rsid w:val="0052003C"/>
    <w:rsid w:val="00520822"/>
    <w:rsid w:val="00520BB8"/>
    <w:rsid w:val="00520FC6"/>
    <w:rsid w:val="0052135F"/>
    <w:rsid w:val="005218FE"/>
    <w:rsid w:val="005219DB"/>
    <w:rsid w:val="005227E5"/>
    <w:rsid w:val="00522A16"/>
    <w:rsid w:val="00522C62"/>
    <w:rsid w:val="00523BFA"/>
    <w:rsid w:val="00523C02"/>
    <w:rsid w:val="00524FDC"/>
    <w:rsid w:val="00525AC2"/>
    <w:rsid w:val="00525B9C"/>
    <w:rsid w:val="00525E4E"/>
    <w:rsid w:val="00525EBF"/>
    <w:rsid w:val="00526BA1"/>
    <w:rsid w:val="00527134"/>
    <w:rsid w:val="00527471"/>
    <w:rsid w:val="00527A88"/>
    <w:rsid w:val="00530597"/>
    <w:rsid w:val="0053070B"/>
    <w:rsid w:val="00530BEA"/>
    <w:rsid w:val="0053122E"/>
    <w:rsid w:val="00532193"/>
    <w:rsid w:val="0053229B"/>
    <w:rsid w:val="005322B3"/>
    <w:rsid w:val="005323C0"/>
    <w:rsid w:val="00532C3A"/>
    <w:rsid w:val="0053342F"/>
    <w:rsid w:val="005340D3"/>
    <w:rsid w:val="005348E8"/>
    <w:rsid w:val="005355B7"/>
    <w:rsid w:val="0053583A"/>
    <w:rsid w:val="00535DA6"/>
    <w:rsid w:val="005365A4"/>
    <w:rsid w:val="00537202"/>
    <w:rsid w:val="00537E8A"/>
    <w:rsid w:val="0054113D"/>
    <w:rsid w:val="005412E0"/>
    <w:rsid w:val="00541939"/>
    <w:rsid w:val="00541BBE"/>
    <w:rsid w:val="0054272E"/>
    <w:rsid w:val="00542EAF"/>
    <w:rsid w:val="0054305F"/>
    <w:rsid w:val="005438BD"/>
    <w:rsid w:val="0054404D"/>
    <w:rsid w:val="00544B6B"/>
    <w:rsid w:val="00544E58"/>
    <w:rsid w:val="005451F4"/>
    <w:rsid w:val="00547ABE"/>
    <w:rsid w:val="00550298"/>
    <w:rsid w:val="005502A3"/>
    <w:rsid w:val="00551B23"/>
    <w:rsid w:val="00551CD3"/>
    <w:rsid w:val="00551D6C"/>
    <w:rsid w:val="00552080"/>
    <w:rsid w:val="0055218E"/>
    <w:rsid w:val="0055256A"/>
    <w:rsid w:val="00552EF9"/>
    <w:rsid w:val="00552FDC"/>
    <w:rsid w:val="00553352"/>
    <w:rsid w:val="0055398B"/>
    <w:rsid w:val="00553D45"/>
    <w:rsid w:val="0055403F"/>
    <w:rsid w:val="005541B3"/>
    <w:rsid w:val="005541EF"/>
    <w:rsid w:val="005544AD"/>
    <w:rsid w:val="005546ED"/>
    <w:rsid w:val="0055476E"/>
    <w:rsid w:val="005548EB"/>
    <w:rsid w:val="00555318"/>
    <w:rsid w:val="0055540A"/>
    <w:rsid w:val="005556A3"/>
    <w:rsid w:val="00555727"/>
    <w:rsid w:val="00555FE4"/>
    <w:rsid w:val="00556AF6"/>
    <w:rsid w:val="00556FA0"/>
    <w:rsid w:val="00557B4E"/>
    <w:rsid w:val="005605F5"/>
    <w:rsid w:val="00560728"/>
    <w:rsid w:val="005607A5"/>
    <w:rsid w:val="005607C8"/>
    <w:rsid w:val="00560AC5"/>
    <w:rsid w:val="00562623"/>
    <w:rsid w:val="00562C77"/>
    <w:rsid w:val="00562F95"/>
    <w:rsid w:val="00563195"/>
    <w:rsid w:val="005632F4"/>
    <w:rsid w:val="0056392D"/>
    <w:rsid w:val="00563DF3"/>
    <w:rsid w:val="0056416A"/>
    <w:rsid w:val="00564256"/>
    <w:rsid w:val="00564BDB"/>
    <w:rsid w:val="00564FA7"/>
    <w:rsid w:val="005657C6"/>
    <w:rsid w:val="00565C6A"/>
    <w:rsid w:val="005667CE"/>
    <w:rsid w:val="00566839"/>
    <w:rsid w:val="00566B80"/>
    <w:rsid w:val="00566E90"/>
    <w:rsid w:val="00567861"/>
    <w:rsid w:val="00567AFF"/>
    <w:rsid w:val="00567B58"/>
    <w:rsid w:val="00567ED0"/>
    <w:rsid w:val="00567FC5"/>
    <w:rsid w:val="00570060"/>
    <w:rsid w:val="00570B25"/>
    <w:rsid w:val="00570C92"/>
    <w:rsid w:val="005710EE"/>
    <w:rsid w:val="00571512"/>
    <w:rsid w:val="00571856"/>
    <w:rsid w:val="00571F2C"/>
    <w:rsid w:val="00572AB5"/>
    <w:rsid w:val="00572E7B"/>
    <w:rsid w:val="00572ED6"/>
    <w:rsid w:val="00573200"/>
    <w:rsid w:val="00573B7A"/>
    <w:rsid w:val="00574675"/>
    <w:rsid w:val="00574A60"/>
    <w:rsid w:val="00574A8D"/>
    <w:rsid w:val="00574C87"/>
    <w:rsid w:val="00574D81"/>
    <w:rsid w:val="005753E6"/>
    <w:rsid w:val="005754F5"/>
    <w:rsid w:val="00575953"/>
    <w:rsid w:val="005768F4"/>
    <w:rsid w:val="00576A3B"/>
    <w:rsid w:val="00576E63"/>
    <w:rsid w:val="00577746"/>
    <w:rsid w:val="00577DE0"/>
    <w:rsid w:val="0058099C"/>
    <w:rsid w:val="00580E46"/>
    <w:rsid w:val="00581786"/>
    <w:rsid w:val="005828AE"/>
    <w:rsid w:val="00582B0A"/>
    <w:rsid w:val="005834EF"/>
    <w:rsid w:val="005835D0"/>
    <w:rsid w:val="0058364F"/>
    <w:rsid w:val="00583A20"/>
    <w:rsid w:val="005845EC"/>
    <w:rsid w:val="00586BB5"/>
    <w:rsid w:val="00587542"/>
    <w:rsid w:val="005879F8"/>
    <w:rsid w:val="005907BF"/>
    <w:rsid w:val="0059099E"/>
    <w:rsid w:val="005909FA"/>
    <w:rsid w:val="00590CE7"/>
    <w:rsid w:val="0059104C"/>
    <w:rsid w:val="00591795"/>
    <w:rsid w:val="00591E92"/>
    <w:rsid w:val="00592750"/>
    <w:rsid w:val="005927E8"/>
    <w:rsid w:val="005934E4"/>
    <w:rsid w:val="005936BD"/>
    <w:rsid w:val="00593C12"/>
    <w:rsid w:val="005946A8"/>
    <w:rsid w:val="00595265"/>
    <w:rsid w:val="00595362"/>
    <w:rsid w:val="00595501"/>
    <w:rsid w:val="00596095"/>
    <w:rsid w:val="00596C8B"/>
    <w:rsid w:val="0059735F"/>
    <w:rsid w:val="005978F6"/>
    <w:rsid w:val="005A036D"/>
    <w:rsid w:val="005A18E2"/>
    <w:rsid w:val="005A31CC"/>
    <w:rsid w:val="005A34E2"/>
    <w:rsid w:val="005A4B31"/>
    <w:rsid w:val="005A4D56"/>
    <w:rsid w:val="005A54C1"/>
    <w:rsid w:val="005A582E"/>
    <w:rsid w:val="005A5D99"/>
    <w:rsid w:val="005A6196"/>
    <w:rsid w:val="005A68DF"/>
    <w:rsid w:val="005A7C95"/>
    <w:rsid w:val="005B09EF"/>
    <w:rsid w:val="005B0AF2"/>
    <w:rsid w:val="005B1D87"/>
    <w:rsid w:val="005B2F6E"/>
    <w:rsid w:val="005B2FA7"/>
    <w:rsid w:val="005B3298"/>
    <w:rsid w:val="005B3423"/>
    <w:rsid w:val="005B43F4"/>
    <w:rsid w:val="005B48B4"/>
    <w:rsid w:val="005B48F8"/>
    <w:rsid w:val="005B4F37"/>
    <w:rsid w:val="005B5048"/>
    <w:rsid w:val="005B5348"/>
    <w:rsid w:val="005B5387"/>
    <w:rsid w:val="005B54DF"/>
    <w:rsid w:val="005B5C68"/>
    <w:rsid w:val="005B5CDB"/>
    <w:rsid w:val="005B7A78"/>
    <w:rsid w:val="005B7E93"/>
    <w:rsid w:val="005B7FD4"/>
    <w:rsid w:val="005C02EC"/>
    <w:rsid w:val="005C0C11"/>
    <w:rsid w:val="005C0EAC"/>
    <w:rsid w:val="005C1720"/>
    <w:rsid w:val="005C1C45"/>
    <w:rsid w:val="005C1F9A"/>
    <w:rsid w:val="005C20CE"/>
    <w:rsid w:val="005C3557"/>
    <w:rsid w:val="005C3FAA"/>
    <w:rsid w:val="005C426D"/>
    <w:rsid w:val="005C44B5"/>
    <w:rsid w:val="005C4E18"/>
    <w:rsid w:val="005C4EEE"/>
    <w:rsid w:val="005C577E"/>
    <w:rsid w:val="005C58F8"/>
    <w:rsid w:val="005C5ABF"/>
    <w:rsid w:val="005C5D92"/>
    <w:rsid w:val="005C64C4"/>
    <w:rsid w:val="005C673F"/>
    <w:rsid w:val="005C7AD6"/>
    <w:rsid w:val="005C7AE6"/>
    <w:rsid w:val="005C7BC3"/>
    <w:rsid w:val="005D0295"/>
    <w:rsid w:val="005D1091"/>
    <w:rsid w:val="005D1D04"/>
    <w:rsid w:val="005D2D88"/>
    <w:rsid w:val="005D2FB6"/>
    <w:rsid w:val="005D3785"/>
    <w:rsid w:val="005D38C4"/>
    <w:rsid w:val="005D4135"/>
    <w:rsid w:val="005D494D"/>
    <w:rsid w:val="005D4C0C"/>
    <w:rsid w:val="005D57C8"/>
    <w:rsid w:val="005D5C7B"/>
    <w:rsid w:val="005D6065"/>
    <w:rsid w:val="005D6520"/>
    <w:rsid w:val="005D6834"/>
    <w:rsid w:val="005D6E59"/>
    <w:rsid w:val="005D71F0"/>
    <w:rsid w:val="005D7930"/>
    <w:rsid w:val="005D7C73"/>
    <w:rsid w:val="005D7F05"/>
    <w:rsid w:val="005E023C"/>
    <w:rsid w:val="005E0B56"/>
    <w:rsid w:val="005E12A1"/>
    <w:rsid w:val="005E223B"/>
    <w:rsid w:val="005E26C1"/>
    <w:rsid w:val="005E2B32"/>
    <w:rsid w:val="005E39AC"/>
    <w:rsid w:val="005E47AE"/>
    <w:rsid w:val="005E528E"/>
    <w:rsid w:val="005E647A"/>
    <w:rsid w:val="005E6590"/>
    <w:rsid w:val="005E6783"/>
    <w:rsid w:val="005E6AF7"/>
    <w:rsid w:val="005E7109"/>
    <w:rsid w:val="005E731A"/>
    <w:rsid w:val="005E7768"/>
    <w:rsid w:val="005E7C31"/>
    <w:rsid w:val="005E7CC6"/>
    <w:rsid w:val="005E7EFB"/>
    <w:rsid w:val="005F0349"/>
    <w:rsid w:val="005F046A"/>
    <w:rsid w:val="005F06A0"/>
    <w:rsid w:val="005F0BD7"/>
    <w:rsid w:val="005F1178"/>
    <w:rsid w:val="005F117D"/>
    <w:rsid w:val="005F159F"/>
    <w:rsid w:val="005F1A1F"/>
    <w:rsid w:val="005F1FAB"/>
    <w:rsid w:val="005F2C90"/>
    <w:rsid w:val="005F2E7B"/>
    <w:rsid w:val="005F3CC0"/>
    <w:rsid w:val="005F427E"/>
    <w:rsid w:val="005F429D"/>
    <w:rsid w:val="005F43E3"/>
    <w:rsid w:val="005F4DB2"/>
    <w:rsid w:val="005F4F14"/>
    <w:rsid w:val="005F50F6"/>
    <w:rsid w:val="005F5D3C"/>
    <w:rsid w:val="005F5E69"/>
    <w:rsid w:val="005F6B50"/>
    <w:rsid w:val="005F6CC7"/>
    <w:rsid w:val="005F7099"/>
    <w:rsid w:val="005F7AA8"/>
    <w:rsid w:val="005F7D14"/>
    <w:rsid w:val="0060028A"/>
    <w:rsid w:val="00600C73"/>
    <w:rsid w:val="00600ECA"/>
    <w:rsid w:val="00601487"/>
    <w:rsid w:val="006015D7"/>
    <w:rsid w:val="00601DA5"/>
    <w:rsid w:val="00603587"/>
    <w:rsid w:val="00603C06"/>
    <w:rsid w:val="00603C0D"/>
    <w:rsid w:val="00604533"/>
    <w:rsid w:val="006048AB"/>
    <w:rsid w:val="00604C11"/>
    <w:rsid w:val="00605045"/>
    <w:rsid w:val="006062FE"/>
    <w:rsid w:val="00606554"/>
    <w:rsid w:val="00606D43"/>
    <w:rsid w:val="00607C39"/>
    <w:rsid w:val="00607C53"/>
    <w:rsid w:val="00610128"/>
    <w:rsid w:val="00610208"/>
    <w:rsid w:val="006106AD"/>
    <w:rsid w:val="00610B57"/>
    <w:rsid w:val="006110B6"/>
    <w:rsid w:val="00611E2A"/>
    <w:rsid w:val="006125CC"/>
    <w:rsid w:val="006125EE"/>
    <w:rsid w:val="00612FF4"/>
    <w:rsid w:val="00613107"/>
    <w:rsid w:val="0061328D"/>
    <w:rsid w:val="00614B8E"/>
    <w:rsid w:val="00614F9C"/>
    <w:rsid w:val="00615155"/>
    <w:rsid w:val="006152D6"/>
    <w:rsid w:val="00615696"/>
    <w:rsid w:val="00615B3E"/>
    <w:rsid w:val="00616740"/>
    <w:rsid w:val="00616E35"/>
    <w:rsid w:val="00617895"/>
    <w:rsid w:val="006178D0"/>
    <w:rsid w:val="00617A02"/>
    <w:rsid w:val="006213E4"/>
    <w:rsid w:val="006215FE"/>
    <w:rsid w:val="00621AAC"/>
    <w:rsid w:val="0062308D"/>
    <w:rsid w:val="00623315"/>
    <w:rsid w:val="006236DB"/>
    <w:rsid w:val="006239A6"/>
    <w:rsid w:val="00623EC7"/>
    <w:rsid w:val="00623EC8"/>
    <w:rsid w:val="00624418"/>
    <w:rsid w:val="00624FAC"/>
    <w:rsid w:val="006250B1"/>
    <w:rsid w:val="006252A9"/>
    <w:rsid w:val="00625981"/>
    <w:rsid w:val="00625CF0"/>
    <w:rsid w:val="00626853"/>
    <w:rsid w:val="00627388"/>
    <w:rsid w:val="006275B9"/>
    <w:rsid w:val="00627788"/>
    <w:rsid w:val="006277CA"/>
    <w:rsid w:val="00627F0B"/>
    <w:rsid w:val="006301FF"/>
    <w:rsid w:val="006304EF"/>
    <w:rsid w:val="0063070D"/>
    <w:rsid w:val="00630B20"/>
    <w:rsid w:val="00630F42"/>
    <w:rsid w:val="006319DB"/>
    <w:rsid w:val="00632116"/>
    <w:rsid w:val="006323C2"/>
    <w:rsid w:val="00632F93"/>
    <w:rsid w:val="00632FF2"/>
    <w:rsid w:val="00635927"/>
    <w:rsid w:val="006368DA"/>
    <w:rsid w:val="00636AB0"/>
    <w:rsid w:val="0063751B"/>
    <w:rsid w:val="0063795A"/>
    <w:rsid w:val="006403FE"/>
    <w:rsid w:val="0064071E"/>
    <w:rsid w:val="00641A37"/>
    <w:rsid w:val="00641BF1"/>
    <w:rsid w:val="006426E5"/>
    <w:rsid w:val="00643555"/>
    <w:rsid w:val="00643701"/>
    <w:rsid w:val="0064394E"/>
    <w:rsid w:val="00643D63"/>
    <w:rsid w:val="00644498"/>
    <w:rsid w:val="0064477F"/>
    <w:rsid w:val="00644A72"/>
    <w:rsid w:val="00644C75"/>
    <w:rsid w:val="00645011"/>
    <w:rsid w:val="00645FBD"/>
    <w:rsid w:val="006478C2"/>
    <w:rsid w:val="00647A1B"/>
    <w:rsid w:val="0065056B"/>
    <w:rsid w:val="00650648"/>
    <w:rsid w:val="00650FEF"/>
    <w:rsid w:val="0065139D"/>
    <w:rsid w:val="00651A0F"/>
    <w:rsid w:val="00651A64"/>
    <w:rsid w:val="00651D02"/>
    <w:rsid w:val="006537BB"/>
    <w:rsid w:val="00653A5C"/>
    <w:rsid w:val="00653C9A"/>
    <w:rsid w:val="00653CF9"/>
    <w:rsid w:val="006544C1"/>
    <w:rsid w:val="00655738"/>
    <w:rsid w:val="00655858"/>
    <w:rsid w:val="00655CB3"/>
    <w:rsid w:val="00656151"/>
    <w:rsid w:val="006567C1"/>
    <w:rsid w:val="0065680E"/>
    <w:rsid w:val="006570D7"/>
    <w:rsid w:val="006574C6"/>
    <w:rsid w:val="00657956"/>
    <w:rsid w:val="00660860"/>
    <w:rsid w:val="00660924"/>
    <w:rsid w:val="00660DE5"/>
    <w:rsid w:val="006610A9"/>
    <w:rsid w:val="006615C9"/>
    <w:rsid w:val="00661FF3"/>
    <w:rsid w:val="00662304"/>
    <w:rsid w:val="006624F1"/>
    <w:rsid w:val="006635B0"/>
    <w:rsid w:val="006653BD"/>
    <w:rsid w:val="006655B2"/>
    <w:rsid w:val="00665789"/>
    <w:rsid w:val="00665793"/>
    <w:rsid w:val="00665BAD"/>
    <w:rsid w:val="00665F10"/>
    <w:rsid w:val="006670B1"/>
    <w:rsid w:val="00667192"/>
    <w:rsid w:val="00667BA0"/>
    <w:rsid w:val="00667E25"/>
    <w:rsid w:val="0067011D"/>
    <w:rsid w:val="00670D46"/>
    <w:rsid w:val="00671688"/>
    <w:rsid w:val="0067185D"/>
    <w:rsid w:val="006725AD"/>
    <w:rsid w:val="006734A1"/>
    <w:rsid w:val="00673A86"/>
    <w:rsid w:val="006741CD"/>
    <w:rsid w:val="00674A28"/>
    <w:rsid w:val="00674B42"/>
    <w:rsid w:val="0067526F"/>
    <w:rsid w:val="00675410"/>
    <w:rsid w:val="00675E35"/>
    <w:rsid w:val="006764D0"/>
    <w:rsid w:val="006764E5"/>
    <w:rsid w:val="00676651"/>
    <w:rsid w:val="00676B43"/>
    <w:rsid w:val="00676BB4"/>
    <w:rsid w:val="00676CD8"/>
    <w:rsid w:val="00677820"/>
    <w:rsid w:val="00681B29"/>
    <w:rsid w:val="00681DDE"/>
    <w:rsid w:val="00681E0D"/>
    <w:rsid w:val="00682027"/>
    <w:rsid w:val="00682946"/>
    <w:rsid w:val="00683235"/>
    <w:rsid w:val="006837AA"/>
    <w:rsid w:val="00683AC2"/>
    <w:rsid w:val="00683DC6"/>
    <w:rsid w:val="00684F18"/>
    <w:rsid w:val="006853D4"/>
    <w:rsid w:val="0068584E"/>
    <w:rsid w:val="00685916"/>
    <w:rsid w:val="00686286"/>
    <w:rsid w:val="0068635D"/>
    <w:rsid w:val="0068672B"/>
    <w:rsid w:val="00687590"/>
    <w:rsid w:val="00687B0C"/>
    <w:rsid w:val="00687D94"/>
    <w:rsid w:val="0069054F"/>
    <w:rsid w:val="006905E7"/>
    <w:rsid w:val="00690D5F"/>
    <w:rsid w:val="00691FB4"/>
    <w:rsid w:val="00691FFB"/>
    <w:rsid w:val="0069234F"/>
    <w:rsid w:val="00692B30"/>
    <w:rsid w:val="00692E47"/>
    <w:rsid w:val="00693019"/>
    <w:rsid w:val="00693E7C"/>
    <w:rsid w:val="00694186"/>
    <w:rsid w:val="00694A04"/>
    <w:rsid w:val="006956C7"/>
    <w:rsid w:val="00695B9A"/>
    <w:rsid w:val="00695C72"/>
    <w:rsid w:val="00696D43"/>
    <w:rsid w:val="00696DB9"/>
    <w:rsid w:val="00696F0B"/>
    <w:rsid w:val="0069762F"/>
    <w:rsid w:val="00697C5D"/>
    <w:rsid w:val="006A1144"/>
    <w:rsid w:val="006A115F"/>
    <w:rsid w:val="006A201D"/>
    <w:rsid w:val="006A2158"/>
    <w:rsid w:val="006A27F7"/>
    <w:rsid w:val="006A2FB9"/>
    <w:rsid w:val="006A300B"/>
    <w:rsid w:val="006A37FC"/>
    <w:rsid w:val="006A3A84"/>
    <w:rsid w:val="006A3EB8"/>
    <w:rsid w:val="006A405F"/>
    <w:rsid w:val="006A46CC"/>
    <w:rsid w:val="006A478A"/>
    <w:rsid w:val="006A48D5"/>
    <w:rsid w:val="006A4E21"/>
    <w:rsid w:val="006A4F69"/>
    <w:rsid w:val="006A4F83"/>
    <w:rsid w:val="006A5011"/>
    <w:rsid w:val="006A536C"/>
    <w:rsid w:val="006A5D8D"/>
    <w:rsid w:val="006A6A7B"/>
    <w:rsid w:val="006A7499"/>
    <w:rsid w:val="006A7E59"/>
    <w:rsid w:val="006A7EA5"/>
    <w:rsid w:val="006A7FD1"/>
    <w:rsid w:val="006B0007"/>
    <w:rsid w:val="006B14B7"/>
    <w:rsid w:val="006B1659"/>
    <w:rsid w:val="006B18B1"/>
    <w:rsid w:val="006B1A42"/>
    <w:rsid w:val="006B2B4A"/>
    <w:rsid w:val="006B32A8"/>
    <w:rsid w:val="006B3511"/>
    <w:rsid w:val="006B40D4"/>
    <w:rsid w:val="006B48F3"/>
    <w:rsid w:val="006B499C"/>
    <w:rsid w:val="006B603A"/>
    <w:rsid w:val="006B6D3E"/>
    <w:rsid w:val="006B6D7A"/>
    <w:rsid w:val="006B7422"/>
    <w:rsid w:val="006B767C"/>
    <w:rsid w:val="006C06BB"/>
    <w:rsid w:val="006C10A6"/>
    <w:rsid w:val="006C1605"/>
    <w:rsid w:val="006C1D77"/>
    <w:rsid w:val="006C278A"/>
    <w:rsid w:val="006C2D9F"/>
    <w:rsid w:val="006C3126"/>
    <w:rsid w:val="006C38B6"/>
    <w:rsid w:val="006C3F36"/>
    <w:rsid w:val="006C3FEE"/>
    <w:rsid w:val="006C4066"/>
    <w:rsid w:val="006C440D"/>
    <w:rsid w:val="006C464B"/>
    <w:rsid w:val="006C4B63"/>
    <w:rsid w:val="006C4C9F"/>
    <w:rsid w:val="006C4EB3"/>
    <w:rsid w:val="006C4EB6"/>
    <w:rsid w:val="006C4FA9"/>
    <w:rsid w:val="006C4FE5"/>
    <w:rsid w:val="006C5862"/>
    <w:rsid w:val="006C62F2"/>
    <w:rsid w:val="006C6C56"/>
    <w:rsid w:val="006C6FE9"/>
    <w:rsid w:val="006C7843"/>
    <w:rsid w:val="006C7C3B"/>
    <w:rsid w:val="006C7F4B"/>
    <w:rsid w:val="006D0177"/>
    <w:rsid w:val="006D0623"/>
    <w:rsid w:val="006D07AF"/>
    <w:rsid w:val="006D0A75"/>
    <w:rsid w:val="006D0EC7"/>
    <w:rsid w:val="006D165A"/>
    <w:rsid w:val="006D26E4"/>
    <w:rsid w:val="006D2C51"/>
    <w:rsid w:val="006D2D80"/>
    <w:rsid w:val="006D302B"/>
    <w:rsid w:val="006D30C0"/>
    <w:rsid w:val="006D336F"/>
    <w:rsid w:val="006D4BF3"/>
    <w:rsid w:val="006D4EB2"/>
    <w:rsid w:val="006D50AE"/>
    <w:rsid w:val="006D5362"/>
    <w:rsid w:val="006D5386"/>
    <w:rsid w:val="006D54DC"/>
    <w:rsid w:val="006D550F"/>
    <w:rsid w:val="006D5822"/>
    <w:rsid w:val="006D6522"/>
    <w:rsid w:val="006D715A"/>
    <w:rsid w:val="006D776C"/>
    <w:rsid w:val="006D7AD6"/>
    <w:rsid w:val="006D7CF1"/>
    <w:rsid w:val="006D7F42"/>
    <w:rsid w:val="006E0192"/>
    <w:rsid w:val="006E0562"/>
    <w:rsid w:val="006E11E6"/>
    <w:rsid w:val="006E13B6"/>
    <w:rsid w:val="006E1C8E"/>
    <w:rsid w:val="006E1D7E"/>
    <w:rsid w:val="006E1E59"/>
    <w:rsid w:val="006E1F64"/>
    <w:rsid w:val="006E20B3"/>
    <w:rsid w:val="006E30DE"/>
    <w:rsid w:val="006E34A0"/>
    <w:rsid w:val="006E3789"/>
    <w:rsid w:val="006E37C3"/>
    <w:rsid w:val="006E43B4"/>
    <w:rsid w:val="006E44CF"/>
    <w:rsid w:val="006E4ADC"/>
    <w:rsid w:val="006E4B7C"/>
    <w:rsid w:val="006E4D74"/>
    <w:rsid w:val="006E4E37"/>
    <w:rsid w:val="006E5D21"/>
    <w:rsid w:val="006E5D47"/>
    <w:rsid w:val="006E6B8A"/>
    <w:rsid w:val="006E6CBF"/>
    <w:rsid w:val="006E6D29"/>
    <w:rsid w:val="006E6D89"/>
    <w:rsid w:val="006E7779"/>
    <w:rsid w:val="006F01AA"/>
    <w:rsid w:val="006F046A"/>
    <w:rsid w:val="006F1914"/>
    <w:rsid w:val="006F218D"/>
    <w:rsid w:val="006F2D92"/>
    <w:rsid w:val="006F2F3E"/>
    <w:rsid w:val="006F3C2D"/>
    <w:rsid w:val="006F453B"/>
    <w:rsid w:val="006F46EE"/>
    <w:rsid w:val="006F4741"/>
    <w:rsid w:val="006F622A"/>
    <w:rsid w:val="006F66AB"/>
    <w:rsid w:val="006F6B7F"/>
    <w:rsid w:val="006F6D06"/>
    <w:rsid w:val="006F7267"/>
    <w:rsid w:val="006F7AA5"/>
    <w:rsid w:val="006F7BBB"/>
    <w:rsid w:val="006F7D03"/>
    <w:rsid w:val="0070063C"/>
    <w:rsid w:val="007006D1"/>
    <w:rsid w:val="00700A9D"/>
    <w:rsid w:val="007010CA"/>
    <w:rsid w:val="007017BA"/>
    <w:rsid w:val="00701A00"/>
    <w:rsid w:val="00701D67"/>
    <w:rsid w:val="00701EE4"/>
    <w:rsid w:val="00702449"/>
    <w:rsid w:val="007028BF"/>
    <w:rsid w:val="007035A4"/>
    <w:rsid w:val="00703750"/>
    <w:rsid w:val="00703CD0"/>
    <w:rsid w:val="00703E48"/>
    <w:rsid w:val="007041BB"/>
    <w:rsid w:val="0070433F"/>
    <w:rsid w:val="007045D3"/>
    <w:rsid w:val="00704DB2"/>
    <w:rsid w:val="00705A53"/>
    <w:rsid w:val="00705EA4"/>
    <w:rsid w:val="007077E6"/>
    <w:rsid w:val="00707836"/>
    <w:rsid w:val="00707859"/>
    <w:rsid w:val="00710275"/>
    <w:rsid w:val="00710986"/>
    <w:rsid w:val="00710AB5"/>
    <w:rsid w:val="00710C58"/>
    <w:rsid w:val="0071174D"/>
    <w:rsid w:val="00711BA3"/>
    <w:rsid w:val="007135A2"/>
    <w:rsid w:val="007139FB"/>
    <w:rsid w:val="00713CC2"/>
    <w:rsid w:val="00713DCF"/>
    <w:rsid w:val="0071480B"/>
    <w:rsid w:val="007149E6"/>
    <w:rsid w:val="00714B56"/>
    <w:rsid w:val="00716896"/>
    <w:rsid w:val="00716FB0"/>
    <w:rsid w:val="0072047E"/>
    <w:rsid w:val="007204B4"/>
    <w:rsid w:val="00720F3B"/>
    <w:rsid w:val="007217FD"/>
    <w:rsid w:val="00721A99"/>
    <w:rsid w:val="00722253"/>
    <w:rsid w:val="00722336"/>
    <w:rsid w:val="00722546"/>
    <w:rsid w:val="0072284D"/>
    <w:rsid w:val="00722B4B"/>
    <w:rsid w:val="00723202"/>
    <w:rsid w:val="00723C98"/>
    <w:rsid w:val="00723E8F"/>
    <w:rsid w:val="00724118"/>
    <w:rsid w:val="00724571"/>
    <w:rsid w:val="007247A3"/>
    <w:rsid w:val="00724AD7"/>
    <w:rsid w:val="00725069"/>
    <w:rsid w:val="00725173"/>
    <w:rsid w:val="00725394"/>
    <w:rsid w:val="00725745"/>
    <w:rsid w:val="0072634B"/>
    <w:rsid w:val="0072640C"/>
    <w:rsid w:val="00726FA2"/>
    <w:rsid w:val="007276EC"/>
    <w:rsid w:val="00730784"/>
    <w:rsid w:val="007309C9"/>
    <w:rsid w:val="0073330B"/>
    <w:rsid w:val="007336EE"/>
    <w:rsid w:val="00733EA7"/>
    <w:rsid w:val="0073422D"/>
    <w:rsid w:val="00735992"/>
    <w:rsid w:val="00735BD1"/>
    <w:rsid w:val="00736358"/>
    <w:rsid w:val="007368E6"/>
    <w:rsid w:val="00736B15"/>
    <w:rsid w:val="00736E15"/>
    <w:rsid w:val="007371B9"/>
    <w:rsid w:val="007376F7"/>
    <w:rsid w:val="007378B7"/>
    <w:rsid w:val="00740091"/>
    <w:rsid w:val="0074037F"/>
    <w:rsid w:val="00740791"/>
    <w:rsid w:val="00740C18"/>
    <w:rsid w:val="00741525"/>
    <w:rsid w:val="007418CC"/>
    <w:rsid w:val="00744327"/>
    <w:rsid w:val="00744AAF"/>
    <w:rsid w:val="007458BA"/>
    <w:rsid w:val="00746A91"/>
    <w:rsid w:val="0074786E"/>
    <w:rsid w:val="007507FF"/>
    <w:rsid w:val="007509AB"/>
    <w:rsid w:val="007512C3"/>
    <w:rsid w:val="0075181C"/>
    <w:rsid w:val="0075228A"/>
    <w:rsid w:val="00752A01"/>
    <w:rsid w:val="00752C16"/>
    <w:rsid w:val="007538A7"/>
    <w:rsid w:val="00754106"/>
    <w:rsid w:val="00754363"/>
    <w:rsid w:val="00754498"/>
    <w:rsid w:val="007549BC"/>
    <w:rsid w:val="007551AD"/>
    <w:rsid w:val="00755E54"/>
    <w:rsid w:val="00756296"/>
    <w:rsid w:val="00756EB6"/>
    <w:rsid w:val="00757FEA"/>
    <w:rsid w:val="00761111"/>
    <w:rsid w:val="0076183C"/>
    <w:rsid w:val="00761C68"/>
    <w:rsid w:val="00762359"/>
    <w:rsid w:val="00762826"/>
    <w:rsid w:val="00762C14"/>
    <w:rsid w:val="00762D96"/>
    <w:rsid w:val="0076365D"/>
    <w:rsid w:val="00764281"/>
    <w:rsid w:val="00764708"/>
    <w:rsid w:val="007648AD"/>
    <w:rsid w:val="007652C3"/>
    <w:rsid w:val="0076583A"/>
    <w:rsid w:val="00766AD0"/>
    <w:rsid w:val="00766D66"/>
    <w:rsid w:val="00767034"/>
    <w:rsid w:val="007672E5"/>
    <w:rsid w:val="007673BC"/>
    <w:rsid w:val="00767423"/>
    <w:rsid w:val="0077020F"/>
    <w:rsid w:val="00770C29"/>
    <w:rsid w:val="0077122F"/>
    <w:rsid w:val="007712A8"/>
    <w:rsid w:val="007712F9"/>
    <w:rsid w:val="00771E85"/>
    <w:rsid w:val="007738E9"/>
    <w:rsid w:val="007745FB"/>
    <w:rsid w:val="0077530F"/>
    <w:rsid w:val="00776857"/>
    <w:rsid w:val="007768E0"/>
    <w:rsid w:val="00776FC7"/>
    <w:rsid w:val="00777097"/>
    <w:rsid w:val="00777622"/>
    <w:rsid w:val="007778A4"/>
    <w:rsid w:val="00777E2F"/>
    <w:rsid w:val="007801BC"/>
    <w:rsid w:val="007804EF"/>
    <w:rsid w:val="00780AE2"/>
    <w:rsid w:val="00780BFF"/>
    <w:rsid w:val="00780EE3"/>
    <w:rsid w:val="00781672"/>
    <w:rsid w:val="00781B41"/>
    <w:rsid w:val="00781C3C"/>
    <w:rsid w:val="0078207E"/>
    <w:rsid w:val="007821C7"/>
    <w:rsid w:val="00782C9C"/>
    <w:rsid w:val="00783B01"/>
    <w:rsid w:val="00783D40"/>
    <w:rsid w:val="0078478B"/>
    <w:rsid w:val="00785039"/>
    <w:rsid w:val="00785761"/>
    <w:rsid w:val="00785E18"/>
    <w:rsid w:val="00785FF5"/>
    <w:rsid w:val="00786008"/>
    <w:rsid w:val="007865C9"/>
    <w:rsid w:val="007868FE"/>
    <w:rsid w:val="00786D19"/>
    <w:rsid w:val="00786E3B"/>
    <w:rsid w:val="00786FFA"/>
    <w:rsid w:val="00787370"/>
    <w:rsid w:val="007877D0"/>
    <w:rsid w:val="00787803"/>
    <w:rsid w:val="0079039D"/>
    <w:rsid w:val="00790864"/>
    <w:rsid w:val="00790AA1"/>
    <w:rsid w:val="00790E57"/>
    <w:rsid w:val="0079101E"/>
    <w:rsid w:val="0079142E"/>
    <w:rsid w:val="007919D4"/>
    <w:rsid w:val="007923A8"/>
    <w:rsid w:val="00792583"/>
    <w:rsid w:val="00793161"/>
    <w:rsid w:val="007935A1"/>
    <w:rsid w:val="0079400A"/>
    <w:rsid w:val="007944F4"/>
    <w:rsid w:val="0079463C"/>
    <w:rsid w:val="00794F28"/>
    <w:rsid w:val="007950CA"/>
    <w:rsid w:val="00795371"/>
    <w:rsid w:val="00795FF6"/>
    <w:rsid w:val="0079679B"/>
    <w:rsid w:val="00796DDC"/>
    <w:rsid w:val="00796E4C"/>
    <w:rsid w:val="007971A8"/>
    <w:rsid w:val="007972D3"/>
    <w:rsid w:val="00797B9D"/>
    <w:rsid w:val="007A0F2F"/>
    <w:rsid w:val="007A1EBB"/>
    <w:rsid w:val="007A1F31"/>
    <w:rsid w:val="007A2038"/>
    <w:rsid w:val="007A23EE"/>
    <w:rsid w:val="007A246F"/>
    <w:rsid w:val="007A3044"/>
    <w:rsid w:val="007A30C5"/>
    <w:rsid w:val="007A32A6"/>
    <w:rsid w:val="007A3427"/>
    <w:rsid w:val="007A3D35"/>
    <w:rsid w:val="007A460B"/>
    <w:rsid w:val="007A4AE9"/>
    <w:rsid w:val="007A4EDB"/>
    <w:rsid w:val="007A527C"/>
    <w:rsid w:val="007A5CD1"/>
    <w:rsid w:val="007A6162"/>
    <w:rsid w:val="007A62E9"/>
    <w:rsid w:val="007A64EC"/>
    <w:rsid w:val="007A64F8"/>
    <w:rsid w:val="007B01AE"/>
    <w:rsid w:val="007B11F7"/>
    <w:rsid w:val="007B21AF"/>
    <w:rsid w:val="007B242E"/>
    <w:rsid w:val="007B2457"/>
    <w:rsid w:val="007B2B4D"/>
    <w:rsid w:val="007B2D51"/>
    <w:rsid w:val="007B3191"/>
    <w:rsid w:val="007B3C02"/>
    <w:rsid w:val="007B3CF2"/>
    <w:rsid w:val="007B5C0F"/>
    <w:rsid w:val="007B5C45"/>
    <w:rsid w:val="007B5CCE"/>
    <w:rsid w:val="007B66AF"/>
    <w:rsid w:val="007B68F5"/>
    <w:rsid w:val="007B7202"/>
    <w:rsid w:val="007B760B"/>
    <w:rsid w:val="007B7752"/>
    <w:rsid w:val="007B78B9"/>
    <w:rsid w:val="007C046E"/>
    <w:rsid w:val="007C0600"/>
    <w:rsid w:val="007C088A"/>
    <w:rsid w:val="007C0D87"/>
    <w:rsid w:val="007C0D8C"/>
    <w:rsid w:val="007C19BD"/>
    <w:rsid w:val="007C1AB5"/>
    <w:rsid w:val="007C1F5D"/>
    <w:rsid w:val="007C2440"/>
    <w:rsid w:val="007C3CD2"/>
    <w:rsid w:val="007C5003"/>
    <w:rsid w:val="007C5846"/>
    <w:rsid w:val="007C5D7B"/>
    <w:rsid w:val="007C5EE9"/>
    <w:rsid w:val="007C5F4D"/>
    <w:rsid w:val="007C644D"/>
    <w:rsid w:val="007C6D70"/>
    <w:rsid w:val="007D02AC"/>
    <w:rsid w:val="007D099F"/>
    <w:rsid w:val="007D0ABC"/>
    <w:rsid w:val="007D12ED"/>
    <w:rsid w:val="007D16AD"/>
    <w:rsid w:val="007D1F0F"/>
    <w:rsid w:val="007D218A"/>
    <w:rsid w:val="007D2197"/>
    <w:rsid w:val="007D264A"/>
    <w:rsid w:val="007D2E44"/>
    <w:rsid w:val="007D3461"/>
    <w:rsid w:val="007D350A"/>
    <w:rsid w:val="007D357B"/>
    <w:rsid w:val="007D35E5"/>
    <w:rsid w:val="007D371B"/>
    <w:rsid w:val="007D37D2"/>
    <w:rsid w:val="007D439F"/>
    <w:rsid w:val="007D4522"/>
    <w:rsid w:val="007D45E1"/>
    <w:rsid w:val="007D58D5"/>
    <w:rsid w:val="007D5D1D"/>
    <w:rsid w:val="007D5FF7"/>
    <w:rsid w:val="007D6327"/>
    <w:rsid w:val="007D6339"/>
    <w:rsid w:val="007D6881"/>
    <w:rsid w:val="007D6900"/>
    <w:rsid w:val="007D6B96"/>
    <w:rsid w:val="007D6D28"/>
    <w:rsid w:val="007D6D70"/>
    <w:rsid w:val="007D70A6"/>
    <w:rsid w:val="007D756D"/>
    <w:rsid w:val="007E0AF7"/>
    <w:rsid w:val="007E108D"/>
    <w:rsid w:val="007E183F"/>
    <w:rsid w:val="007E1C03"/>
    <w:rsid w:val="007E1C3E"/>
    <w:rsid w:val="007E21CB"/>
    <w:rsid w:val="007E23BF"/>
    <w:rsid w:val="007E2547"/>
    <w:rsid w:val="007E2D49"/>
    <w:rsid w:val="007E3756"/>
    <w:rsid w:val="007E3A0E"/>
    <w:rsid w:val="007E3FE3"/>
    <w:rsid w:val="007E4229"/>
    <w:rsid w:val="007E4340"/>
    <w:rsid w:val="007E4511"/>
    <w:rsid w:val="007E4BB4"/>
    <w:rsid w:val="007E4EE7"/>
    <w:rsid w:val="007E50D5"/>
    <w:rsid w:val="007E540D"/>
    <w:rsid w:val="007E5E63"/>
    <w:rsid w:val="007E62E1"/>
    <w:rsid w:val="007E65DB"/>
    <w:rsid w:val="007E6A9A"/>
    <w:rsid w:val="007E70A0"/>
    <w:rsid w:val="007E7420"/>
    <w:rsid w:val="007E74C3"/>
    <w:rsid w:val="007E7E10"/>
    <w:rsid w:val="007F050B"/>
    <w:rsid w:val="007F1405"/>
    <w:rsid w:val="007F183C"/>
    <w:rsid w:val="007F1AB8"/>
    <w:rsid w:val="007F240E"/>
    <w:rsid w:val="007F2683"/>
    <w:rsid w:val="007F2766"/>
    <w:rsid w:val="007F3104"/>
    <w:rsid w:val="007F3655"/>
    <w:rsid w:val="007F38F6"/>
    <w:rsid w:val="007F3EBC"/>
    <w:rsid w:val="007F4329"/>
    <w:rsid w:val="007F5150"/>
    <w:rsid w:val="007F55BF"/>
    <w:rsid w:val="007F5BC1"/>
    <w:rsid w:val="007F6202"/>
    <w:rsid w:val="007F6792"/>
    <w:rsid w:val="007F75CE"/>
    <w:rsid w:val="008003BA"/>
    <w:rsid w:val="00800800"/>
    <w:rsid w:val="00800892"/>
    <w:rsid w:val="008013BC"/>
    <w:rsid w:val="00801DC3"/>
    <w:rsid w:val="0080204F"/>
    <w:rsid w:val="00802283"/>
    <w:rsid w:val="00802D8D"/>
    <w:rsid w:val="00803F81"/>
    <w:rsid w:val="00804B4F"/>
    <w:rsid w:val="00804C4F"/>
    <w:rsid w:val="00805DDC"/>
    <w:rsid w:val="00805DF9"/>
    <w:rsid w:val="0080652C"/>
    <w:rsid w:val="00806F02"/>
    <w:rsid w:val="00807207"/>
    <w:rsid w:val="0080799D"/>
    <w:rsid w:val="00807FB9"/>
    <w:rsid w:val="00810571"/>
    <w:rsid w:val="0081083D"/>
    <w:rsid w:val="008109A2"/>
    <w:rsid w:val="00810EA8"/>
    <w:rsid w:val="0081148E"/>
    <w:rsid w:val="00811555"/>
    <w:rsid w:val="00811ABE"/>
    <w:rsid w:val="00811C3A"/>
    <w:rsid w:val="00811E0C"/>
    <w:rsid w:val="00812324"/>
    <w:rsid w:val="00812D37"/>
    <w:rsid w:val="00812EE3"/>
    <w:rsid w:val="00812FE7"/>
    <w:rsid w:val="00813177"/>
    <w:rsid w:val="00813564"/>
    <w:rsid w:val="0081453A"/>
    <w:rsid w:val="00815014"/>
    <w:rsid w:val="0081547C"/>
    <w:rsid w:val="00815CCD"/>
    <w:rsid w:val="008163A7"/>
    <w:rsid w:val="00816498"/>
    <w:rsid w:val="00816624"/>
    <w:rsid w:val="0081665F"/>
    <w:rsid w:val="00816ED6"/>
    <w:rsid w:val="00816F9E"/>
    <w:rsid w:val="008170D3"/>
    <w:rsid w:val="0081763F"/>
    <w:rsid w:val="008178D0"/>
    <w:rsid w:val="008179D7"/>
    <w:rsid w:val="00817B39"/>
    <w:rsid w:val="00817D97"/>
    <w:rsid w:val="00817DA9"/>
    <w:rsid w:val="00820623"/>
    <w:rsid w:val="00820DBE"/>
    <w:rsid w:val="00821DD3"/>
    <w:rsid w:val="00822067"/>
    <w:rsid w:val="0082259F"/>
    <w:rsid w:val="0082311A"/>
    <w:rsid w:val="00823142"/>
    <w:rsid w:val="00823E9F"/>
    <w:rsid w:val="008240B2"/>
    <w:rsid w:val="0082415F"/>
    <w:rsid w:val="00824739"/>
    <w:rsid w:val="008249B2"/>
    <w:rsid w:val="00824E48"/>
    <w:rsid w:val="00824FB5"/>
    <w:rsid w:val="0082503E"/>
    <w:rsid w:val="00825475"/>
    <w:rsid w:val="00825A6E"/>
    <w:rsid w:val="00825A9E"/>
    <w:rsid w:val="0082613A"/>
    <w:rsid w:val="00826FCA"/>
    <w:rsid w:val="008275F8"/>
    <w:rsid w:val="008311C8"/>
    <w:rsid w:val="008313CA"/>
    <w:rsid w:val="00831D7E"/>
    <w:rsid w:val="0083212C"/>
    <w:rsid w:val="00832AAD"/>
    <w:rsid w:val="00832E8F"/>
    <w:rsid w:val="00833304"/>
    <w:rsid w:val="008348A6"/>
    <w:rsid w:val="00834C9B"/>
    <w:rsid w:val="00835304"/>
    <w:rsid w:val="00835903"/>
    <w:rsid w:val="00835962"/>
    <w:rsid w:val="00836E27"/>
    <w:rsid w:val="008370AF"/>
    <w:rsid w:val="0083753C"/>
    <w:rsid w:val="00840099"/>
    <w:rsid w:val="008402C7"/>
    <w:rsid w:val="008403BC"/>
    <w:rsid w:val="008405BD"/>
    <w:rsid w:val="00840729"/>
    <w:rsid w:val="00840B68"/>
    <w:rsid w:val="00841824"/>
    <w:rsid w:val="00841DF7"/>
    <w:rsid w:val="00842232"/>
    <w:rsid w:val="00842AD2"/>
    <w:rsid w:val="008430AF"/>
    <w:rsid w:val="008431F3"/>
    <w:rsid w:val="00843F16"/>
    <w:rsid w:val="00844369"/>
    <w:rsid w:val="008443FA"/>
    <w:rsid w:val="008444BA"/>
    <w:rsid w:val="008448FE"/>
    <w:rsid w:val="00844DA9"/>
    <w:rsid w:val="00844E4C"/>
    <w:rsid w:val="00846544"/>
    <w:rsid w:val="00846B79"/>
    <w:rsid w:val="00846E3A"/>
    <w:rsid w:val="0084715A"/>
    <w:rsid w:val="00847379"/>
    <w:rsid w:val="008476DC"/>
    <w:rsid w:val="00847BBB"/>
    <w:rsid w:val="00850D5C"/>
    <w:rsid w:val="00850DA0"/>
    <w:rsid w:val="00850ED2"/>
    <w:rsid w:val="00851317"/>
    <w:rsid w:val="008513B3"/>
    <w:rsid w:val="00853460"/>
    <w:rsid w:val="008534B7"/>
    <w:rsid w:val="00853B5E"/>
    <w:rsid w:val="00853DC7"/>
    <w:rsid w:val="00853E71"/>
    <w:rsid w:val="008540F3"/>
    <w:rsid w:val="00854263"/>
    <w:rsid w:val="00854341"/>
    <w:rsid w:val="00854FF8"/>
    <w:rsid w:val="0085524E"/>
    <w:rsid w:val="008553C2"/>
    <w:rsid w:val="00855622"/>
    <w:rsid w:val="00855DE9"/>
    <w:rsid w:val="00856891"/>
    <w:rsid w:val="00856CAF"/>
    <w:rsid w:val="00857290"/>
    <w:rsid w:val="008578BA"/>
    <w:rsid w:val="00857A25"/>
    <w:rsid w:val="008603CD"/>
    <w:rsid w:val="00860F47"/>
    <w:rsid w:val="00861287"/>
    <w:rsid w:val="0086149A"/>
    <w:rsid w:val="00861FEB"/>
    <w:rsid w:val="008624F3"/>
    <w:rsid w:val="0086288B"/>
    <w:rsid w:val="0086405B"/>
    <w:rsid w:val="00864234"/>
    <w:rsid w:val="00864EAA"/>
    <w:rsid w:val="0086525C"/>
    <w:rsid w:val="008652F8"/>
    <w:rsid w:val="0086535F"/>
    <w:rsid w:val="00865CB7"/>
    <w:rsid w:val="008662FF"/>
    <w:rsid w:val="00866319"/>
    <w:rsid w:val="008663AC"/>
    <w:rsid w:val="00866465"/>
    <w:rsid w:val="008710E9"/>
    <w:rsid w:val="00871214"/>
    <w:rsid w:val="008718B7"/>
    <w:rsid w:val="00871EE1"/>
    <w:rsid w:val="00872371"/>
    <w:rsid w:val="00872CD0"/>
    <w:rsid w:val="00872E4A"/>
    <w:rsid w:val="00872E7A"/>
    <w:rsid w:val="0087329F"/>
    <w:rsid w:val="00873601"/>
    <w:rsid w:val="00873D77"/>
    <w:rsid w:val="00873EC7"/>
    <w:rsid w:val="00874266"/>
    <w:rsid w:val="008742FB"/>
    <w:rsid w:val="00874D1F"/>
    <w:rsid w:val="00875AFA"/>
    <w:rsid w:val="00875C48"/>
    <w:rsid w:val="008764E6"/>
    <w:rsid w:val="008766D6"/>
    <w:rsid w:val="008767BD"/>
    <w:rsid w:val="00877330"/>
    <w:rsid w:val="008774C4"/>
    <w:rsid w:val="00877A77"/>
    <w:rsid w:val="00877DA5"/>
    <w:rsid w:val="008801FF"/>
    <w:rsid w:val="008802BA"/>
    <w:rsid w:val="00880851"/>
    <w:rsid w:val="00880A92"/>
    <w:rsid w:val="00881571"/>
    <w:rsid w:val="00881986"/>
    <w:rsid w:val="00881C3C"/>
    <w:rsid w:val="00881F78"/>
    <w:rsid w:val="00882811"/>
    <w:rsid w:val="0088289E"/>
    <w:rsid w:val="008829E1"/>
    <w:rsid w:val="008829E6"/>
    <w:rsid w:val="008829ED"/>
    <w:rsid w:val="00883FA2"/>
    <w:rsid w:val="00884934"/>
    <w:rsid w:val="00884D2E"/>
    <w:rsid w:val="00885050"/>
    <w:rsid w:val="00885DF4"/>
    <w:rsid w:val="008868F7"/>
    <w:rsid w:val="00886DCB"/>
    <w:rsid w:val="00887280"/>
    <w:rsid w:val="008878F5"/>
    <w:rsid w:val="008879F2"/>
    <w:rsid w:val="00890BA2"/>
    <w:rsid w:val="00890D16"/>
    <w:rsid w:val="00891CE2"/>
    <w:rsid w:val="008922CC"/>
    <w:rsid w:val="008934CE"/>
    <w:rsid w:val="00894243"/>
    <w:rsid w:val="00894E2C"/>
    <w:rsid w:val="00895479"/>
    <w:rsid w:val="00895F25"/>
    <w:rsid w:val="00896B09"/>
    <w:rsid w:val="00897BC9"/>
    <w:rsid w:val="008A01DB"/>
    <w:rsid w:val="008A05C2"/>
    <w:rsid w:val="008A122D"/>
    <w:rsid w:val="008A14AC"/>
    <w:rsid w:val="008A18BF"/>
    <w:rsid w:val="008A1BE4"/>
    <w:rsid w:val="008A21F4"/>
    <w:rsid w:val="008A2203"/>
    <w:rsid w:val="008A2EEA"/>
    <w:rsid w:val="008A3BC6"/>
    <w:rsid w:val="008A3CDE"/>
    <w:rsid w:val="008A3E0B"/>
    <w:rsid w:val="008A4E36"/>
    <w:rsid w:val="008A4FB7"/>
    <w:rsid w:val="008A5463"/>
    <w:rsid w:val="008A5E4E"/>
    <w:rsid w:val="008A69A8"/>
    <w:rsid w:val="008A71B9"/>
    <w:rsid w:val="008A71DF"/>
    <w:rsid w:val="008A78CF"/>
    <w:rsid w:val="008A7BC9"/>
    <w:rsid w:val="008B1371"/>
    <w:rsid w:val="008B2AD9"/>
    <w:rsid w:val="008B38EC"/>
    <w:rsid w:val="008B3C13"/>
    <w:rsid w:val="008B4EBF"/>
    <w:rsid w:val="008B4F68"/>
    <w:rsid w:val="008B5063"/>
    <w:rsid w:val="008B638A"/>
    <w:rsid w:val="008B64B2"/>
    <w:rsid w:val="008B6E92"/>
    <w:rsid w:val="008B6F69"/>
    <w:rsid w:val="008B7101"/>
    <w:rsid w:val="008B76AD"/>
    <w:rsid w:val="008B7A8A"/>
    <w:rsid w:val="008B7EDE"/>
    <w:rsid w:val="008C0412"/>
    <w:rsid w:val="008C189F"/>
    <w:rsid w:val="008C1A8A"/>
    <w:rsid w:val="008C24D4"/>
    <w:rsid w:val="008C276E"/>
    <w:rsid w:val="008C288B"/>
    <w:rsid w:val="008C2DD2"/>
    <w:rsid w:val="008C3262"/>
    <w:rsid w:val="008C32C1"/>
    <w:rsid w:val="008C3F69"/>
    <w:rsid w:val="008C4BB7"/>
    <w:rsid w:val="008C5CFF"/>
    <w:rsid w:val="008C603C"/>
    <w:rsid w:val="008C68B1"/>
    <w:rsid w:val="008C6EBF"/>
    <w:rsid w:val="008C79BB"/>
    <w:rsid w:val="008D0D08"/>
    <w:rsid w:val="008D103C"/>
    <w:rsid w:val="008D168C"/>
    <w:rsid w:val="008D18B4"/>
    <w:rsid w:val="008D1FDB"/>
    <w:rsid w:val="008D244C"/>
    <w:rsid w:val="008D29FC"/>
    <w:rsid w:val="008D4715"/>
    <w:rsid w:val="008D53B9"/>
    <w:rsid w:val="008D54DA"/>
    <w:rsid w:val="008D578C"/>
    <w:rsid w:val="008D615E"/>
    <w:rsid w:val="008D616B"/>
    <w:rsid w:val="008D6E0D"/>
    <w:rsid w:val="008D71CD"/>
    <w:rsid w:val="008E040B"/>
    <w:rsid w:val="008E13EA"/>
    <w:rsid w:val="008E311B"/>
    <w:rsid w:val="008E3347"/>
    <w:rsid w:val="008E35DB"/>
    <w:rsid w:val="008E4DA5"/>
    <w:rsid w:val="008E559B"/>
    <w:rsid w:val="008E589A"/>
    <w:rsid w:val="008E5C8C"/>
    <w:rsid w:val="008E6011"/>
    <w:rsid w:val="008E62B3"/>
    <w:rsid w:val="008E6E25"/>
    <w:rsid w:val="008E717B"/>
    <w:rsid w:val="008E7EA8"/>
    <w:rsid w:val="008E7EDC"/>
    <w:rsid w:val="008F0259"/>
    <w:rsid w:val="008F04FA"/>
    <w:rsid w:val="008F0D6A"/>
    <w:rsid w:val="008F0D9F"/>
    <w:rsid w:val="008F1257"/>
    <w:rsid w:val="008F211D"/>
    <w:rsid w:val="008F2267"/>
    <w:rsid w:val="008F2340"/>
    <w:rsid w:val="008F2832"/>
    <w:rsid w:val="008F2B6B"/>
    <w:rsid w:val="008F3051"/>
    <w:rsid w:val="008F35CF"/>
    <w:rsid w:val="008F3886"/>
    <w:rsid w:val="008F3B6A"/>
    <w:rsid w:val="008F3D3B"/>
    <w:rsid w:val="008F4C6E"/>
    <w:rsid w:val="008F4D57"/>
    <w:rsid w:val="008F5038"/>
    <w:rsid w:val="008F51E2"/>
    <w:rsid w:val="008F5238"/>
    <w:rsid w:val="008F568C"/>
    <w:rsid w:val="008F569B"/>
    <w:rsid w:val="008F595E"/>
    <w:rsid w:val="008F59A9"/>
    <w:rsid w:val="008F6CC3"/>
    <w:rsid w:val="008F70BA"/>
    <w:rsid w:val="008F782A"/>
    <w:rsid w:val="008F7E9E"/>
    <w:rsid w:val="008F7FCC"/>
    <w:rsid w:val="009003EF"/>
    <w:rsid w:val="00900432"/>
    <w:rsid w:val="0090055D"/>
    <w:rsid w:val="00901CEA"/>
    <w:rsid w:val="009047FA"/>
    <w:rsid w:val="009057D0"/>
    <w:rsid w:val="0090614B"/>
    <w:rsid w:val="00906195"/>
    <w:rsid w:val="009062E4"/>
    <w:rsid w:val="009066B5"/>
    <w:rsid w:val="00907937"/>
    <w:rsid w:val="00907C6B"/>
    <w:rsid w:val="009108EB"/>
    <w:rsid w:val="009116D7"/>
    <w:rsid w:val="00911726"/>
    <w:rsid w:val="0091182B"/>
    <w:rsid w:val="009124FD"/>
    <w:rsid w:val="00912A9F"/>
    <w:rsid w:val="00912E55"/>
    <w:rsid w:val="009137A9"/>
    <w:rsid w:val="009138DC"/>
    <w:rsid w:val="00913963"/>
    <w:rsid w:val="00914609"/>
    <w:rsid w:val="00914D30"/>
    <w:rsid w:val="0091564D"/>
    <w:rsid w:val="00915AA0"/>
    <w:rsid w:val="009163C6"/>
    <w:rsid w:val="00916874"/>
    <w:rsid w:val="00916933"/>
    <w:rsid w:val="00916F05"/>
    <w:rsid w:val="00917925"/>
    <w:rsid w:val="0091793D"/>
    <w:rsid w:val="00917EA8"/>
    <w:rsid w:val="0092015D"/>
    <w:rsid w:val="009201DC"/>
    <w:rsid w:val="0092064D"/>
    <w:rsid w:val="00920C89"/>
    <w:rsid w:val="0092312B"/>
    <w:rsid w:val="00923563"/>
    <w:rsid w:val="0092475E"/>
    <w:rsid w:val="00925C33"/>
    <w:rsid w:val="009261BA"/>
    <w:rsid w:val="00926B5A"/>
    <w:rsid w:val="00926DCE"/>
    <w:rsid w:val="009303D7"/>
    <w:rsid w:val="009308CF"/>
    <w:rsid w:val="009313AE"/>
    <w:rsid w:val="009319EA"/>
    <w:rsid w:val="0093340C"/>
    <w:rsid w:val="00933470"/>
    <w:rsid w:val="0093384B"/>
    <w:rsid w:val="00933ECB"/>
    <w:rsid w:val="0093425F"/>
    <w:rsid w:val="0093439F"/>
    <w:rsid w:val="0093510F"/>
    <w:rsid w:val="0093572D"/>
    <w:rsid w:val="00935C5D"/>
    <w:rsid w:val="00935D23"/>
    <w:rsid w:val="00936F37"/>
    <w:rsid w:val="00937033"/>
    <w:rsid w:val="0093728E"/>
    <w:rsid w:val="0093787D"/>
    <w:rsid w:val="00937B0A"/>
    <w:rsid w:val="0094013C"/>
    <w:rsid w:val="0094025C"/>
    <w:rsid w:val="009411A0"/>
    <w:rsid w:val="00941AA1"/>
    <w:rsid w:val="009420B5"/>
    <w:rsid w:val="00942A51"/>
    <w:rsid w:val="00943113"/>
    <w:rsid w:val="00943940"/>
    <w:rsid w:val="00944AD0"/>
    <w:rsid w:val="009459C2"/>
    <w:rsid w:val="009468B3"/>
    <w:rsid w:val="00946DB8"/>
    <w:rsid w:val="00947AD5"/>
    <w:rsid w:val="00950D42"/>
    <w:rsid w:val="009513DA"/>
    <w:rsid w:val="009514DB"/>
    <w:rsid w:val="009517A7"/>
    <w:rsid w:val="0095180A"/>
    <w:rsid w:val="009524AB"/>
    <w:rsid w:val="00953910"/>
    <w:rsid w:val="00953BEE"/>
    <w:rsid w:val="00953CA6"/>
    <w:rsid w:val="00953F81"/>
    <w:rsid w:val="009540BE"/>
    <w:rsid w:val="00954296"/>
    <w:rsid w:val="009542C8"/>
    <w:rsid w:val="00954603"/>
    <w:rsid w:val="00954BA1"/>
    <w:rsid w:val="00956534"/>
    <w:rsid w:val="009565F4"/>
    <w:rsid w:val="00956BDB"/>
    <w:rsid w:val="00956E0E"/>
    <w:rsid w:val="009570D9"/>
    <w:rsid w:val="009571C7"/>
    <w:rsid w:val="00960671"/>
    <w:rsid w:val="00960727"/>
    <w:rsid w:val="00960944"/>
    <w:rsid w:val="00960AA7"/>
    <w:rsid w:val="00960CB4"/>
    <w:rsid w:val="0096231D"/>
    <w:rsid w:val="00962883"/>
    <w:rsid w:val="009633BE"/>
    <w:rsid w:val="009633C6"/>
    <w:rsid w:val="009636B5"/>
    <w:rsid w:val="009639A0"/>
    <w:rsid w:val="00963A57"/>
    <w:rsid w:val="00963CFC"/>
    <w:rsid w:val="00965C37"/>
    <w:rsid w:val="0096673E"/>
    <w:rsid w:val="00966885"/>
    <w:rsid w:val="00966916"/>
    <w:rsid w:val="00966C73"/>
    <w:rsid w:val="00966C87"/>
    <w:rsid w:val="00966FF4"/>
    <w:rsid w:val="009671BE"/>
    <w:rsid w:val="009672A0"/>
    <w:rsid w:val="00967318"/>
    <w:rsid w:val="009676F8"/>
    <w:rsid w:val="00967B75"/>
    <w:rsid w:val="00970B70"/>
    <w:rsid w:val="0097123A"/>
    <w:rsid w:val="00972209"/>
    <w:rsid w:val="0097296A"/>
    <w:rsid w:val="00972A5A"/>
    <w:rsid w:val="00973132"/>
    <w:rsid w:val="00974516"/>
    <w:rsid w:val="00974B53"/>
    <w:rsid w:val="00974DE1"/>
    <w:rsid w:val="00975110"/>
    <w:rsid w:val="009751EC"/>
    <w:rsid w:val="00976503"/>
    <w:rsid w:val="00976E73"/>
    <w:rsid w:val="00977391"/>
    <w:rsid w:val="00977436"/>
    <w:rsid w:val="00977DBD"/>
    <w:rsid w:val="00980270"/>
    <w:rsid w:val="009809DC"/>
    <w:rsid w:val="00980DA3"/>
    <w:rsid w:val="00981017"/>
    <w:rsid w:val="009833DA"/>
    <w:rsid w:val="00983ABE"/>
    <w:rsid w:val="00983FF7"/>
    <w:rsid w:val="0098484E"/>
    <w:rsid w:val="00984AD3"/>
    <w:rsid w:val="00984C4F"/>
    <w:rsid w:val="0098505B"/>
    <w:rsid w:val="00985C2B"/>
    <w:rsid w:val="009861AE"/>
    <w:rsid w:val="00986347"/>
    <w:rsid w:val="009872AA"/>
    <w:rsid w:val="0099041F"/>
    <w:rsid w:val="0099098C"/>
    <w:rsid w:val="009911DC"/>
    <w:rsid w:val="00991485"/>
    <w:rsid w:val="009917E5"/>
    <w:rsid w:val="00992C81"/>
    <w:rsid w:val="0099301C"/>
    <w:rsid w:val="0099402F"/>
    <w:rsid w:val="0099476C"/>
    <w:rsid w:val="00994FF3"/>
    <w:rsid w:val="00995E36"/>
    <w:rsid w:val="009960EA"/>
    <w:rsid w:val="00996659"/>
    <w:rsid w:val="00996EF1"/>
    <w:rsid w:val="009972D9"/>
    <w:rsid w:val="009974BC"/>
    <w:rsid w:val="00997978"/>
    <w:rsid w:val="009A01AF"/>
    <w:rsid w:val="009A03EC"/>
    <w:rsid w:val="009A097F"/>
    <w:rsid w:val="009A0A2B"/>
    <w:rsid w:val="009A0BF6"/>
    <w:rsid w:val="009A1751"/>
    <w:rsid w:val="009A1EEC"/>
    <w:rsid w:val="009A2ADA"/>
    <w:rsid w:val="009A2DCB"/>
    <w:rsid w:val="009A2F93"/>
    <w:rsid w:val="009A30A0"/>
    <w:rsid w:val="009A3993"/>
    <w:rsid w:val="009A4921"/>
    <w:rsid w:val="009A4BB3"/>
    <w:rsid w:val="009A4CDA"/>
    <w:rsid w:val="009A4F96"/>
    <w:rsid w:val="009A4FD6"/>
    <w:rsid w:val="009A5B5B"/>
    <w:rsid w:val="009A5C81"/>
    <w:rsid w:val="009A6169"/>
    <w:rsid w:val="009A6549"/>
    <w:rsid w:val="009A79E3"/>
    <w:rsid w:val="009A7AC2"/>
    <w:rsid w:val="009A7FF5"/>
    <w:rsid w:val="009B030C"/>
    <w:rsid w:val="009B06EB"/>
    <w:rsid w:val="009B071B"/>
    <w:rsid w:val="009B0C53"/>
    <w:rsid w:val="009B0D32"/>
    <w:rsid w:val="009B0F72"/>
    <w:rsid w:val="009B12DD"/>
    <w:rsid w:val="009B1487"/>
    <w:rsid w:val="009B149E"/>
    <w:rsid w:val="009B1EB9"/>
    <w:rsid w:val="009B20A3"/>
    <w:rsid w:val="009B20F0"/>
    <w:rsid w:val="009B269E"/>
    <w:rsid w:val="009B276B"/>
    <w:rsid w:val="009B29D5"/>
    <w:rsid w:val="009B45E1"/>
    <w:rsid w:val="009B49EB"/>
    <w:rsid w:val="009B5441"/>
    <w:rsid w:val="009B6567"/>
    <w:rsid w:val="009B690B"/>
    <w:rsid w:val="009B71FA"/>
    <w:rsid w:val="009B75B3"/>
    <w:rsid w:val="009C1286"/>
    <w:rsid w:val="009C196B"/>
    <w:rsid w:val="009C20A7"/>
    <w:rsid w:val="009C261F"/>
    <w:rsid w:val="009C29A2"/>
    <w:rsid w:val="009C337E"/>
    <w:rsid w:val="009C39C4"/>
    <w:rsid w:val="009C404E"/>
    <w:rsid w:val="009C47BC"/>
    <w:rsid w:val="009C4FCA"/>
    <w:rsid w:val="009C51B9"/>
    <w:rsid w:val="009C5F74"/>
    <w:rsid w:val="009C687B"/>
    <w:rsid w:val="009C6949"/>
    <w:rsid w:val="009C6DF7"/>
    <w:rsid w:val="009D03C7"/>
    <w:rsid w:val="009D1585"/>
    <w:rsid w:val="009D1F93"/>
    <w:rsid w:val="009D20E6"/>
    <w:rsid w:val="009D252B"/>
    <w:rsid w:val="009D2B4B"/>
    <w:rsid w:val="009D2D79"/>
    <w:rsid w:val="009D3168"/>
    <w:rsid w:val="009D37D9"/>
    <w:rsid w:val="009D3BDA"/>
    <w:rsid w:val="009D4F70"/>
    <w:rsid w:val="009D5386"/>
    <w:rsid w:val="009D6398"/>
    <w:rsid w:val="009D71B1"/>
    <w:rsid w:val="009E03AE"/>
    <w:rsid w:val="009E058F"/>
    <w:rsid w:val="009E1C9E"/>
    <w:rsid w:val="009E1E54"/>
    <w:rsid w:val="009E261E"/>
    <w:rsid w:val="009E327C"/>
    <w:rsid w:val="009E32FA"/>
    <w:rsid w:val="009E3C89"/>
    <w:rsid w:val="009E41A0"/>
    <w:rsid w:val="009E44BD"/>
    <w:rsid w:val="009E471B"/>
    <w:rsid w:val="009E4DAF"/>
    <w:rsid w:val="009E5647"/>
    <w:rsid w:val="009E5B3D"/>
    <w:rsid w:val="009E6005"/>
    <w:rsid w:val="009E6506"/>
    <w:rsid w:val="009E74EC"/>
    <w:rsid w:val="009F051E"/>
    <w:rsid w:val="009F0521"/>
    <w:rsid w:val="009F0635"/>
    <w:rsid w:val="009F0A0D"/>
    <w:rsid w:val="009F1B09"/>
    <w:rsid w:val="009F1C42"/>
    <w:rsid w:val="009F204A"/>
    <w:rsid w:val="009F3499"/>
    <w:rsid w:val="009F3C6A"/>
    <w:rsid w:val="009F3CE5"/>
    <w:rsid w:val="009F428C"/>
    <w:rsid w:val="009F451E"/>
    <w:rsid w:val="009F55A4"/>
    <w:rsid w:val="009F5944"/>
    <w:rsid w:val="009F65F9"/>
    <w:rsid w:val="009F7350"/>
    <w:rsid w:val="009F77FD"/>
    <w:rsid w:val="009F7EAE"/>
    <w:rsid w:val="00A00504"/>
    <w:rsid w:val="00A00539"/>
    <w:rsid w:val="00A005EC"/>
    <w:rsid w:val="00A01142"/>
    <w:rsid w:val="00A01A8A"/>
    <w:rsid w:val="00A01DF5"/>
    <w:rsid w:val="00A02BA5"/>
    <w:rsid w:val="00A03AB8"/>
    <w:rsid w:val="00A04130"/>
    <w:rsid w:val="00A047CD"/>
    <w:rsid w:val="00A04882"/>
    <w:rsid w:val="00A05457"/>
    <w:rsid w:val="00A0584A"/>
    <w:rsid w:val="00A068DA"/>
    <w:rsid w:val="00A074A1"/>
    <w:rsid w:val="00A07892"/>
    <w:rsid w:val="00A07B52"/>
    <w:rsid w:val="00A101D5"/>
    <w:rsid w:val="00A1027D"/>
    <w:rsid w:val="00A11F27"/>
    <w:rsid w:val="00A12D52"/>
    <w:rsid w:val="00A13886"/>
    <w:rsid w:val="00A14683"/>
    <w:rsid w:val="00A14AD3"/>
    <w:rsid w:val="00A153EA"/>
    <w:rsid w:val="00A15426"/>
    <w:rsid w:val="00A16B3F"/>
    <w:rsid w:val="00A16F1A"/>
    <w:rsid w:val="00A17AA5"/>
    <w:rsid w:val="00A20C79"/>
    <w:rsid w:val="00A20D82"/>
    <w:rsid w:val="00A2160E"/>
    <w:rsid w:val="00A2275B"/>
    <w:rsid w:val="00A22B96"/>
    <w:rsid w:val="00A23625"/>
    <w:rsid w:val="00A23BCA"/>
    <w:rsid w:val="00A2419C"/>
    <w:rsid w:val="00A24214"/>
    <w:rsid w:val="00A248DC"/>
    <w:rsid w:val="00A24BF0"/>
    <w:rsid w:val="00A24D68"/>
    <w:rsid w:val="00A25535"/>
    <w:rsid w:val="00A25840"/>
    <w:rsid w:val="00A26148"/>
    <w:rsid w:val="00A263F9"/>
    <w:rsid w:val="00A267E3"/>
    <w:rsid w:val="00A2706F"/>
    <w:rsid w:val="00A27877"/>
    <w:rsid w:val="00A305D4"/>
    <w:rsid w:val="00A30CEA"/>
    <w:rsid w:val="00A30EE3"/>
    <w:rsid w:val="00A31F7D"/>
    <w:rsid w:val="00A32063"/>
    <w:rsid w:val="00A32317"/>
    <w:rsid w:val="00A32BD5"/>
    <w:rsid w:val="00A33049"/>
    <w:rsid w:val="00A33D11"/>
    <w:rsid w:val="00A33EC1"/>
    <w:rsid w:val="00A34067"/>
    <w:rsid w:val="00A34FA7"/>
    <w:rsid w:val="00A35242"/>
    <w:rsid w:val="00A358C0"/>
    <w:rsid w:val="00A35AD7"/>
    <w:rsid w:val="00A35C9C"/>
    <w:rsid w:val="00A36A53"/>
    <w:rsid w:val="00A37E60"/>
    <w:rsid w:val="00A37F33"/>
    <w:rsid w:val="00A37F9F"/>
    <w:rsid w:val="00A40EE8"/>
    <w:rsid w:val="00A414A4"/>
    <w:rsid w:val="00A41697"/>
    <w:rsid w:val="00A41CF8"/>
    <w:rsid w:val="00A42069"/>
    <w:rsid w:val="00A42099"/>
    <w:rsid w:val="00A421EB"/>
    <w:rsid w:val="00A427D1"/>
    <w:rsid w:val="00A43CA4"/>
    <w:rsid w:val="00A43CEB"/>
    <w:rsid w:val="00A43FEF"/>
    <w:rsid w:val="00A4420B"/>
    <w:rsid w:val="00A444B7"/>
    <w:rsid w:val="00A44A05"/>
    <w:rsid w:val="00A44E6E"/>
    <w:rsid w:val="00A465B8"/>
    <w:rsid w:val="00A46F43"/>
    <w:rsid w:val="00A472FA"/>
    <w:rsid w:val="00A473A7"/>
    <w:rsid w:val="00A47409"/>
    <w:rsid w:val="00A4765E"/>
    <w:rsid w:val="00A47723"/>
    <w:rsid w:val="00A47AE9"/>
    <w:rsid w:val="00A47C41"/>
    <w:rsid w:val="00A47E35"/>
    <w:rsid w:val="00A5086A"/>
    <w:rsid w:val="00A5166D"/>
    <w:rsid w:val="00A519E5"/>
    <w:rsid w:val="00A529F7"/>
    <w:rsid w:val="00A5332B"/>
    <w:rsid w:val="00A53FA9"/>
    <w:rsid w:val="00A54241"/>
    <w:rsid w:val="00A54509"/>
    <w:rsid w:val="00A549E7"/>
    <w:rsid w:val="00A551E7"/>
    <w:rsid w:val="00A5525C"/>
    <w:rsid w:val="00A553A1"/>
    <w:rsid w:val="00A55566"/>
    <w:rsid w:val="00A55BCB"/>
    <w:rsid w:val="00A56B78"/>
    <w:rsid w:val="00A57314"/>
    <w:rsid w:val="00A5779D"/>
    <w:rsid w:val="00A57940"/>
    <w:rsid w:val="00A60AAE"/>
    <w:rsid w:val="00A6141E"/>
    <w:rsid w:val="00A6167C"/>
    <w:rsid w:val="00A616B2"/>
    <w:rsid w:val="00A61BA9"/>
    <w:rsid w:val="00A620DA"/>
    <w:rsid w:val="00A6214A"/>
    <w:rsid w:val="00A622F2"/>
    <w:rsid w:val="00A62AF3"/>
    <w:rsid w:val="00A632C8"/>
    <w:rsid w:val="00A63469"/>
    <w:rsid w:val="00A634E7"/>
    <w:rsid w:val="00A64347"/>
    <w:rsid w:val="00A6493D"/>
    <w:rsid w:val="00A64FB7"/>
    <w:rsid w:val="00A6517B"/>
    <w:rsid w:val="00A65350"/>
    <w:rsid w:val="00A65470"/>
    <w:rsid w:val="00A6554C"/>
    <w:rsid w:val="00A66280"/>
    <w:rsid w:val="00A669C6"/>
    <w:rsid w:val="00A670DC"/>
    <w:rsid w:val="00A678D4"/>
    <w:rsid w:val="00A701F9"/>
    <w:rsid w:val="00A713CB"/>
    <w:rsid w:val="00A71631"/>
    <w:rsid w:val="00A71EAA"/>
    <w:rsid w:val="00A72024"/>
    <w:rsid w:val="00A72455"/>
    <w:rsid w:val="00A725B5"/>
    <w:rsid w:val="00A72C47"/>
    <w:rsid w:val="00A73337"/>
    <w:rsid w:val="00A7429F"/>
    <w:rsid w:val="00A74487"/>
    <w:rsid w:val="00A75022"/>
    <w:rsid w:val="00A750DE"/>
    <w:rsid w:val="00A75A52"/>
    <w:rsid w:val="00A75CAE"/>
    <w:rsid w:val="00A76AAB"/>
    <w:rsid w:val="00A77642"/>
    <w:rsid w:val="00A77CD3"/>
    <w:rsid w:val="00A800E3"/>
    <w:rsid w:val="00A805AA"/>
    <w:rsid w:val="00A80E9C"/>
    <w:rsid w:val="00A812A1"/>
    <w:rsid w:val="00A812F4"/>
    <w:rsid w:val="00A81460"/>
    <w:rsid w:val="00A81E21"/>
    <w:rsid w:val="00A8219C"/>
    <w:rsid w:val="00A827C3"/>
    <w:rsid w:val="00A827DC"/>
    <w:rsid w:val="00A82AF6"/>
    <w:rsid w:val="00A82C90"/>
    <w:rsid w:val="00A835B2"/>
    <w:rsid w:val="00A83D3C"/>
    <w:rsid w:val="00A83DED"/>
    <w:rsid w:val="00A83E6B"/>
    <w:rsid w:val="00A84B2D"/>
    <w:rsid w:val="00A84BDF"/>
    <w:rsid w:val="00A84BF9"/>
    <w:rsid w:val="00A86877"/>
    <w:rsid w:val="00A86CE9"/>
    <w:rsid w:val="00A87704"/>
    <w:rsid w:val="00A877AA"/>
    <w:rsid w:val="00A878D6"/>
    <w:rsid w:val="00A87A61"/>
    <w:rsid w:val="00A9007D"/>
    <w:rsid w:val="00A90409"/>
    <w:rsid w:val="00A9143A"/>
    <w:rsid w:val="00A91AE8"/>
    <w:rsid w:val="00A91CB5"/>
    <w:rsid w:val="00A9262D"/>
    <w:rsid w:val="00A927E7"/>
    <w:rsid w:val="00A92EF2"/>
    <w:rsid w:val="00A9351C"/>
    <w:rsid w:val="00A93F6C"/>
    <w:rsid w:val="00A945C5"/>
    <w:rsid w:val="00A94D30"/>
    <w:rsid w:val="00A954E5"/>
    <w:rsid w:val="00A95B9F"/>
    <w:rsid w:val="00A9617F"/>
    <w:rsid w:val="00A966D3"/>
    <w:rsid w:val="00A96B26"/>
    <w:rsid w:val="00A97087"/>
    <w:rsid w:val="00A9721E"/>
    <w:rsid w:val="00A972BF"/>
    <w:rsid w:val="00A97A1E"/>
    <w:rsid w:val="00A97BB5"/>
    <w:rsid w:val="00A97BE7"/>
    <w:rsid w:val="00AA06BD"/>
    <w:rsid w:val="00AA0872"/>
    <w:rsid w:val="00AA0DE5"/>
    <w:rsid w:val="00AA1448"/>
    <w:rsid w:val="00AA30CA"/>
    <w:rsid w:val="00AA38DF"/>
    <w:rsid w:val="00AA39AB"/>
    <w:rsid w:val="00AA3A40"/>
    <w:rsid w:val="00AA4098"/>
    <w:rsid w:val="00AA44C3"/>
    <w:rsid w:val="00AA51B0"/>
    <w:rsid w:val="00AA52B1"/>
    <w:rsid w:val="00AA58CA"/>
    <w:rsid w:val="00AA6159"/>
    <w:rsid w:val="00AA63D2"/>
    <w:rsid w:val="00AA6F71"/>
    <w:rsid w:val="00AA7054"/>
    <w:rsid w:val="00AA76F0"/>
    <w:rsid w:val="00AA7EE3"/>
    <w:rsid w:val="00AB02D1"/>
    <w:rsid w:val="00AB106B"/>
    <w:rsid w:val="00AB2065"/>
    <w:rsid w:val="00AB3955"/>
    <w:rsid w:val="00AB3E84"/>
    <w:rsid w:val="00AB3F6C"/>
    <w:rsid w:val="00AB48C3"/>
    <w:rsid w:val="00AB4AFF"/>
    <w:rsid w:val="00AB4CD0"/>
    <w:rsid w:val="00AB5C11"/>
    <w:rsid w:val="00AB5D97"/>
    <w:rsid w:val="00AB688E"/>
    <w:rsid w:val="00AB6C50"/>
    <w:rsid w:val="00AB6C9C"/>
    <w:rsid w:val="00AB6D0A"/>
    <w:rsid w:val="00AB6DD2"/>
    <w:rsid w:val="00AC0113"/>
    <w:rsid w:val="00AC2FC4"/>
    <w:rsid w:val="00AC371E"/>
    <w:rsid w:val="00AC3B32"/>
    <w:rsid w:val="00AC3DAC"/>
    <w:rsid w:val="00AC5426"/>
    <w:rsid w:val="00AC5739"/>
    <w:rsid w:val="00AC57E1"/>
    <w:rsid w:val="00AC63B5"/>
    <w:rsid w:val="00AC653F"/>
    <w:rsid w:val="00AC6745"/>
    <w:rsid w:val="00AC73FB"/>
    <w:rsid w:val="00AC7546"/>
    <w:rsid w:val="00AC77C2"/>
    <w:rsid w:val="00AD0025"/>
    <w:rsid w:val="00AD0314"/>
    <w:rsid w:val="00AD189A"/>
    <w:rsid w:val="00AD2219"/>
    <w:rsid w:val="00AD28E6"/>
    <w:rsid w:val="00AD4A99"/>
    <w:rsid w:val="00AD4AAD"/>
    <w:rsid w:val="00AD4E3F"/>
    <w:rsid w:val="00AD55C7"/>
    <w:rsid w:val="00AD5884"/>
    <w:rsid w:val="00AD6028"/>
    <w:rsid w:val="00AD6F53"/>
    <w:rsid w:val="00AD6FDB"/>
    <w:rsid w:val="00AD73DE"/>
    <w:rsid w:val="00AE09A4"/>
    <w:rsid w:val="00AE1A60"/>
    <w:rsid w:val="00AE26E4"/>
    <w:rsid w:val="00AE33BF"/>
    <w:rsid w:val="00AE3599"/>
    <w:rsid w:val="00AE38FD"/>
    <w:rsid w:val="00AE3AA0"/>
    <w:rsid w:val="00AE40AF"/>
    <w:rsid w:val="00AE4353"/>
    <w:rsid w:val="00AE4C20"/>
    <w:rsid w:val="00AE5130"/>
    <w:rsid w:val="00AE51C2"/>
    <w:rsid w:val="00AE5659"/>
    <w:rsid w:val="00AE5871"/>
    <w:rsid w:val="00AE5F8F"/>
    <w:rsid w:val="00AE6641"/>
    <w:rsid w:val="00AE699F"/>
    <w:rsid w:val="00AE6A29"/>
    <w:rsid w:val="00AE6AC8"/>
    <w:rsid w:val="00AF037C"/>
    <w:rsid w:val="00AF0BC1"/>
    <w:rsid w:val="00AF2E7F"/>
    <w:rsid w:val="00AF2FF6"/>
    <w:rsid w:val="00AF3104"/>
    <w:rsid w:val="00AF31E9"/>
    <w:rsid w:val="00AF3D5C"/>
    <w:rsid w:val="00AF3F01"/>
    <w:rsid w:val="00AF3F3B"/>
    <w:rsid w:val="00AF439B"/>
    <w:rsid w:val="00AF5FFC"/>
    <w:rsid w:val="00AF64A7"/>
    <w:rsid w:val="00AF6C50"/>
    <w:rsid w:val="00AF7726"/>
    <w:rsid w:val="00AF7A8A"/>
    <w:rsid w:val="00B00C00"/>
    <w:rsid w:val="00B00C4F"/>
    <w:rsid w:val="00B013BB"/>
    <w:rsid w:val="00B017D1"/>
    <w:rsid w:val="00B01901"/>
    <w:rsid w:val="00B025B2"/>
    <w:rsid w:val="00B0265E"/>
    <w:rsid w:val="00B0270A"/>
    <w:rsid w:val="00B028C0"/>
    <w:rsid w:val="00B02CEE"/>
    <w:rsid w:val="00B03473"/>
    <w:rsid w:val="00B04B59"/>
    <w:rsid w:val="00B057BC"/>
    <w:rsid w:val="00B06789"/>
    <w:rsid w:val="00B06BAA"/>
    <w:rsid w:val="00B06D1F"/>
    <w:rsid w:val="00B071DF"/>
    <w:rsid w:val="00B07227"/>
    <w:rsid w:val="00B074B9"/>
    <w:rsid w:val="00B075EB"/>
    <w:rsid w:val="00B07841"/>
    <w:rsid w:val="00B10513"/>
    <w:rsid w:val="00B11160"/>
    <w:rsid w:val="00B12540"/>
    <w:rsid w:val="00B12739"/>
    <w:rsid w:val="00B142FA"/>
    <w:rsid w:val="00B1491D"/>
    <w:rsid w:val="00B15466"/>
    <w:rsid w:val="00B156D8"/>
    <w:rsid w:val="00B16AAC"/>
    <w:rsid w:val="00B16D28"/>
    <w:rsid w:val="00B17043"/>
    <w:rsid w:val="00B1706B"/>
    <w:rsid w:val="00B17DE4"/>
    <w:rsid w:val="00B17ED2"/>
    <w:rsid w:val="00B2024E"/>
    <w:rsid w:val="00B2043B"/>
    <w:rsid w:val="00B20615"/>
    <w:rsid w:val="00B20A13"/>
    <w:rsid w:val="00B20AB3"/>
    <w:rsid w:val="00B2118D"/>
    <w:rsid w:val="00B216AB"/>
    <w:rsid w:val="00B22735"/>
    <w:rsid w:val="00B227DC"/>
    <w:rsid w:val="00B23316"/>
    <w:rsid w:val="00B2335B"/>
    <w:rsid w:val="00B2363F"/>
    <w:rsid w:val="00B2436F"/>
    <w:rsid w:val="00B24DB3"/>
    <w:rsid w:val="00B24E0F"/>
    <w:rsid w:val="00B25230"/>
    <w:rsid w:val="00B257B0"/>
    <w:rsid w:val="00B269D3"/>
    <w:rsid w:val="00B26F70"/>
    <w:rsid w:val="00B27154"/>
    <w:rsid w:val="00B2747B"/>
    <w:rsid w:val="00B274CD"/>
    <w:rsid w:val="00B2768E"/>
    <w:rsid w:val="00B27B4B"/>
    <w:rsid w:val="00B30067"/>
    <w:rsid w:val="00B30588"/>
    <w:rsid w:val="00B30ADC"/>
    <w:rsid w:val="00B30C48"/>
    <w:rsid w:val="00B31B76"/>
    <w:rsid w:val="00B320F3"/>
    <w:rsid w:val="00B322E9"/>
    <w:rsid w:val="00B32925"/>
    <w:rsid w:val="00B32B5C"/>
    <w:rsid w:val="00B330CE"/>
    <w:rsid w:val="00B33580"/>
    <w:rsid w:val="00B3371F"/>
    <w:rsid w:val="00B33B37"/>
    <w:rsid w:val="00B340DD"/>
    <w:rsid w:val="00B34DAF"/>
    <w:rsid w:val="00B35472"/>
    <w:rsid w:val="00B357FB"/>
    <w:rsid w:val="00B35BB1"/>
    <w:rsid w:val="00B35D5B"/>
    <w:rsid w:val="00B36591"/>
    <w:rsid w:val="00B36AA6"/>
    <w:rsid w:val="00B36E4E"/>
    <w:rsid w:val="00B372CD"/>
    <w:rsid w:val="00B37587"/>
    <w:rsid w:val="00B3759B"/>
    <w:rsid w:val="00B375C1"/>
    <w:rsid w:val="00B37E03"/>
    <w:rsid w:val="00B37E1B"/>
    <w:rsid w:val="00B40157"/>
    <w:rsid w:val="00B405BC"/>
    <w:rsid w:val="00B40997"/>
    <w:rsid w:val="00B409C7"/>
    <w:rsid w:val="00B409FA"/>
    <w:rsid w:val="00B4166E"/>
    <w:rsid w:val="00B416A6"/>
    <w:rsid w:val="00B416DE"/>
    <w:rsid w:val="00B41A7A"/>
    <w:rsid w:val="00B42669"/>
    <w:rsid w:val="00B426B8"/>
    <w:rsid w:val="00B4292A"/>
    <w:rsid w:val="00B42A68"/>
    <w:rsid w:val="00B437BA"/>
    <w:rsid w:val="00B43D05"/>
    <w:rsid w:val="00B444F9"/>
    <w:rsid w:val="00B44D13"/>
    <w:rsid w:val="00B44FD5"/>
    <w:rsid w:val="00B45064"/>
    <w:rsid w:val="00B46498"/>
    <w:rsid w:val="00B465A3"/>
    <w:rsid w:val="00B465E8"/>
    <w:rsid w:val="00B474B2"/>
    <w:rsid w:val="00B47551"/>
    <w:rsid w:val="00B477D4"/>
    <w:rsid w:val="00B477F0"/>
    <w:rsid w:val="00B508F2"/>
    <w:rsid w:val="00B51344"/>
    <w:rsid w:val="00B515CB"/>
    <w:rsid w:val="00B51E0B"/>
    <w:rsid w:val="00B52724"/>
    <w:rsid w:val="00B5298C"/>
    <w:rsid w:val="00B52EE4"/>
    <w:rsid w:val="00B5326C"/>
    <w:rsid w:val="00B5348A"/>
    <w:rsid w:val="00B535B1"/>
    <w:rsid w:val="00B53730"/>
    <w:rsid w:val="00B53A22"/>
    <w:rsid w:val="00B5440D"/>
    <w:rsid w:val="00B54CBC"/>
    <w:rsid w:val="00B5527E"/>
    <w:rsid w:val="00B55760"/>
    <w:rsid w:val="00B55DE1"/>
    <w:rsid w:val="00B560EE"/>
    <w:rsid w:val="00B561E4"/>
    <w:rsid w:val="00B56531"/>
    <w:rsid w:val="00B565E7"/>
    <w:rsid w:val="00B5676B"/>
    <w:rsid w:val="00B5696B"/>
    <w:rsid w:val="00B571B8"/>
    <w:rsid w:val="00B579BE"/>
    <w:rsid w:val="00B57C9F"/>
    <w:rsid w:val="00B57DF6"/>
    <w:rsid w:val="00B60714"/>
    <w:rsid w:val="00B60AED"/>
    <w:rsid w:val="00B618E0"/>
    <w:rsid w:val="00B62410"/>
    <w:rsid w:val="00B6337D"/>
    <w:rsid w:val="00B65801"/>
    <w:rsid w:val="00B65A34"/>
    <w:rsid w:val="00B65AAC"/>
    <w:rsid w:val="00B65ADC"/>
    <w:rsid w:val="00B65C53"/>
    <w:rsid w:val="00B666D0"/>
    <w:rsid w:val="00B66D89"/>
    <w:rsid w:val="00B67A66"/>
    <w:rsid w:val="00B67F56"/>
    <w:rsid w:val="00B67FD4"/>
    <w:rsid w:val="00B70347"/>
    <w:rsid w:val="00B70AE1"/>
    <w:rsid w:val="00B70CC2"/>
    <w:rsid w:val="00B70D84"/>
    <w:rsid w:val="00B720BA"/>
    <w:rsid w:val="00B7285E"/>
    <w:rsid w:val="00B72AE7"/>
    <w:rsid w:val="00B72E37"/>
    <w:rsid w:val="00B7388D"/>
    <w:rsid w:val="00B73C55"/>
    <w:rsid w:val="00B7418F"/>
    <w:rsid w:val="00B7454F"/>
    <w:rsid w:val="00B74855"/>
    <w:rsid w:val="00B748CA"/>
    <w:rsid w:val="00B76102"/>
    <w:rsid w:val="00B763C0"/>
    <w:rsid w:val="00B767F7"/>
    <w:rsid w:val="00B76F17"/>
    <w:rsid w:val="00B777AC"/>
    <w:rsid w:val="00B778BA"/>
    <w:rsid w:val="00B77B76"/>
    <w:rsid w:val="00B801DC"/>
    <w:rsid w:val="00B80826"/>
    <w:rsid w:val="00B80C84"/>
    <w:rsid w:val="00B81136"/>
    <w:rsid w:val="00B81888"/>
    <w:rsid w:val="00B81EEE"/>
    <w:rsid w:val="00B81F20"/>
    <w:rsid w:val="00B82265"/>
    <w:rsid w:val="00B82E91"/>
    <w:rsid w:val="00B834C2"/>
    <w:rsid w:val="00B8357F"/>
    <w:rsid w:val="00B83875"/>
    <w:rsid w:val="00B839A9"/>
    <w:rsid w:val="00B83CD1"/>
    <w:rsid w:val="00B83E35"/>
    <w:rsid w:val="00B83F88"/>
    <w:rsid w:val="00B842AE"/>
    <w:rsid w:val="00B8531B"/>
    <w:rsid w:val="00B857F7"/>
    <w:rsid w:val="00B85D20"/>
    <w:rsid w:val="00B86659"/>
    <w:rsid w:val="00B876AD"/>
    <w:rsid w:val="00B8791B"/>
    <w:rsid w:val="00B87FDF"/>
    <w:rsid w:val="00B905E5"/>
    <w:rsid w:val="00B92223"/>
    <w:rsid w:val="00B9240E"/>
    <w:rsid w:val="00B92A23"/>
    <w:rsid w:val="00B92DBE"/>
    <w:rsid w:val="00B93CC1"/>
    <w:rsid w:val="00B941A8"/>
    <w:rsid w:val="00B9570D"/>
    <w:rsid w:val="00B95CCF"/>
    <w:rsid w:val="00B95EE5"/>
    <w:rsid w:val="00B95F2B"/>
    <w:rsid w:val="00B966A8"/>
    <w:rsid w:val="00B96ED1"/>
    <w:rsid w:val="00B9750F"/>
    <w:rsid w:val="00BA089D"/>
    <w:rsid w:val="00BA08B5"/>
    <w:rsid w:val="00BA0FF3"/>
    <w:rsid w:val="00BA13DD"/>
    <w:rsid w:val="00BA1C53"/>
    <w:rsid w:val="00BA20B6"/>
    <w:rsid w:val="00BA2262"/>
    <w:rsid w:val="00BA2451"/>
    <w:rsid w:val="00BA2D82"/>
    <w:rsid w:val="00BA2EC9"/>
    <w:rsid w:val="00BA388D"/>
    <w:rsid w:val="00BA4C7E"/>
    <w:rsid w:val="00BA5B6E"/>
    <w:rsid w:val="00BA6359"/>
    <w:rsid w:val="00BA67F8"/>
    <w:rsid w:val="00BA7880"/>
    <w:rsid w:val="00BA794F"/>
    <w:rsid w:val="00BB0835"/>
    <w:rsid w:val="00BB08BB"/>
    <w:rsid w:val="00BB0E63"/>
    <w:rsid w:val="00BB113B"/>
    <w:rsid w:val="00BB13F1"/>
    <w:rsid w:val="00BB163E"/>
    <w:rsid w:val="00BB181E"/>
    <w:rsid w:val="00BB186C"/>
    <w:rsid w:val="00BB18C8"/>
    <w:rsid w:val="00BB1B44"/>
    <w:rsid w:val="00BB2BE6"/>
    <w:rsid w:val="00BB39F6"/>
    <w:rsid w:val="00BB3A15"/>
    <w:rsid w:val="00BB3D08"/>
    <w:rsid w:val="00BB4696"/>
    <w:rsid w:val="00BB4D48"/>
    <w:rsid w:val="00BB5B50"/>
    <w:rsid w:val="00BB6918"/>
    <w:rsid w:val="00BB7260"/>
    <w:rsid w:val="00BC031F"/>
    <w:rsid w:val="00BC0341"/>
    <w:rsid w:val="00BC038C"/>
    <w:rsid w:val="00BC1027"/>
    <w:rsid w:val="00BC1E03"/>
    <w:rsid w:val="00BC275D"/>
    <w:rsid w:val="00BC3415"/>
    <w:rsid w:val="00BC360E"/>
    <w:rsid w:val="00BC377E"/>
    <w:rsid w:val="00BC37A2"/>
    <w:rsid w:val="00BC48E8"/>
    <w:rsid w:val="00BC4D0D"/>
    <w:rsid w:val="00BC54F2"/>
    <w:rsid w:val="00BC5898"/>
    <w:rsid w:val="00BC6946"/>
    <w:rsid w:val="00BC7727"/>
    <w:rsid w:val="00BC793F"/>
    <w:rsid w:val="00BC7D92"/>
    <w:rsid w:val="00BC7EBC"/>
    <w:rsid w:val="00BD04BE"/>
    <w:rsid w:val="00BD2328"/>
    <w:rsid w:val="00BD255C"/>
    <w:rsid w:val="00BD36D2"/>
    <w:rsid w:val="00BD4158"/>
    <w:rsid w:val="00BD471A"/>
    <w:rsid w:val="00BD4D2A"/>
    <w:rsid w:val="00BD502A"/>
    <w:rsid w:val="00BD5EB4"/>
    <w:rsid w:val="00BD72F5"/>
    <w:rsid w:val="00BD73AA"/>
    <w:rsid w:val="00BD7ECF"/>
    <w:rsid w:val="00BE0148"/>
    <w:rsid w:val="00BE0BBE"/>
    <w:rsid w:val="00BE1894"/>
    <w:rsid w:val="00BE2CC0"/>
    <w:rsid w:val="00BE32BA"/>
    <w:rsid w:val="00BE34B1"/>
    <w:rsid w:val="00BE386D"/>
    <w:rsid w:val="00BE3AE5"/>
    <w:rsid w:val="00BE3C7F"/>
    <w:rsid w:val="00BE4267"/>
    <w:rsid w:val="00BE4BCF"/>
    <w:rsid w:val="00BE5429"/>
    <w:rsid w:val="00BE5489"/>
    <w:rsid w:val="00BE5F1A"/>
    <w:rsid w:val="00BE6192"/>
    <w:rsid w:val="00BE623F"/>
    <w:rsid w:val="00BE6257"/>
    <w:rsid w:val="00BE6323"/>
    <w:rsid w:val="00BE646B"/>
    <w:rsid w:val="00BF0123"/>
    <w:rsid w:val="00BF06CD"/>
    <w:rsid w:val="00BF0D63"/>
    <w:rsid w:val="00BF11F2"/>
    <w:rsid w:val="00BF2AA7"/>
    <w:rsid w:val="00BF3653"/>
    <w:rsid w:val="00BF3676"/>
    <w:rsid w:val="00BF3CA8"/>
    <w:rsid w:val="00BF4E25"/>
    <w:rsid w:val="00BF5182"/>
    <w:rsid w:val="00BF5237"/>
    <w:rsid w:val="00BF65B5"/>
    <w:rsid w:val="00BF6E68"/>
    <w:rsid w:val="00BF6F88"/>
    <w:rsid w:val="00C00076"/>
    <w:rsid w:val="00C0058F"/>
    <w:rsid w:val="00C00670"/>
    <w:rsid w:val="00C0146C"/>
    <w:rsid w:val="00C014B1"/>
    <w:rsid w:val="00C01A06"/>
    <w:rsid w:val="00C01F73"/>
    <w:rsid w:val="00C02904"/>
    <w:rsid w:val="00C02A60"/>
    <w:rsid w:val="00C02FCA"/>
    <w:rsid w:val="00C0419D"/>
    <w:rsid w:val="00C04836"/>
    <w:rsid w:val="00C04D58"/>
    <w:rsid w:val="00C05158"/>
    <w:rsid w:val="00C0515A"/>
    <w:rsid w:val="00C0524A"/>
    <w:rsid w:val="00C0535D"/>
    <w:rsid w:val="00C06C8E"/>
    <w:rsid w:val="00C10328"/>
    <w:rsid w:val="00C10396"/>
    <w:rsid w:val="00C10BEC"/>
    <w:rsid w:val="00C1117D"/>
    <w:rsid w:val="00C11590"/>
    <w:rsid w:val="00C122CF"/>
    <w:rsid w:val="00C13521"/>
    <w:rsid w:val="00C13A52"/>
    <w:rsid w:val="00C13A72"/>
    <w:rsid w:val="00C13AA6"/>
    <w:rsid w:val="00C14DBF"/>
    <w:rsid w:val="00C1534E"/>
    <w:rsid w:val="00C159E6"/>
    <w:rsid w:val="00C15DA7"/>
    <w:rsid w:val="00C16219"/>
    <w:rsid w:val="00C165B7"/>
    <w:rsid w:val="00C168FA"/>
    <w:rsid w:val="00C16970"/>
    <w:rsid w:val="00C16EA9"/>
    <w:rsid w:val="00C17A69"/>
    <w:rsid w:val="00C2051D"/>
    <w:rsid w:val="00C205A0"/>
    <w:rsid w:val="00C20601"/>
    <w:rsid w:val="00C2179F"/>
    <w:rsid w:val="00C22019"/>
    <w:rsid w:val="00C22C8B"/>
    <w:rsid w:val="00C24536"/>
    <w:rsid w:val="00C24A66"/>
    <w:rsid w:val="00C25A82"/>
    <w:rsid w:val="00C25F08"/>
    <w:rsid w:val="00C260EC"/>
    <w:rsid w:val="00C26E5C"/>
    <w:rsid w:val="00C30D46"/>
    <w:rsid w:val="00C30F8A"/>
    <w:rsid w:val="00C3153F"/>
    <w:rsid w:val="00C31833"/>
    <w:rsid w:val="00C31B4F"/>
    <w:rsid w:val="00C33271"/>
    <w:rsid w:val="00C332B0"/>
    <w:rsid w:val="00C33543"/>
    <w:rsid w:val="00C33600"/>
    <w:rsid w:val="00C33FDC"/>
    <w:rsid w:val="00C3423C"/>
    <w:rsid w:val="00C3440D"/>
    <w:rsid w:val="00C3472C"/>
    <w:rsid w:val="00C34AE7"/>
    <w:rsid w:val="00C35FAB"/>
    <w:rsid w:val="00C364A2"/>
    <w:rsid w:val="00C3682A"/>
    <w:rsid w:val="00C371FE"/>
    <w:rsid w:val="00C3752B"/>
    <w:rsid w:val="00C3773B"/>
    <w:rsid w:val="00C37BD9"/>
    <w:rsid w:val="00C41742"/>
    <w:rsid w:val="00C42A2F"/>
    <w:rsid w:val="00C42A47"/>
    <w:rsid w:val="00C44BF2"/>
    <w:rsid w:val="00C44FFA"/>
    <w:rsid w:val="00C45853"/>
    <w:rsid w:val="00C45D71"/>
    <w:rsid w:val="00C45E4E"/>
    <w:rsid w:val="00C45E9D"/>
    <w:rsid w:val="00C4668A"/>
    <w:rsid w:val="00C466C8"/>
    <w:rsid w:val="00C46C69"/>
    <w:rsid w:val="00C46CD1"/>
    <w:rsid w:val="00C46D5F"/>
    <w:rsid w:val="00C46DCE"/>
    <w:rsid w:val="00C47AC2"/>
    <w:rsid w:val="00C47D92"/>
    <w:rsid w:val="00C47DBC"/>
    <w:rsid w:val="00C500EB"/>
    <w:rsid w:val="00C50ECB"/>
    <w:rsid w:val="00C51824"/>
    <w:rsid w:val="00C52181"/>
    <w:rsid w:val="00C52534"/>
    <w:rsid w:val="00C526D6"/>
    <w:rsid w:val="00C52AF3"/>
    <w:rsid w:val="00C52BD0"/>
    <w:rsid w:val="00C53395"/>
    <w:rsid w:val="00C53A0F"/>
    <w:rsid w:val="00C54C70"/>
    <w:rsid w:val="00C5501E"/>
    <w:rsid w:val="00C5707C"/>
    <w:rsid w:val="00C57439"/>
    <w:rsid w:val="00C57B70"/>
    <w:rsid w:val="00C57DF3"/>
    <w:rsid w:val="00C60116"/>
    <w:rsid w:val="00C6024F"/>
    <w:rsid w:val="00C607F0"/>
    <w:rsid w:val="00C60FC3"/>
    <w:rsid w:val="00C61168"/>
    <w:rsid w:val="00C619AD"/>
    <w:rsid w:val="00C61D60"/>
    <w:rsid w:val="00C62CB9"/>
    <w:rsid w:val="00C63077"/>
    <w:rsid w:val="00C63F80"/>
    <w:rsid w:val="00C63F95"/>
    <w:rsid w:val="00C6509B"/>
    <w:rsid w:val="00C651CF"/>
    <w:rsid w:val="00C652AB"/>
    <w:rsid w:val="00C65835"/>
    <w:rsid w:val="00C65918"/>
    <w:rsid w:val="00C65AAA"/>
    <w:rsid w:val="00C65BE5"/>
    <w:rsid w:val="00C65EC1"/>
    <w:rsid w:val="00C66985"/>
    <w:rsid w:val="00C66FCB"/>
    <w:rsid w:val="00C67093"/>
    <w:rsid w:val="00C6728C"/>
    <w:rsid w:val="00C6791C"/>
    <w:rsid w:val="00C67C6E"/>
    <w:rsid w:val="00C67E46"/>
    <w:rsid w:val="00C67EE1"/>
    <w:rsid w:val="00C7098B"/>
    <w:rsid w:val="00C70C97"/>
    <w:rsid w:val="00C70FA0"/>
    <w:rsid w:val="00C7126A"/>
    <w:rsid w:val="00C713E0"/>
    <w:rsid w:val="00C7265A"/>
    <w:rsid w:val="00C73690"/>
    <w:rsid w:val="00C73790"/>
    <w:rsid w:val="00C74025"/>
    <w:rsid w:val="00C740DB"/>
    <w:rsid w:val="00C75338"/>
    <w:rsid w:val="00C75605"/>
    <w:rsid w:val="00C75B9F"/>
    <w:rsid w:val="00C75C76"/>
    <w:rsid w:val="00C7799F"/>
    <w:rsid w:val="00C77B4D"/>
    <w:rsid w:val="00C77E67"/>
    <w:rsid w:val="00C8013E"/>
    <w:rsid w:val="00C808B2"/>
    <w:rsid w:val="00C80968"/>
    <w:rsid w:val="00C812CB"/>
    <w:rsid w:val="00C815AD"/>
    <w:rsid w:val="00C81E7A"/>
    <w:rsid w:val="00C82342"/>
    <w:rsid w:val="00C825A8"/>
    <w:rsid w:val="00C835AF"/>
    <w:rsid w:val="00C837F5"/>
    <w:rsid w:val="00C83881"/>
    <w:rsid w:val="00C84347"/>
    <w:rsid w:val="00C844B4"/>
    <w:rsid w:val="00C8463A"/>
    <w:rsid w:val="00C847BF"/>
    <w:rsid w:val="00C84E7D"/>
    <w:rsid w:val="00C850CB"/>
    <w:rsid w:val="00C859BB"/>
    <w:rsid w:val="00C86017"/>
    <w:rsid w:val="00C86314"/>
    <w:rsid w:val="00C86A99"/>
    <w:rsid w:val="00C86F4F"/>
    <w:rsid w:val="00C86FD1"/>
    <w:rsid w:val="00C87A65"/>
    <w:rsid w:val="00C87F0F"/>
    <w:rsid w:val="00C87FF8"/>
    <w:rsid w:val="00C90420"/>
    <w:rsid w:val="00C90D95"/>
    <w:rsid w:val="00C919B3"/>
    <w:rsid w:val="00C91DE8"/>
    <w:rsid w:val="00C9204A"/>
    <w:rsid w:val="00C92143"/>
    <w:rsid w:val="00C92B19"/>
    <w:rsid w:val="00C92B2F"/>
    <w:rsid w:val="00C9404F"/>
    <w:rsid w:val="00C94382"/>
    <w:rsid w:val="00C9494D"/>
    <w:rsid w:val="00C94DE5"/>
    <w:rsid w:val="00C95793"/>
    <w:rsid w:val="00C95F88"/>
    <w:rsid w:val="00C9642E"/>
    <w:rsid w:val="00C96482"/>
    <w:rsid w:val="00C9648E"/>
    <w:rsid w:val="00C97094"/>
    <w:rsid w:val="00C97592"/>
    <w:rsid w:val="00C975A2"/>
    <w:rsid w:val="00C97C85"/>
    <w:rsid w:val="00CA0ACF"/>
    <w:rsid w:val="00CA0B06"/>
    <w:rsid w:val="00CA176A"/>
    <w:rsid w:val="00CA1990"/>
    <w:rsid w:val="00CA200E"/>
    <w:rsid w:val="00CA242B"/>
    <w:rsid w:val="00CA25BD"/>
    <w:rsid w:val="00CA2F07"/>
    <w:rsid w:val="00CA2FA2"/>
    <w:rsid w:val="00CA3748"/>
    <w:rsid w:val="00CA379C"/>
    <w:rsid w:val="00CA3C71"/>
    <w:rsid w:val="00CA3CB7"/>
    <w:rsid w:val="00CA4414"/>
    <w:rsid w:val="00CA47DB"/>
    <w:rsid w:val="00CA5370"/>
    <w:rsid w:val="00CA5AB9"/>
    <w:rsid w:val="00CA6241"/>
    <w:rsid w:val="00CA6A6D"/>
    <w:rsid w:val="00CA6CE6"/>
    <w:rsid w:val="00CA7A17"/>
    <w:rsid w:val="00CB0020"/>
    <w:rsid w:val="00CB03FD"/>
    <w:rsid w:val="00CB07CA"/>
    <w:rsid w:val="00CB0D45"/>
    <w:rsid w:val="00CB0F35"/>
    <w:rsid w:val="00CB1042"/>
    <w:rsid w:val="00CB1615"/>
    <w:rsid w:val="00CB222A"/>
    <w:rsid w:val="00CB2F0E"/>
    <w:rsid w:val="00CB3132"/>
    <w:rsid w:val="00CB3BCD"/>
    <w:rsid w:val="00CB428A"/>
    <w:rsid w:val="00CB449B"/>
    <w:rsid w:val="00CB4B23"/>
    <w:rsid w:val="00CB5604"/>
    <w:rsid w:val="00CB5630"/>
    <w:rsid w:val="00CB730E"/>
    <w:rsid w:val="00CB7382"/>
    <w:rsid w:val="00CB7B98"/>
    <w:rsid w:val="00CB7D0A"/>
    <w:rsid w:val="00CB7E05"/>
    <w:rsid w:val="00CC0385"/>
    <w:rsid w:val="00CC0BD0"/>
    <w:rsid w:val="00CC1F56"/>
    <w:rsid w:val="00CC23D9"/>
    <w:rsid w:val="00CC2B22"/>
    <w:rsid w:val="00CC2B8C"/>
    <w:rsid w:val="00CC2DDE"/>
    <w:rsid w:val="00CC38BA"/>
    <w:rsid w:val="00CC3901"/>
    <w:rsid w:val="00CC3C6C"/>
    <w:rsid w:val="00CC4644"/>
    <w:rsid w:val="00CC4A2A"/>
    <w:rsid w:val="00CC5D80"/>
    <w:rsid w:val="00CC64C0"/>
    <w:rsid w:val="00CC64C5"/>
    <w:rsid w:val="00CC675C"/>
    <w:rsid w:val="00CC688C"/>
    <w:rsid w:val="00CC6B8C"/>
    <w:rsid w:val="00CC7263"/>
    <w:rsid w:val="00CC740C"/>
    <w:rsid w:val="00CD00CE"/>
    <w:rsid w:val="00CD00D3"/>
    <w:rsid w:val="00CD0E08"/>
    <w:rsid w:val="00CD1821"/>
    <w:rsid w:val="00CD190A"/>
    <w:rsid w:val="00CD1E5F"/>
    <w:rsid w:val="00CD1E80"/>
    <w:rsid w:val="00CD2678"/>
    <w:rsid w:val="00CD2F0D"/>
    <w:rsid w:val="00CD2F6C"/>
    <w:rsid w:val="00CD348E"/>
    <w:rsid w:val="00CD3BEF"/>
    <w:rsid w:val="00CD3E77"/>
    <w:rsid w:val="00CD4BA0"/>
    <w:rsid w:val="00CD524B"/>
    <w:rsid w:val="00CD524F"/>
    <w:rsid w:val="00CD6A70"/>
    <w:rsid w:val="00CD6D46"/>
    <w:rsid w:val="00CD7097"/>
    <w:rsid w:val="00CD7214"/>
    <w:rsid w:val="00CD7E52"/>
    <w:rsid w:val="00CE0ACB"/>
    <w:rsid w:val="00CE0B63"/>
    <w:rsid w:val="00CE145C"/>
    <w:rsid w:val="00CE185C"/>
    <w:rsid w:val="00CE20AD"/>
    <w:rsid w:val="00CE20EC"/>
    <w:rsid w:val="00CE233C"/>
    <w:rsid w:val="00CE2868"/>
    <w:rsid w:val="00CE288F"/>
    <w:rsid w:val="00CE2A7B"/>
    <w:rsid w:val="00CE3A8B"/>
    <w:rsid w:val="00CE3F36"/>
    <w:rsid w:val="00CE41F0"/>
    <w:rsid w:val="00CE4C69"/>
    <w:rsid w:val="00CE603A"/>
    <w:rsid w:val="00CE618C"/>
    <w:rsid w:val="00CE6207"/>
    <w:rsid w:val="00CE634E"/>
    <w:rsid w:val="00CE6396"/>
    <w:rsid w:val="00CE64AE"/>
    <w:rsid w:val="00CE7294"/>
    <w:rsid w:val="00CE7F07"/>
    <w:rsid w:val="00CE7F27"/>
    <w:rsid w:val="00CF0514"/>
    <w:rsid w:val="00CF0CB5"/>
    <w:rsid w:val="00CF1975"/>
    <w:rsid w:val="00CF1AE7"/>
    <w:rsid w:val="00CF1CBA"/>
    <w:rsid w:val="00CF1F02"/>
    <w:rsid w:val="00CF220E"/>
    <w:rsid w:val="00CF23ED"/>
    <w:rsid w:val="00CF297F"/>
    <w:rsid w:val="00CF3135"/>
    <w:rsid w:val="00CF31C5"/>
    <w:rsid w:val="00CF3748"/>
    <w:rsid w:val="00CF4510"/>
    <w:rsid w:val="00CF490C"/>
    <w:rsid w:val="00CF49F5"/>
    <w:rsid w:val="00CF4FD8"/>
    <w:rsid w:val="00CF52BE"/>
    <w:rsid w:val="00CF5B82"/>
    <w:rsid w:val="00CF5FC3"/>
    <w:rsid w:val="00CF614B"/>
    <w:rsid w:val="00CF6968"/>
    <w:rsid w:val="00CF6A02"/>
    <w:rsid w:val="00CF702A"/>
    <w:rsid w:val="00CF727B"/>
    <w:rsid w:val="00D00158"/>
    <w:rsid w:val="00D01275"/>
    <w:rsid w:val="00D01726"/>
    <w:rsid w:val="00D02501"/>
    <w:rsid w:val="00D02A15"/>
    <w:rsid w:val="00D02CC8"/>
    <w:rsid w:val="00D03305"/>
    <w:rsid w:val="00D0362C"/>
    <w:rsid w:val="00D04633"/>
    <w:rsid w:val="00D05212"/>
    <w:rsid w:val="00D052BE"/>
    <w:rsid w:val="00D054F4"/>
    <w:rsid w:val="00D05D01"/>
    <w:rsid w:val="00D062E3"/>
    <w:rsid w:val="00D06490"/>
    <w:rsid w:val="00D07422"/>
    <w:rsid w:val="00D07480"/>
    <w:rsid w:val="00D07C39"/>
    <w:rsid w:val="00D07CB9"/>
    <w:rsid w:val="00D10111"/>
    <w:rsid w:val="00D10655"/>
    <w:rsid w:val="00D1074E"/>
    <w:rsid w:val="00D107DA"/>
    <w:rsid w:val="00D10E2C"/>
    <w:rsid w:val="00D10F3C"/>
    <w:rsid w:val="00D11114"/>
    <w:rsid w:val="00D11A31"/>
    <w:rsid w:val="00D11BDD"/>
    <w:rsid w:val="00D11FFF"/>
    <w:rsid w:val="00D129C5"/>
    <w:rsid w:val="00D12E20"/>
    <w:rsid w:val="00D13444"/>
    <w:rsid w:val="00D13CE4"/>
    <w:rsid w:val="00D13DA7"/>
    <w:rsid w:val="00D1453D"/>
    <w:rsid w:val="00D14E6A"/>
    <w:rsid w:val="00D15C34"/>
    <w:rsid w:val="00D15CC8"/>
    <w:rsid w:val="00D1734B"/>
    <w:rsid w:val="00D17456"/>
    <w:rsid w:val="00D178C3"/>
    <w:rsid w:val="00D17DDB"/>
    <w:rsid w:val="00D17E61"/>
    <w:rsid w:val="00D17FF1"/>
    <w:rsid w:val="00D20A18"/>
    <w:rsid w:val="00D20B90"/>
    <w:rsid w:val="00D20BF0"/>
    <w:rsid w:val="00D20F25"/>
    <w:rsid w:val="00D21616"/>
    <w:rsid w:val="00D22052"/>
    <w:rsid w:val="00D227D2"/>
    <w:rsid w:val="00D23D36"/>
    <w:rsid w:val="00D24C2A"/>
    <w:rsid w:val="00D24F2F"/>
    <w:rsid w:val="00D254D4"/>
    <w:rsid w:val="00D255F1"/>
    <w:rsid w:val="00D26708"/>
    <w:rsid w:val="00D26A00"/>
    <w:rsid w:val="00D26B13"/>
    <w:rsid w:val="00D2719A"/>
    <w:rsid w:val="00D27984"/>
    <w:rsid w:val="00D27E93"/>
    <w:rsid w:val="00D30073"/>
    <w:rsid w:val="00D30426"/>
    <w:rsid w:val="00D30B84"/>
    <w:rsid w:val="00D30C66"/>
    <w:rsid w:val="00D31738"/>
    <w:rsid w:val="00D31B47"/>
    <w:rsid w:val="00D3228A"/>
    <w:rsid w:val="00D32462"/>
    <w:rsid w:val="00D32E35"/>
    <w:rsid w:val="00D33970"/>
    <w:rsid w:val="00D3411E"/>
    <w:rsid w:val="00D3484B"/>
    <w:rsid w:val="00D34D28"/>
    <w:rsid w:val="00D37230"/>
    <w:rsid w:val="00D378AB"/>
    <w:rsid w:val="00D408ED"/>
    <w:rsid w:val="00D40DDC"/>
    <w:rsid w:val="00D41079"/>
    <w:rsid w:val="00D4222F"/>
    <w:rsid w:val="00D42489"/>
    <w:rsid w:val="00D42D06"/>
    <w:rsid w:val="00D42E82"/>
    <w:rsid w:val="00D44190"/>
    <w:rsid w:val="00D4498B"/>
    <w:rsid w:val="00D44A08"/>
    <w:rsid w:val="00D4502B"/>
    <w:rsid w:val="00D456C1"/>
    <w:rsid w:val="00D4585D"/>
    <w:rsid w:val="00D466E8"/>
    <w:rsid w:val="00D47B0D"/>
    <w:rsid w:val="00D47DA5"/>
    <w:rsid w:val="00D5090C"/>
    <w:rsid w:val="00D50B43"/>
    <w:rsid w:val="00D50DB5"/>
    <w:rsid w:val="00D5106B"/>
    <w:rsid w:val="00D51634"/>
    <w:rsid w:val="00D5241C"/>
    <w:rsid w:val="00D52561"/>
    <w:rsid w:val="00D53091"/>
    <w:rsid w:val="00D531DA"/>
    <w:rsid w:val="00D53A57"/>
    <w:rsid w:val="00D53CB1"/>
    <w:rsid w:val="00D544BE"/>
    <w:rsid w:val="00D54727"/>
    <w:rsid w:val="00D5473F"/>
    <w:rsid w:val="00D5508F"/>
    <w:rsid w:val="00D55217"/>
    <w:rsid w:val="00D55F5A"/>
    <w:rsid w:val="00D567FF"/>
    <w:rsid w:val="00D5693B"/>
    <w:rsid w:val="00D56EAC"/>
    <w:rsid w:val="00D570CC"/>
    <w:rsid w:val="00D579D1"/>
    <w:rsid w:val="00D57CC2"/>
    <w:rsid w:val="00D60444"/>
    <w:rsid w:val="00D616B6"/>
    <w:rsid w:val="00D6192F"/>
    <w:rsid w:val="00D62580"/>
    <w:rsid w:val="00D625A6"/>
    <w:rsid w:val="00D6317A"/>
    <w:rsid w:val="00D641C9"/>
    <w:rsid w:val="00D64734"/>
    <w:rsid w:val="00D64CC5"/>
    <w:rsid w:val="00D655B0"/>
    <w:rsid w:val="00D65672"/>
    <w:rsid w:val="00D65ABF"/>
    <w:rsid w:val="00D65EEF"/>
    <w:rsid w:val="00D65FBE"/>
    <w:rsid w:val="00D66602"/>
    <w:rsid w:val="00D66746"/>
    <w:rsid w:val="00D70256"/>
    <w:rsid w:val="00D709DA"/>
    <w:rsid w:val="00D70D43"/>
    <w:rsid w:val="00D71008"/>
    <w:rsid w:val="00D711FE"/>
    <w:rsid w:val="00D71B7F"/>
    <w:rsid w:val="00D72235"/>
    <w:rsid w:val="00D72260"/>
    <w:rsid w:val="00D73531"/>
    <w:rsid w:val="00D737D1"/>
    <w:rsid w:val="00D7395F"/>
    <w:rsid w:val="00D74040"/>
    <w:rsid w:val="00D742ED"/>
    <w:rsid w:val="00D747E0"/>
    <w:rsid w:val="00D754D0"/>
    <w:rsid w:val="00D75623"/>
    <w:rsid w:val="00D7599B"/>
    <w:rsid w:val="00D75CB9"/>
    <w:rsid w:val="00D75D65"/>
    <w:rsid w:val="00D76AA0"/>
    <w:rsid w:val="00D76E28"/>
    <w:rsid w:val="00D76E2C"/>
    <w:rsid w:val="00D77F91"/>
    <w:rsid w:val="00D80CC4"/>
    <w:rsid w:val="00D81543"/>
    <w:rsid w:val="00D817D5"/>
    <w:rsid w:val="00D825DA"/>
    <w:rsid w:val="00D8355C"/>
    <w:rsid w:val="00D8408E"/>
    <w:rsid w:val="00D84344"/>
    <w:rsid w:val="00D84657"/>
    <w:rsid w:val="00D847D7"/>
    <w:rsid w:val="00D84988"/>
    <w:rsid w:val="00D84DB4"/>
    <w:rsid w:val="00D8548F"/>
    <w:rsid w:val="00D8552E"/>
    <w:rsid w:val="00D8576F"/>
    <w:rsid w:val="00D8591F"/>
    <w:rsid w:val="00D85B4F"/>
    <w:rsid w:val="00D85CD1"/>
    <w:rsid w:val="00D860E7"/>
    <w:rsid w:val="00D86DB5"/>
    <w:rsid w:val="00D87730"/>
    <w:rsid w:val="00D87AEF"/>
    <w:rsid w:val="00D91752"/>
    <w:rsid w:val="00D91B7C"/>
    <w:rsid w:val="00D926EB"/>
    <w:rsid w:val="00D92A1E"/>
    <w:rsid w:val="00D93120"/>
    <w:rsid w:val="00D93D57"/>
    <w:rsid w:val="00D9403F"/>
    <w:rsid w:val="00D952B4"/>
    <w:rsid w:val="00D957E3"/>
    <w:rsid w:val="00D9585B"/>
    <w:rsid w:val="00D960B9"/>
    <w:rsid w:val="00D9713D"/>
    <w:rsid w:val="00D97F12"/>
    <w:rsid w:val="00DA0C82"/>
    <w:rsid w:val="00DA0DF6"/>
    <w:rsid w:val="00DA0EAA"/>
    <w:rsid w:val="00DA0F63"/>
    <w:rsid w:val="00DA157F"/>
    <w:rsid w:val="00DA1705"/>
    <w:rsid w:val="00DA1DEA"/>
    <w:rsid w:val="00DA263C"/>
    <w:rsid w:val="00DA287A"/>
    <w:rsid w:val="00DA352D"/>
    <w:rsid w:val="00DA3E65"/>
    <w:rsid w:val="00DA4382"/>
    <w:rsid w:val="00DA43D3"/>
    <w:rsid w:val="00DA5A9A"/>
    <w:rsid w:val="00DA5B81"/>
    <w:rsid w:val="00DA627D"/>
    <w:rsid w:val="00DA63E7"/>
    <w:rsid w:val="00DA73F3"/>
    <w:rsid w:val="00DA75FC"/>
    <w:rsid w:val="00DA79A6"/>
    <w:rsid w:val="00DA79E3"/>
    <w:rsid w:val="00DA7BA4"/>
    <w:rsid w:val="00DA7F20"/>
    <w:rsid w:val="00DB005F"/>
    <w:rsid w:val="00DB0B84"/>
    <w:rsid w:val="00DB0E3A"/>
    <w:rsid w:val="00DB0F3C"/>
    <w:rsid w:val="00DB182A"/>
    <w:rsid w:val="00DB207C"/>
    <w:rsid w:val="00DB222B"/>
    <w:rsid w:val="00DB242C"/>
    <w:rsid w:val="00DB27C0"/>
    <w:rsid w:val="00DB2952"/>
    <w:rsid w:val="00DB3CED"/>
    <w:rsid w:val="00DB413E"/>
    <w:rsid w:val="00DB48CD"/>
    <w:rsid w:val="00DB4A2E"/>
    <w:rsid w:val="00DB4E0D"/>
    <w:rsid w:val="00DB6661"/>
    <w:rsid w:val="00DB694E"/>
    <w:rsid w:val="00DB6A1B"/>
    <w:rsid w:val="00DB7587"/>
    <w:rsid w:val="00DB7956"/>
    <w:rsid w:val="00DB7A6B"/>
    <w:rsid w:val="00DB7E4C"/>
    <w:rsid w:val="00DC0193"/>
    <w:rsid w:val="00DC08E0"/>
    <w:rsid w:val="00DC1B0F"/>
    <w:rsid w:val="00DC2C30"/>
    <w:rsid w:val="00DC3215"/>
    <w:rsid w:val="00DC3676"/>
    <w:rsid w:val="00DC36D2"/>
    <w:rsid w:val="00DC3BCA"/>
    <w:rsid w:val="00DC3D76"/>
    <w:rsid w:val="00DC5677"/>
    <w:rsid w:val="00DC5A17"/>
    <w:rsid w:val="00DC5B2E"/>
    <w:rsid w:val="00DC5BD1"/>
    <w:rsid w:val="00DC5D8B"/>
    <w:rsid w:val="00DC5F06"/>
    <w:rsid w:val="00DC60D2"/>
    <w:rsid w:val="00DC646E"/>
    <w:rsid w:val="00DC665C"/>
    <w:rsid w:val="00DC6802"/>
    <w:rsid w:val="00DC6E04"/>
    <w:rsid w:val="00DC77EE"/>
    <w:rsid w:val="00DC7991"/>
    <w:rsid w:val="00DC7FA4"/>
    <w:rsid w:val="00DD0622"/>
    <w:rsid w:val="00DD06C7"/>
    <w:rsid w:val="00DD06CD"/>
    <w:rsid w:val="00DD0DB0"/>
    <w:rsid w:val="00DD1083"/>
    <w:rsid w:val="00DD1681"/>
    <w:rsid w:val="00DD1A0C"/>
    <w:rsid w:val="00DD1B28"/>
    <w:rsid w:val="00DD1CEC"/>
    <w:rsid w:val="00DD2061"/>
    <w:rsid w:val="00DD26EA"/>
    <w:rsid w:val="00DD2A56"/>
    <w:rsid w:val="00DD308D"/>
    <w:rsid w:val="00DD39D1"/>
    <w:rsid w:val="00DD442F"/>
    <w:rsid w:val="00DD4455"/>
    <w:rsid w:val="00DD4749"/>
    <w:rsid w:val="00DD48B9"/>
    <w:rsid w:val="00DD4B20"/>
    <w:rsid w:val="00DD5841"/>
    <w:rsid w:val="00DD6265"/>
    <w:rsid w:val="00DD64F0"/>
    <w:rsid w:val="00DD6F0F"/>
    <w:rsid w:val="00DD738C"/>
    <w:rsid w:val="00DE0424"/>
    <w:rsid w:val="00DE04C8"/>
    <w:rsid w:val="00DE0EAE"/>
    <w:rsid w:val="00DE1115"/>
    <w:rsid w:val="00DE1236"/>
    <w:rsid w:val="00DE12BF"/>
    <w:rsid w:val="00DE187E"/>
    <w:rsid w:val="00DE18CD"/>
    <w:rsid w:val="00DE33A6"/>
    <w:rsid w:val="00DE35E7"/>
    <w:rsid w:val="00DE422E"/>
    <w:rsid w:val="00DE47F2"/>
    <w:rsid w:val="00DE4C79"/>
    <w:rsid w:val="00DE52CB"/>
    <w:rsid w:val="00DE5490"/>
    <w:rsid w:val="00DE59A4"/>
    <w:rsid w:val="00DE5BFE"/>
    <w:rsid w:val="00DE62E8"/>
    <w:rsid w:val="00DE635B"/>
    <w:rsid w:val="00DE682F"/>
    <w:rsid w:val="00DE698D"/>
    <w:rsid w:val="00DE6BCF"/>
    <w:rsid w:val="00DE7A8B"/>
    <w:rsid w:val="00DE7B82"/>
    <w:rsid w:val="00DE7D3E"/>
    <w:rsid w:val="00DF06D4"/>
    <w:rsid w:val="00DF09B4"/>
    <w:rsid w:val="00DF1954"/>
    <w:rsid w:val="00DF2A50"/>
    <w:rsid w:val="00DF344E"/>
    <w:rsid w:val="00DF348A"/>
    <w:rsid w:val="00DF38B8"/>
    <w:rsid w:val="00DF3954"/>
    <w:rsid w:val="00DF3A64"/>
    <w:rsid w:val="00DF3E52"/>
    <w:rsid w:val="00DF40FB"/>
    <w:rsid w:val="00DF413D"/>
    <w:rsid w:val="00DF506A"/>
    <w:rsid w:val="00DF5198"/>
    <w:rsid w:val="00DF5209"/>
    <w:rsid w:val="00DF5B40"/>
    <w:rsid w:val="00DF62F5"/>
    <w:rsid w:val="00DF6300"/>
    <w:rsid w:val="00DF66D2"/>
    <w:rsid w:val="00DF6B55"/>
    <w:rsid w:val="00DF7162"/>
    <w:rsid w:val="00DF7C18"/>
    <w:rsid w:val="00E00792"/>
    <w:rsid w:val="00E0099B"/>
    <w:rsid w:val="00E00A99"/>
    <w:rsid w:val="00E01399"/>
    <w:rsid w:val="00E0139C"/>
    <w:rsid w:val="00E025AA"/>
    <w:rsid w:val="00E0296A"/>
    <w:rsid w:val="00E02DA3"/>
    <w:rsid w:val="00E02EF3"/>
    <w:rsid w:val="00E03C65"/>
    <w:rsid w:val="00E04083"/>
    <w:rsid w:val="00E045BD"/>
    <w:rsid w:val="00E04B44"/>
    <w:rsid w:val="00E04E99"/>
    <w:rsid w:val="00E05947"/>
    <w:rsid w:val="00E071B3"/>
    <w:rsid w:val="00E07A0E"/>
    <w:rsid w:val="00E07FA3"/>
    <w:rsid w:val="00E102D1"/>
    <w:rsid w:val="00E105EB"/>
    <w:rsid w:val="00E11473"/>
    <w:rsid w:val="00E11662"/>
    <w:rsid w:val="00E11705"/>
    <w:rsid w:val="00E1199A"/>
    <w:rsid w:val="00E11D18"/>
    <w:rsid w:val="00E11F83"/>
    <w:rsid w:val="00E123AC"/>
    <w:rsid w:val="00E12452"/>
    <w:rsid w:val="00E1412D"/>
    <w:rsid w:val="00E14214"/>
    <w:rsid w:val="00E1434D"/>
    <w:rsid w:val="00E143E2"/>
    <w:rsid w:val="00E14C9A"/>
    <w:rsid w:val="00E15126"/>
    <w:rsid w:val="00E152EC"/>
    <w:rsid w:val="00E1579E"/>
    <w:rsid w:val="00E1584D"/>
    <w:rsid w:val="00E1589C"/>
    <w:rsid w:val="00E15AEC"/>
    <w:rsid w:val="00E1647A"/>
    <w:rsid w:val="00E16F01"/>
    <w:rsid w:val="00E170E2"/>
    <w:rsid w:val="00E179F6"/>
    <w:rsid w:val="00E17B55"/>
    <w:rsid w:val="00E17D0A"/>
    <w:rsid w:val="00E17F4D"/>
    <w:rsid w:val="00E20D3E"/>
    <w:rsid w:val="00E21835"/>
    <w:rsid w:val="00E21E68"/>
    <w:rsid w:val="00E22109"/>
    <w:rsid w:val="00E22196"/>
    <w:rsid w:val="00E22398"/>
    <w:rsid w:val="00E225E3"/>
    <w:rsid w:val="00E22A06"/>
    <w:rsid w:val="00E23079"/>
    <w:rsid w:val="00E2380E"/>
    <w:rsid w:val="00E2386A"/>
    <w:rsid w:val="00E23FCA"/>
    <w:rsid w:val="00E24125"/>
    <w:rsid w:val="00E24321"/>
    <w:rsid w:val="00E24D13"/>
    <w:rsid w:val="00E24F3F"/>
    <w:rsid w:val="00E252A2"/>
    <w:rsid w:val="00E263D3"/>
    <w:rsid w:val="00E26C9A"/>
    <w:rsid w:val="00E26E5D"/>
    <w:rsid w:val="00E27179"/>
    <w:rsid w:val="00E27A59"/>
    <w:rsid w:val="00E27A80"/>
    <w:rsid w:val="00E3009A"/>
    <w:rsid w:val="00E3018E"/>
    <w:rsid w:val="00E309FD"/>
    <w:rsid w:val="00E31281"/>
    <w:rsid w:val="00E31CBC"/>
    <w:rsid w:val="00E31E86"/>
    <w:rsid w:val="00E32306"/>
    <w:rsid w:val="00E34343"/>
    <w:rsid w:val="00E34DE5"/>
    <w:rsid w:val="00E3560E"/>
    <w:rsid w:val="00E35644"/>
    <w:rsid w:val="00E3690A"/>
    <w:rsid w:val="00E36D92"/>
    <w:rsid w:val="00E3722D"/>
    <w:rsid w:val="00E374BE"/>
    <w:rsid w:val="00E37709"/>
    <w:rsid w:val="00E37809"/>
    <w:rsid w:val="00E378ED"/>
    <w:rsid w:val="00E37C80"/>
    <w:rsid w:val="00E40173"/>
    <w:rsid w:val="00E408B0"/>
    <w:rsid w:val="00E40F88"/>
    <w:rsid w:val="00E413AD"/>
    <w:rsid w:val="00E41BDE"/>
    <w:rsid w:val="00E425F8"/>
    <w:rsid w:val="00E42844"/>
    <w:rsid w:val="00E428FF"/>
    <w:rsid w:val="00E42D47"/>
    <w:rsid w:val="00E430C1"/>
    <w:rsid w:val="00E43143"/>
    <w:rsid w:val="00E43664"/>
    <w:rsid w:val="00E4381F"/>
    <w:rsid w:val="00E44E1F"/>
    <w:rsid w:val="00E45DFE"/>
    <w:rsid w:val="00E464BD"/>
    <w:rsid w:val="00E46C7B"/>
    <w:rsid w:val="00E4712E"/>
    <w:rsid w:val="00E479E3"/>
    <w:rsid w:val="00E50098"/>
    <w:rsid w:val="00E5037A"/>
    <w:rsid w:val="00E510FD"/>
    <w:rsid w:val="00E5202D"/>
    <w:rsid w:val="00E5265A"/>
    <w:rsid w:val="00E52D90"/>
    <w:rsid w:val="00E534ED"/>
    <w:rsid w:val="00E53548"/>
    <w:rsid w:val="00E53804"/>
    <w:rsid w:val="00E53A8B"/>
    <w:rsid w:val="00E54238"/>
    <w:rsid w:val="00E54D1C"/>
    <w:rsid w:val="00E54F46"/>
    <w:rsid w:val="00E5694E"/>
    <w:rsid w:val="00E56A20"/>
    <w:rsid w:val="00E574EF"/>
    <w:rsid w:val="00E57938"/>
    <w:rsid w:val="00E57D0F"/>
    <w:rsid w:val="00E57F51"/>
    <w:rsid w:val="00E60A60"/>
    <w:rsid w:val="00E60B45"/>
    <w:rsid w:val="00E61471"/>
    <w:rsid w:val="00E619FA"/>
    <w:rsid w:val="00E61DAB"/>
    <w:rsid w:val="00E623FF"/>
    <w:rsid w:val="00E628A3"/>
    <w:rsid w:val="00E63317"/>
    <w:rsid w:val="00E63587"/>
    <w:rsid w:val="00E63591"/>
    <w:rsid w:val="00E6388F"/>
    <w:rsid w:val="00E63C76"/>
    <w:rsid w:val="00E649EC"/>
    <w:rsid w:val="00E65440"/>
    <w:rsid w:val="00E65A44"/>
    <w:rsid w:val="00E664B2"/>
    <w:rsid w:val="00E672EC"/>
    <w:rsid w:val="00E6732A"/>
    <w:rsid w:val="00E702B5"/>
    <w:rsid w:val="00E708C7"/>
    <w:rsid w:val="00E70F38"/>
    <w:rsid w:val="00E70FED"/>
    <w:rsid w:val="00E71B4C"/>
    <w:rsid w:val="00E71F7F"/>
    <w:rsid w:val="00E720D2"/>
    <w:rsid w:val="00E7285A"/>
    <w:rsid w:val="00E73315"/>
    <w:rsid w:val="00E73B91"/>
    <w:rsid w:val="00E73BC3"/>
    <w:rsid w:val="00E73BF2"/>
    <w:rsid w:val="00E73CC2"/>
    <w:rsid w:val="00E73D50"/>
    <w:rsid w:val="00E73E80"/>
    <w:rsid w:val="00E743FF"/>
    <w:rsid w:val="00E7474B"/>
    <w:rsid w:val="00E74857"/>
    <w:rsid w:val="00E74B9D"/>
    <w:rsid w:val="00E74D6B"/>
    <w:rsid w:val="00E752A6"/>
    <w:rsid w:val="00E7589F"/>
    <w:rsid w:val="00E75BEC"/>
    <w:rsid w:val="00E75C0E"/>
    <w:rsid w:val="00E7617C"/>
    <w:rsid w:val="00E765C7"/>
    <w:rsid w:val="00E76771"/>
    <w:rsid w:val="00E779FB"/>
    <w:rsid w:val="00E77A2A"/>
    <w:rsid w:val="00E80659"/>
    <w:rsid w:val="00E80E0F"/>
    <w:rsid w:val="00E817BE"/>
    <w:rsid w:val="00E81D4D"/>
    <w:rsid w:val="00E821A7"/>
    <w:rsid w:val="00E822E2"/>
    <w:rsid w:val="00E8256F"/>
    <w:rsid w:val="00E8292E"/>
    <w:rsid w:val="00E84A31"/>
    <w:rsid w:val="00E84BE4"/>
    <w:rsid w:val="00E84F00"/>
    <w:rsid w:val="00E85AEA"/>
    <w:rsid w:val="00E86432"/>
    <w:rsid w:val="00E86567"/>
    <w:rsid w:val="00E865DF"/>
    <w:rsid w:val="00E86CAF"/>
    <w:rsid w:val="00E86F7D"/>
    <w:rsid w:val="00E87966"/>
    <w:rsid w:val="00E87BEC"/>
    <w:rsid w:val="00E9034F"/>
    <w:rsid w:val="00E90E9C"/>
    <w:rsid w:val="00E9249C"/>
    <w:rsid w:val="00E92569"/>
    <w:rsid w:val="00E9397D"/>
    <w:rsid w:val="00E93B5C"/>
    <w:rsid w:val="00E93E12"/>
    <w:rsid w:val="00E93F8C"/>
    <w:rsid w:val="00E94791"/>
    <w:rsid w:val="00E94B60"/>
    <w:rsid w:val="00E95882"/>
    <w:rsid w:val="00E95DC0"/>
    <w:rsid w:val="00E96E58"/>
    <w:rsid w:val="00E97FB2"/>
    <w:rsid w:val="00EA0278"/>
    <w:rsid w:val="00EA0293"/>
    <w:rsid w:val="00EA1045"/>
    <w:rsid w:val="00EA1B05"/>
    <w:rsid w:val="00EA1BF1"/>
    <w:rsid w:val="00EA1CD1"/>
    <w:rsid w:val="00EA1EF6"/>
    <w:rsid w:val="00EA2917"/>
    <w:rsid w:val="00EA2E29"/>
    <w:rsid w:val="00EA3108"/>
    <w:rsid w:val="00EA33B9"/>
    <w:rsid w:val="00EA37AA"/>
    <w:rsid w:val="00EA3AC7"/>
    <w:rsid w:val="00EA4C0D"/>
    <w:rsid w:val="00EA4E07"/>
    <w:rsid w:val="00EA60E0"/>
    <w:rsid w:val="00EA62FE"/>
    <w:rsid w:val="00EA684D"/>
    <w:rsid w:val="00EA7E0C"/>
    <w:rsid w:val="00EB1024"/>
    <w:rsid w:val="00EB1221"/>
    <w:rsid w:val="00EB2235"/>
    <w:rsid w:val="00EB23CB"/>
    <w:rsid w:val="00EB2508"/>
    <w:rsid w:val="00EB25FD"/>
    <w:rsid w:val="00EB3103"/>
    <w:rsid w:val="00EB31E4"/>
    <w:rsid w:val="00EB3A4E"/>
    <w:rsid w:val="00EB3A60"/>
    <w:rsid w:val="00EB442C"/>
    <w:rsid w:val="00EB4FCA"/>
    <w:rsid w:val="00EB5328"/>
    <w:rsid w:val="00EB6162"/>
    <w:rsid w:val="00EB6708"/>
    <w:rsid w:val="00EB7327"/>
    <w:rsid w:val="00EC0587"/>
    <w:rsid w:val="00EC1170"/>
    <w:rsid w:val="00EC11C1"/>
    <w:rsid w:val="00EC1763"/>
    <w:rsid w:val="00EC1B6A"/>
    <w:rsid w:val="00EC1B85"/>
    <w:rsid w:val="00EC1BD5"/>
    <w:rsid w:val="00EC2749"/>
    <w:rsid w:val="00EC2925"/>
    <w:rsid w:val="00EC2E43"/>
    <w:rsid w:val="00EC36C3"/>
    <w:rsid w:val="00EC37E4"/>
    <w:rsid w:val="00EC3A5A"/>
    <w:rsid w:val="00EC40CC"/>
    <w:rsid w:val="00EC4552"/>
    <w:rsid w:val="00EC4E56"/>
    <w:rsid w:val="00EC520E"/>
    <w:rsid w:val="00EC587A"/>
    <w:rsid w:val="00EC6375"/>
    <w:rsid w:val="00EC68FD"/>
    <w:rsid w:val="00EC6EAE"/>
    <w:rsid w:val="00EC6FB7"/>
    <w:rsid w:val="00EC7A01"/>
    <w:rsid w:val="00ED0C76"/>
    <w:rsid w:val="00ED0F99"/>
    <w:rsid w:val="00ED16A2"/>
    <w:rsid w:val="00ED2C55"/>
    <w:rsid w:val="00ED371B"/>
    <w:rsid w:val="00ED3943"/>
    <w:rsid w:val="00ED40EE"/>
    <w:rsid w:val="00ED4EDF"/>
    <w:rsid w:val="00ED5A16"/>
    <w:rsid w:val="00ED6148"/>
    <w:rsid w:val="00ED64E5"/>
    <w:rsid w:val="00ED683D"/>
    <w:rsid w:val="00ED6885"/>
    <w:rsid w:val="00ED73C6"/>
    <w:rsid w:val="00ED7FF3"/>
    <w:rsid w:val="00EE017A"/>
    <w:rsid w:val="00EE0A29"/>
    <w:rsid w:val="00EE1D22"/>
    <w:rsid w:val="00EE1DD6"/>
    <w:rsid w:val="00EE288D"/>
    <w:rsid w:val="00EE2CBA"/>
    <w:rsid w:val="00EE2DB8"/>
    <w:rsid w:val="00EE331A"/>
    <w:rsid w:val="00EE3B10"/>
    <w:rsid w:val="00EE3E05"/>
    <w:rsid w:val="00EE425E"/>
    <w:rsid w:val="00EE47C0"/>
    <w:rsid w:val="00EE4E7F"/>
    <w:rsid w:val="00EE5193"/>
    <w:rsid w:val="00EE53D5"/>
    <w:rsid w:val="00EE56DA"/>
    <w:rsid w:val="00EE58C5"/>
    <w:rsid w:val="00EE5EDC"/>
    <w:rsid w:val="00EE7049"/>
    <w:rsid w:val="00EE72CB"/>
    <w:rsid w:val="00EE7BA1"/>
    <w:rsid w:val="00EE7BD5"/>
    <w:rsid w:val="00EE7BFB"/>
    <w:rsid w:val="00EE7DB2"/>
    <w:rsid w:val="00EF0117"/>
    <w:rsid w:val="00EF075D"/>
    <w:rsid w:val="00EF0900"/>
    <w:rsid w:val="00EF1046"/>
    <w:rsid w:val="00EF118B"/>
    <w:rsid w:val="00EF1935"/>
    <w:rsid w:val="00EF1D2C"/>
    <w:rsid w:val="00EF2D23"/>
    <w:rsid w:val="00EF40BB"/>
    <w:rsid w:val="00EF4B73"/>
    <w:rsid w:val="00EF59B9"/>
    <w:rsid w:val="00EF640B"/>
    <w:rsid w:val="00EF67A2"/>
    <w:rsid w:val="00EF67EC"/>
    <w:rsid w:val="00EF6D84"/>
    <w:rsid w:val="00EF7BB8"/>
    <w:rsid w:val="00EF7C0C"/>
    <w:rsid w:val="00F0022C"/>
    <w:rsid w:val="00F0094C"/>
    <w:rsid w:val="00F00A74"/>
    <w:rsid w:val="00F00E46"/>
    <w:rsid w:val="00F028EA"/>
    <w:rsid w:val="00F0335D"/>
    <w:rsid w:val="00F034CE"/>
    <w:rsid w:val="00F03861"/>
    <w:rsid w:val="00F045CE"/>
    <w:rsid w:val="00F05245"/>
    <w:rsid w:val="00F05C40"/>
    <w:rsid w:val="00F05F0E"/>
    <w:rsid w:val="00F06FC0"/>
    <w:rsid w:val="00F07347"/>
    <w:rsid w:val="00F07353"/>
    <w:rsid w:val="00F07CC5"/>
    <w:rsid w:val="00F11D39"/>
    <w:rsid w:val="00F12F6D"/>
    <w:rsid w:val="00F1399A"/>
    <w:rsid w:val="00F14038"/>
    <w:rsid w:val="00F1416A"/>
    <w:rsid w:val="00F1446B"/>
    <w:rsid w:val="00F1458A"/>
    <w:rsid w:val="00F1543E"/>
    <w:rsid w:val="00F15E05"/>
    <w:rsid w:val="00F15FF3"/>
    <w:rsid w:val="00F167C3"/>
    <w:rsid w:val="00F16B30"/>
    <w:rsid w:val="00F16E68"/>
    <w:rsid w:val="00F179A2"/>
    <w:rsid w:val="00F20198"/>
    <w:rsid w:val="00F20452"/>
    <w:rsid w:val="00F20EDC"/>
    <w:rsid w:val="00F212C9"/>
    <w:rsid w:val="00F219E1"/>
    <w:rsid w:val="00F21A3F"/>
    <w:rsid w:val="00F21EAB"/>
    <w:rsid w:val="00F21FBF"/>
    <w:rsid w:val="00F2213D"/>
    <w:rsid w:val="00F221AB"/>
    <w:rsid w:val="00F221CE"/>
    <w:rsid w:val="00F22424"/>
    <w:rsid w:val="00F22457"/>
    <w:rsid w:val="00F22837"/>
    <w:rsid w:val="00F22A3D"/>
    <w:rsid w:val="00F22DEE"/>
    <w:rsid w:val="00F23C4B"/>
    <w:rsid w:val="00F23CCA"/>
    <w:rsid w:val="00F23CCB"/>
    <w:rsid w:val="00F23D27"/>
    <w:rsid w:val="00F248BE"/>
    <w:rsid w:val="00F24921"/>
    <w:rsid w:val="00F24A45"/>
    <w:rsid w:val="00F251FF"/>
    <w:rsid w:val="00F255DC"/>
    <w:rsid w:val="00F257C9"/>
    <w:rsid w:val="00F25B6B"/>
    <w:rsid w:val="00F26297"/>
    <w:rsid w:val="00F26B67"/>
    <w:rsid w:val="00F271AB"/>
    <w:rsid w:val="00F2723A"/>
    <w:rsid w:val="00F27339"/>
    <w:rsid w:val="00F31832"/>
    <w:rsid w:val="00F31842"/>
    <w:rsid w:val="00F32811"/>
    <w:rsid w:val="00F33F15"/>
    <w:rsid w:val="00F34FA6"/>
    <w:rsid w:val="00F35740"/>
    <w:rsid w:val="00F35E7E"/>
    <w:rsid w:val="00F35F47"/>
    <w:rsid w:val="00F362EB"/>
    <w:rsid w:val="00F36E98"/>
    <w:rsid w:val="00F36F23"/>
    <w:rsid w:val="00F37292"/>
    <w:rsid w:val="00F372E3"/>
    <w:rsid w:val="00F373DB"/>
    <w:rsid w:val="00F37F99"/>
    <w:rsid w:val="00F40A26"/>
    <w:rsid w:val="00F40C49"/>
    <w:rsid w:val="00F41306"/>
    <w:rsid w:val="00F41F15"/>
    <w:rsid w:val="00F42256"/>
    <w:rsid w:val="00F4230B"/>
    <w:rsid w:val="00F424A6"/>
    <w:rsid w:val="00F42AE4"/>
    <w:rsid w:val="00F42CA0"/>
    <w:rsid w:val="00F42CDE"/>
    <w:rsid w:val="00F4373C"/>
    <w:rsid w:val="00F43C73"/>
    <w:rsid w:val="00F43C96"/>
    <w:rsid w:val="00F44CE1"/>
    <w:rsid w:val="00F44EF3"/>
    <w:rsid w:val="00F45149"/>
    <w:rsid w:val="00F45878"/>
    <w:rsid w:val="00F45B5C"/>
    <w:rsid w:val="00F45E88"/>
    <w:rsid w:val="00F45F14"/>
    <w:rsid w:val="00F46085"/>
    <w:rsid w:val="00F46348"/>
    <w:rsid w:val="00F471AD"/>
    <w:rsid w:val="00F47817"/>
    <w:rsid w:val="00F47BE6"/>
    <w:rsid w:val="00F503C9"/>
    <w:rsid w:val="00F50858"/>
    <w:rsid w:val="00F50B88"/>
    <w:rsid w:val="00F5102F"/>
    <w:rsid w:val="00F51CD7"/>
    <w:rsid w:val="00F52713"/>
    <w:rsid w:val="00F529AE"/>
    <w:rsid w:val="00F52AB8"/>
    <w:rsid w:val="00F53042"/>
    <w:rsid w:val="00F5443E"/>
    <w:rsid w:val="00F54A66"/>
    <w:rsid w:val="00F54C52"/>
    <w:rsid w:val="00F55239"/>
    <w:rsid w:val="00F55394"/>
    <w:rsid w:val="00F556A9"/>
    <w:rsid w:val="00F55715"/>
    <w:rsid w:val="00F557DE"/>
    <w:rsid w:val="00F565DC"/>
    <w:rsid w:val="00F56797"/>
    <w:rsid w:val="00F56D0B"/>
    <w:rsid w:val="00F57644"/>
    <w:rsid w:val="00F60E06"/>
    <w:rsid w:val="00F60F10"/>
    <w:rsid w:val="00F60FB1"/>
    <w:rsid w:val="00F61057"/>
    <w:rsid w:val="00F6130E"/>
    <w:rsid w:val="00F61441"/>
    <w:rsid w:val="00F615F1"/>
    <w:rsid w:val="00F61A9F"/>
    <w:rsid w:val="00F61AD3"/>
    <w:rsid w:val="00F61CB6"/>
    <w:rsid w:val="00F622D2"/>
    <w:rsid w:val="00F6276E"/>
    <w:rsid w:val="00F635B8"/>
    <w:rsid w:val="00F63AB0"/>
    <w:rsid w:val="00F652AE"/>
    <w:rsid w:val="00F6563A"/>
    <w:rsid w:val="00F65D82"/>
    <w:rsid w:val="00F65DEF"/>
    <w:rsid w:val="00F66378"/>
    <w:rsid w:val="00F66447"/>
    <w:rsid w:val="00F664C9"/>
    <w:rsid w:val="00F66E36"/>
    <w:rsid w:val="00F70667"/>
    <w:rsid w:val="00F70BB3"/>
    <w:rsid w:val="00F70ED2"/>
    <w:rsid w:val="00F710A0"/>
    <w:rsid w:val="00F71959"/>
    <w:rsid w:val="00F719B0"/>
    <w:rsid w:val="00F71A7B"/>
    <w:rsid w:val="00F72C2E"/>
    <w:rsid w:val="00F73039"/>
    <w:rsid w:val="00F734D7"/>
    <w:rsid w:val="00F7361A"/>
    <w:rsid w:val="00F739C6"/>
    <w:rsid w:val="00F73C45"/>
    <w:rsid w:val="00F73F35"/>
    <w:rsid w:val="00F763CD"/>
    <w:rsid w:val="00F766FC"/>
    <w:rsid w:val="00F775F4"/>
    <w:rsid w:val="00F77EE3"/>
    <w:rsid w:val="00F7BA55"/>
    <w:rsid w:val="00F8003C"/>
    <w:rsid w:val="00F80110"/>
    <w:rsid w:val="00F8042C"/>
    <w:rsid w:val="00F80592"/>
    <w:rsid w:val="00F80A23"/>
    <w:rsid w:val="00F80B7E"/>
    <w:rsid w:val="00F811F4"/>
    <w:rsid w:val="00F8139C"/>
    <w:rsid w:val="00F818FC"/>
    <w:rsid w:val="00F81DD5"/>
    <w:rsid w:val="00F8201C"/>
    <w:rsid w:val="00F821FF"/>
    <w:rsid w:val="00F82474"/>
    <w:rsid w:val="00F82F5B"/>
    <w:rsid w:val="00F833E9"/>
    <w:rsid w:val="00F84014"/>
    <w:rsid w:val="00F8507D"/>
    <w:rsid w:val="00F85C08"/>
    <w:rsid w:val="00F86A9A"/>
    <w:rsid w:val="00F875AB"/>
    <w:rsid w:val="00F87C29"/>
    <w:rsid w:val="00F9023D"/>
    <w:rsid w:val="00F90469"/>
    <w:rsid w:val="00F90B1B"/>
    <w:rsid w:val="00F90FE5"/>
    <w:rsid w:val="00F9108E"/>
    <w:rsid w:val="00F92014"/>
    <w:rsid w:val="00F923F0"/>
    <w:rsid w:val="00F926A1"/>
    <w:rsid w:val="00F93A74"/>
    <w:rsid w:val="00F94141"/>
    <w:rsid w:val="00F94597"/>
    <w:rsid w:val="00F94AB7"/>
    <w:rsid w:val="00F94EE6"/>
    <w:rsid w:val="00F951B0"/>
    <w:rsid w:val="00F9561B"/>
    <w:rsid w:val="00F95C2B"/>
    <w:rsid w:val="00F96149"/>
    <w:rsid w:val="00F96991"/>
    <w:rsid w:val="00F9721F"/>
    <w:rsid w:val="00F97418"/>
    <w:rsid w:val="00F97711"/>
    <w:rsid w:val="00F97E0A"/>
    <w:rsid w:val="00FA0A7E"/>
    <w:rsid w:val="00FA0B0E"/>
    <w:rsid w:val="00FA0B94"/>
    <w:rsid w:val="00FA1265"/>
    <w:rsid w:val="00FA1B48"/>
    <w:rsid w:val="00FA1C03"/>
    <w:rsid w:val="00FA20C7"/>
    <w:rsid w:val="00FA27AC"/>
    <w:rsid w:val="00FA2A52"/>
    <w:rsid w:val="00FA3788"/>
    <w:rsid w:val="00FA38B8"/>
    <w:rsid w:val="00FA3ED8"/>
    <w:rsid w:val="00FA4C80"/>
    <w:rsid w:val="00FA4D0B"/>
    <w:rsid w:val="00FA4D46"/>
    <w:rsid w:val="00FA4EB6"/>
    <w:rsid w:val="00FA54B7"/>
    <w:rsid w:val="00FA590B"/>
    <w:rsid w:val="00FA598E"/>
    <w:rsid w:val="00FA5B22"/>
    <w:rsid w:val="00FA6874"/>
    <w:rsid w:val="00FA6DA0"/>
    <w:rsid w:val="00FA7349"/>
    <w:rsid w:val="00FA734D"/>
    <w:rsid w:val="00FB1160"/>
    <w:rsid w:val="00FB1950"/>
    <w:rsid w:val="00FB1E11"/>
    <w:rsid w:val="00FB2441"/>
    <w:rsid w:val="00FB280F"/>
    <w:rsid w:val="00FB2AD0"/>
    <w:rsid w:val="00FB3090"/>
    <w:rsid w:val="00FB386C"/>
    <w:rsid w:val="00FB39CA"/>
    <w:rsid w:val="00FB3F51"/>
    <w:rsid w:val="00FB404E"/>
    <w:rsid w:val="00FB45A5"/>
    <w:rsid w:val="00FB45C9"/>
    <w:rsid w:val="00FB5005"/>
    <w:rsid w:val="00FB5172"/>
    <w:rsid w:val="00FB5F51"/>
    <w:rsid w:val="00FB6C30"/>
    <w:rsid w:val="00FB7345"/>
    <w:rsid w:val="00FC3000"/>
    <w:rsid w:val="00FC30F8"/>
    <w:rsid w:val="00FC33F2"/>
    <w:rsid w:val="00FC3BC4"/>
    <w:rsid w:val="00FC3CB2"/>
    <w:rsid w:val="00FC3CDE"/>
    <w:rsid w:val="00FC47B2"/>
    <w:rsid w:val="00FC4EE9"/>
    <w:rsid w:val="00FC58DB"/>
    <w:rsid w:val="00FC7AE5"/>
    <w:rsid w:val="00FD0BA2"/>
    <w:rsid w:val="00FD1760"/>
    <w:rsid w:val="00FD1A9F"/>
    <w:rsid w:val="00FD2CAF"/>
    <w:rsid w:val="00FD3060"/>
    <w:rsid w:val="00FD3396"/>
    <w:rsid w:val="00FD3759"/>
    <w:rsid w:val="00FD3E7B"/>
    <w:rsid w:val="00FD4308"/>
    <w:rsid w:val="00FD50DE"/>
    <w:rsid w:val="00FD5BE5"/>
    <w:rsid w:val="00FD65A2"/>
    <w:rsid w:val="00FD6747"/>
    <w:rsid w:val="00FD6B9D"/>
    <w:rsid w:val="00FD7B34"/>
    <w:rsid w:val="00FD7F02"/>
    <w:rsid w:val="00FD7F8A"/>
    <w:rsid w:val="00FE018E"/>
    <w:rsid w:val="00FE054D"/>
    <w:rsid w:val="00FE05EC"/>
    <w:rsid w:val="00FE09A0"/>
    <w:rsid w:val="00FE0A79"/>
    <w:rsid w:val="00FE0C87"/>
    <w:rsid w:val="00FE0DEC"/>
    <w:rsid w:val="00FE1374"/>
    <w:rsid w:val="00FE1797"/>
    <w:rsid w:val="00FE1AF2"/>
    <w:rsid w:val="00FE253E"/>
    <w:rsid w:val="00FE280C"/>
    <w:rsid w:val="00FE384D"/>
    <w:rsid w:val="00FE3D6F"/>
    <w:rsid w:val="00FE42A8"/>
    <w:rsid w:val="00FE4586"/>
    <w:rsid w:val="00FE4939"/>
    <w:rsid w:val="00FE4EE5"/>
    <w:rsid w:val="00FE4FB3"/>
    <w:rsid w:val="00FE5076"/>
    <w:rsid w:val="00FE5431"/>
    <w:rsid w:val="00FE5F89"/>
    <w:rsid w:val="00FE6D5B"/>
    <w:rsid w:val="00FE7189"/>
    <w:rsid w:val="00FE7A7A"/>
    <w:rsid w:val="00FE7ACD"/>
    <w:rsid w:val="00FF01F6"/>
    <w:rsid w:val="00FF0E17"/>
    <w:rsid w:val="00FF18FA"/>
    <w:rsid w:val="00FF214B"/>
    <w:rsid w:val="00FF26BB"/>
    <w:rsid w:val="00FF2743"/>
    <w:rsid w:val="00FF3071"/>
    <w:rsid w:val="00FF32AD"/>
    <w:rsid w:val="00FF3648"/>
    <w:rsid w:val="00FF3891"/>
    <w:rsid w:val="00FF3A52"/>
    <w:rsid w:val="00FF3F3C"/>
    <w:rsid w:val="00FF4122"/>
    <w:rsid w:val="00FF4686"/>
    <w:rsid w:val="00FF4762"/>
    <w:rsid w:val="00FF4843"/>
    <w:rsid w:val="00FF49D3"/>
    <w:rsid w:val="00FF4FDD"/>
    <w:rsid w:val="00FF506A"/>
    <w:rsid w:val="00FF5518"/>
    <w:rsid w:val="00FF59D5"/>
    <w:rsid w:val="00FF6568"/>
    <w:rsid w:val="00FF6FF6"/>
    <w:rsid w:val="00FF700B"/>
    <w:rsid w:val="0154B12C"/>
    <w:rsid w:val="016A7C1D"/>
    <w:rsid w:val="01C3880F"/>
    <w:rsid w:val="02177772"/>
    <w:rsid w:val="021C7438"/>
    <w:rsid w:val="021FB432"/>
    <w:rsid w:val="02DA153C"/>
    <w:rsid w:val="033D0927"/>
    <w:rsid w:val="0366902F"/>
    <w:rsid w:val="0449A6D1"/>
    <w:rsid w:val="04A4B709"/>
    <w:rsid w:val="056F2F1A"/>
    <w:rsid w:val="059B7F98"/>
    <w:rsid w:val="067FAD8B"/>
    <w:rsid w:val="06B5FB61"/>
    <w:rsid w:val="0828AD1F"/>
    <w:rsid w:val="08B246C0"/>
    <w:rsid w:val="08EC03D8"/>
    <w:rsid w:val="0908AC13"/>
    <w:rsid w:val="09A29168"/>
    <w:rsid w:val="09ADC5E4"/>
    <w:rsid w:val="09DF1B86"/>
    <w:rsid w:val="09F333CB"/>
    <w:rsid w:val="0A0FEC71"/>
    <w:rsid w:val="0AE09611"/>
    <w:rsid w:val="0AECCD10"/>
    <w:rsid w:val="0BB3C50D"/>
    <w:rsid w:val="0C093D0F"/>
    <w:rsid w:val="0C31168F"/>
    <w:rsid w:val="0C504A4B"/>
    <w:rsid w:val="0C55C85F"/>
    <w:rsid w:val="0CBFACC8"/>
    <w:rsid w:val="0D267A0F"/>
    <w:rsid w:val="0D4631D1"/>
    <w:rsid w:val="0D7A9695"/>
    <w:rsid w:val="0DD7662E"/>
    <w:rsid w:val="0DE14B8A"/>
    <w:rsid w:val="0E5D7C81"/>
    <w:rsid w:val="0E75BE4B"/>
    <w:rsid w:val="0E8F51CA"/>
    <w:rsid w:val="0EAC9CA8"/>
    <w:rsid w:val="0EBF0B58"/>
    <w:rsid w:val="0F6D08F6"/>
    <w:rsid w:val="0F7A5F88"/>
    <w:rsid w:val="0FAAF234"/>
    <w:rsid w:val="0FAD815B"/>
    <w:rsid w:val="10A9D834"/>
    <w:rsid w:val="10C74286"/>
    <w:rsid w:val="1159DDC0"/>
    <w:rsid w:val="1180D328"/>
    <w:rsid w:val="138992D6"/>
    <w:rsid w:val="138D8F26"/>
    <w:rsid w:val="138FEEC7"/>
    <w:rsid w:val="1454D9C0"/>
    <w:rsid w:val="146EF348"/>
    <w:rsid w:val="14BF6254"/>
    <w:rsid w:val="14E534A2"/>
    <w:rsid w:val="14EC4E67"/>
    <w:rsid w:val="150B4175"/>
    <w:rsid w:val="15CB7EC6"/>
    <w:rsid w:val="1637FC6E"/>
    <w:rsid w:val="16BF97C7"/>
    <w:rsid w:val="171B6C61"/>
    <w:rsid w:val="175B7CD4"/>
    <w:rsid w:val="176A1CBE"/>
    <w:rsid w:val="177682CB"/>
    <w:rsid w:val="17D4E777"/>
    <w:rsid w:val="184F9D54"/>
    <w:rsid w:val="1A429BDD"/>
    <w:rsid w:val="1AEE106C"/>
    <w:rsid w:val="1B4F0F13"/>
    <w:rsid w:val="1CEFB8FA"/>
    <w:rsid w:val="1DC1BE93"/>
    <w:rsid w:val="1DDFDE4F"/>
    <w:rsid w:val="1DF9E06E"/>
    <w:rsid w:val="1E23818E"/>
    <w:rsid w:val="1E266FA0"/>
    <w:rsid w:val="1E8EC7BD"/>
    <w:rsid w:val="1F5B1760"/>
    <w:rsid w:val="1F71D02B"/>
    <w:rsid w:val="1F84AB14"/>
    <w:rsid w:val="1F8F4111"/>
    <w:rsid w:val="1FA0B994"/>
    <w:rsid w:val="1FCBD6C2"/>
    <w:rsid w:val="21148368"/>
    <w:rsid w:val="2194BF8C"/>
    <w:rsid w:val="21E0DF97"/>
    <w:rsid w:val="22B32ED4"/>
    <w:rsid w:val="234CD346"/>
    <w:rsid w:val="2355A71C"/>
    <w:rsid w:val="23AD4958"/>
    <w:rsid w:val="23D19CFC"/>
    <w:rsid w:val="23D58514"/>
    <w:rsid w:val="23DCD5AA"/>
    <w:rsid w:val="2410383D"/>
    <w:rsid w:val="24EA863D"/>
    <w:rsid w:val="25633960"/>
    <w:rsid w:val="25945612"/>
    <w:rsid w:val="25CF1626"/>
    <w:rsid w:val="267663DA"/>
    <w:rsid w:val="26808A07"/>
    <w:rsid w:val="26B1A4FA"/>
    <w:rsid w:val="2734C290"/>
    <w:rsid w:val="27791056"/>
    <w:rsid w:val="27FC4618"/>
    <w:rsid w:val="28308C99"/>
    <w:rsid w:val="28B4C135"/>
    <w:rsid w:val="28CCF095"/>
    <w:rsid w:val="28D3CB8E"/>
    <w:rsid w:val="29024EB3"/>
    <w:rsid w:val="29984432"/>
    <w:rsid w:val="29D2EADA"/>
    <w:rsid w:val="2B0335E9"/>
    <w:rsid w:val="2BBD01D9"/>
    <w:rsid w:val="2BEB8CD3"/>
    <w:rsid w:val="2C432EB3"/>
    <w:rsid w:val="2C61DB23"/>
    <w:rsid w:val="2C822201"/>
    <w:rsid w:val="2C8253D7"/>
    <w:rsid w:val="2D636502"/>
    <w:rsid w:val="2DCB03D1"/>
    <w:rsid w:val="2DF7052F"/>
    <w:rsid w:val="2E5D2D98"/>
    <w:rsid w:val="2EBA93BD"/>
    <w:rsid w:val="2EFADDE4"/>
    <w:rsid w:val="2F63F1CA"/>
    <w:rsid w:val="2F6F0B5F"/>
    <w:rsid w:val="2FA30CBB"/>
    <w:rsid w:val="2FB79C70"/>
    <w:rsid w:val="2FEB0AD0"/>
    <w:rsid w:val="304A9619"/>
    <w:rsid w:val="30A76556"/>
    <w:rsid w:val="30FDD9B8"/>
    <w:rsid w:val="311805B4"/>
    <w:rsid w:val="31195909"/>
    <w:rsid w:val="311D9FA3"/>
    <w:rsid w:val="312291E8"/>
    <w:rsid w:val="318EFA8E"/>
    <w:rsid w:val="324696BD"/>
    <w:rsid w:val="32692425"/>
    <w:rsid w:val="32AFF8B7"/>
    <w:rsid w:val="3371EB34"/>
    <w:rsid w:val="33C965B5"/>
    <w:rsid w:val="34021E32"/>
    <w:rsid w:val="346B8786"/>
    <w:rsid w:val="355E0E37"/>
    <w:rsid w:val="36C3A01C"/>
    <w:rsid w:val="36DE2982"/>
    <w:rsid w:val="36FF618B"/>
    <w:rsid w:val="37A52086"/>
    <w:rsid w:val="385059DE"/>
    <w:rsid w:val="3882E762"/>
    <w:rsid w:val="38A7E7B6"/>
    <w:rsid w:val="38B83DCF"/>
    <w:rsid w:val="3A00F5E4"/>
    <w:rsid w:val="3A02A2BD"/>
    <w:rsid w:val="3A1337E8"/>
    <w:rsid w:val="3AA63811"/>
    <w:rsid w:val="3B20AB05"/>
    <w:rsid w:val="3B5FE5F8"/>
    <w:rsid w:val="3B6BCC77"/>
    <w:rsid w:val="3C6B80EE"/>
    <w:rsid w:val="3C792D81"/>
    <w:rsid w:val="3CD398BF"/>
    <w:rsid w:val="3DF63A0F"/>
    <w:rsid w:val="3E4249C0"/>
    <w:rsid w:val="3E48F763"/>
    <w:rsid w:val="3E7EAC71"/>
    <w:rsid w:val="3F28CEC3"/>
    <w:rsid w:val="3F4E973D"/>
    <w:rsid w:val="3F6ABEEB"/>
    <w:rsid w:val="409BC5BB"/>
    <w:rsid w:val="40F25BB3"/>
    <w:rsid w:val="4168A9AC"/>
    <w:rsid w:val="424CD2F4"/>
    <w:rsid w:val="42D7EEC7"/>
    <w:rsid w:val="42EC0A47"/>
    <w:rsid w:val="445362D7"/>
    <w:rsid w:val="44854A31"/>
    <w:rsid w:val="44A757DC"/>
    <w:rsid w:val="45A9B640"/>
    <w:rsid w:val="4629F05B"/>
    <w:rsid w:val="462B663B"/>
    <w:rsid w:val="4711493C"/>
    <w:rsid w:val="472BD25F"/>
    <w:rsid w:val="47DDBA9D"/>
    <w:rsid w:val="47E9799B"/>
    <w:rsid w:val="47FBB807"/>
    <w:rsid w:val="4810EA74"/>
    <w:rsid w:val="483F3D85"/>
    <w:rsid w:val="48939568"/>
    <w:rsid w:val="489BCD57"/>
    <w:rsid w:val="48D5B90A"/>
    <w:rsid w:val="49152D06"/>
    <w:rsid w:val="4930711E"/>
    <w:rsid w:val="494A3A08"/>
    <w:rsid w:val="49DF2BFD"/>
    <w:rsid w:val="4A81777E"/>
    <w:rsid w:val="4AA9551C"/>
    <w:rsid w:val="4AC4C6D4"/>
    <w:rsid w:val="4AFF6BB8"/>
    <w:rsid w:val="4B31CF6E"/>
    <w:rsid w:val="4B3ADA32"/>
    <w:rsid w:val="4B7C65B1"/>
    <w:rsid w:val="4BDFD800"/>
    <w:rsid w:val="4C501E93"/>
    <w:rsid w:val="4CFB1383"/>
    <w:rsid w:val="4D249E3C"/>
    <w:rsid w:val="4DD810F5"/>
    <w:rsid w:val="4DEA3F12"/>
    <w:rsid w:val="4E8C2601"/>
    <w:rsid w:val="4EE23AB8"/>
    <w:rsid w:val="4F033901"/>
    <w:rsid w:val="4F251036"/>
    <w:rsid w:val="4F35B8B9"/>
    <w:rsid w:val="5005C1F7"/>
    <w:rsid w:val="500C30FD"/>
    <w:rsid w:val="5056B332"/>
    <w:rsid w:val="5072B5E7"/>
    <w:rsid w:val="50D6D418"/>
    <w:rsid w:val="52F48D00"/>
    <w:rsid w:val="530686D0"/>
    <w:rsid w:val="53FA3C2E"/>
    <w:rsid w:val="540A9BA9"/>
    <w:rsid w:val="5436BE12"/>
    <w:rsid w:val="544C4966"/>
    <w:rsid w:val="54891DC1"/>
    <w:rsid w:val="550471A0"/>
    <w:rsid w:val="553BB6DD"/>
    <w:rsid w:val="560AD2F9"/>
    <w:rsid w:val="56307056"/>
    <w:rsid w:val="574289C7"/>
    <w:rsid w:val="57929821"/>
    <w:rsid w:val="58136F0C"/>
    <w:rsid w:val="58557DF5"/>
    <w:rsid w:val="58C5E9CF"/>
    <w:rsid w:val="590B6DD5"/>
    <w:rsid w:val="5999C743"/>
    <w:rsid w:val="59F7AE64"/>
    <w:rsid w:val="5AF70333"/>
    <w:rsid w:val="5B075B40"/>
    <w:rsid w:val="5B4E0B5E"/>
    <w:rsid w:val="5BA778C8"/>
    <w:rsid w:val="5BCEF70E"/>
    <w:rsid w:val="5C2BFDD8"/>
    <w:rsid w:val="5C78895E"/>
    <w:rsid w:val="5D2AA9A5"/>
    <w:rsid w:val="5DFEBCD7"/>
    <w:rsid w:val="5EFB436B"/>
    <w:rsid w:val="5FB512B7"/>
    <w:rsid w:val="60240546"/>
    <w:rsid w:val="6027D3E3"/>
    <w:rsid w:val="60AB3DB6"/>
    <w:rsid w:val="60E08AFE"/>
    <w:rsid w:val="61129735"/>
    <w:rsid w:val="61329517"/>
    <w:rsid w:val="61D8A5E7"/>
    <w:rsid w:val="61DED7C7"/>
    <w:rsid w:val="6224638D"/>
    <w:rsid w:val="6244C2DB"/>
    <w:rsid w:val="62BA188D"/>
    <w:rsid w:val="62F62830"/>
    <w:rsid w:val="632A569F"/>
    <w:rsid w:val="63A194B7"/>
    <w:rsid w:val="63C91B1C"/>
    <w:rsid w:val="63F1A05A"/>
    <w:rsid w:val="63F8BE7F"/>
    <w:rsid w:val="646C1F66"/>
    <w:rsid w:val="64C3726A"/>
    <w:rsid w:val="652013AB"/>
    <w:rsid w:val="652651F9"/>
    <w:rsid w:val="65354A59"/>
    <w:rsid w:val="6553A152"/>
    <w:rsid w:val="65C696B4"/>
    <w:rsid w:val="65F9E07A"/>
    <w:rsid w:val="6684C35D"/>
    <w:rsid w:val="66B58E3A"/>
    <w:rsid w:val="671FB14A"/>
    <w:rsid w:val="677C50F1"/>
    <w:rsid w:val="6786E299"/>
    <w:rsid w:val="687F8BAC"/>
    <w:rsid w:val="693C20A3"/>
    <w:rsid w:val="6974C078"/>
    <w:rsid w:val="6A6B9BE4"/>
    <w:rsid w:val="6B4A81A4"/>
    <w:rsid w:val="6BA6C678"/>
    <w:rsid w:val="6C6CCF34"/>
    <w:rsid w:val="6C918DFB"/>
    <w:rsid w:val="6CE5D019"/>
    <w:rsid w:val="6DBC4B7F"/>
    <w:rsid w:val="6DF09FAE"/>
    <w:rsid w:val="6E13B30C"/>
    <w:rsid w:val="6E4C601F"/>
    <w:rsid w:val="6EACF737"/>
    <w:rsid w:val="6EB2CCDC"/>
    <w:rsid w:val="6EE66117"/>
    <w:rsid w:val="6EE81812"/>
    <w:rsid w:val="6F0B2D72"/>
    <w:rsid w:val="6F31B55A"/>
    <w:rsid w:val="6F3FF559"/>
    <w:rsid w:val="6FAF38D5"/>
    <w:rsid w:val="6FD47345"/>
    <w:rsid w:val="7000E860"/>
    <w:rsid w:val="70128460"/>
    <w:rsid w:val="702D01F0"/>
    <w:rsid w:val="704C536D"/>
    <w:rsid w:val="7061E569"/>
    <w:rsid w:val="70753479"/>
    <w:rsid w:val="70D2F3A3"/>
    <w:rsid w:val="70FB3E8A"/>
    <w:rsid w:val="7139ED40"/>
    <w:rsid w:val="71512E16"/>
    <w:rsid w:val="7211A8A9"/>
    <w:rsid w:val="724ABAF7"/>
    <w:rsid w:val="73916E02"/>
    <w:rsid w:val="74E763DE"/>
    <w:rsid w:val="75A2D32E"/>
    <w:rsid w:val="75CCAB84"/>
    <w:rsid w:val="75F84815"/>
    <w:rsid w:val="769763E5"/>
    <w:rsid w:val="76ADA843"/>
    <w:rsid w:val="774614EC"/>
    <w:rsid w:val="774DEC47"/>
    <w:rsid w:val="7797EB23"/>
    <w:rsid w:val="779E9FD6"/>
    <w:rsid w:val="797B6FCB"/>
    <w:rsid w:val="79835182"/>
    <w:rsid w:val="79AB2961"/>
    <w:rsid w:val="79EC28A1"/>
    <w:rsid w:val="7A0061C9"/>
    <w:rsid w:val="7A1DB346"/>
    <w:rsid w:val="7C0B4090"/>
    <w:rsid w:val="7C9D0FC2"/>
    <w:rsid w:val="7CC4AC52"/>
    <w:rsid w:val="7D2065DB"/>
    <w:rsid w:val="7D8C498B"/>
    <w:rsid w:val="7E256B2C"/>
    <w:rsid w:val="7E65462D"/>
    <w:rsid w:val="7F65864E"/>
    <w:rsid w:val="7FA833F3"/>
    <w:rsid w:val="7FEC96AE"/>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5D05709"/>
  <w15:docId w15:val="{6500E4B2-87C2-4E26-AB36-52A6B61FC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unhideWhenUsed="1" w:qFormat="1"/>
    <w:lsdException w:name="header" w:qFormat="1"/>
    <w:lsdException w:name="footer" w:unhideWhenUsed="1" w:qFormat="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8" w:lineRule="auto"/>
      <w:jc w:val="both"/>
    </w:pPr>
    <w:rPr>
      <w:rFonts w:ascii="Calibri" w:eastAsia="Times New Roman" w:hAnsi="Calibri"/>
      <w:sz w:val="22"/>
      <w:szCs w:val="24"/>
      <w:lang w:eastAsia="en-GB"/>
    </w:rPr>
  </w:style>
  <w:style w:type="paragraph" w:styleId="Naslov1">
    <w:name w:val="heading 1"/>
    <w:next w:val="Normal"/>
    <w:link w:val="Naslov1Char"/>
    <w:qFormat/>
    <w:pPr>
      <w:keepNext/>
      <w:numPr>
        <w:numId w:val="1"/>
      </w:numPr>
      <w:jc w:val="both"/>
      <w:outlineLvl w:val="0"/>
    </w:pPr>
    <w:rPr>
      <w:rFonts w:ascii="Calibri" w:eastAsia="Calibri" w:hAnsi="Calibri" w:cs="Calibri"/>
      <w:b/>
      <w:kern w:val="32"/>
      <w:sz w:val="44"/>
      <w:szCs w:val="40"/>
      <w:u w:color="000000"/>
    </w:rPr>
  </w:style>
  <w:style w:type="paragraph" w:styleId="Naslov2">
    <w:name w:val="heading 2"/>
    <w:next w:val="Normal"/>
    <w:link w:val="Naslov2Char"/>
    <w:uiPriority w:val="9"/>
    <w:qFormat/>
    <w:pPr>
      <w:keepNext/>
      <w:numPr>
        <w:ilvl w:val="1"/>
        <w:numId w:val="2"/>
      </w:numPr>
      <w:jc w:val="both"/>
      <w:outlineLvl w:val="1"/>
    </w:pPr>
    <w:rPr>
      <w:rFonts w:ascii="Calibri" w:eastAsia="Calibri" w:hAnsi="Calibri" w:cs="Calibri"/>
      <w:b/>
      <w:color w:val="000000"/>
      <w:sz w:val="36"/>
      <w:szCs w:val="36"/>
      <w:u w:color="000000"/>
    </w:rPr>
  </w:style>
  <w:style w:type="paragraph" w:styleId="Naslov3">
    <w:name w:val="heading 3"/>
    <w:next w:val="Normal"/>
    <w:link w:val="Naslov3Char"/>
    <w:qFormat/>
    <w:pPr>
      <w:keepNext/>
      <w:jc w:val="both"/>
      <w:outlineLvl w:val="2"/>
    </w:pPr>
    <w:rPr>
      <w:rFonts w:ascii="Calibri" w:eastAsia="Calibri" w:hAnsi="Calibri" w:cs="Calibri"/>
      <w:b/>
      <w:bCs/>
      <w:color w:val="000000"/>
      <w:spacing w:val="20"/>
      <w:sz w:val="36"/>
      <w:szCs w:val="22"/>
      <w:u w:color="000000"/>
    </w:rPr>
  </w:style>
  <w:style w:type="paragraph" w:styleId="Naslov4">
    <w:name w:val="heading 4"/>
    <w:basedOn w:val="Odlomakpopisa"/>
    <w:next w:val="Normal"/>
    <w:link w:val="Naslov4Char"/>
    <w:uiPriority w:val="9"/>
    <w:unhideWhenUsed/>
    <w:qFormat/>
    <w:pPr>
      <w:spacing w:line="240" w:lineRule="auto"/>
      <w:ind w:left="425" w:hanging="425"/>
      <w:jc w:val="left"/>
      <w:outlineLvl w:val="3"/>
    </w:pPr>
    <w:rPr>
      <w:sz w:val="24"/>
      <w:lang w:eastAsia="hr-HR"/>
    </w:rPr>
  </w:style>
  <w:style w:type="paragraph" w:styleId="Naslov5">
    <w:name w:val="heading 5"/>
    <w:basedOn w:val="Odlomakpopisa"/>
    <w:next w:val="Normal"/>
    <w:link w:val="Naslov5Char"/>
    <w:uiPriority w:val="9"/>
    <w:unhideWhenUsed/>
    <w:qFormat/>
    <w:pPr>
      <w:numPr>
        <w:ilvl w:val="1"/>
        <w:numId w:val="3"/>
      </w:numPr>
      <w:jc w:val="left"/>
      <w:outlineLvl w:val="4"/>
    </w:pPr>
    <w:rPr>
      <w:sz w:val="40"/>
      <w:szCs w:val="40"/>
      <w:lang w:eastAsia="hr-HR"/>
    </w:rPr>
  </w:style>
  <w:style w:type="paragraph" w:styleId="Naslov6">
    <w:name w:val="heading 6"/>
    <w:basedOn w:val="Odlomakpopisa"/>
    <w:next w:val="Normal"/>
    <w:link w:val="Naslov6Char"/>
    <w:uiPriority w:val="9"/>
    <w:unhideWhenUsed/>
    <w:qFormat/>
    <w:pPr>
      <w:numPr>
        <w:ilvl w:val="2"/>
        <w:numId w:val="3"/>
      </w:numPr>
      <w:ind w:left="1701" w:hanging="981"/>
      <w:jc w:val="left"/>
      <w:outlineLvl w:val="5"/>
    </w:pPr>
    <w:rPr>
      <w:sz w:val="32"/>
      <w:szCs w:val="32"/>
      <w:lang w:eastAsia="hr-HR"/>
    </w:rPr>
  </w:style>
  <w:style w:type="paragraph" w:styleId="Naslov7">
    <w:name w:val="heading 7"/>
    <w:basedOn w:val="Odlomakpopisa"/>
    <w:next w:val="Normal"/>
    <w:link w:val="Naslov7Char"/>
    <w:uiPriority w:val="9"/>
    <w:unhideWhenUsed/>
    <w:qFormat/>
    <w:pPr>
      <w:numPr>
        <w:ilvl w:val="3"/>
        <w:numId w:val="3"/>
      </w:numPr>
      <w:ind w:left="2127" w:hanging="1047"/>
      <w:jc w:val="left"/>
      <w:outlineLvl w:val="6"/>
    </w:pPr>
    <w:rPr>
      <w:sz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link w:val="OdlomakpopisaChar"/>
    <w:uiPriority w:val="34"/>
    <w:qFormat/>
    <w:pPr>
      <w:ind w:left="720"/>
      <w:contextualSpacing/>
    </w:pPr>
    <w:rPr>
      <w:rFonts w:eastAsiaTheme="minorHAnsi" w:cstheme="minorBidi"/>
      <w:b/>
      <w:lang w:eastAsia="en-US"/>
    </w:rPr>
  </w:style>
  <w:style w:type="paragraph" w:styleId="Tekstbalonia">
    <w:name w:val="Balloon Text"/>
    <w:basedOn w:val="Normal"/>
    <w:link w:val="TekstbaloniaChar"/>
    <w:uiPriority w:val="99"/>
    <w:semiHidden/>
    <w:unhideWhenUsed/>
    <w:qFormat/>
    <w:rPr>
      <w:rFonts w:ascii="Tahoma" w:hAnsi="Tahoma" w:cs="Tahoma"/>
      <w:sz w:val="16"/>
      <w:szCs w:val="16"/>
    </w:rPr>
  </w:style>
  <w:style w:type="paragraph" w:styleId="Opisslike">
    <w:name w:val="caption"/>
    <w:basedOn w:val="Normal"/>
    <w:next w:val="Normal"/>
    <w:link w:val="OpisslikeChar"/>
    <w:uiPriority w:val="35"/>
    <w:unhideWhenUsed/>
    <w:qFormat/>
    <w:pPr>
      <w:keepNext/>
      <w:spacing w:line="240" w:lineRule="auto"/>
    </w:pPr>
    <w:rPr>
      <w:b/>
      <w:bCs/>
      <w:szCs w:val="18"/>
    </w:rPr>
  </w:style>
  <w:style w:type="character" w:styleId="Referencakomentara">
    <w:name w:val="annotation reference"/>
    <w:basedOn w:val="Zadanifontodlomka"/>
    <w:uiPriority w:val="99"/>
    <w:unhideWhenUsed/>
    <w:qFormat/>
    <w:rPr>
      <w:sz w:val="16"/>
      <w:szCs w:val="16"/>
    </w:rPr>
  </w:style>
  <w:style w:type="paragraph" w:styleId="Tekstkomentara">
    <w:name w:val="annotation text"/>
    <w:basedOn w:val="Normal"/>
    <w:link w:val="TekstkomentaraChar"/>
    <w:uiPriority w:val="99"/>
    <w:unhideWhenUsed/>
    <w:qFormat/>
    <w:rPr>
      <w:rFonts w:ascii="Times New Roman" w:eastAsia="Arial Unicode MS" w:hAnsi="Times New Roman"/>
      <w:sz w:val="20"/>
      <w:szCs w:val="20"/>
      <w:lang w:eastAsia="en-US"/>
    </w:rPr>
  </w:style>
  <w:style w:type="paragraph" w:styleId="Predmetkomentara">
    <w:name w:val="annotation subject"/>
    <w:basedOn w:val="Tekstkomentara"/>
    <w:next w:val="Tekstkomentara"/>
    <w:link w:val="PredmetkomentaraChar"/>
    <w:uiPriority w:val="99"/>
    <w:semiHidden/>
    <w:unhideWhenUsed/>
    <w:pPr>
      <w:spacing w:line="240" w:lineRule="auto"/>
    </w:pPr>
    <w:rPr>
      <w:rFonts w:ascii="Calibri" w:eastAsia="Calibri" w:hAnsi="Calibri" w:cs="Calibri"/>
      <w:b/>
      <w:bCs/>
      <w:color w:val="000000"/>
      <w:lang w:eastAsia="hr-HR"/>
    </w:rPr>
  </w:style>
  <w:style w:type="character" w:styleId="Istaknuto">
    <w:name w:val="Emphasis"/>
    <w:basedOn w:val="Zadanifontodlomka"/>
    <w:uiPriority w:val="20"/>
    <w:qFormat/>
    <w:rPr>
      <w:i/>
      <w:iCs/>
    </w:rPr>
  </w:style>
  <w:style w:type="character" w:styleId="Referencakrajnjebiljeke">
    <w:name w:val="endnote reference"/>
    <w:basedOn w:val="Zadanifontodlomka"/>
    <w:uiPriority w:val="99"/>
    <w:semiHidden/>
    <w:unhideWhenUsed/>
    <w:rPr>
      <w:vertAlign w:val="superscript"/>
    </w:rPr>
  </w:style>
  <w:style w:type="paragraph" w:styleId="Tekstkrajnjebiljeke">
    <w:name w:val="endnote text"/>
    <w:basedOn w:val="Normal"/>
    <w:link w:val="TekstkrajnjebiljekeChar"/>
    <w:uiPriority w:val="99"/>
    <w:semiHidden/>
    <w:unhideWhenUsed/>
    <w:pPr>
      <w:spacing w:line="240" w:lineRule="auto"/>
    </w:pPr>
    <w:rPr>
      <w:sz w:val="20"/>
      <w:szCs w:val="20"/>
    </w:rPr>
  </w:style>
  <w:style w:type="character" w:styleId="SlijeenaHiperveza">
    <w:name w:val="FollowedHyperlink"/>
    <w:basedOn w:val="Zadanifontodlomka"/>
    <w:uiPriority w:val="99"/>
    <w:semiHidden/>
    <w:unhideWhenUsed/>
    <w:qFormat/>
    <w:rPr>
      <w:color w:val="59A8D1" w:themeColor="followedHyperlink"/>
      <w:u w:val="single"/>
    </w:rPr>
  </w:style>
  <w:style w:type="paragraph" w:styleId="Podnoje">
    <w:name w:val="footer"/>
    <w:basedOn w:val="Normal"/>
    <w:link w:val="PodnojeChar"/>
    <w:uiPriority w:val="99"/>
    <w:unhideWhenUsed/>
    <w:qFormat/>
    <w:pPr>
      <w:tabs>
        <w:tab w:val="center" w:pos="4536"/>
        <w:tab w:val="right" w:pos="9072"/>
      </w:tabs>
    </w:pPr>
  </w:style>
  <w:style w:type="character" w:styleId="Referencafusnote">
    <w:name w:val="footnote reference"/>
    <w:aliases w:val="Footnote symbol,Fussnota,Footnote reference number,note TESI,SUPERS,EN Footnote Reference,-E Fußnotenzeichen,ESPON Footnote No,number,Times 10 Point,Exposant 3 Point,Footnote Reference_LVL6,Footnote Reference_LVL61,BVI fnr"/>
    <w:basedOn w:val="Zadanifontodlomka"/>
    <w:uiPriority w:val="99"/>
    <w:unhideWhenUsed/>
    <w:qFormat/>
    <w:rPr>
      <w:vertAlign w:val="superscript"/>
    </w:rPr>
  </w:style>
  <w:style w:type="paragraph" w:styleId="Tekstfusnote">
    <w:name w:val="footnote text"/>
    <w:link w:val="TekstfusnoteChar"/>
    <w:uiPriority w:val="99"/>
    <w:qFormat/>
    <w:rPr>
      <w:rFonts w:eastAsia="Calibri"/>
      <w:sz w:val="16"/>
      <w:szCs w:val="16"/>
      <w:u w:color="000000"/>
    </w:rPr>
  </w:style>
  <w:style w:type="paragraph" w:styleId="Zaglavlje">
    <w:name w:val="header"/>
    <w:link w:val="ZaglavljeChar"/>
    <w:uiPriority w:val="99"/>
    <w:qFormat/>
    <w:pPr>
      <w:tabs>
        <w:tab w:val="center" w:pos="4536"/>
        <w:tab w:val="right" w:pos="9072"/>
      </w:tabs>
    </w:pPr>
    <w:rPr>
      <w:rFonts w:ascii="Calibri" w:eastAsia="Calibri" w:hAnsi="Calibri" w:cs="Calibri"/>
      <w:color w:val="000000"/>
      <w:u w:color="000000"/>
    </w:rPr>
  </w:style>
  <w:style w:type="paragraph" w:styleId="HTMLunaprijedoblikovano">
    <w:name w:val="HTML Preformatted"/>
    <w:basedOn w:val="Normal"/>
    <w:link w:val="HTMLunaprijedoblikovano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rPr>
  </w:style>
  <w:style w:type="character" w:styleId="Hiperveza">
    <w:name w:val="Hyperlink"/>
    <w:basedOn w:val="Zadanifontodlomka"/>
    <w:uiPriority w:val="99"/>
    <w:unhideWhenUsed/>
    <w:rPr>
      <w:rFonts w:ascii="Calibri" w:hAnsi="Calibri"/>
      <w:color w:val="auto"/>
      <w:sz w:val="22"/>
      <w:u w:val="none"/>
    </w:rPr>
  </w:style>
  <w:style w:type="paragraph" w:styleId="StandardWeb">
    <w:name w:val="Normal (Web)"/>
    <w:basedOn w:val="Normal"/>
    <w:link w:val="StandardWebChar"/>
    <w:uiPriority w:val="99"/>
    <w:unhideWhenUsed/>
    <w:pPr>
      <w:spacing w:before="100" w:beforeAutospacing="1" w:after="100" w:afterAutospacing="1" w:line="240" w:lineRule="auto"/>
    </w:pPr>
    <w:rPr>
      <w:rFonts w:ascii="Times New Roman" w:hAnsi="Times New Roman"/>
      <w:sz w:val="24"/>
    </w:rPr>
  </w:style>
  <w:style w:type="character" w:styleId="Naglaeno">
    <w:name w:val="Strong"/>
    <w:basedOn w:val="Zadanifontodlomka"/>
    <w:uiPriority w:val="22"/>
    <w:qFormat/>
    <w:rPr>
      <w:b/>
      <w:bCs/>
    </w:rPr>
  </w:style>
  <w:style w:type="table" w:styleId="Reetkatablice">
    <w:name w:val="Table Grid"/>
    <w:basedOn w:val="Obinatablic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icaslika">
    <w:name w:val="table of figures"/>
    <w:basedOn w:val="Normal"/>
    <w:next w:val="Normal"/>
    <w:uiPriority w:val="99"/>
    <w:unhideWhenUsed/>
    <w:pPr>
      <w:ind w:left="440" w:hanging="440"/>
      <w:jc w:val="left"/>
    </w:pPr>
    <w:rPr>
      <w:rFonts w:asciiTheme="minorHAnsi" w:hAnsiTheme="minorHAnsi"/>
      <w:b/>
      <w:bCs/>
      <w:sz w:val="20"/>
      <w:szCs w:val="20"/>
    </w:rPr>
  </w:style>
  <w:style w:type="paragraph" w:styleId="Sadraj1">
    <w:name w:val="toc 1"/>
    <w:basedOn w:val="Naslov10"/>
    <w:next w:val="Normal"/>
    <w:uiPriority w:val="39"/>
    <w:unhideWhenUsed/>
    <w:pPr>
      <w:numPr>
        <w:numId w:val="0"/>
      </w:numPr>
      <w:tabs>
        <w:tab w:val="left" w:pos="993"/>
        <w:tab w:val="right" w:leader="dot" w:pos="8789"/>
      </w:tabs>
      <w:spacing w:after="100" w:line="276" w:lineRule="auto"/>
      <w:ind w:left="765" w:right="57" w:hanging="623"/>
    </w:pPr>
    <w:rPr>
      <w:rFonts w:eastAsiaTheme="minorEastAsia"/>
      <w:sz w:val="20"/>
      <w:lang w:val="en-US"/>
    </w:rPr>
  </w:style>
  <w:style w:type="paragraph" w:customStyle="1" w:styleId="Naslov10">
    <w:name w:val="Naslov_1"/>
    <w:basedOn w:val="Odlomakpopisa"/>
    <w:link w:val="Naslov1Char0"/>
    <w:qFormat/>
    <w:pPr>
      <w:numPr>
        <w:numId w:val="2"/>
      </w:numPr>
    </w:pPr>
    <w:rPr>
      <w:sz w:val="44"/>
      <w:szCs w:val="44"/>
    </w:rPr>
  </w:style>
  <w:style w:type="paragraph" w:styleId="Sadraj2">
    <w:name w:val="toc 2"/>
    <w:basedOn w:val="Normal"/>
    <w:next w:val="Normal"/>
    <w:uiPriority w:val="39"/>
    <w:unhideWhenUsed/>
    <w:qFormat/>
    <w:pPr>
      <w:tabs>
        <w:tab w:val="left" w:pos="851"/>
        <w:tab w:val="right" w:leader="dot" w:pos="9356"/>
      </w:tabs>
      <w:spacing w:after="100" w:line="276" w:lineRule="auto"/>
      <w:ind w:left="851" w:right="276" w:hanging="709"/>
    </w:pPr>
    <w:rPr>
      <w:rFonts w:eastAsiaTheme="minorEastAsia" w:cstheme="minorBidi"/>
      <w:sz w:val="20"/>
      <w:lang w:val="en-US" w:eastAsia="en-US"/>
    </w:rPr>
  </w:style>
  <w:style w:type="paragraph" w:styleId="Sadraj3">
    <w:name w:val="toc 3"/>
    <w:basedOn w:val="Normal"/>
    <w:next w:val="Normal"/>
    <w:uiPriority w:val="39"/>
    <w:unhideWhenUsed/>
    <w:qFormat/>
    <w:pPr>
      <w:tabs>
        <w:tab w:val="left" w:pos="880"/>
        <w:tab w:val="right" w:leader="dot" w:pos="9622"/>
      </w:tabs>
      <w:spacing w:after="100" w:line="276" w:lineRule="auto"/>
      <w:ind w:left="440"/>
    </w:pPr>
    <w:rPr>
      <w:rFonts w:asciiTheme="minorHAnsi" w:eastAsiaTheme="minorEastAsia" w:hAnsiTheme="minorHAnsi" w:cstheme="minorBidi"/>
      <w:lang w:val="en-US" w:eastAsia="en-US"/>
    </w:rPr>
  </w:style>
  <w:style w:type="paragraph" w:styleId="Sadraj4">
    <w:name w:val="toc 4"/>
    <w:basedOn w:val="Normal"/>
    <w:next w:val="Normal"/>
    <w:uiPriority w:val="39"/>
    <w:unhideWhenUsed/>
    <w:pPr>
      <w:spacing w:after="100"/>
      <w:ind w:left="660"/>
    </w:pPr>
    <w:rPr>
      <w:b/>
      <w:sz w:val="20"/>
    </w:rPr>
  </w:style>
  <w:style w:type="paragraph" w:styleId="Sadraj5">
    <w:name w:val="toc 5"/>
    <w:basedOn w:val="Normal"/>
    <w:next w:val="Normal"/>
    <w:uiPriority w:val="39"/>
    <w:unhideWhenUsed/>
    <w:pPr>
      <w:spacing w:after="100"/>
      <w:ind w:left="880"/>
    </w:pPr>
    <w:rPr>
      <w:sz w:val="20"/>
    </w:rPr>
  </w:style>
  <w:style w:type="paragraph" w:styleId="Sadraj6">
    <w:name w:val="toc 6"/>
    <w:basedOn w:val="Normal"/>
    <w:next w:val="Normal"/>
    <w:uiPriority w:val="39"/>
    <w:unhideWhenUsed/>
    <w:pPr>
      <w:spacing w:after="100"/>
      <w:ind w:left="1100"/>
    </w:pPr>
  </w:style>
  <w:style w:type="paragraph" w:styleId="Sadraj7">
    <w:name w:val="toc 7"/>
    <w:basedOn w:val="Normal"/>
    <w:next w:val="Normal"/>
    <w:uiPriority w:val="39"/>
    <w:unhideWhenUsed/>
    <w:pPr>
      <w:spacing w:after="100"/>
      <w:ind w:left="1320"/>
    </w:pPr>
  </w:style>
  <w:style w:type="paragraph" w:customStyle="1" w:styleId="Body">
    <w:name w:val="Body"/>
    <w:qFormat/>
    <w:rPr>
      <w:rFonts w:ascii="Calibri" w:eastAsia="Calibri" w:hAnsi="Calibri" w:cs="Calibri"/>
      <w:color w:val="000000"/>
      <w:sz w:val="22"/>
      <w:szCs w:val="22"/>
      <w:u w:color="000000"/>
    </w:rPr>
  </w:style>
  <w:style w:type="paragraph" w:customStyle="1" w:styleId="Footnote">
    <w:name w:val="Footnote"/>
    <w:qFormat/>
    <w:rPr>
      <w:rFonts w:ascii="Helvetica Neue" w:eastAsia="Helvetica Neue" w:hAnsi="Helvetica Neue" w:cs="Helvetica Neue"/>
      <w:sz w:val="22"/>
      <w:szCs w:val="22"/>
    </w:rPr>
  </w:style>
  <w:style w:type="character" w:customStyle="1" w:styleId="PodnojeChar">
    <w:name w:val="Podnožje Char"/>
    <w:basedOn w:val="Zadanifontodlomka"/>
    <w:link w:val="Podnoje"/>
    <w:uiPriority w:val="99"/>
    <w:qFormat/>
    <w:rPr>
      <w:rFonts w:ascii="Calibri" w:eastAsia="Calibri" w:hAnsi="Calibri" w:cs="Calibri"/>
      <w:color w:val="000000"/>
      <w:sz w:val="22"/>
      <w:szCs w:val="22"/>
      <w:u w:color="000000"/>
    </w:rPr>
  </w:style>
  <w:style w:type="character" w:customStyle="1" w:styleId="TekstkomentaraChar">
    <w:name w:val="Tekst komentara Char"/>
    <w:basedOn w:val="Zadanifontodlomka"/>
    <w:link w:val="Tekstkomentara"/>
    <w:uiPriority w:val="99"/>
    <w:qFormat/>
    <w:rPr>
      <w:lang w:eastAsia="en-US"/>
    </w:rPr>
  </w:style>
  <w:style w:type="paragraph" w:customStyle="1" w:styleId="Sadrzaj">
    <w:name w:val="Sadrzaj"/>
    <w:basedOn w:val="Normal"/>
    <w:qFormat/>
    <w:rPr>
      <w:b/>
      <w:spacing w:val="20"/>
    </w:rPr>
  </w:style>
  <w:style w:type="character" w:customStyle="1" w:styleId="TekstbaloniaChar">
    <w:name w:val="Tekst balončića Char"/>
    <w:basedOn w:val="Zadanifontodlomka"/>
    <w:link w:val="Tekstbalonia"/>
    <w:uiPriority w:val="99"/>
    <w:semiHidden/>
    <w:rPr>
      <w:rFonts w:ascii="Tahoma" w:eastAsia="Calibri" w:hAnsi="Tahoma" w:cs="Tahoma"/>
      <w:color w:val="000000"/>
      <w:sz w:val="16"/>
      <w:szCs w:val="16"/>
      <w:u w:color="000000"/>
    </w:rPr>
  </w:style>
  <w:style w:type="paragraph" w:customStyle="1" w:styleId="Ilustracijapotpis">
    <w:name w:val="Ilustracija_potpis"/>
    <w:basedOn w:val="Normal"/>
    <w:qFormat/>
    <w:pPr>
      <w:numPr>
        <w:numId w:val="4"/>
      </w:numPr>
      <w:jc w:val="center"/>
    </w:pPr>
    <w:rPr>
      <w:b/>
    </w:rPr>
  </w:style>
  <w:style w:type="paragraph" w:customStyle="1" w:styleId="Ilustracija">
    <w:name w:val="Ilustracija"/>
    <w:basedOn w:val="Normal"/>
    <w:pPr>
      <w:jc w:val="center"/>
    </w:pPr>
  </w:style>
  <w:style w:type="character" w:customStyle="1" w:styleId="Naslov4Char">
    <w:name w:val="Naslov 4 Char"/>
    <w:basedOn w:val="Zadanifontodlomka"/>
    <w:link w:val="Naslov4"/>
    <w:uiPriority w:val="9"/>
    <w:rPr>
      <w:rFonts w:ascii="Calibri" w:eastAsiaTheme="minorHAnsi" w:hAnsi="Calibri" w:cstheme="minorBidi"/>
      <w:b/>
      <w:sz w:val="24"/>
      <w:szCs w:val="24"/>
    </w:rPr>
  </w:style>
  <w:style w:type="character" w:customStyle="1" w:styleId="pt-zadanifontodlomka-000006">
    <w:name w:val="pt-zadanifontodlomka-000006"/>
    <w:basedOn w:val="Zadanifontodlomka"/>
  </w:style>
  <w:style w:type="paragraph" w:customStyle="1" w:styleId="AF">
    <w:name w:val="AF"/>
    <w:basedOn w:val="Normal"/>
    <w:next w:val="Normal"/>
    <w:rPr>
      <w:i/>
      <w:caps/>
      <w:color w:val="E71909"/>
    </w:rPr>
  </w:style>
  <w:style w:type="paragraph" w:styleId="Bezproreda">
    <w:name w:val="No Spacing"/>
    <w:uiPriority w:val="1"/>
    <w:qFormat/>
    <w:rPr>
      <w:sz w:val="24"/>
      <w:szCs w:val="24"/>
      <w:lang w:val="en-US" w:eastAsia="en-US"/>
    </w:rPr>
  </w:style>
  <w:style w:type="paragraph" w:customStyle="1" w:styleId="TOCNaslov1">
    <w:name w:val="TOC Naslov1"/>
    <w:basedOn w:val="Naslov1"/>
    <w:next w:val="Normal"/>
    <w:uiPriority w:val="39"/>
    <w:unhideWhenUsed/>
    <w:qFormat/>
    <w:pPr>
      <w:keepLines/>
      <w:spacing w:before="480" w:line="276" w:lineRule="auto"/>
      <w:jc w:val="left"/>
      <w:outlineLvl w:val="9"/>
    </w:pPr>
    <w:rPr>
      <w:rFonts w:asciiTheme="majorHAnsi" w:eastAsiaTheme="majorEastAsia" w:hAnsiTheme="majorHAnsi" w:cstheme="majorBidi"/>
      <w:b w:val="0"/>
      <w:bCs/>
      <w:color w:val="31479E" w:themeColor="accent1" w:themeShade="BF"/>
      <w:kern w:val="0"/>
      <w:sz w:val="28"/>
      <w:szCs w:val="28"/>
      <w:lang w:val="en-US" w:eastAsia="en-US"/>
    </w:rPr>
  </w:style>
  <w:style w:type="character" w:customStyle="1" w:styleId="apple-converted-space">
    <w:name w:val="apple-converted-space"/>
    <w:basedOn w:val="Zadanifontodlomka"/>
    <w:qFormat/>
  </w:style>
  <w:style w:type="paragraph" w:customStyle="1" w:styleId="pt-t-9-8">
    <w:name w:val="pt-t-9-8"/>
    <w:basedOn w:val="Normal"/>
    <w:qFormat/>
    <w:pPr>
      <w:spacing w:before="100" w:beforeAutospacing="1" w:after="100" w:afterAutospacing="1" w:line="240" w:lineRule="auto"/>
    </w:pPr>
    <w:rPr>
      <w:rFonts w:ascii="Times New Roman" w:hAnsi="Times New Roman"/>
      <w:sz w:val="24"/>
    </w:rPr>
  </w:style>
  <w:style w:type="paragraph" w:customStyle="1" w:styleId="Default">
    <w:name w:val="Default"/>
    <w:rPr>
      <w:rFonts w:ascii="Helvetica Neue" w:eastAsia="Helvetica Neue" w:hAnsi="Helvetica Neue" w:cs="Helvetica Neue"/>
      <w:color w:val="000000"/>
      <w:sz w:val="22"/>
      <w:szCs w:val="22"/>
    </w:rPr>
  </w:style>
  <w:style w:type="character" w:customStyle="1" w:styleId="OdlomakpopisaChar">
    <w:name w:val="Odlomak popisa Char"/>
    <w:link w:val="Odlomakpopisa"/>
    <w:uiPriority w:val="34"/>
    <w:qFormat/>
    <w:locked/>
    <w:rPr>
      <w:rFonts w:ascii="Calibri" w:eastAsiaTheme="minorHAnsi" w:hAnsi="Calibri" w:cstheme="minorBidi"/>
      <w:b/>
      <w:sz w:val="22"/>
      <w:szCs w:val="22"/>
      <w:u w:color="000000"/>
      <w:lang w:eastAsia="en-US"/>
    </w:rPr>
  </w:style>
  <w:style w:type="character" w:customStyle="1" w:styleId="HTMLunaprijedoblikovanoChar">
    <w:name w:val="HTML unaprijed oblikovano Char"/>
    <w:basedOn w:val="Zadanifontodlomka"/>
    <w:link w:val="HTMLunaprijedoblikovano"/>
    <w:uiPriority w:val="99"/>
    <w:semiHidden/>
    <w:rPr>
      <w:rFonts w:ascii="Courier New" w:eastAsia="Times New Roman" w:hAnsi="Courier New" w:cs="Courier New"/>
      <w:lang w:eastAsia="en-GB"/>
    </w:rPr>
  </w:style>
  <w:style w:type="character" w:customStyle="1" w:styleId="PredmetkomentaraChar">
    <w:name w:val="Predmet komentara Char"/>
    <w:basedOn w:val="TekstkomentaraChar"/>
    <w:link w:val="Predmetkomentara"/>
    <w:uiPriority w:val="99"/>
    <w:semiHidden/>
    <w:qFormat/>
    <w:rPr>
      <w:rFonts w:ascii="Calibri" w:eastAsia="Calibri" w:hAnsi="Calibri" w:cs="Calibri"/>
      <w:b/>
      <w:bCs/>
      <w:color w:val="000000"/>
      <w:u w:color="000000"/>
      <w:lang w:val="en-US" w:eastAsia="en-US"/>
    </w:rPr>
  </w:style>
  <w:style w:type="character" w:customStyle="1" w:styleId="TekstfusnoteChar">
    <w:name w:val="Tekst fusnote Char"/>
    <w:basedOn w:val="Zadanifontodlomka"/>
    <w:link w:val="Tekstfusnote"/>
    <w:uiPriority w:val="99"/>
    <w:rPr>
      <w:rFonts w:eastAsia="Calibri"/>
      <w:sz w:val="16"/>
      <w:szCs w:val="16"/>
      <w:u w:color="000000"/>
    </w:rPr>
  </w:style>
  <w:style w:type="paragraph" w:customStyle="1" w:styleId="Revizija1">
    <w:name w:val="Revizija1"/>
    <w:hidden/>
    <w:uiPriority w:val="99"/>
    <w:semiHidden/>
    <w:rPr>
      <w:rFonts w:ascii="Calibri" w:eastAsia="Times New Roman" w:hAnsi="Calibri"/>
      <w:sz w:val="22"/>
      <w:szCs w:val="24"/>
      <w:lang w:eastAsia="en-GB"/>
    </w:rPr>
  </w:style>
  <w:style w:type="character" w:customStyle="1" w:styleId="UnresolvedMention1">
    <w:name w:val="Unresolved Mention1"/>
    <w:basedOn w:val="Zadanifontodlomka"/>
    <w:uiPriority w:val="99"/>
    <w:semiHidden/>
    <w:unhideWhenUsed/>
    <w:rPr>
      <w:color w:val="605E5C"/>
      <w:shd w:val="clear" w:color="auto" w:fill="E1DFDD"/>
    </w:rPr>
  </w:style>
  <w:style w:type="character" w:customStyle="1" w:styleId="Naslov5Char">
    <w:name w:val="Naslov 5 Char"/>
    <w:basedOn w:val="Zadanifontodlomka"/>
    <w:link w:val="Naslov5"/>
    <w:uiPriority w:val="9"/>
    <w:rPr>
      <w:rFonts w:ascii="Calibri" w:eastAsiaTheme="minorHAnsi" w:hAnsi="Calibri" w:cstheme="minorBidi"/>
      <w:b/>
      <w:sz w:val="40"/>
      <w:szCs w:val="40"/>
    </w:rPr>
  </w:style>
  <w:style w:type="character" w:customStyle="1" w:styleId="Naslov6Char">
    <w:name w:val="Naslov 6 Char"/>
    <w:basedOn w:val="Zadanifontodlomka"/>
    <w:link w:val="Naslov6"/>
    <w:uiPriority w:val="9"/>
    <w:rPr>
      <w:rFonts w:ascii="Calibri" w:eastAsiaTheme="minorHAnsi" w:hAnsi="Calibri" w:cstheme="minorBidi"/>
      <w:b/>
      <w:sz w:val="32"/>
      <w:szCs w:val="32"/>
    </w:rPr>
  </w:style>
  <w:style w:type="character" w:customStyle="1" w:styleId="Naslov7Char">
    <w:name w:val="Naslov 7 Char"/>
    <w:basedOn w:val="Zadanifontodlomka"/>
    <w:link w:val="Naslov7"/>
    <w:uiPriority w:val="9"/>
    <w:rPr>
      <w:rFonts w:ascii="Calibri" w:eastAsiaTheme="minorHAnsi" w:hAnsi="Calibri" w:cstheme="minorBidi"/>
      <w:b/>
      <w:sz w:val="24"/>
      <w:szCs w:val="24"/>
    </w:rPr>
  </w:style>
  <w:style w:type="paragraph" w:customStyle="1" w:styleId="tekst">
    <w:name w:val="tekst"/>
    <w:basedOn w:val="Normal"/>
    <w:link w:val="tekstChar"/>
    <w:qFormat/>
    <w:rPr>
      <w:rFonts w:cs="Calibri"/>
      <w:szCs w:val="22"/>
      <w:lang w:eastAsia="hr-HR"/>
    </w:rPr>
  </w:style>
  <w:style w:type="character" w:customStyle="1" w:styleId="tekstChar">
    <w:name w:val="tekst Char"/>
    <w:basedOn w:val="Zadanifontodlomka"/>
    <w:link w:val="tekst"/>
    <w:rPr>
      <w:rFonts w:ascii="Calibri" w:eastAsia="Times New Roman" w:hAnsi="Calibri" w:cs="Calibri"/>
      <w:sz w:val="22"/>
      <w:szCs w:val="22"/>
    </w:rPr>
  </w:style>
  <w:style w:type="character" w:customStyle="1" w:styleId="Naslov1Char0">
    <w:name w:val="Naslov_1 Char"/>
    <w:basedOn w:val="OdlomakpopisaChar"/>
    <w:link w:val="Naslov10"/>
    <w:rPr>
      <w:rFonts w:ascii="Calibri" w:eastAsiaTheme="minorHAnsi" w:hAnsi="Calibri" w:cstheme="minorBidi"/>
      <w:b/>
      <w:sz w:val="44"/>
      <w:szCs w:val="44"/>
      <w:u w:color="000000"/>
      <w:lang w:eastAsia="en-US"/>
    </w:rPr>
  </w:style>
  <w:style w:type="character" w:customStyle="1" w:styleId="Nerijeenospominjanje1">
    <w:name w:val="Neriješeno spominjanje1"/>
    <w:basedOn w:val="Zadanifontodlomka"/>
    <w:uiPriority w:val="99"/>
    <w:semiHidden/>
    <w:unhideWhenUsed/>
    <w:rPr>
      <w:color w:val="605E5C"/>
      <w:shd w:val="clear" w:color="auto" w:fill="E1DFDD"/>
    </w:rPr>
  </w:style>
  <w:style w:type="paragraph" w:customStyle="1" w:styleId="xxmsonormal">
    <w:name w:val="x_x_msonormal"/>
    <w:basedOn w:val="Normal"/>
    <w:pPr>
      <w:spacing w:line="240" w:lineRule="auto"/>
      <w:jc w:val="left"/>
    </w:pPr>
    <w:rPr>
      <w:rFonts w:eastAsia="Calibri" w:cs="Calibri"/>
      <w:szCs w:val="22"/>
      <w:lang w:eastAsia="hr-HR"/>
    </w:rPr>
  </w:style>
  <w:style w:type="character" w:customStyle="1" w:styleId="OpisslikeChar">
    <w:name w:val="Opis slike Char"/>
    <w:link w:val="Opisslike"/>
    <w:uiPriority w:val="35"/>
    <w:qFormat/>
    <w:locked/>
    <w:rPr>
      <w:rFonts w:ascii="Calibri" w:eastAsia="Times New Roman" w:hAnsi="Calibri"/>
      <w:b/>
      <w:bCs/>
      <w:sz w:val="22"/>
      <w:szCs w:val="18"/>
      <w:lang w:eastAsia="en-GB"/>
    </w:rPr>
  </w:style>
  <w:style w:type="character" w:customStyle="1" w:styleId="Naslov2Char">
    <w:name w:val="Naslov 2 Char"/>
    <w:basedOn w:val="Zadanifontodlomka"/>
    <w:link w:val="Naslov2"/>
    <w:uiPriority w:val="9"/>
    <w:rPr>
      <w:rFonts w:ascii="Calibri" w:eastAsia="Calibri" w:hAnsi="Calibri" w:cs="Calibri"/>
      <w:b/>
      <w:color w:val="000000"/>
      <w:sz w:val="36"/>
      <w:szCs w:val="36"/>
      <w:u w:color="000000"/>
    </w:rPr>
  </w:style>
  <w:style w:type="table" w:customStyle="1" w:styleId="Svijetlatablicapopisa1-isticanje51">
    <w:name w:val="Svijetla tablica popisa 1 - isticanje 51"/>
    <w:basedOn w:val="Obinatablica"/>
    <w:uiPriority w:val="46"/>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Obinatablica51">
    <w:name w:val="Obična tablica 51"/>
    <w:basedOn w:val="Obinatablica"/>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Obinatablica11">
    <w:name w:val="Obična tablica 11"/>
    <w:basedOn w:val="Obinatablica"/>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icareetke3-isticanje51">
    <w:name w:val="Tablica rešetke 3 - isticanje 51"/>
    <w:basedOn w:val="Obinatablica"/>
    <w:uiPriority w:val="48"/>
    <w:tblPr>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insideV w:val="single" w:sz="4" w:space="0" w:color="FFB27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D2" w:themeFill="accent5" w:themeFillTint="33"/>
      </w:tcPr>
    </w:tblStylePr>
    <w:tblStylePr w:type="band1Horz">
      <w:tblPr/>
      <w:tcPr>
        <w:shd w:val="clear" w:color="auto" w:fill="FFE5D2" w:themeFill="accent5" w:themeFillTint="33"/>
      </w:tcPr>
    </w:tblStylePr>
    <w:tblStylePr w:type="neCell">
      <w:tblPr/>
      <w:tcPr>
        <w:tcBorders>
          <w:bottom w:val="single" w:sz="4" w:space="0" w:color="FFB279" w:themeColor="accent5" w:themeTint="99"/>
        </w:tcBorders>
      </w:tcPr>
    </w:tblStylePr>
    <w:tblStylePr w:type="nwCell">
      <w:tblPr/>
      <w:tcPr>
        <w:tcBorders>
          <w:bottom w:val="single" w:sz="4" w:space="0" w:color="FFB279" w:themeColor="accent5" w:themeTint="99"/>
        </w:tcBorders>
      </w:tcPr>
    </w:tblStylePr>
    <w:tblStylePr w:type="seCell">
      <w:tblPr/>
      <w:tcPr>
        <w:tcBorders>
          <w:top w:val="single" w:sz="4" w:space="0" w:color="FFB279" w:themeColor="accent5" w:themeTint="99"/>
        </w:tcBorders>
      </w:tcPr>
    </w:tblStylePr>
    <w:tblStylePr w:type="swCell">
      <w:tblPr/>
      <w:tcPr>
        <w:tcBorders>
          <w:top w:val="single" w:sz="4" w:space="0" w:color="FFB279" w:themeColor="accent5" w:themeTint="99"/>
        </w:tcBorders>
      </w:tcPr>
    </w:tblStylePr>
  </w:style>
  <w:style w:type="table" w:customStyle="1" w:styleId="Tablicareetke3-isticanje41">
    <w:name w:val="Tablica rešetke 3 - isticanje 41"/>
    <w:basedOn w:val="Obinatablica"/>
    <w:uiPriority w:val="48"/>
    <w:tblPr>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insideV w:val="single" w:sz="4" w:space="0" w:color="9DE1C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5EE" w:themeFill="accent4" w:themeFillTint="33"/>
      </w:tcPr>
    </w:tblStylePr>
    <w:tblStylePr w:type="band1Horz">
      <w:tblPr/>
      <w:tcPr>
        <w:shd w:val="clear" w:color="auto" w:fill="DEF5EE" w:themeFill="accent4" w:themeFillTint="33"/>
      </w:tcPr>
    </w:tblStylePr>
    <w:tblStylePr w:type="neCell">
      <w:tblPr/>
      <w:tcPr>
        <w:tcBorders>
          <w:bottom w:val="single" w:sz="4" w:space="0" w:color="9DE1CF" w:themeColor="accent4" w:themeTint="99"/>
        </w:tcBorders>
      </w:tcPr>
    </w:tblStylePr>
    <w:tblStylePr w:type="nwCell">
      <w:tblPr/>
      <w:tcPr>
        <w:tcBorders>
          <w:bottom w:val="single" w:sz="4" w:space="0" w:color="9DE1CF" w:themeColor="accent4" w:themeTint="99"/>
        </w:tcBorders>
      </w:tcPr>
    </w:tblStylePr>
    <w:tblStylePr w:type="seCell">
      <w:tblPr/>
      <w:tcPr>
        <w:tcBorders>
          <w:top w:val="single" w:sz="4" w:space="0" w:color="9DE1CF" w:themeColor="accent4" w:themeTint="99"/>
        </w:tcBorders>
      </w:tcPr>
    </w:tblStylePr>
    <w:tblStylePr w:type="swCell">
      <w:tblPr/>
      <w:tcPr>
        <w:tcBorders>
          <w:top w:val="single" w:sz="4" w:space="0" w:color="9DE1CF" w:themeColor="accent4" w:themeTint="99"/>
        </w:tcBorders>
      </w:tcPr>
    </w:tblStylePr>
  </w:style>
  <w:style w:type="table" w:customStyle="1" w:styleId="Tablicareetke3-isticanje11">
    <w:name w:val="Tablica rešetke 3 - isticanje 11"/>
    <w:basedOn w:val="Obinatablica"/>
    <w:uiPriority w:val="48"/>
    <w:tblPr>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0F4" w:themeFill="accent1" w:themeFillTint="33"/>
      </w:tcPr>
    </w:tblStylePr>
    <w:tblStylePr w:type="band1Horz">
      <w:tblPr/>
      <w:tcPr>
        <w:shd w:val="clear" w:color="auto" w:fill="DBE0F4" w:themeFill="accent1" w:themeFillTint="33"/>
      </w:tcPr>
    </w:tblStylePr>
    <w:tblStylePr w:type="neCell">
      <w:tblPr/>
      <w:tcPr>
        <w:tcBorders>
          <w:bottom w:val="single" w:sz="4" w:space="0" w:color="94A3DE" w:themeColor="accent1" w:themeTint="99"/>
        </w:tcBorders>
      </w:tcPr>
    </w:tblStylePr>
    <w:tblStylePr w:type="nwCell">
      <w:tblPr/>
      <w:tcPr>
        <w:tcBorders>
          <w:bottom w:val="single" w:sz="4" w:space="0" w:color="94A3DE" w:themeColor="accent1" w:themeTint="99"/>
        </w:tcBorders>
      </w:tcPr>
    </w:tblStylePr>
    <w:tblStylePr w:type="seCell">
      <w:tblPr/>
      <w:tcPr>
        <w:tcBorders>
          <w:top w:val="single" w:sz="4" w:space="0" w:color="94A3DE" w:themeColor="accent1" w:themeTint="99"/>
        </w:tcBorders>
      </w:tcPr>
    </w:tblStylePr>
    <w:tblStylePr w:type="swCell">
      <w:tblPr/>
      <w:tcPr>
        <w:tcBorders>
          <w:top w:val="single" w:sz="4" w:space="0" w:color="94A3DE" w:themeColor="accent1" w:themeTint="99"/>
        </w:tcBorders>
      </w:tcPr>
    </w:tblStylePr>
  </w:style>
  <w:style w:type="table" w:customStyle="1" w:styleId="Svijetlatablicapopisa1-isticanje11">
    <w:name w:val="Svijetla tablica popisa 1 - isticanje 11"/>
    <w:basedOn w:val="Obinatablica"/>
    <w:uiPriority w:val="46"/>
    <w:tblPr/>
    <w:tblStylePr w:type="firstRow">
      <w:rPr>
        <w:b/>
        <w:bCs/>
      </w:rPr>
      <w:tblPr/>
      <w:tcPr>
        <w:tcBorders>
          <w:bottom w:val="single" w:sz="4" w:space="0" w:color="94A3DE" w:themeColor="accent1" w:themeTint="99"/>
        </w:tcBorders>
      </w:tcPr>
    </w:tblStylePr>
    <w:tblStylePr w:type="lastRow">
      <w:rPr>
        <w:b/>
        <w:bCs/>
      </w:rPr>
      <w:tblPr/>
      <w:tcPr>
        <w:tcBorders>
          <w:top w:val="sing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Tamnatablicareetke5-isticanje41">
    <w:name w:val="Tamna tablica rešetke 5 - isticanje 41"/>
    <w:basedOn w:val="Obinatablica"/>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5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DCEA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DCEA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DCEA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DCEAF" w:themeFill="accent4"/>
      </w:tcPr>
    </w:tblStylePr>
    <w:tblStylePr w:type="band1Vert">
      <w:tblPr/>
      <w:tcPr>
        <w:shd w:val="clear" w:color="auto" w:fill="BEEBDE" w:themeFill="accent4" w:themeFillTint="66"/>
      </w:tcPr>
    </w:tblStylePr>
    <w:tblStylePr w:type="band1Horz">
      <w:tblPr/>
      <w:tcPr>
        <w:shd w:val="clear" w:color="auto" w:fill="BEEBDE" w:themeFill="accent4" w:themeFillTint="66"/>
      </w:tcPr>
    </w:tblStylePr>
  </w:style>
  <w:style w:type="table" w:customStyle="1" w:styleId="ivopisnatablicapopisa6-isticanje11">
    <w:name w:val="Živopisna tablica popisa 6 - isticanje 11"/>
    <w:basedOn w:val="Obinatablica"/>
    <w:uiPriority w:val="51"/>
    <w:qFormat/>
    <w:rPr>
      <w:color w:val="31479E" w:themeColor="accent1" w:themeShade="BF"/>
    </w:rPr>
    <w:tblPr>
      <w:tblBorders>
        <w:top w:val="single" w:sz="4" w:space="0" w:color="4E67C8" w:themeColor="accent1"/>
        <w:bottom w:val="single" w:sz="4" w:space="0" w:color="4E67C8" w:themeColor="accent1"/>
      </w:tblBorders>
    </w:tblPr>
    <w:tblStylePr w:type="firstRow">
      <w:rPr>
        <w:b/>
        <w:bCs/>
      </w:rPr>
      <w:tblPr/>
      <w:tcPr>
        <w:tcBorders>
          <w:bottom w:val="single" w:sz="4" w:space="0" w:color="4E67C8" w:themeColor="accent1"/>
        </w:tcBorders>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ivopisnatablicapopisa6-isticanje41">
    <w:name w:val="Živopisna tablica popisa 6 - isticanje 41"/>
    <w:basedOn w:val="Obinatablica"/>
    <w:uiPriority w:val="51"/>
    <w:rPr>
      <w:color w:val="34AB8A" w:themeColor="accent4" w:themeShade="BF"/>
    </w:rPr>
    <w:tblPr>
      <w:tblBorders>
        <w:top w:val="single" w:sz="4" w:space="0" w:color="5DCEAF" w:themeColor="accent4"/>
        <w:bottom w:val="single" w:sz="4" w:space="0" w:color="5DCEAF" w:themeColor="accent4"/>
      </w:tblBorders>
    </w:tblPr>
    <w:tblStylePr w:type="firstRow">
      <w:rPr>
        <w:b/>
        <w:bCs/>
      </w:rPr>
      <w:tblPr/>
      <w:tcPr>
        <w:tcBorders>
          <w:bottom w:val="single" w:sz="4" w:space="0" w:color="5DCEAF" w:themeColor="accent4"/>
        </w:tcBorders>
      </w:tcPr>
    </w:tblStylePr>
    <w:tblStylePr w:type="lastRow">
      <w:rPr>
        <w:b/>
        <w:bCs/>
      </w:rPr>
      <w:tblPr/>
      <w:tcPr>
        <w:tcBorders>
          <w:top w:val="double" w:sz="4" w:space="0" w:color="5DCEAF" w:themeColor="accent4"/>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ivopisnatablicapopisa6-isticanje51">
    <w:name w:val="Živopisna tablica popisa 6 - isticanje 51"/>
    <w:basedOn w:val="Obinatablica"/>
    <w:uiPriority w:val="51"/>
    <w:rPr>
      <w:color w:val="D75C00" w:themeColor="accent5" w:themeShade="BF"/>
    </w:rPr>
    <w:tblPr>
      <w:tblBorders>
        <w:top w:val="single" w:sz="4" w:space="0" w:color="FF8021" w:themeColor="accent5"/>
        <w:bottom w:val="single" w:sz="4" w:space="0" w:color="FF8021" w:themeColor="accent5"/>
      </w:tblBorders>
    </w:tblPr>
    <w:tblStylePr w:type="firstRow">
      <w:rPr>
        <w:b/>
        <w:bCs/>
      </w:rPr>
      <w:tblPr/>
      <w:tcPr>
        <w:tcBorders>
          <w:bottom w:val="single" w:sz="4" w:space="0" w:color="FF8021" w:themeColor="accent5"/>
        </w:tcBorders>
      </w:tcPr>
    </w:tblStylePr>
    <w:tblStylePr w:type="lastRow">
      <w:rPr>
        <w:b/>
        <w:bCs/>
      </w:rPr>
      <w:tblPr/>
      <w:tcPr>
        <w:tcBorders>
          <w:top w:val="double" w:sz="4" w:space="0" w:color="FF8021" w:themeColor="accent5"/>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character" w:customStyle="1" w:styleId="Naslov1Char">
    <w:name w:val="Naslov 1 Char"/>
    <w:basedOn w:val="Zadanifontodlomka"/>
    <w:link w:val="Naslov1"/>
    <w:qFormat/>
    <w:rPr>
      <w:rFonts w:ascii="Calibri" w:eastAsia="Calibri" w:hAnsi="Calibri" w:cs="Calibri"/>
      <w:b/>
      <w:kern w:val="32"/>
      <w:sz w:val="44"/>
      <w:szCs w:val="40"/>
      <w:u w:color="000000"/>
    </w:rPr>
  </w:style>
  <w:style w:type="character" w:customStyle="1" w:styleId="Naslov3Char">
    <w:name w:val="Naslov 3 Char"/>
    <w:basedOn w:val="Zadanifontodlomka"/>
    <w:link w:val="Naslov3"/>
    <w:rPr>
      <w:rFonts w:ascii="Calibri" w:eastAsia="Calibri" w:hAnsi="Calibri" w:cs="Calibri"/>
      <w:b/>
      <w:bCs/>
      <w:color w:val="000000"/>
      <w:spacing w:val="20"/>
      <w:sz w:val="36"/>
      <w:szCs w:val="22"/>
      <w:u w:color="000000"/>
    </w:rPr>
  </w:style>
  <w:style w:type="character" w:customStyle="1" w:styleId="ZaglavljeChar">
    <w:name w:val="Zaglavlje Char"/>
    <w:basedOn w:val="Zadanifontodlomka"/>
    <w:link w:val="Zaglavlje"/>
    <w:uiPriority w:val="99"/>
    <w:rPr>
      <w:rFonts w:ascii="Calibri" w:eastAsia="Calibri" w:hAnsi="Calibri" w:cs="Calibri"/>
      <w:color w:val="000000"/>
      <w:u w:color="000000"/>
    </w:rPr>
  </w:style>
  <w:style w:type="paragraph" w:customStyle="1" w:styleId="msonormal0">
    <w:name w:val="msonormal"/>
    <w:basedOn w:val="Normal"/>
    <w:pPr>
      <w:spacing w:before="100" w:beforeAutospacing="1" w:after="100" w:afterAutospacing="1" w:line="240" w:lineRule="auto"/>
      <w:jc w:val="left"/>
    </w:pPr>
    <w:rPr>
      <w:rFonts w:ascii="Times New Roman" w:hAnsi="Times New Roman"/>
      <w:sz w:val="24"/>
      <w:lang w:eastAsia="hr-HR"/>
    </w:rPr>
  </w:style>
  <w:style w:type="paragraph" w:customStyle="1" w:styleId="xl63">
    <w:name w:val="xl6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lang w:eastAsia="hr-HR"/>
    </w:rPr>
  </w:style>
  <w:style w:type="paragraph" w:customStyle="1" w:styleId="xl64">
    <w:name w:val="xl6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b/>
      <w:bCs/>
      <w:sz w:val="24"/>
      <w:lang w:eastAsia="hr-HR"/>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757171"/>
      <w:spacing w:before="100" w:beforeAutospacing="1" w:after="100" w:afterAutospacing="1" w:line="240" w:lineRule="auto"/>
      <w:jc w:val="left"/>
    </w:pPr>
    <w:rPr>
      <w:rFonts w:ascii="Times New Roman" w:hAnsi="Times New Roman"/>
      <w:sz w:val="24"/>
      <w:lang w:eastAsia="hr-HR"/>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16"/>
      <w:szCs w:val="16"/>
      <w:lang w:eastAsia="hr-HR"/>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left"/>
    </w:pPr>
    <w:rPr>
      <w:rFonts w:ascii="Times New Roman" w:hAnsi="Times New Roman"/>
      <w:sz w:val="24"/>
      <w:lang w:eastAsia="hr-HR"/>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lang w:eastAsia="hr-HR"/>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lang w:eastAsia="hr-HR"/>
    </w:rPr>
  </w:style>
  <w:style w:type="table" w:customStyle="1" w:styleId="Tablicapopisa2-isticanje41">
    <w:name w:val="Tablica popisa 2 - isticanje 41"/>
    <w:basedOn w:val="Obinatablica"/>
    <w:uiPriority w:val="47"/>
    <w:tblPr>
      <w:tblBorders>
        <w:top w:val="single" w:sz="4" w:space="0" w:color="9DE1CF" w:themeColor="accent4" w:themeTint="99"/>
        <w:bottom w:val="single" w:sz="4" w:space="0" w:color="9DE1CF" w:themeColor="accent4" w:themeTint="99"/>
        <w:insideH w:val="single" w:sz="4" w:space="0" w:color="9DE1C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paragraph" w:customStyle="1" w:styleId="Broj2">
    <w:name w:val="Broj 2"/>
    <w:basedOn w:val="Odlomakpopisa"/>
    <w:qFormat/>
    <w:pPr>
      <w:keepLines/>
      <w:tabs>
        <w:tab w:val="left" w:pos="360"/>
        <w:tab w:val="left" w:pos="431"/>
      </w:tabs>
      <w:suppressAutoHyphens/>
      <w:spacing w:before="60" w:after="60" w:line="256" w:lineRule="auto"/>
      <w:ind w:left="1276" w:hanging="425"/>
      <w:contextualSpacing w:val="0"/>
    </w:pPr>
    <w:rPr>
      <w:rFonts w:ascii="Tahoma" w:eastAsia="Arial Unicode MS" w:hAnsi="Tahoma" w:cs="Myriad Pro"/>
      <w:b w:val="0"/>
      <w:sz w:val="20"/>
      <w:lang w:eastAsia="hr-HR"/>
    </w:rPr>
  </w:style>
  <w:style w:type="character" w:customStyle="1" w:styleId="StandardWebChar">
    <w:name w:val="Standard (Web) Char"/>
    <w:link w:val="StandardWeb"/>
    <w:uiPriority w:val="99"/>
    <w:locked/>
    <w:rPr>
      <w:rFonts w:eastAsia="Times New Roman"/>
      <w:sz w:val="24"/>
      <w:szCs w:val="24"/>
      <w:lang w:eastAsia="en-GB"/>
    </w:rPr>
  </w:style>
  <w:style w:type="character" w:customStyle="1" w:styleId="phrase">
    <w:name w:val="phrase"/>
    <w:basedOn w:val="Zadanifontodlomka"/>
  </w:style>
  <w:style w:type="character" w:customStyle="1" w:styleId="word">
    <w:name w:val="word"/>
    <w:basedOn w:val="Zadanifontodlomka"/>
  </w:style>
  <w:style w:type="paragraph" w:customStyle="1" w:styleId="t-9-8">
    <w:name w:val="t-9-8"/>
    <w:basedOn w:val="Normal"/>
    <w:pPr>
      <w:spacing w:before="100" w:beforeAutospacing="1" w:after="100" w:afterAutospacing="1" w:line="240" w:lineRule="auto"/>
      <w:jc w:val="left"/>
    </w:pPr>
    <w:rPr>
      <w:rFonts w:ascii="Times New Roman" w:hAnsi="Times New Roman"/>
      <w:sz w:val="24"/>
      <w:lang w:val="en-US" w:eastAsia="hr-HR"/>
    </w:rPr>
  </w:style>
  <w:style w:type="paragraph" w:customStyle="1" w:styleId="t-10-9-kurz-s">
    <w:name w:val="t-10-9-kurz-s"/>
    <w:basedOn w:val="Normal"/>
    <w:pPr>
      <w:spacing w:before="100" w:beforeAutospacing="1" w:after="100" w:afterAutospacing="1" w:line="240" w:lineRule="auto"/>
      <w:jc w:val="left"/>
    </w:pPr>
    <w:rPr>
      <w:rFonts w:ascii="Times New Roman" w:hAnsi="Times New Roman"/>
      <w:sz w:val="24"/>
      <w:lang w:eastAsia="hr-HR"/>
    </w:rPr>
  </w:style>
  <w:style w:type="paragraph" w:customStyle="1" w:styleId="clanak-">
    <w:name w:val="clanak-"/>
    <w:basedOn w:val="Normal"/>
    <w:pPr>
      <w:spacing w:before="100" w:beforeAutospacing="1" w:after="100" w:afterAutospacing="1" w:line="240" w:lineRule="auto"/>
      <w:jc w:val="left"/>
    </w:pPr>
    <w:rPr>
      <w:rFonts w:ascii="Times New Roman" w:hAnsi="Times New Roman"/>
      <w:sz w:val="24"/>
      <w:lang w:eastAsia="hr-HR"/>
    </w:rPr>
  </w:style>
  <w:style w:type="paragraph" w:customStyle="1" w:styleId="Bibliografija1">
    <w:name w:val="Bibliografija1"/>
    <w:basedOn w:val="Normal"/>
    <w:next w:val="Normal"/>
    <w:uiPriority w:val="37"/>
    <w:semiHidden/>
    <w:unhideWhenUsed/>
  </w:style>
  <w:style w:type="table" w:customStyle="1" w:styleId="Reetkatablice1">
    <w:name w:val="Rešetka tablice1"/>
    <w:basedOn w:val="Obinatablica"/>
    <w:uiPriority w:val="39"/>
    <w:rPr>
      <w:rFonts w:ascii="Calibri" w:eastAsia="Times New Rom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uiPriority w:val="39"/>
    <w:rPr>
      <w:rFonts w:ascii="Calibri" w:eastAsia="Times New Rom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akoisticanje1">
    <w:name w:val="Jako isticanje1"/>
    <w:basedOn w:val="Zadanifontodlomka"/>
    <w:uiPriority w:val="21"/>
    <w:qFormat/>
    <w:rPr>
      <w:i/>
      <w:iCs/>
      <w:color w:val="4E67C8" w:themeColor="accent1"/>
    </w:rPr>
  </w:style>
  <w:style w:type="paragraph" w:styleId="Citat">
    <w:name w:val="Quote"/>
    <w:basedOn w:val="Normal"/>
    <w:next w:val="Normal"/>
    <w:link w:val="CitatChar"/>
    <w:uiPriority w:val="29"/>
    <w:qFormat/>
    <w:pPr>
      <w:spacing w:before="200" w:after="160"/>
      <w:ind w:left="864" w:right="864"/>
      <w:jc w:val="center"/>
    </w:pPr>
    <w:rPr>
      <w:i/>
      <w:iCs/>
      <w:color w:val="404040" w:themeColor="text1" w:themeTint="BF"/>
    </w:rPr>
  </w:style>
  <w:style w:type="character" w:customStyle="1" w:styleId="CitatChar">
    <w:name w:val="Citat Char"/>
    <w:basedOn w:val="Zadanifontodlomka"/>
    <w:link w:val="Citat"/>
    <w:uiPriority w:val="29"/>
    <w:rPr>
      <w:rFonts w:ascii="Calibri" w:eastAsia="Times New Roman" w:hAnsi="Calibri"/>
      <w:i/>
      <w:iCs/>
      <w:color w:val="404040" w:themeColor="text1" w:themeTint="BF"/>
      <w:sz w:val="22"/>
      <w:szCs w:val="24"/>
      <w:lang w:eastAsia="en-GB"/>
    </w:rPr>
  </w:style>
  <w:style w:type="character" w:customStyle="1" w:styleId="Neupadljivareferenca1">
    <w:name w:val="Neupadljiva referenca1"/>
    <w:basedOn w:val="Zadanifontodlomka"/>
    <w:uiPriority w:val="31"/>
    <w:qFormat/>
    <w:rPr>
      <w:smallCaps/>
      <w:color w:val="595959" w:themeColor="text1" w:themeTint="A6"/>
    </w:rPr>
  </w:style>
  <w:style w:type="character" w:customStyle="1" w:styleId="summarymark">
    <w:name w:val="summarymark"/>
    <w:basedOn w:val="Zadanifontodlomka"/>
  </w:style>
  <w:style w:type="character" w:customStyle="1" w:styleId="mytool">
    <w:name w:val="mytool"/>
    <w:basedOn w:val="Zadanifontodlomka"/>
  </w:style>
  <w:style w:type="paragraph" w:customStyle="1" w:styleId="mt-translation">
    <w:name w:val="mt-translation"/>
    <w:basedOn w:val="Normal"/>
    <w:pPr>
      <w:spacing w:before="100" w:beforeAutospacing="1" w:after="100" w:afterAutospacing="1" w:line="240" w:lineRule="auto"/>
      <w:jc w:val="left"/>
    </w:pPr>
    <w:rPr>
      <w:rFonts w:ascii="Times New Roman" w:hAnsi="Times New Roman"/>
      <w:sz w:val="24"/>
      <w:lang w:eastAsia="hr-HR"/>
    </w:rPr>
  </w:style>
  <w:style w:type="paragraph" w:customStyle="1" w:styleId="paragraph">
    <w:name w:val="paragraph"/>
    <w:basedOn w:val="Normal"/>
    <w:pPr>
      <w:spacing w:line="240" w:lineRule="auto"/>
      <w:jc w:val="left"/>
    </w:pPr>
    <w:rPr>
      <w:rFonts w:ascii="Times New Roman" w:hAnsi="Times New Roman"/>
      <w:sz w:val="24"/>
      <w:lang w:eastAsia="hr-HR"/>
    </w:rPr>
  </w:style>
  <w:style w:type="table" w:customStyle="1" w:styleId="Reetkatablice13">
    <w:name w:val="Rešetka tablice13"/>
    <w:basedOn w:val="Obinatablic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3629">
    <w:name w:val="box_453629"/>
    <w:basedOn w:val="Normal"/>
    <w:pPr>
      <w:spacing w:before="100" w:beforeAutospacing="1" w:after="100" w:afterAutospacing="1" w:line="240" w:lineRule="auto"/>
      <w:jc w:val="left"/>
    </w:pPr>
    <w:rPr>
      <w:rFonts w:ascii="Times New Roman" w:hAnsi="Times New Roman"/>
      <w:sz w:val="24"/>
      <w:lang w:eastAsia="hr-HR"/>
    </w:rPr>
  </w:style>
  <w:style w:type="character" w:customStyle="1" w:styleId="TekstkrajnjebiljekeChar">
    <w:name w:val="Tekst krajnje bilješke Char"/>
    <w:basedOn w:val="Zadanifontodlomka"/>
    <w:link w:val="Tekstkrajnjebiljeke"/>
    <w:uiPriority w:val="99"/>
    <w:semiHidden/>
    <w:rPr>
      <w:rFonts w:ascii="Calibri" w:eastAsia="Times New Roman" w:hAnsi="Calibri"/>
      <w:lang w:eastAsia="en-GB"/>
    </w:rPr>
  </w:style>
  <w:style w:type="paragraph" w:customStyle="1" w:styleId="123456">
    <w:name w:val="123456"/>
    <w:basedOn w:val="Footnote"/>
    <w:rPr>
      <w:rFonts w:ascii="Times New Roman" w:hAnsi="Times New Roman" w:cs="Times New Roman"/>
      <w:sz w:val="16"/>
      <w:szCs w:val="16"/>
    </w:rPr>
  </w:style>
  <w:style w:type="character" w:customStyle="1" w:styleId="Nerijeenospominjanje2">
    <w:name w:val="Neriješeno spominjanje2"/>
    <w:basedOn w:val="Zadanifontodlomka"/>
    <w:uiPriority w:val="99"/>
    <w:semiHidden/>
    <w:unhideWhenUsed/>
    <w:rPr>
      <w:color w:val="605E5C"/>
      <w:shd w:val="clear" w:color="auto" w:fill="E1DFDD"/>
    </w:rPr>
  </w:style>
  <w:style w:type="paragraph" w:customStyle="1" w:styleId="statut">
    <w:name w:val="statut"/>
    <w:basedOn w:val="Normal"/>
    <w:pPr>
      <w:spacing w:before="100" w:beforeAutospacing="1" w:after="100" w:afterAutospacing="1" w:line="240" w:lineRule="auto"/>
      <w:jc w:val="left"/>
    </w:pPr>
    <w:rPr>
      <w:rFonts w:ascii="Times New Roman" w:hAnsi="Times New Roman"/>
      <w:sz w:val="24"/>
      <w:lang w:eastAsia="hr-HR"/>
    </w:rPr>
  </w:style>
  <w:style w:type="paragraph" w:customStyle="1" w:styleId="typedudocumentcp">
    <w:name w:val="typedudocument_cp"/>
    <w:basedOn w:val="Normal"/>
    <w:pPr>
      <w:spacing w:before="100" w:beforeAutospacing="1" w:after="100" w:afterAutospacing="1" w:line="240" w:lineRule="auto"/>
      <w:jc w:val="left"/>
    </w:pPr>
    <w:rPr>
      <w:rFonts w:ascii="Times New Roman" w:hAnsi="Times New Roman"/>
      <w:sz w:val="24"/>
      <w:lang w:eastAsia="hr-HR"/>
    </w:rPr>
  </w:style>
  <w:style w:type="paragraph" w:customStyle="1" w:styleId="titreobjetcp">
    <w:name w:val="titreobjet_cp"/>
    <w:basedOn w:val="Normal"/>
    <w:pPr>
      <w:spacing w:before="100" w:beforeAutospacing="1" w:after="100" w:afterAutospacing="1" w:line="240" w:lineRule="auto"/>
      <w:jc w:val="left"/>
    </w:pPr>
    <w:rPr>
      <w:rFonts w:ascii="Times New Roman" w:hAnsi="Times New Roman"/>
      <w:sz w:val="24"/>
      <w:lang w:eastAsia="hr-HR"/>
    </w:rPr>
  </w:style>
  <w:style w:type="paragraph" w:customStyle="1" w:styleId="doc-ti">
    <w:name w:val="doc-ti"/>
    <w:basedOn w:val="Normal"/>
    <w:pPr>
      <w:spacing w:before="100" w:beforeAutospacing="1" w:after="100" w:afterAutospacing="1" w:line="240" w:lineRule="auto"/>
      <w:jc w:val="left"/>
    </w:pPr>
    <w:rPr>
      <w:rFonts w:ascii="Times New Roman" w:hAnsi="Times New Roman"/>
      <w:sz w:val="24"/>
      <w:lang w:eastAsia="hr-HR"/>
    </w:rPr>
  </w:style>
  <w:style w:type="character" w:customStyle="1" w:styleId="Nerijeenospominjanje3">
    <w:name w:val="Neriješeno spominjanje3"/>
    <w:basedOn w:val="Zadanifontodlomka"/>
    <w:uiPriority w:val="99"/>
    <w:semiHidden/>
    <w:unhideWhenUsed/>
    <w:rsid w:val="00015BFA"/>
    <w:rPr>
      <w:color w:val="605E5C"/>
      <w:shd w:val="clear" w:color="auto" w:fill="E1DFDD"/>
    </w:rPr>
  </w:style>
  <w:style w:type="character" w:styleId="Nerijeenospominjanje">
    <w:name w:val="Unresolved Mention"/>
    <w:basedOn w:val="Zadanifontodlomka"/>
    <w:uiPriority w:val="99"/>
    <w:semiHidden/>
    <w:unhideWhenUsed/>
    <w:rsid w:val="002B29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8299140">
      <w:bodyDiv w:val="1"/>
      <w:marLeft w:val="0"/>
      <w:marRight w:val="0"/>
      <w:marTop w:val="0"/>
      <w:marBottom w:val="0"/>
      <w:divBdr>
        <w:top w:val="none" w:sz="0" w:space="0" w:color="auto"/>
        <w:left w:val="none" w:sz="0" w:space="0" w:color="auto"/>
        <w:bottom w:val="none" w:sz="0" w:space="0" w:color="auto"/>
        <w:right w:val="none" w:sz="0" w:space="0" w:color="auto"/>
      </w:divBdr>
    </w:div>
    <w:div w:id="1215778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tiff"/><Relationship Id="rId26" Type="http://schemas.microsoft.com/office/2007/relationships/diagramDrawing" Target="diagrams/drawing1.xml"/><Relationship Id="rId39" Type="http://schemas.openxmlformats.org/officeDocument/2006/relationships/hyperlink" Target="https://www.citylab.com/transportation/2018/03/quick-easy-way-to-build-a-bus-stop-zicla/554873/" TargetMode="External"/><Relationship Id="rId3" Type="http://schemas.openxmlformats.org/officeDocument/2006/relationships/customXml" Target="../customXml/item3.xml"/><Relationship Id="rId21" Type="http://schemas.openxmlformats.org/officeDocument/2006/relationships/image" Target="media/image7.tiff"/><Relationship Id="rId34" Type="http://schemas.openxmlformats.org/officeDocument/2006/relationships/hyperlink" Target="https://www.uia-initiative.eu/en/uia-cities/antwerp-call2" TargetMode="External"/><Relationship Id="rId42" Type="http://schemas.openxmlformats.org/officeDocument/2006/relationships/hyperlink" Target="https://www.ellenmacarthurfoundation.org/our-work/activities/ce100"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tiff"/><Relationship Id="rId25" Type="http://schemas.openxmlformats.org/officeDocument/2006/relationships/diagramColors" Target="diagrams/colors1.xml"/><Relationship Id="rId33" Type="http://schemas.openxmlformats.org/officeDocument/2006/relationships/image" Target="media/image8.emf"/><Relationship Id="rId38" Type="http://schemas.openxmlformats.org/officeDocument/2006/relationships/hyperlink" Target="http://sustainability.bam.co.uk/case-studies/2018-01-08-elliot-hudson-college"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diagramQuickStyle" Target="diagrams/quickStyle2.xml"/><Relationship Id="rId41" Type="http://schemas.openxmlformats.org/officeDocument/2006/relationships/hyperlink" Target="http://urbact.eu/2nd-chanc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QuickStyle" Target="diagrams/quickStyle1.xml"/><Relationship Id="rId32" Type="http://schemas.openxmlformats.org/officeDocument/2006/relationships/chart" Target="charts/chart1.xml"/><Relationship Id="rId37" Type="http://schemas.openxmlformats.org/officeDocument/2006/relationships/hyperlink" Target="https://sustainability.bam.co.uk/case-studies/2015-07-21-seven-pancras-square" TargetMode="External"/><Relationship Id="rId40" Type="http://schemas.openxmlformats.org/officeDocument/2006/relationships/hyperlink" Target="https://ec.europa.eu/futurium/en/system/files/ged/classification_of_urban_resource_centres_0.pdf"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openxmlformats.org/officeDocument/2006/relationships/hyperlink" Target="https://www.housing.gov.ie/housing/home-ownership/vacant-homes/bringing-back-homes-manual-reuse-existing-buildings" TargetMode="External"/><Relationship Id="rId10" Type="http://schemas.openxmlformats.org/officeDocument/2006/relationships/footnotes" Target="footnotes.xml"/><Relationship Id="rId19" Type="http://schemas.openxmlformats.org/officeDocument/2006/relationships/image" Target="media/image5.png"/><Relationship Id="rId31" Type="http://schemas.microsoft.com/office/2007/relationships/diagramDrawing" Target="diagrams/drawing2.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hyperlink" Target="https://www.deltadevelopment.eu/en/project-development/projectdevelopment/park-2020/" TargetMode="External"/><Relationship Id="rId43" Type="http://schemas.openxmlformats.org/officeDocument/2006/relationships/hyperlink" Target="https://www.bamb2020.e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HR/TXT/HTML/?uri=CELEX:52015DC0614&amp;from=HR" TargetMode="External"/><Relationship Id="rId13" Type="http://schemas.openxmlformats.org/officeDocument/2006/relationships/hyperlink" Target="https://ec.europa.eu/growth/content/eu-construction-and-demolition-waste-protocol-0_en" TargetMode="External"/><Relationship Id="rId18" Type="http://schemas.openxmlformats.org/officeDocument/2006/relationships/hyperlink" Target="https://narodne-novine.nn.hr/clanci/sluzbeni/2021_02_13_230.html" TargetMode="External"/><Relationship Id="rId26" Type="http://schemas.openxmlformats.org/officeDocument/2006/relationships/hyperlink" Target="https://ispu.mgipu.hr/" TargetMode="External"/><Relationship Id="rId39" Type="http://schemas.openxmlformats.org/officeDocument/2006/relationships/hyperlink" Target="https://eur-lex.europa.eu/legal-content/HR/TXT/?uri=CELEX%3A32008L0098" TargetMode="External"/><Relationship Id="rId3" Type="http://schemas.openxmlformats.org/officeDocument/2006/relationships/hyperlink" Target="https://unfccc.int/process-and-meetings/the-paris-agreement/the-paris-agreement" TargetMode="External"/><Relationship Id="rId21" Type="http://schemas.openxmlformats.org/officeDocument/2006/relationships/hyperlink" Target="https://ec.europa.eu/energy/sites/ener/files/documents/hr_final_necp_main_hr.pdf" TargetMode="External"/><Relationship Id="rId34" Type="http://schemas.openxmlformats.org/officeDocument/2006/relationships/hyperlink" Target="https://ec.europa.eu/environment/eussd/buildings.htm" TargetMode="External"/><Relationship Id="rId42" Type="http://schemas.openxmlformats.org/officeDocument/2006/relationships/hyperlink" Target="https://ec.europa.eu/regional_policy/sources/docgener/evaluation/doc/29112018/6_Indicators2021_evalnet.pdf" TargetMode="External"/><Relationship Id="rId7" Type="http://schemas.openxmlformats.org/officeDocument/2006/relationships/hyperlink" Target="https://ec.europa.eu/regional_policy/en/information/publications/brochures/2020/new-leipzig-charter-the-transformative-power-of-cities-for-the-common-good" TargetMode="External"/><Relationship Id="rId12" Type="http://schemas.openxmlformats.org/officeDocument/2006/relationships/hyperlink" Target="https://ec.europa.eu/energy/en/topics/energy-strategy/clean-energy-all-europeans" TargetMode="External"/><Relationship Id="rId17" Type="http://schemas.openxmlformats.org/officeDocument/2006/relationships/hyperlink" Target="https://narodne-novine.nn.hr/clanci/sluzbeni/2017_12_123_2798.html" TargetMode="External"/><Relationship Id="rId25" Type="http://schemas.openxmlformats.org/officeDocument/2006/relationships/hyperlink" Target="https://mgipu.gov.hr/" TargetMode="External"/><Relationship Id="rId33" Type="http://schemas.openxmlformats.org/officeDocument/2006/relationships/hyperlink" Target="https://www.iucn.org/commissions/commission-ecosystem-management/our-work/nature-based-solutions" TargetMode="External"/><Relationship Id="rId38" Type="http://schemas.openxmlformats.org/officeDocument/2006/relationships/hyperlink" Target="https://www.dzs.hr/Hrv_Eng/ljetopis/2017/sljh2017.pdf" TargetMode="External"/><Relationship Id="rId2" Type="http://schemas.openxmlformats.org/officeDocument/2006/relationships/hyperlink" Target="https://population.un.org/wup/Publications/Files/WUP2018-Report.pdf" TargetMode="External"/><Relationship Id="rId16" Type="http://schemas.openxmlformats.org/officeDocument/2006/relationships/hyperlink" Target="https://narodne-novine.nn.hr/search.aspx?upit=Zakon%20o%20gradnji&amp;sortiraj=0&amp;kategorija=1&amp;rpp=10&amp;qtype=3&amp;pretraga=da&amp;naslovi=da" TargetMode="External"/><Relationship Id="rId20" Type="http://schemas.openxmlformats.org/officeDocument/2006/relationships/hyperlink" Target="https://narodne-novine.nn.hr/clanci/sluzbeni/2019_01_6_136.html" TargetMode="External"/><Relationship Id="rId29" Type="http://schemas.openxmlformats.org/officeDocument/2006/relationships/hyperlink" Target="https://docs.google.com/forms/d/e/1FAIpQLSf99dEUkt0uYkQzMOfiZwtGrauKI3udlaxrTxlNsSfgSZ_hHw/viewform" TargetMode="External"/><Relationship Id="rId41" Type="http://schemas.openxmlformats.org/officeDocument/2006/relationships/hyperlink" Target="https://eur-lex.europa.eu/legal-content/HR/TXT/PDF/?uri=CELEX:52018DC0029&amp;from=EN" TargetMode="External"/><Relationship Id="rId1" Type="http://schemas.openxmlformats.org/officeDocument/2006/relationships/hyperlink" Target="https://www.un.org/en/development/desa/population/migration/generalassembly/docs/globalcompact/A_RES_71_256.pdf" TargetMode="External"/><Relationship Id="rId6" Type="http://schemas.openxmlformats.org/officeDocument/2006/relationships/hyperlink" Target="https://ec.europa.eu/regional_policy/en/information/publications/communications/2011/territorial-agenda-of-the-european-union-2020" TargetMode="External"/><Relationship Id="rId11" Type="http://schemas.openxmlformats.org/officeDocument/2006/relationships/hyperlink" Target="https://eur-lex.europa.eu/legal-content/EN/TXT/?uri=CELEX:52012DC0433" TargetMode="External"/><Relationship Id="rId24" Type="http://schemas.openxmlformats.org/officeDocument/2006/relationships/hyperlink" Target="https://sabor.hr/sites/default/files/uploads/sabor/2021-02-25/154403/IZVJ_STANJE_U_PROSTORU_RH_2013-2019.pdf" TargetMode="External"/><Relationship Id="rId32" Type="http://schemas.openxmlformats.org/officeDocument/2006/relationships/hyperlink" Target="https://eur-lex.europa.eu/legal-content/HR/TXT/?uri=CELEX%3A52014DC0445" TargetMode="External"/><Relationship Id="rId37" Type="http://schemas.openxmlformats.org/officeDocument/2006/relationships/hyperlink" Target="https://narodne-novine.nn.hr/clanci/sluzbeni/2017_01_3_120.html" TargetMode="External"/><Relationship Id="rId40" Type="http://schemas.openxmlformats.org/officeDocument/2006/relationships/hyperlink" Target="https://imovina.gov.hr/UserDocsImages//dokumenti/Izvjesca//Strategija%20Ministarstva%20dr&#382;avne%20imovine%20za%20razdoblje%202019-2025_2019_10_96_1863.pdf" TargetMode="External"/><Relationship Id="rId5" Type="http://schemas.openxmlformats.org/officeDocument/2006/relationships/hyperlink" Target="https://ec.europa.eu/futurium/en/urban-agenda" TargetMode="External"/><Relationship Id="rId15" Type="http://schemas.openxmlformats.org/officeDocument/2006/relationships/hyperlink" Target="https://ec.europa.eu/transparency/regdoc/rep/1/2019/HR/COM-2019-175-F1-HR-MAIN-PART-1.PDF" TargetMode="External"/><Relationship Id="rId23" Type="http://schemas.openxmlformats.org/officeDocument/2006/relationships/hyperlink" Target="https://mgipu.gov.hr/UserDocsImages/dokumenti/EnergetskaUcinkovitost/DSO_14.12.2020.pdf" TargetMode="External"/><Relationship Id="rId28" Type="http://schemas.openxmlformats.org/officeDocument/2006/relationships/hyperlink" Target="https://mgipu.gov.hr/vijesti/u-zagrebu-odrzana-konferencija-zelena-buducnost-grada/10428" TargetMode="External"/><Relationship Id="rId36" Type="http://schemas.openxmlformats.org/officeDocument/2006/relationships/hyperlink" Target="https://civilna-zastita.gov.hr/UserDocsImages/CIVILNA%20ZA%C5%A0TITA/PDF_ZA%20WEB/Procjena_rizika%20od%20katastrofa_2019.pdf" TargetMode="External"/><Relationship Id="rId10" Type="http://schemas.openxmlformats.org/officeDocument/2006/relationships/hyperlink" Target="https://ec.europa.eu/environment/eussd/buildings.htm" TargetMode="External"/><Relationship Id="rId19" Type="http://schemas.openxmlformats.org/officeDocument/2006/relationships/hyperlink" Target="https://narodne-novine.nn.hr/clanci/sluzbeni/2018_10_89_1748.html" TargetMode="External"/><Relationship Id="rId31" Type="http://schemas.openxmlformats.org/officeDocument/2006/relationships/hyperlink" Target="https://eur-lex.europa.eu/legal-content/EN/TXT/?uri=celex%3A52012DC0433" TargetMode="External"/><Relationship Id="rId4" Type="http://schemas.openxmlformats.org/officeDocument/2006/relationships/hyperlink" Target="https://strukturnifondovi.hr/wp-content/uploads/2017/03/Strategija-EUROPA-2020.-hr.pdf" TargetMode="External"/><Relationship Id="rId9" Type="http://schemas.openxmlformats.org/officeDocument/2006/relationships/hyperlink" Target="https://eur-lex.europa.eu/legal-content/HR/TXT/?qid=1585811887070&amp;uri=CELEX:52020DC0098" TargetMode="External"/><Relationship Id="rId14" Type="http://schemas.openxmlformats.org/officeDocument/2006/relationships/hyperlink" Target="https://ec.europa.eu/docsroom/documents/39984" TargetMode="External"/><Relationship Id="rId22" Type="http://schemas.openxmlformats.org/officeDocument/2006/relationships/hyperlink" Target="https://mgipu.gov.hr/o-ministarstvu-15/djelokrug/energetska-ucinkovitost-u-zgradarstvu/energetska-obnova-zgrada-8321/8321" TargetMode="External"/><Relationship Id="rId27" Type="http://schemas.openxmlformats.org/officeDocument/2006/relationships/hyperlink" Target="https://www.dzs.hr/" TargetMode="External"/><Relationship Id="rId30" Type="http://schemas.openxmlformats.org/officeDocument/2006/relationships/hyperlink" Target="https://ec.europa.eu/environment/waste/construction_demolition.htm" TargetMode="External"/><Relationship Id="rId35" Type="http://schemas.openxmlformats.org/officeDocument/2006/relationships/hyperlink" Target="https://ec.europa.eu/environment/circular-economy/pdf/leading_way_global_circular_economy.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AF\AF\Knjiga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582633491316"/>
          <c:y val="4.95810763162014E-2"/>
          <c:w val="0.81579911392133997"/>
          <c:h val="0.78947223036171699"/>
        </c:manualLayout>
      </c:layout>
      <c:barChart>
        <c:barDir val="bar"/>
        <c:grouping val="clustered"/>
        <c:varyColors val="0"/>
        <c:ser>
          <c:idx val="0"/>
          <c:order val="0"/>
          <c:tx>
            <c:strRef>
              <c:f>Završene zgrade (m2)</c:f>
              <c:strCache>
                <c:ptCount val="1"/>
                <c:pt idx="0">
                  <c:v>Završene zgrade (m2)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prstMaterial="plastic">
              <a:bevelT w="0" h="0"/>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dijagram!$C$7:$K$7</c:f>
              <c:numCache>
                <c:formatCode>@</c:formatCode>
                <c:ptCount val="9"/>
                <c:pt idx="0">
                  <c:v>2010</c:v>
                </c:pt>
                <c:pt idx="1">
                  <c:v>2011</c:v>
                </c:pt>
                <c:pt idx="2">
                  <c:v>2012</c:v>
                </c:pt>
                <c:pt idx="3">
                  <c:v>2013</c:v>
                </c:pt>
                <c:pt idx="4">
                  <c:v>2014</c:v>
                </c:pt>
                <c:pt idx="5">
                  <c:v>2015</c:v>
                </c:pt>
                <c:pt idx="6">
                  <c:v>2016</c:v>
                </c:pt>
                <c:pt idx="7">
                  <c:v>2017</c:v>
                </c:pt>
                <c:pt idx="8">
                  <c:v>2018</c:v>
                </c:pt>
              </c:numCache>
            </c:numRef>
          </c:cat>
          <c:val>
            <c:numRef>
              <c:f>dijagram!$C$8:$K$8</c:f>
              <c:numCache>
                <c:formatCode>#,##0</c:formatCode>
                <c:ptCount val="9"/>
                <c:pt idx="0">
                  <c:v>3352329</c:v>
                </c:pt>
                <c:pt idx="1">
                  <c:v>2660604</c:v>
                </c:pt>
                <c:pt idx="2">
                  <c:v>2690013</c:v>
                </c:pt>
                <c:pt idx="3">
                  <c:v>1943383</c:v>
                </c:pt>
                <c:pt idx="4">
                  <c:v>1658467</c:v>
                </c:pt>
                <c:pt idx="5">
                  <c:v>1898127</c:v>
                </c:pt>
                <c:pt idx="6">
                  <c:v>1832144</c:v>
                </c:pt>
                <c:pt idx="7">
                  <c:v>2029111</c:v>
                </c:pt>
                <c:pt idx="8">
                  <c:v>2026821</c:v>
                </c:pt>
              </c:numCache>
            </c:numRef>
          </c:val>
          <c:extLst>
            <c:ext xmlns:c16="http://schemas.microsoft.com/office/drawing/2014/chart" uri="{C3380CC4-5D6E-409C-BE32-E72D297353CC}">
              <c16:uniqueId val="{00000000-A57F-42E3-8EF4-1F78CD7429BC}"/>
            </c:ext>
          </c:extLst>
        </c:ser>
        <c:ser>
          <c:idx val="1"/>
          <c:order val="1"/>
          <c:tx>
            <c:strRef>
              <c:f>dijagram!$B$9</c:f>
              <c:strCache>
                <c:ptCount val="1"/>
                <c:pt idx="0">
                  <c:v>Srušena površina (m2)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prstMaterial="plastic">
              <a:bevelT w="0" h="0"/>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dijagram!$C$7:$K$7</c:f>
              <c:numCache>
                <c:formatCode>@</c:formatCode>
                <c:ptCount val="9"/>
                <c:pt idx="0">
                  <c:v>2010</c:v>
                </c:pt>
                <c:pt idx="1">
                  <c:v>2011</c:v>
                </c:pt>
                <c:pt idx="2">
                  <c:v>2012</c:v>
                </c:pt>
                <c:pt idx="3">
                  <c:v>2013</c:v>
                </c:pt>
                <c:pt idx="4">
                  <c:v>2014</c:v>
                </c:pt>
                <c:pt idx="5">
                  <c:v>2015</c:v>
                </c:pt>
                <c:pt idx="6">
                  <c:v>2016</c:v>
                </c:pt>
                <c:pt idx="7">
                  <c:v>2017</c:v>
                </c:pt>
                <c:pt idx="8">
                  <c:v>2018</c:v>
                </c:pt>
              </c:numCache>
            </c:numRef>
          </c:cat>
          <c:val>
            <c:numRef>
              <c:f>dijagram!$C$9:$K$9</c:f>
              <c:numCache>
                <c:formatCode>#,##0</c:formatCode>
                <c:ptCount val="9"/>
                <c:pt idx="0">
                  <c:v>36568</c:v>
                </c:pt>
                <c:pt idx="1">
                  <c:v>43346</c:v>
                </c:pt>
                <c:pt idx="2">
                  <c:v>37322</c:v>
                </c:pt>
                <c:pt idx="3">
                  <c:v>17860</c:v>
                </c:pt>
                <c:pt idx="4">
                  <c:v>37404</c:v>
                </c:pt>
                <c:pt idx="5">
                  <c:v>26757</c:v>
                </c:pt>
                <c:pt idx="6">
                  <c:v>21502</c:v>
                </c:pt>
                <c:pt idx="7">
                  <c:v>36293</c:v>
                </c:pt>
                <c:pt idx="8">
                  <c:v>42976</c:v>
                </c:pt>
              </c:numCache>
            </c:numRef>
          </c:val>
          <c:extLst>
            <c:ext xmlns:c16="http://schemas.microsoft.com/office/drawing/2014/chart" uri="{C3380CC4-5D6E-409C-BE32-E72D297353CC}">
              <c16:uniqueId val="{00000001-A57F-42E3-8EF4-1F78CD7429BC}"/>
            </c:ext>
          </c:extLst>
        </c:ser>
        <c:dLbls>
          <c:showLegendKey val="0"/>
          <c:showVal val="1"/>
          <c:showCatName val="0"/>
          <c:showSerName val="0"/>
          <c:showPercent val="0"/>
          <c:showBubbleSize val="0"/>
        </c:dLbls>
        <c:gapWidth val="81"/>
        <c:overlap val="-20"/>
        <c:axId val="442652688"/>
        <c:axId val="442655824"/>
      </c:barChart>
      <c:dateAx>
        <c:axId val="442652688"/>
        <c:scaling>
          <c:orientation val="minMax"/>
        </c:scaling>
        <c:delete val="0"/>
        <c:axPos val="l"/>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r>
                  <a:rPr lang="hr-HR"/>
                  <a:t>Godina</a:t>
                </a:r>
              </a:p>
            </c:rich>
          </c:tx>
          <c:layout>
            <c:manualLayout>
              <c:xMode val="edge"/>
              <c:yMode val="edge"/>
              <c:x val="1.18404599132283E-2"/>
              <c:y val="0.385211734609123"/>
            </c:manualLayout>
          </c:layout>
          <c:overlay val="0"/>
          <c:spPr>
            <a:noFill/>
            <a:ln>
              <a:noFill/>
            </a:ln>
            <a:effectLst/>
          </c:spPr>
          <c:txPr>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sr-Latn-RS"/>
            </a:p>
          </c:txPr>
        </c:title>
        <c:numFmt formatCode="@"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sr-Latn-RS"/>
          </a:p>
        </c:txPr>
        <c:crossAx val="442655824"/>
        <c:crosses val="autoZero"/>
        <c:auto val="0"/>
        <c:lblOffset val="100"/>
        <c:baseTimeUnit val="days"/>
      </c:dateAx>
      <c:valAx>
        <c:axId val="4426558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r>
                  <a:rPr lang="hr-HR" sz="3600">
                    <a:solidFill>
                      <a:schemeClr val="accent2">
                        <a:lumMod val="75000"/>
                      </a:schemeClr>
                    </a:solidFill>
                  </a:rPr>
                  <a:t>.</a:t>
                </a:r>
                <a:r>
                  <a:rPr lang="hr-HR"/>
                  <a:t>ukonjena površina (</a:t>
                </a:r>
                <a:r>
                  <a:rPr lang="hr-HR" sz="900" b="0" i="0" u="none" strike="noStrike" baseline="0">
                    <a:effectLst/>
                  </a:rPr>
                  <a:t>m</a:t>
                </a:r>
                <a:r>
                  <a:rPr lang="hr-HR" sz="900" b="0" i="0" u="none" strike="noStrike" baseline="30000">
                    <a:effectLst/>
                  </a:rPr>
                  <a:t>2</a:t>
                </a:r>
                <a:r>
                  <a:rPr lang="hr-HR"/>
                  <a:t>)</a:t>
                </a:r>
                <a:r>
                  <a:rPr lang="hr-HR" baseline="0"/>
                  <a:t> </a:t>
                </a:r>
                <a:r>
                  <a:rPr lang="hr-HR" sz="3600" b="0" i="0" u="none" strike="noStrike" baseline="0">
                    <a:solidFill>
                      <a:schemeClr val="accent2">
                        <a:lumMod val="60000"/>
                        <a:lumOff val="40000"/>
                      </a:schemeClr>
                    </a:solidFill>
                    <a:effectLst/>
                  </a:rPr>
                  <a:t>.</a:t>
                </a:r>
                <a:r>
                  <a:rPr lang="hr-HR"/>
                  <a:t>završene</a:t>
                </a:r>
                <a:r>
                  <a:rPr lang="hr-HR" baseline="0"/>
                  <a:t> zgrade </a:t>
                </a:r>
                <a:r>
                  <a:rPr lang="hr-HR" sz="900" b="0" i="0" u="none" strike="noStrike" baseline="0">
                    <a:effectLst/>
                  </a:rPr>
                  <a:t>(m</a:t>
                </a:r>
                <a:r>
                  <a:rPr lang="hr-HR" sz="900" b="0" i="0" u="none" strike="noStrike" baseline="30000">
                    <a:effectLst/>
                  </a:rPr>
                  <a:t>2</a:t>
                </a:r>
                <a:r>
                  <a:rPr lang="hr-HR" sz="900" b="0" i="0" u="none" strike="noStrike" baseline="0">
                    <a:effectLst/>
                  </a:rPr>
                  <a:t>) </a:t>
                </a:r>
                <a:r>
                  <a:rPr lang="hr-HR" baseline="0"/>
                  <a:t> </a:t>
                </a:r>
                <a:endParaRPr lang="hr-HR"/>
              </a:p>
            </c:rich>
          </c:tx>
          <c:layout>
            <c:manualLayout>
              <c:xMode val="edge"/>
              <c:yMode val="edge"/>
              <c:x val="0.28860565581053299"/>
              <c:y val="0.90539576895650098"/>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sr-Latn-R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sr-Latn-RS"/>
          </a:p>
        </c:txPr>
        <c:crossAx val="442652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5_5#2">
  <dgm:title val=""/>
  <dgm:desc val=""/>
  <dgm:catLst>
    <dgm:cat type="accent5" pri="11500"/>
  </dgm:catLst>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2">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79FC2230-F449-42CF-BB38-6B2996EF3A2B}" type="doc">
      <dgm:prSet loTypeId="urn:microsoft.com/office/officeart/2008/layout/LinedList" loCatId="list" qsTypeId="urn:microsoft.com/office/officeart/2005/8/quickstyle/simple4#2" qsCatId="simple" csTypeId="urn:microsoft.com/office/officeart/2005/8/colors/accent5_5#2" csCatId="accent5" phldr="1"/>
      <dgm:spPr/>
      <dgm:t>
        <a:bodyPr/>
        <a:lstStyle/>
        <a:p>
          <a:endParaRPr lang="hr-HR"/>
        </a:p>
      </dgm:t>
    </dgm:pt>
    <dgm:pt modelId="{6047C6CB-B016-49ED-8FF4-88334E830872}">
      <dgm:prSet custT="1"/>
      <dgm:spPr/>
      <dgm:t>
        <a:bodyPr/>
        <a:lstStyle/>
        <a:p>
          <a:pPr>
            <a:buFont typeface="Cambria" panose="02040503050406030204" pitchFamily="18" charset="0"/>
            <a:buChar char="-"/>
          </a:pPr>
          <a:r>
            <a:rPr lang="hr-HR" sz="1200" b="0">
              <a:latin typeface="Times New Roman" panose="02020603050405020304" charset="0"/>
              <a:cs typeface="Times New Roman" panose="02020603050405020304" charset="0"/>
            </a:rPr>
            <a:t>kružna obnova i reprogramiranje korištenih prostora i zgrada</a:t>
          </a:r>
          <a:endParaRPr lang="hr-HR" sz="1200" b="1">
            <a:latin typeface="Times New Roman" panose="02020603050405020304" charset="0"/>
            <a:cs typeface="Times New Roman" panose="02020603050405020304" charset="0"/>
          </a:endParaRPr>
        </a:p>
      </dgm:t>
    </dgm:pt>
    <dgm:pt modelId="{199C7C2E-B7DD-4AB1-BD12-AD42F0AF4B6D}" type="parTrans" cxnId="{C403FDE9-8506-4EB6-9AA0-8BF8CE978E21}">
      <dgm:prSet/>
      <dgm:spPr/>
      <dgm:t>
        <a:bodyPr/>
        <a:lstStyle/>
        <a:p>
          <a:endParaRPr lang="hr-HR" sz="1100">
            <a:latin typeface="Calibri" panose="020F0502020204030204" pitchFamily="2" charset="0"/>
            <a:cs typeface="Calibri" panose="020F0502020204030204" pitchFamily="2" charset="0"/>
          </a:endParaRPr>
        </a:p>
      </dgm:t>
    </dgm:pt>
    <dgm:pt modelId="{49AEFEA1-767D-4A38-BF66-BC11B6817962}" type="sibTrans" cxnId="{C403FDE9-8506-4EB6-9AA0-8BF8CE978E21}">
      <dgm:prSet/>
      <dgm:spPr/>
      <dgm:t>
        <a:bodyPr/>
        <a:lstStyle/>
        <a:p>
          <a:endParaRPr lang="hr-HR" sz="1100">
            <a:latin typeface="Calibri" panose="020F0502020204030204" pitchFamily="2" charset="0"/>
            <a:cs typeface="Calibri" panose="020F0502020204030204" pitchFamily="2" charset="0"/>
          </a:endParaRPr>
        </a:p>
      </dgm:t>
    </dgm:pt>
    <dgm:pt modelId="{20BAB167-13FC-4F79-A47D-B7A3A89ED039}">
      <dgm:prSet custT="1"/>
      <dgm:spPr/>
      <dgm:t>
        <a:bodyPr/>
        <a:lstStyle/>
        <a:p>
          <a:pPr>
            <a:buFont typeface="Cambria" panose="02040503050406030204" pitchFamily="18" charset="0"/>
            <a:buChar char="-"/>
          </a:pPr>
          <a:r>
            <a:rPr lang="hr-HR" sz="1200" b="0">
              <a:latin typeface="Times New Roman" panose="02020603050405020304" charset="0"/>
              <a:cs typeface="Times New Roman" panose="02020603050405020304" charset="0"/>
            </a:rPr>
            <a:t>planiranje i gradnja novih zgrada u skladu s kružnim gospodarstvom</a:t>
          </a:r>
          <a:endParaRPr lang="hr-HR" sz="1200">
            <a:latin typeface="Times New Roman" panose="02020603050405020304" charset="0"/>
            <a:cs typeface="Times New Roman" panose="02020603050405020304" charset="0"/>
          </a:endParaRPr>
        </a:p>
      </dgm:t>
    </dgm:pt>
    <dgm:pt modelId="{614D1FCE-738C-464A-B802-6A6D5D0A36B8}" type="sibTrans" cxnId="{53A4A7F0-4C1D-4A31-82BA-1A148C94DBC9}">
      <dgm:prSet/>
      <dgm:spPr/>
      <dgm:t>
        <a:bodyPr/>
        <a:lstStyle/>
        <a:p>
          <a:endParaRPr lang="hr-HR" sz="1100">
            <a:latin typeface="Calibri" panose="020F0502020204030204" pitchFamily="2" charset="0"/>
            <a:cs typeface="Calibri" panose="020F0502020204030204" pitchFamily="2" charset="0"/>
          </a:endParaRPr>
        </a:p>
      </dgm:t>
    </dgm:pt>
    <dgm:pt modelId="{5CBFD3B4-FC6D-4609-9333-1F6CC590365F}" type="parTrans" cxnId="{53A4A7F0-4C1D-4A31-82BA-1A148C94DBC9}">
      <dgm:prSet/>
      <dgm:spPr/>
      <dgm:t>
        <a:bodyPr/>
        <a:lstStyle/>
        <a:p>
          <a:endParaRPr lang="hr-HR" sz="1100">
            <a:latin typeface="Calibri" panose="020F0502020204030204" pitchFamily="2" charset="0"/>
            <a:cs typeface="Calibri" panose="020F0502020204030204" pitchFamily="2" charset="0"/>
          </a:endParaRPr>
        </a:p>
      </dgm:t>
    </dgm:pt>
    <dgm:pt modelId="{B5854C4F-0CC5-4561-8281-9BFBAFECCA33}">
      <dgm:prSet custT="1"/>
      <dgm:spPr/>
      <dgm:t>
        <a:bodyPr/>
        <a:lstStyle/>
        <a:p>
          <a:pPr>
            <a:buFont typeface="Cambria" panose="02040503050406030204" pitchFamily="18" charset="0"/>
            <a:buChar char="-"/>
          </a:pPr>
          <a:r>
            <a:rPr lang="hr-HR" sz="1100" b="0">
              <a:latin typeface="Calibri" panose="020F0502020204030204" pitchFamily="2" charset="0"/>
              <a:cs typeface="Calibri" panose="020F0502020204030204" pitchFamily="2" charset="0"/>
            </a:rPr>
            <a:t> </a:t>
          </a:r>
          <a:r>
            <a:rPr lang="hr-HR" sz="1200" b="0">
              <a:latin typeface="Times New Roman" panose="02020603050405020304" charset="0"/>
              <a:cs typeface="Times New Roman" panose="02020603050405020304" charset="0"/>
            </a:rPr>
            <a:t>revitalizacija i obnova nekorištenih prostora i zgrada</a:t>
          </a:r>
          <a:endParaRPr lang="hr-HR" sz="1200">
            <a:latin typeface="Times New Roman" panose="02020603050405020304" charset="0"/>
            <a:cs typeface="Times New Roman" panose="02020603050405020304" charset="0"/>
          </a:endParaRPr>
        </a:p>
      </dgm:t>
    </dgm:pt>
    <dgm:pt modelId="{C4D713B8-A08A-4AD6-BC80-B77F9C00F6E9}" type="sibTrans" cxnId="{085D4CE8-F3E3-4A0A-966C-F80CD39C81FF}">
      <dgm:prSet/>
      <dgm:spPr/>
      <dgm:t>
        <a:bodyPr/>
        <a:lstStyle/>
        <a:p>
          <a:endParaRPr lang="hr-HR"/>
        </a:p>
      </dgm:t>
    </dgm:pt>
    <dgm:pt modelId="{FF732070-764E-4B5D-B9EA-FF3901706046}" type="parTrans" cxnId="{085D4CE8-F3E3-4A0A-966C-F80CD39C81FF}">
      <dgm:prSet/>
      <dgm:spPr/>
      <dgm:t>
        <a:bodyPr/>
        <a:lstStyle/>
        <a:p>
          <a:endParaRPr lang="hr-HR"/>
        </a:p>
      </dgm:t>
    </dgm:pt>
    <dgm:pt modelId="{14109B51-25FC-4DE5-A388-02AA26B7F9A3}" type="pres">
      <dgm:prSet presAssocID="{79FC2230-F449-42CF-BB38-6B2996EF3A2B}" presName="vert0" presStyleCnt="0">
        <dgm:presLayoutVars>
          <dgm:dir/>
          <dgm:animOne val="branch"/>
          <dgm:animLvl val="lvl"/>
        </dgm:presLayoutVars>
      </dgm:prSet>
      <dgm:spPr/>
    </dgm:pt>
    <dgm:pt modelId="{87BCAB9F-8C8A-4DD3-BFB9-DF50E81834C0}" type="pres">
      <dgm:prSet presAssocID="{20BAB167-13FC-4F79-A47D-B7A3A89ED039}" presName="thickLine" presStyleLbl="alignNode1" presStyleIdx="0" presStyleCnt="3"/>
      <dgm:spPr/>
    </dgm:pt>
    <dgm:pt modelId="{AB3CD205-9FE3-41BB-89A9-771BF5B005F8}" type="pres">
      <dgm:prSet presAssocID="{20BAB167-13FC-4F79-A47D-B7A3A89ED039}" presName="horz1" presStyleCnt="0"/>
      <dgm:spPr/>
    </dgm:pt>
    <dgm:pt modelId="{059A85D5-3093-4A4D-912D-E5E0128E46C5}" type="pres">
      <dgm:prSet presAssocID="{20BAB167-13FC-4F79-A47D-B7A3A89ED039}" presName="tx1" presStyleLbl="revTx" presStyleIdx="0" presStyleCnt="3"/>
      <dgm:spPr/>
    </dgm:pt>
    <dgm:pt modelId="{A2C8723D-2946-402D-831B-5A8B4866507A}" type="pres">
      <dgm:prSet presAssocID="{20BAB167-13FC-4F79-A47D-B7A3A89ED039}" presName="vert1" presStyleCnt="0"/>
      <dgm:spPr/>
    </dgm:pt>
    <dgm:pt modelId="{8F1FD2F6-3A2D-4EF8-93A2-D071668901D8}" type="pres">
      <dgm:prSet presAssocID="{B5854C4F-0CC5-4561-8281-9BFBAFECCA33}" presName="thickLine" presStyleLbl="alignNode1" presStyleIdx="1" presStyleCnt="3"/>
      <dgm:spPr/>
    </dgm:pt>
    <dgm:pt modelId="{C58142A3-B382-4056-9145-51007C1BDF90}" type="pres">
      <dgm:prSet presAssocID="{B5854C4F-0CC5-4561-8281-9BFBAFECCA33}" presName="horz1" presStyleCnt="0"/>
      <dgm:spPr/>
    </dgm:pt>
    <dgm:pt modelId="{62ED3A6A-3F56-40E0-BFF9-95B27CC42053}" type="pres">
      <dgm:prSet presAssocID="{B5854C4F-0CC5-4561-8281-9BFBAFECCA33}" presName="tx1" presStyleLbl="revTx" presStyleIdx="1" presStyleCnt="3"/>
      <dgm:spPr/>
    </dgm:pt>
    <dgm:pt modelId="{49A80C44-16BE-489B-9CB0-BCD7F96708FA}" type="pres">
      <dgm:prSet presAssocID="{B5854C4F-0CC5-4561-8281-9BFBAFECCA33}" presName="vert1" presStyleCnt="0"/>
      <dgm:spPr/>
    </dgm:pt>
    <dgm:pt modelId="{EB6A19B3-8EE9-4E1C-B305-C0BAA30289BD}" type="pres">
      <dgm:prSet presAssocID="{6047C6CB-B016-49ED-8FF4-88334E830872}" presName="thickLine" presStyleLbl="alignNode1" presStyleIdx="2" presStyleCnt="3"/>
      <dgm:spPr/>
    </dgm:pt>
    <dgm:pt modelId="{6112FE97-0B3D-4817-8910-2B0C5B16A1AE}" type="pres">
      <dgm:prSet presAssocID="{6047C6CB-B016-49ED-8FF4-88334E830872}" presName="horz1" presStyleCnt="0"/>
      <dgm:spPr/>
    </dgm:pt>
    <dgm:pt modelId="{93F80FF3-1FE3-4931-A114-CEA80B9A943E}" type="pres">
      <dgm:prSet presAssocID="{6047C6CB-B016-49ED-8FF4-88334E830872}" presName="tx1" presStyleLbl="revTx" presStyleIdx="2" presStyleCnt="3"/>
      <dgm:spPr/>
    </dgm:pt>
    <dgm:pt modelId="{D5019B9A-369F-404E-BB3D-02F8940740F5}" type="pres">
      <dgm:prSet presAssocID="{6047C6CB-B016-49ED-8FF4-88334E830872}" presName="vert1" presStyleCnt="0"/>
      <dgm:spPr/>
    </dgm:pt>
  </dgm:ptLst>
  <dgm:cxnLst>
    <dgm:cxn modelId="{1667F710-EC41-454A-993C-1010DB49DA71}" type="presOf" srcId="{79FC2230-F449-42CF-BB38-6B2996EF3A2B}" destId="{14109B51-25FC-4DE5-A388-02AA26B7F9A3}" srcOrd="0" destOrd="0" presId="urn:microsoft.com/office/officeart/2008/layout/LinedList"/>
    <dgm:cxn modelId="{4E04CAB4-CDD5-4E7D-B7A9-110DFA03D415}" type="presOf" srcId="{6047C6CB-B016-49ED-8FF4-88334E830872}" destId="{93F80FF3-1FE3-4931-A114-CEA80B9A943E}" srcOrd="0" destOrd="0" presId="urn:microsoft.com/office/officeart/2008/layout/LinedList"/>
    <dgm:cxn modelId="{683786C2-3B3B-43C9-88E6-1131A70FF1C2}" type="presOf" srcId="{20BAB167-13FC-4F79-A47D-B7A3A89ED039}" destId="{059A85D5-3093-4A4D-912D-E5E0128E46C5}" srcOrd="0" destOrd="0" presId="urn:microsoft.com/office/officeart/2008/layout/LinedList"/>
    <dgm:cxn modelId="{D5EC01CB-B96E-4AFF-92B9-1982F2D18B64}" type="presOf" srcId="{B5854C4F-0CC5-4561-8281-9BFBAFECCA33}" destId="{62ED3A6A-3F56-40E0-BFF9-95B27CC42053}" srcOrd="0" destOrd="0" presId="urn:microsoft.com/office/officeart/2008/layout/LinedList"/>
    <dgm:cxn modelId="{085D4CE8-F3E3-4A0A-966C-F80CD39C81FF}" srcId="{79FC2230-F449-42CF-BB38-6B2996EF3A2B}" destId="{B5854C4F-0CC5-4561-8281-9BFBAFECCA33}" srcOrd="1" destOrd="0" parTransId="{FF732070-764E-4B5D-B9EA-FF3901706046}" sibTransId="{C4D713B8-A08A-4AD6-BC80-B77F9C00F6E9}"/>
    <dgm:cxn modelId="{C403FDE9-8506-4EB6-9AA0-8BF8CE978E21}" srcId="{79FC2230-F449-42CF-BB38-6B2996EF3A2B}" destId="{6047C6CB-B016-49ED-8FF4-88334E830872}" srcOrd="2" destOrd="0" parTransId="{199C7C2E-B7DD-4AB1-BD12-AD42F0AF4B6D}" sibTransId="{49AEFEA1-767D-4A38-BF66-BC11B6817962}"/>
    <dgm:cxn modelId="{53A4A7F0-4C1D-4A31-82BA-1A148C94DBC9}" srcId="{79FC2230-F449-42CF-BB38-6B2996EF3A2B}" destId="{20BAB167-13FC-4F79-A47D-B7A3A89ED039}" srcOrd="0" destOrd="0" parTransId="{5CBFD3B4-FC6D-4609-9333-1F6CC590365F}" sibTransId="{614D1FCE-738C-464A-B802-6A6D5D0A36B8}"/>
    <dgm:cxn modelId="{1DFA7966-CA7F-4F1E-A3CB-0867859FEB01}" type="presParOf" srcId="{14109B51-25FC-4DE5-A388-02AA26B7F9A3}" destId="{87BCAB9F-8C8A-4DD3-BFB9-DF50E81834C0}" srcOrd="0" destOrd="0" presId="urn:microsoft.com/office/officeart/2008/layout/LinedList"/>
    <dgm:cxn modelId="{6DA61897-F68D-430F-A77A-D0A0268AC55D}" type="presParOf" srcId="{14109B51-25FC-4DE5-A388-02AA26B7F9A3}" destId="{AB3CD205-9FE3-41BB-89A9-771BF5B005F8}" srcOrd="1" destOrd="0" presId="urn:microsoft.com/office/officeart/2008/layout/LinedList"/>
    <dgm:cxn modelId="{C53517B5-343A-4CB4-B4D8-49F27E897860}" type="presParOf" srcId="{AB3CD205-9FE3-41BB-89A9-771BF5B005F8}" destId="{059A85D5-3093-4A4D-912D-E5E0128E46C5}" srcOrd="0" destOrd="0" presId="urn:microsoft.com/office/officeart/2008/layout/LinedList"/>
    <dgm:cxn modelId="{4BF785BF-0E9D-4835-A171-679F4277A2A1}" type="presParOf" srcId="{AB3CD205-9FE3-41BB-89A9-771BF5B005F8}" destId="{A2C8723D-2946-402D-831B-5A8B4866507A}" srcOrd="1" destOrd="0" presId="urn:microsoft.com/office/officeart/2008/layout/LinedList"/>
    <dgm:cxn modelId="{6D6DC6C1-3932-45E9-AD2D-07F188CF4097}" type="presParOf" srcId="{14109B51-25FC-4DE5-A388-02AA26B7F9A3}" destId="{8F1FD2F6-3A2D-4EF8-93A2-D071668901D8}" srcOrd="2" destOrd="0" presId="urn:microsoft.com/office/officeart/2008/layout/LinedList"/>
    <dgm:cxn modelId="{6CE78B36-D4EC-4694-BF94-22D8369C6724}" type="presParOf" srcId="{14109B51-25FC-4DE5-A388-02AA26B7F9A3}" destId="{C58142A3-B382-4056-9145-51007C1BDF90}" srcOrd="3" destOrd="0" presId="urn:microsoft.com/office/officeart/2008/layout/LinedList"/>
    <dgm:cxn modelId="{4BCECB26-5F05-48F8-A419-4EC6F49D054D}" type="presParOf" srcId="{C58142A3-B382-4056-9145-51007C1BDF90}" destId="{62ED3A6A-3F56-40E0-BFF9-95B27CC42053}" srcOrd="0" destOrd="0" presId="urn:microsoft.com/office/officeart/2008/layout/LinedList"/>
    <dgm:cxn modelId="{41571AED-523F-421E-8214-2C70D08A7659}" type="presParOf" srcId="{C58142A3-B382-4056-9145-51007C1BDF90}" destId="{49A80C44-16BE-489B-9CB0-BCD7F96708FA}" srcOrd="1" destOrd="0" presId="urn:microsoft.com/office/officeart/2008/layout/LinedList"/>
    <dgm:cxn modelId="{5BB9880F-30B9-4C83-B396-3832D3443C63}" type="presParOf" srcId="{14109B51-25FC-4DE5-A388-02AA26B7F9A3}" destId="{EB6A19B3-8EE9-4E1C-B305-C0BAA30289BD}" srcOrd="4" destOrd="0" presId="urn:microsoft.com/office/officeart/2008/layout/LinedList"/>
    <dgm:cxn modelId="{79DDE32B-C0E4-4781-AE6E-0A3CAE35CE92}" type="presParOf" srcId="{14109B51-25FC-4DE5-A388-02AA26B7F9A3}" destId="{6112FE97-0B3D-4817-8910-2B0C5B16A1AE}" srcOrd="5" destOrd="0" presId="urn:microsoft.com/office/officeart/2008/layout/LinedList"/>
    <dgm:cxn modelId="{268A0B64-BF6B-4745-8F9B-7E28226979E8}" type="presParOf" srcId="{6112FE97-0B3D-4817-8910-2B0C5B16A1AE}" destId="{93F80FF3-1FE3-4931-A114-CEA80B9A943E}" srcOrd="0" destOrd="0" presId="urn:microsoft.com/office/officeart/2008/layout/LinedList"/>
    <dgm:cxn modelId="{57360AD5-7554-4367-8D50-84A430D40AC1}" type="presParOf" srcId="{6112FE97-0B3D-4817-8910-2B0C5B16A1AE}" destId="{D5019B9A-369F-404E-BB3D-02F8940740F5}" srcOrd="1" destOrd="0" presId="urn:microsoft.com/office/officeart/2008/layout/LinedLis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DFE925-82AF-4475-ACB4-A671200CE193}" type="doc">
      <dgm:prSet loTypeId="urn:microsoft.com/office/officeart/2005/8/layout/list1#2" loCatId="list" qsTypeId="urn:microsoft.com/office/officeart/2005/8/quickstyle/simple1#2" qsCatId="simple" csTypeId="urn:microsoft.com/office/officeart/2005/8/colors/colorful4#2" csCatId="colorful" phldr="1"/>
      <dgm:spPr/>
      <dgm:t>
        <a:bodyPr/>
        <a:lstStyle/>
        <a:p>
          <a:endParaRPr lang="hr-HR"/>
        </a:p>
      </dgm:t>
    </dgm:pt>
    <dgm:pt modelId="{FC010AF8-DE5C-42C8-B8E0-5CFBB22ABD73}">
      <dgm:prSet phldrT="[Text]" custT="1"/>
      <dgm:spPr/>
      <dgm:t>
        <a:bodyPr/>
        <a:lstStyle/>
        <a:p>
          <a:r>
            <a:rPr lang="hr-HR" sz="1200" b="1">
              <a:latin typeface="Times New Roman" panose="02020603050405020304" charset="0"/>
              <a:cs typeface="Times New Roman" panose="02020603050405020304" charset="0"/>
            </a:rPr>
            <a:t>Okolišne</a:t>
          </a:r>
          <a:endParaRPr lang="hr-HR" sz="1200">
            <a:latin typeface="Times New Roman" panose="02020603050405020304" charset="0"/>
            <a:cs typeface="Times New Roman" panose="02020603050405020304" charset="0"/>
          </a:endParaRPr>
        </a:p>
      </dgm:t>
    </dgm:pt>
    <dgm:pt modelId="{6D64079E-FF85-4B41-BFAD-07495F0FF443}" type="parTrans" cxnId="{BF8FDC39-AD86-47B9-937E-614ABAB0D3E5}">
      <dgm:prSet/>
      <dgm:spPr/>
      <dgm:t>
        <a:bodyPr/>
        <a:lstStyle/>
        <a:p>
          <a:endParaRPr lang="hr-HR" sz="1200">
            <a:latin typeface="Times New Roman" panose="02020603050405020304" charset="0"/>
            <a:cs typeface="Times New Roman" panose="02020603050405020304" charset="0"/>
          </a:endParaRPr>
        </a:p>
      </dgm:t>
    </dgm:pt>
    <dgm:pt modelId="{FF16E628-1D55-44E0-A971-243E7505E524}" type="sibTrans" cxnId="{BF8FDC39-AD86-47B9-937E-614ABAB0D3E5}">
      <dgm:prSet/>
      <dgm:spPr/>
      <dgm:t>
        <a:bodyPr/>
        <a:lstStyle/>
        <a:p>
          <a:endParaRPr lang="hr-HR" sz="1200">
            <a:latin typeface="Times New Roman" panose="02020603050405020304" charset="0"/>
            <a:cs typeface="Times New Roman" panose="02020603050405020304" charset="0"/>
          </a:endParaRPr>
        </a:p>
      </dgm:t>
    </dgm:pt>
    <dgm:pt modelId="{DA544F82-69AC-43A3-9F22-BE474F10C3EE}">
      <dgm:prSet phldrT="[Text]" custT="1"/>
      <dgm:spPr/>
      <dgm:t>
        <a:bodyPr/>
        <a:lstStyle/>
        <a:p>
          <a:pPr marL="114300" algn="just"/>
          <a:r>
            <a:rPr lang="hr-HR" sz="1200">
              <a:latin typeface="Times New Roman" panose="02020603050405020304" charset="0"/>
              <a:cs typeface="Times New Roman" panose="02020603050405020304" charset="0"/>
            </a:rPr>
            <a:t>povećanje broja ponovno korištenih prostora i zgrada</a:t>
          </a:r>
        </a:p>
      </dgm:t>
    </dgm:pt>
    <dgm:pt modelId="{13E432F3-9ABC-495C-8C56-7FD00CD3E159}" type="parTrans" cxnId="{A3044033-20B7-4C59-BB90-8832CD959749}">
      <dgm:prSet/>
      <dgm:spPr/>
      <dgm:t>
        <a:bodyPr/>
        <a:lstStyle/>
        <a:p>
          <a:endParaRPr lang="hr-HR" sz="1200">
            <a:latin typeface="Times New Roman" panose="02020603050405020304" charset="0"/>
            <a:cs typeface="Times New Roman" panose="02020603050405020304" charset="0"/>
          </a:endParaRPr>
        </a:p>
      </dgm:t>
    </dgm:pt>
    <dgm:pt modelId="{BD7D34F1-D287-46AB-9156-8BB8CDF7B6CF}" type="sibTrans" cxnId="{A3044033-20B7-4C59-BB90-8832CD959749}">
      <dgm:prSet/>
      <dgm:spPr/>
      <dgm:t>
        <a:bodyPr/>
        <a:lstStyle/>
        <a:p>
          <a:endParaRPr lang="hr-HR" sz="1200">
            <a:latin typeface="Times New Roman" panose="02020603050405020304" charset="0"/>
            <a:cs typeface="Times New Roman" panose="02020603050405020304" charset="0"/>
          </a:endParaRPr>
        </a:p>
      </dgm:t>
    </dgm:pt>
    <dgm:pt modelId="{3CFF1ECB-AD09-4F71-9515-3695A5FDDC79}">
      <dgm:prSet phldrT="[Text]" custT="1"/>
      <dgm:spPr/>
      <dgm:t>
        <a:bodyPr/>
        <a:lstStyle/>
        <a:p>
          <a:r>
            <a:rPr lang="hr-HR" sz="1200" b="1">
              <a:latin typeface="Times New Roman" panose="02020603050405020304" charset="0"/>
              <a:cs typeface="Times New Roman" panose="02020603050405020304" charset="0"/>
            </a:rPr>
            <a:t>Ekonomske</a:t>
          </a:r>
          <a:endParaRPr lang="hr-HR" sz="1200">
            <a:latin typeface="Times New Roman" panose="02020603050405020304" charset="0"/>
            <a:cs typeface="Times New Roman" panose="02020603050405020304" charset="0"/>
          </a:endParaRPr>
        </a:p>
      </dgm:t>
    </dgm:pt>
    <dgm:pt modelId="{A721F087-2EDB-4EB9-889A-6B15CCEC2E54}" type="parTrans" cxnId="{8B7E88B1-962F-4E7A-A883-790E083FBAD6}">
      <dgm:prSet/>
      <dgm:spPr/>
      <dgm:t>
        <a:bodyPr/>
        <a:lstStyle/>
        <a:p>
          <a:endParaRPr lang="hr-HR" sz="1200">
            <a:latin typeface="Times New Roman" panose="02020603050405020304" charset="0"/>
            <a:cs typeface="Times New Roman" panose="02020603050405020304" charset="0"/>
          </a:endParaRPr>
        </a:p>
      </dgm:t>
    </dgm:pt>
    <dgm:pt modelId="{9A7D6B9C-76B1-4955-8CE6-2530CCF932B4}" type="sibTrans" cxnId="{8B7E88B1-962F-4E7A-A883-790E083FBAD6}">
      <dgm:prSet/>
      <dgm:spPr/>
      <dgm:t>
        <a:bodyPr/>
        <a:lstStyle/>
        <a:p>
          <a:endParaRPr lang="hr-HR" sz="1200">
            <a:latin typeface="Times New Roman" panose="02020603050405020304" charset="0"/>
            <a:cs typeface="Times New Roman" panose="02020603050405020304" charset="0"/>
          </a:endParaRPr>
        </a:p>
      </dgm:t>
    </dgm:pt>
    <dgm:pt modelId="{2ED3E739-A565-4502-871B-3782F1F3D092}">
      <dgm:prSet phldrT="[Text]" custT="1"/>
      <dgm:spPr/>
      <dgm:t>
        <a:bodyPr/>
        <a:lstStyle/>
        <a:p>
          <a:r>
            <a:rPr lang="hr-HR" sz="1200">
              <a:latin typeface="Times New Roman" panose="02020603050405020304" charset="0"/>
              <a:cs typeface="Times New Roman" panose="02020603050405020304" charset="0"/>
            </a:rPr>
            <a:t>podizanje društvene svijesti o održivom okolišu</a:t>
          </a:r>
        </a:p>
      </dgm:t>
    </dgm:pt>
    <dgm:pt modelId="{977E6C78-713D-46DA-8A44-84B1EA1CD1A5}" type="parTrans" cxnId="{03F42E18-D773-4912-BB36-6FCC2173692D}">
      <dgm:prSet/>
      <dgm:spPr/>
      <dgm:t>
        <a:bodyPr/>
        <a:lstStyle/>
        <a:p>
          <a:endParaRPr lang="hr-HR" sz="1200">
            <a:latin typeface="Times New Roman" panose="02020603050405020304" charset="0"/>
            <a:cs typeface="Times New Roman" panose="02020603050405020304" charset="0"/>
          </a:endParaRPr>
        </a:p>
      </dgm:t>
    </dgm:pt>
    <dgm:pt modelId="{037C4E65-E8BA-46CC-971C-5D05F91455E1}" type="sibTrans" cxnId="{03F42E18-D773-4912-BB36-6FCC2173692D}">
      <dgm:prSet/>
      <dgm:spPr/>
      <dgm:t>
        <a:bodyPr/>
        <a:lstStyle/>
        <a:p>
          <a:endParaRPr lang="hr-HR" sz="1200">
            <a:latin typeface="Times New Roman" panose="02020603050405020304" charset="0"/>
            <a:cs typeface="Times New Roman" panose="02020603050405020304" charset="0"/>
          </a:endParaRPr>
        </a:p>
      </dgm:t>
    </dgm:pt>
    <dgm:pt modelId="{C8E47129-97F5-43A3-907D-759E2D50539E}">
      <dgm:prSet phldrT="[Text]" custT="1"/>
      <dgm:spPr/>
      <dgm:t>
        <a:bodyPr/>
        <a:lstStyle/>
        <a:p>
          <a:r>
            <a:rPr lang="hr-HR" sz="1200" b="1">
              <a:latin typeface="Times New Roman" panose="02020603050405020304" charset="0"/>
              <a:cs typeface="Times New Roman" panose="02020603050405020304" charset="0"/>
            </a:rPr>
            <a:t>Društvene</a:t>
          </a:r>
          <a:endParaRPr lang="hr-HR" sz="1200">
            <a:latin typeface="Times New Roman" panose="02020603050405020304" charset="0"/>
            <a:cs typeface="Times New Roman" panose="02020603050405020304" charset="0"/>
          </a:endParaRPr>
        </a:p>
      </dgm:t>
    </dgm:pt>
    <dgm:pt modelId="{598801A2-2CDF-46E2-B99F-2C6DE4CD42A6}" type="parTrans" cxnId="{C81A83B7-32CD-4844-A27D-18853EB2245F}">
      <dgm:prSet/>
      <dgm:spPr/>
      <dgm:t>
        <a:bodyPr/>
        <a:lstStyle/>
        <a:p>
          <a:endParaRPr lang="hr-HR" sz="1200">
            <a:latin typeface="Times New Roman" panose="02020603050405020304" charset="0"/>
            <a:cs typeface="Times New Roman" panose="02020603050405020304" charset="0"/>
          </a:endParaRPr>
        </a:p>
      </dgm:t>
    </dgm:pt>
    <dgm:pt modelId="{0E242370-FFEF-409A-91D0-EF80C26E9F89}" type="sibTrans" cxnId="{C81A83B7-32CD-4844-A27D-18853EB2245F}">
      <dgm:prSet/>
      <dgm:spPr/>
      <dgm:t>
        <a:bodyPr/>
        <a:lstStyle/>
        <a:p>
          <a:endParaRPr lang="hr-HR" sz="1200">
            <a:latin typeface="Times New Roman" panose="02020603050405020304" charset="0"/>
            <a:cs typeface="Times New Roman" panose="02020603050405020304" charset="0"/>
          </a:endParaRPr>
        </a:p>
      </dgm:t>
    </dgm:pt>
    <dgm:pt modelId="{C1E80080-160D-413B-BCBD-997EF92799D8}">
      <dgm:prSet phldrT="[Text]" custT="1"/>
      <dgm:spPr/>
      <dgm:t>
        <a:bodyPr/>
        <a:lstStyle/>
        <a:p>
          <a:pPr algn="just"/>
          <a:r>
            <a:rPr lang="hr-HR" sz="1200">
              <a:latin typeface="Times New Roman" panose="02020603050405020304" charset="0"/>
              <a:cs typeface="Times New Roman" panose="02020603050405020304" charset="0"/>
            </a:rPr>
            <a:t>gospodarska stabilnost temeljem neovisnosti o primarnim sirovinama </a:t>
          </a:r>
        </a:p>
      </dgm:t>
    </dgm:pt>
    <dgm:pt modelId="{31EFBDF5-ADA7-4D5C-B6D8-5FC51DD6DB30}" type="parTrans" cxnId="{31C593E5-0D3E-4420-9483-129BD272F5F8}">
      <dgm:prSet/>
      <dgm:spPr/>
      <dgm:t>
        <a:bodyPr/>
        <a:lstStyle/>
        <a:p>
          <a:endParaRPr lang="hr-HR" sz="1200">
            <a:latin typeface="Times New Roman" panose="02020603050405020304" charset="0"/>
            <a:cs typeface="Times New Roman" panose="02020603050405020304" charset="0"/>
          </a:endParaRPr>
        </a:p>
      </dgm:t>
    </dgm:pt>
    <dgm:pt modelId="{12351196-D930-43D5-8233-F2267C9BFE33}" type="sibTrans" cxnId="{31C593E5-0D3E-4420-9483-129BD272F5F8}">
      <dgm:prSet/>
      <dgm:spPr/>
      <dgm:t>
        <a:bodyPr/>
        <a:lstStyle/>
        <a:p>
          <a:endParaRPr lang="hr-HR" sz="1200">
            <a:latin typeface="Times New Roman" panose="02020603050405020304" charset="0"/>
            <a:cs typeface="Times New Roman" panose="02020603050405020304" charset="0"/>
          </a:endParaRPr>
        </a:p>
      </dgm:t>
    </dgm:pt>
    <dgm:pt modelId="{60F5A411-26F5-4EF0-9040-1D6D4053F605}">
      <dgm:prSet custT="1"/>
      <dgm:spPr/>
      <dgm:t>
        <a:bodyPr/>
        <a:lstStyle/>
        <a:p>
          <a:pPr marL="114300" algn="just"/>
          <a:r>
            <a:rPr lang="hr-HR" sz="1200">
              <a:latin typeface="Times New Roman" panose="02020603050405020304" charset="0"/>
              <a:cs typeface="Times New Roman" panose="02020603050405020304" charset="0"/>
            </a:rPr>
            <a:t>povećanje trajnosti, stabilnosti i sigurnosti zgrada i bolja energetska učinkovitosti istih</a:t>
          </a:r>
        </a:p>
      </dgm:t>
    </dgm:pt>
    <dgm:pt modelId="{8F5F5ED0-D2C5-4671-84CC-3D852B2EAACA}" type="parTrans" cxnId="{A0A1B675-8875-4B89-A6DB-B92FDFFA25AE}">
      <dgm:prSet/>
      <dgm:spPr/>
      <dgm:t>
        <a:bodyPr/>
        <a:lstStyle/>
        <a:p>
          <a:endParaRPr lang="hr-HR" sz="1200">
            <a:latin typeface="Times New Roman" panose="02020603050405020304" charset="0"/>
            <a:cs typeface="Times New Roman" panose="02020603050405020304" charset="0"/>
          </a:endParaRPr>
        </a:p>
      </dgm:t>
    </dgm:pt>
    <dgm:pt modelId="{565768FF-340A-4258-8C74-A15B5E465082}" type="sibTrans" cxnId="{A0A1B675-8875-4B89-A6DB-B92FDFFA25AE}">
      <dgm:prSet/>
      <dgm:spPr/>
      <dgm:t>
        <a:bodyPr/>
        <a:lstStyle/>
        <a:p>
          <a:endParaRPr lang="hr-HR" sz="1200">
            <a:latin typeface="Times New Roman" panose="02020603050405020304" charset="0"/>
            <a:cs typeface="Times New Roman" panose="02020603050405020304" charset="0"/>
          </a:endParaRPr>
        </a:p>
      </dgm:t>
    </dgm:pt>
    <dgm:pt modelId="{9BA210DB-17C3-4FFC-900A-6B735F3A9DFE}">
      <dgm:prSet custT="1"/>
      <dgm:spPr/>
      <dgm:t>
        <a:bodyPr/>
        <a:lstStyle/>
        <a:p>
          <a:pPr marL="114300" algn="just"/>
          <a:r>
            <a:rPr lang="hr-HR" sz="1200">
              <a:latin typeface="Times New Roman" panose="02020603050405020304" charset="0"/>
              <a:cs typeface="Times New Roman" panose="02020603050405020304" charset="0"/>
            </a:rPr>
            <a:t>povećanje broja multifunkcionalno korištenih prostora i zgrada</a:t>
          </a:r>
        </a:p>
      </dgm:t>
    </dgm:pt>
    <dgm:pt modelId="{042A6B05-CE29-424C-AE48-272B908AFD54}" type="parTrans" cxnId="{D4D7A2BA-53AF-4E76-A108-02430829CF16}">
      <dgm:prSet/>
      <dgm:spPr/>
      <dgm:t>
        <a:bodyPr/>
        <a:lstStyle/>
        <a:p>
          <a:endParaRPr lang="hr-HR" sz="1200">
            <a:latin typeface="Times New Roman" panose="02020603050405020304" charset="0"/>
            <a:cs typeface="Times New Roman" panose="02020603050405020304" charset="0"/>
          </a:endParaRPr>
        </a:p>
      </dgm:t>
    </dgm:pt>
    <dgm:pt modelId="{07A04370-D65B-4BDA-9756-DCEA00945DC0}" type="sibTrans" cxnId="{D4D7A2BA-53AF-4E76-A108-02430829CF16}">
      <dgm:prSet/>
      <dgm:spPr/>
      <dgm:t>
        <a:bodyPr/>
        <a:lstStyle/>
        <a:p>
          <a:endParaRPr lang="hr-HR" sz="1200">
            <a:latin typeface="Times New Roman" panose="02020603050405020304" charset="0"/>
            <a:cs typeface="Times New Roman" panose="02020603050405020304" charset="0"/>
          </a:endParaRPr>
        </a:p>
      </dgm:t>
    </dgm:pt>
    <dgm:pt modelId="{65007593-9887-4BAB-9694-C0B7A42B7B94}">
      <dgm:prSet custT="1"/>
      <dgm:spPr/>
      <dgm:t>
        <a:bodyPr/>
        <a:lstStyle/>
        <a:p>
          <a:pPr marL="114300" algn="just"/>
          <a:r>
            <a:rPr lang="hr-HR" sz="1200">
              <a:latin typeface="Times New Roman" panose="02020603050405020304" charset="0"/>
              <a:cs typeface="Times New Roman" panose="02020603050405020304" charset="0"/>
            </a:rPr>
            <a:t>povećanje inovativnosti u razvoju novih materijala iz sekundarnih i recikliranih sirovina (kružnost materijala)</a:t>
          </a:r>
        </a:p>
      </dgm:t>
    </dgm:pt>
    <dgm:pt modelId="{4D3B25B7-14B8-4C90-B48D-498B7F6C7D75}" type="parTrans" cxnId="{A17981F2-886B-4E52-9A39-634D0E4E66FE}">
      <dgm:prSet/>
      <dgm:spPr/>
      <dgm:t>
        <a:bodyPr/>
        <a:lstStyle/>
        <a:p>
          <a:endParaRPr lang="hr-HR" sz="1200">
            <a:latin typeface="Times New Roman" panose="02020603050405020304" charset="0"/>
            <a:cs typeface="Times New Roman" panose="02020603050405020304" charset="0"/>
          </a:endParaRPr>
        </a:p>
      </dgm:t>
    </dgm:pt>
    <dgm:pt modelId="{C5A38B10-6BA9-46FF-90DE-F2C9352854C4}" type="sibTrans" cxnId="{A17981F2-886B-4E52-9A39-634D0E4E66FE}">
      <dgm:prSet/>
      <dgm:spPr/>
      <dgm:t>
        <a:bodyPr/>
        <a:lstStyle/>
        <a:p>
          <a:endParaRPr lang="hr-HR" sz="1200">
            <a:latin typeface="Times New Roman" panose="02020603050405020304" charset="0"/>
            <a:cs typeface="Times New Roman" panose="02020603050405020304" charset="0"/>
          </a:endParaRPr>
        </a:p>
      </dgm:t>
    </dgm:pt>
    <dgm:pt modelId="{96C0E11C-FCC2-4E50-AFE2-66F95B788F03}">
      <dgm:prSet custT="1"/>
      <dgm:spPr/>
      <dgm:t>
        <a:bodyPr/>
        <a:lstStyle/>
        <a:p>
          <a:pPr marL="114300" algn="just"/>
          <a:r>
            <a:rPr lang="hr-HR" sz="1200">
              <a:latin typeface="Times New Roman" panose="02020603050405020304" charset="0"/>
              <a:cs typeface="Times New Roman" panose="02020603050405020304" charset="0"/>
            </a:rPr>
            <a:t>otpornost zgrada na očekivane klimatske promjene i katastrofalne događaje</a:t>
          </a:r>
        </a:p>
      </dgm:t>
    </dgm:pt>
    <dgm:pt modelId="{32347BDD-5471-45A6-B956-518E75D5ACFA}" type="parTrans" cxnId="{2FE9A72B-FA85-4145-8A46-4FC9A1EC5487}">
      <dgm:prSet/>
      <dgm:spPr/>
      <dgm:t>
        <a:bodyPr/>
        <a:lstStyle/>
        <a:p>
          <a:endParaRPr lang="hr-HR" sz="1200">
            <a:latin typeface="Times New Roman" panose="02020603050405020304" charset="0"/>
            <a:cs typeface="Times New Roman" panose="02020603050405020304" charset="0"/>
          </a:endParaRPr>
        </a:p>
      </dgm:t>
    </dgm:pt>
    <dgm:pt modelId="{3B32BCB9-FFDE-4EE7-B682-E3633A3B1799}" type="sibTrans" cxnId="{2FE9A72B-FA85-4145-8A46-4FC9A1EC5487}">
      <dgm:prSet/>
      <dgm:spPr/>
      <dgm:t>
        <a:bodyPr/>
        <a:lstStyle/>
        <a:p>
          <a:endParaRPr lang="hr-HR" sz="1200">
            <a:latin typeface="Times New Roman" panose="02020603050405020304" charset="0"/>
            <a:cs typeface="Times New Roman" panose="02020603050405020304" charset="0"/>
          </a:endParaRPr>
        </a:p>
      </dgm:t>
    </dgm:pt>
    <dgm:pt modelId="{B7BF3413-1B8F-4E19-8B6F-4B86D8C20F49}">
      <dgm:prSet custT="1"/>
      <dgm:spPr/>
      <dgm:t>
        <a:bodyPr/>
        <a:lstStyle/>
        <a:p>
          <a:pPr marL="36195" algn="just"/>
          <a:r>
            <a:rPr lang="hr-HR" sz="1200">
              <a:latin typeface="Times New Roman" panose="02020603050405020304" charset="0"/>
              <a:cs typeface="Times New Roman" panose="02020603050405020304" charset="0"/>
            </a:rPr>
            <a:t>smanjenje potrošnje energije </a:t>
          </a:r>
        </a:p>
      </dgm:t>
    </dgm:pt>
    <dgm:pt modelId="{A171602B-A24E-4E93-8B28-41E3E63F378D}" type="parTrans" cxnId="{E4B003F9-99E1-4E8C-BD81-D9A8EBA1E56D}">
      <dgm:prSet/>
      <dgm:spPr/>
      <dgm:t>
        <a:bodyPr/>
        <a:lstStyle/>
        <a:p>
          <a:endParaRPr lang="hr-HR" sz="1200">
            <a:latin typeface="Times New Roman" panose="02020603050405020304" charset="0"/>
            <a:cs typeface="Times New Roman" panose="02020603050405020304" charset="0"/>
          </a:endParaRPr>
        </a:p>
      </dgm:t>
    </dgm:pt>
    <dgm:pt modelId="{34C95F34-5B02-47C1-9952-DEFADC137EE2}" type="sibTrans" cxnId="{E4B003F9-99E1-4E8C-BD81-D9A8EBA1E56D}">
      <dgm:prSet/>
      <dgm:spPr/>
      <dgm:t>
        <a:bodyPr/>
        <a:lstStyle/>
        <a:p>
          <a:endParaRPr lang="hr-HR" sz="1200">
            <a:latin typeface="Times New Roman" panose="02020603050405020304" charset="0"/>
            <a:cs typeface="Times New Roman" panose="02020603050405020304" charset="0"/>
          </a:endParaRPr>
        </a:p>
      </dgm:t>
    </dgm:pt>
    <dgm:pt modelId="{8A6BEAF4-428C-4526-A9FE-B8091945B926}">
      <dgm:prSet custT="1"/>
      <dgm:spPr/>
      <dgm:t>
        <a:bodyPr/>
        <a:lstStyle/>
        <a:p>
          <a:pPr marL="114300" algn="just"/>
          <a:r>
            <a:rPr lang="hr-HR" sz="1200">
              <a:latin typeface="Times New Roman" panose="02020603050405020304" charset="0"/>
              <a:cs typeface="Times New Roman" panose="02020603050405020304" charset="0"/>
            </a:rPr>
            <a:t>razvoj lokalnih energetskih mreža</a:t>
          </a:r>
        </a:p>
      </dgm:t>
    </dgm:pt>
    <dgm:pt modelId="{88A4F319-73AD-4EE2-9352-39923A1EEBE5}" type="parTrans" cxnId="{A3CFF5F5-98F9-45CC-8EB4-A91DFD37B6A4}">
      <dgm:prSet/>
      <dgm:spPr/>
      <dgm:t>
        <a:bodyPr/>
        <a:lstStyle/>
        <a:p>
          <a:endParaRPr lang="hr-HR" sz="1200">
            <a:latin typeface="Times New Roman" panose="02020603050405020304" charset="0"/>
            <a:cs typeface="Times New Roman" panose="02020603050405020304" charset="0"/>
          </a:endParaRPr>
        </a:p>
      </dgm:t>
    </dgm:pt>
    <dgm:pt modelId="{3AF4D397-DBB2-4C02-B16C-3793AFDE20FC}" type="sibTrans" cxnId="{A3CFF5F5-98F9-45CC-8EB4-A91DFD37B6A4}">
      <dgm:prSet/>
      <dgm:spPr/>
      <dgm:t>
        <a:bodyPr/>
        <a:lstStyle/>
        <a:p>
          <a:endParaRPr lang="hr-HR" sz="1200">
            <a:latin typeface="Times New Roman" panose="02020603050405020304" charset="0"/>
            <a:cs typeface="Times New Roman" panose="02020603050405020304" charset="0"/>
          </a:endParaRPr>
        </a:p>
      </dgm:t>
    </dgm:pt>
    <dgm:pt modelId="{3C22F16D-9705-47F7-A125-5108C7BEB4D8}">
      <dgm:prSet custT="1"/>
      <dgm:spPr/>
      <dgm:t>
        <a:bodyPr/>
        <a:lstStyle/>
        <a:p>
          <a:pPr marL="114300" algn="just"/>
          <a:r>
            <a:rPr lang="hr-HR" sz="1200">
              <a:latin typeface="Times New Roman" panose="02020603050405020304" charset="0"/>
              <a:cs typeface="Times New Roman" panose="02020603050405020304" charset="0"/>
            </a:rPr>
            <a:t>smanjenje zagađenja zemlje, vode i zraka </a:t>
          </a:r>
        </a:p>
      </dgm:t>
    </dgm:pt>
    <dgm:pt modelId="{D16D7D88-4C6C-4678-8015-D6AF1B7D140A}" type="parTrans" cxnId="{F3389839-D2AF-407A-9240-8F4B93790C63}">
      <dgm:prSet/>
      <dgm:spPr/>
      <dgm:t>
        <a:bodyPr/>
        <a:lstStyle/>
        <a:p>
          <a:endParaRPr lang="hr-HR" sz="1200">
            <a:latin typeface="Times New Roman" panose="02020603050405020304" charset="0"/>
            <a:cs typeface="Times New Roman" panose="02020603050405020304" charset="0"/>
          </a:endParaRPr>
        </a:p>
      </dgm:t>
    </dgm:pt>
    <dgm:pt modelId="{B373DBA3-4D0B-4677-83A3-E7A70D6B62D9}" type="sibTrans" cxnId="{F3389839-D2AF-407A-9240-8F4B93790C63}">
      <dgm:prSet/>
      <dgm:spPr/>
      <dgm:t>
        <a:bodyPr/>
        <a:lstStyle/>
        <a:p>
          <a:endParaRPr lang="hr-HR" sz="1200">
            <a:latin typeface="Times New Roman" panose="02020603050405020304" charset="0"/>
            <a:cs typeface="Times New Roman" panose="02020603050405020304" charset="0"/>
          </a:endParaRPr>
        </a:p>
      </dgm:t>
    </dgm:pt>
    <dgm:pt modelId="{CAEC597B-E5D2-4C27-81FD-0CD2A4811B95}">
      <dgm:prSet custT="1"/>
      <dgm:spPr/>
      <dgm:t>
        <a:bodyPr/>
        <a:lstStyle/>
        <a:p>
          <a:pPr marL="114300" algn="just"/>
          <a:r>
            <a:rPr lang="hr-HR" sz="1200">
              <a:latin typeface="Times New Roman" panose="02020603050405020304" charset="0"/>
              <a:cs typeface="Times New Roman" panose="02020603050405020304" charset="0"/>
            </a:rPr>
            <a:t>usporavanje širenja / kontrolirano širenje građevinskih područja </a:t>
          </a:r>
        </a:p>
      </dgm:t>
    </dgm:pt>
    <dgm:pt modelId="{49F0E357-AD0D-45D1-B8B7-E82889F1B984}" type="parTrans" cxnId="{8C655D76-0876-46D8-ADEF-C707341EC67D}">
      <dgm:prSet/>
      <dgm:spPr/>
      <dgm:t>
        <a:bodyPr/>
        <a:lstStyle/>
        <a:p>
          <a:endParaRPr lang="hr-HR" sz="1200">
            <a:latin typeface="Times New Roman" panose="02020603050405020304" charset="0"/>
            <a:cs typeface="Times New Roman" panose="02020603050405020304" charset="0"/>
          </a:endParaRPr>
        </a:p>
      </dgm:t>
    </dgm:pt>
    <dgm:pt modelId="{98A0012B-8E55-485F-9CA4-2545CB618E20}" type="sibTrans" cxnId="{8C655D76-0876-46D8-ADEF-C707341EC67D}">
      <dgm:prSet/>
      <dgm:spPr/>
      <dgm:t>
        <a:bodyPr/>
        <a:lstStyle/>
        <a:p>
          <a:endParaRPr lang="hr-HR" sz="1200">
            <a:latin typeface="Times New Roman" panose="02020603050405020304" charset="0"/>
            <a:cs typeface="Times New Roman" panose="02020603050405020304" charset="0"/>
          </a:endParaRPr>
        </a:p>
      </dgm:t>
    </dgm:pt>
    <dgm:pt modelId="{63E1A4A2-0380-4E91-96E5-CBDB44BACE3B}">
      <dgm:prSet custT="1"/>
      <dgm:spPr/>
      <dgm:t>
        <a:bodyPr/>
        <a:lstStyle/>
        <a:p>
          <a:pPr marL="114300" algn="just"/>
          <a:r>
            <a:rPr lang="hr-HR" sz="1200">
              <a:latin typeface="Times New Roman" panose="02020603050405020304" charset="0"/>
              <a:cs typeface="Times New Roman" panose="02020603050405020304" charset="0"/>
            </a:rPr>
            <a:t>očuvanje okoliša </a:t>
          </a:r>
        </a:p>
      </dgm:t>
    </dgm:pt>
    <dgm:pt modelId="{46051991-6568-44BC-B85D-238365DDB69E}" type="parTrans" cxnId="{1702AAAF-8DDE-4C0D-9838-F934C377527B}">
      <dgm:prSet/>
      <dgm:spPr/>
      <dgm:t>
        <a:bodyPr/>
        <a:lstStyle/>
        <a:p>
          <a:endParaRPr lang="hr-HR" sz="1200">
            <a:latin typeface="Times New Roman" panose="02020603050405020304" charset="0"/>
            <a:cs typeface="Times New Roman" panose="02020603050405020304" charset="0"/>
          </a:endParaRPr>
        </a:p>
      </dgm:t>
    </dgm:pt>
    <dgm:pt modelId="{80555732-4A1F-4BED-893D-D3B22202A6B6}" type="sibTrans" cxnId="{1702AAAF-8DDE-4C0D-9838-F934C377527B}">
      <dgm:prSet/>
      <dgm:spPr/>
      <dgm:t>
        <a:bodyPr/>
        <a:lstStyle/>
        <a:p>
          <a:endParaRPr lang="hr-HR" sz="1200">
            <a:latin typeface="Times New Roman" panose="02020603050405020304" charset="0"/>
            <a:cs typeface="Times New Roman" panose="02020603050405020304" charset="0"/>
          </a:endParaRPr>
        </a:p>
      </dgm:t>
    </dgm:pt>
    <dgm:pt modelId="{51E9C99E-3E12-4F0C-98FE-9F7E96D935A2}">
      <dgm:prSet custT="1"/>
      <dgm:spPr/>
      <dgm:t>
        <a:bodyPr/>
        <a:lstStyle/>
        <a:p>
          <a:pPr algn="just"/>
          <a:r>
            <a:rPr lang="hr-HR" sz="1200">
              <a:latin typeface="Times New Roman" panose="02020603050405020304" charset="0"/>
              <a:cs typeface="Times New Roman" panose="02020603050405020304" charset="0"/>
            </a:rPr>
            <a:t>ekonomski rast temeljem veće vrijednosti i dostupnosti materijala</a:t>
          </a:r>
        </a:p>
      </dgm:t>
    </dgm:pt>
    <dgm:pt modelId="{940BB5F7-8104-45A5-AADF-5BD21FC838C8}" type="parTrans" cxnId="{374C4C88-BDB1-45F1-BC52-7C5F0E6BC0AE}">
      <dgm:prSet/>
      <dgm:spPr/>
      <dgm:t>
        <a:bodyPr/>
        <a:lstStyle/>
        <a:p>
          <a:endParaRPr lang="hr-HR" sz="1200">
            <a:latin typeface="Times New Roman" panose="02020603050405020304" charset="0"/>
            <a:cs typeface="Times New Roman" panose="02020603050405020304" charset="0"/>
          </a:endParaRPr>
        </a:p>
      </dgm:t>
    </dgm:pt>
    <dgm:pt modelId="{40AF19F1-D513-4DD1-9E43-FD6BAEE7A2BF}" type="sibTrans" cxnId="{374C4C88-BDB1-45F1-BC52-7C5F0E6BC0AE}">
      <dgm:prSet/>
      <dgm:spPr/>
      <dgm:t>
        <a:bodyPr/>
        <a:lstStyle/>
        <a:p>
          <a:endParaRPr lang="hr-HR" sz="1200">
            <a:latin typeface="Times New Roman" panose="02020603050405020304" charset="0"/>
            <a:cs typeface="Times New Roman" panose="02020603050405020304" charset="0"/>
          </a:endParaRPr>
        </a:p>
      </dgm:t>
    </dgm:pt>
    <dgm:pt modelId="{BEA438FD-1390-47DA-835C-58EDD61671D5}">
      <dgm:prSet custT="1"/>
      <dgm:spPr/>
      <dgm:t>
        <a:bodyPr/>
        <a:lstStyle/>
        <a:p>
          <a:r>
            <a:rPr lang="hr-HR" sz="1200">
              <a:latin typeface="Times New Roman" panose="02020603050405020304" charset="0"/>
              <a:cs typeface="Times New Roman" panose="02020603050405020304" charset="0"/>
            </a:rPr>
            <a:t>povećanje socijalne interakcije ljudi </a:t>
          </a:r>
        </a:p>
      </dgm:t>
    </dgm:pt>
    <dgm:pt modelId="{45BFB907-970D-4877-A853-C4221A604BA2}" type="parTrans" cxnId="{E50FB94B-EF7E-4CEC-A55D-0C9F85928999}">
      <dgm:prSet/>
      <dgm:spPr/>
      <dgm:t>
        <a:bodyPr/>
        <a:lstStyle/>
        <a:p>
          <a:endParaRPr lang="hr-HR" sz="1200">
            <a:latin typeface="Times New Roman" panose="02020603050405020304" charset="0"/>
            <a:cs typeface="Times New Roman" panose="02020603050405020304" charset="0"/>
          </a:endParaRPr>
        </a:p>
      </dgm:t>
    </dgm:pt>
    <dgm:pt modelId="{6979C8FF-E6BF-42BC-BE58-FCA8B5D9ABC4}" type="sibTrans" cxnId="{E50FB94B-EF7E-4CEC-A55D-0C9F85928999}">
      <dgm:prSet/>
      <dgm:spPr/>
      <dgm:t>
        <a:bodyPr/>
        <a:lstStyle/>
        <a:p>
          <a:endParaRPr lang="hr-HR" sz="1200">
            <a:latin typeface="Times New Roman" panose="02020603050405020304" charset="0"/>
            <a:cs typeface="Times New Roman" panose="02020603050405020304" charset="0"/>
          </a:endParaRPr>
        </a:p>
      </dgm:t>
    </dgm:pt>
    <dgm:pt modelId="{ECF4B394-25CE-440A-A721-AD6981407A0A}">
      <dgm:prSet custT="1"/>
      <dgm:spPr/>
      <dgm:t>
        <a:bodyPr/>
        <a:lstStyle/>
        <a:p>
          <a:r>
            <a:rPr lang="hr-HR" sz="1200">
              <a:latin typeface="Times New Roman" panose="02020603050405020304" charset="0"/>
              <a:cs typeface="Times New Roman" panose="02020603050405020304" charset="0"/>
            </a:rPr>
            <a:t>poboljšanje zdravlja i dobrobiti ljudi</a:t>
          </a:r>
        </a:p>
      </dgm:t>
    </dgm:pt>
    <dgm:pt modelId="{AF9186FB-0BF0-4042-80FA-F82B6F0B34A7}" type="parTrans" cxnId="{A87DB7F7-9F81-4A72-BA22-CF05E1CF9974}">
      <dgm:prSet/>
      <dgm:spPr/>
      <dgm:t>
        <a:bodyPr/>
        <a:lstStyle/>
        <a:p>
          <a:endParaRPr lang="hr-HR" sz="1200">
            <a:latin typeface="Times New Roman" panose="02020603050405020304" charset="0"/>
            <a:cs typeface="Times New Roman" panose="02020603050405020304" charset="0"/>
          </a:endParaRPr>
        </a:p>
      </dgm:t>
    </dgm:pt>
    <dgm:pt modelId="{2DF3C38B-81A4-4F3E-9993-81BDFA5855AF}" type="sibTrans" cxnId="{A87DB7F7-9F81-4A72-BA22-CF05E1CF9974}">
      <dgm:prSet/>
      <dgm:spPr/>
      <dgm:t>
        <a:bodyPr/>
        <a:lstStyle/>
        <a:p>
          <a:endParaRPr lang="hr-HR" sz="1200">
            <a:latin typeface="Times New Roman" panose="02020603050405020304" charset="0"/>
            <a:cs typeface="Times New Roman" panose="02020603050405020304" charset="0"/>
          </a:endParaRPr>
        </a:p>
      </dgm:t>
    </dgm:pt>
    <dgm:pt modelId="{7BC8A23F-9C31-493D-A089-55B988A37097}">
      <dgm:prSet custT="1"/>
      <dgm:spPr/>
      <dgm:t>
        <a:bodyPr/>
        <a:lstStyle/>
        <a:p>
          <a:r>
            <a:rPr lang="hr-HR" sz="1200">
              <a:latin typeface="Times New Roman" panose="02020603050405020304" charset="0"/>
              <a:cs typeface="Times New Roman" panose="02020603050405020304" charset="0"/>
            </a:rPr>
            <a:t>povećanje pristupačnosti</a:t>
          </a:r>
        </a:p>
      </dgm:t>
    </dgm:pt>
    <dgm:pt modelId="{CE5AECBB-97F7-49C2-89DB-241DBB33A305}" type="parTrans" cxnId="{D2E17E29-FDAE-4080-9F14-22F759C71E55}">
      <dgm:prSet/>
      <dgm:spPr/>
      <dgm:t>
        <a:bodyPr/>
        <a:lstStyle/>
        <a:p>
          <a:endParaRPr lang="hr-HR" sz="1200">
            <a:latin typeface="Times New Roman" panose="02020603050405020304" charset="0"/>
            <a:cs typeface="Times New Roman" panose="02020603050405020304" charset="0"/>
          </a:endParaRPr>
        </a:p>
      </dgm:t>
    </dgm:pt>
    <dgm:pt modelId="{E44F42C0-41FE-4EDD-A46C-8915CC6C9DD5}" type="sibTrans" cxnId="{D2E17E29-FDAE-4080-9F14-22F759C71E55}">
      <dgm:prSet/>
      <dgm:spPr/>
      <dgm:t>
        <a:bodyPr/>
        <a:lstStyle/>
        <a:p>
          <a:endParaRPr lang="hr-HR" sz="1200">
            <a:latin typeface="Times New Roman" panose="02020603050405020304" charset="0"/>
            <a:cs typeface="Times New Roman" panose="02020603050405020304" charset="0"/>
          </a:endParaRPr>
        </a:p>
      </dgm:t>
    </dgm:pt>
    <dgm:pt modelId="{BF8946E3-0687-4764-A846-A9F0383DEF76}">
      <dgm:prSet custT="1"/>
      <dgm:spPr/>
      <dgm:t>
        <a:bodyPr/>
        <a:lstStyle/>
        <a:p>
          <a:r>
            <a:rPr lang="hr-HR" sz="1200">
              <a:latin typeface="Times New Roman" panose="02020603050405020304" charset="0"/>
              <a:cs typeface="Times New Roman" panose="02020603050405020304" charset="0"/>
            </a:rPr>
            <a:t>povećanje sigurnosti </a:t>
          </a:r>
        </a:p>
      </dgm:t>
    </dgm:pt>
    <dgm:pt modelId="{4D46EE42-BF00-4472-B641-67648E4052E7}" type="parTrans" cxnId="{3B64E0C0-E5F1-4EDB-A63E-F3F61A9EDD02}">
      <dgm:prSet/>
      <dgm:spPr/>
      <dgm:t>
        <a:bodyPr/>
        <a:lstStyle/>
        <a:p>
          <a:endParaRPr lang="hr-HR" sz="1200">
            <a:latin typeface="Times New Roman" panose="02020603050405020304" charset="0"/>
            <a:cs typeface="Times New Roman" panose="02020603050405020304" charset="0"/>
          </a:endParaRPr>
        </a:p>
      </dgm:t>
    </dgm:pt>
    <dgm:pt modelId="{4AF374A4-84AE-41E7-9615-3861419BEF69}" type="sibTrans" cxnId="{3B64E0C0-E5F1-4EDB-A63E-F3F61A9EDD02}">
      <dgm:prSet/>
      <dgm:spPr/>
      <dgm:t>
        <a:bodyPr/>
        <a:lstStyle/>
        <a:p>
          <a:endParaRPr lang="hr-HR" sz="1200">
            <a:latin typeface="Times New Roman" panose="02020603050405020304" charset="0"/>
            <a:cs typeface="Times New Roman" panose="02020603050405020304" charset="0"/>
          </a:endParaRPr>
        </a:p>
      </dgm:t>
    </dgm:pt>
    <dgm:pt modelId="{FAE84206-36AD-490C-9572-B901C82E3358}">
      <dgm:prSet custT="1"/>
      <dgm:spPr/>
      <dgm:t>
        <a:bodyPr/>
        <a:lstStyle/>
        <a:p>
          <a:r>
            <a:rPr lang="hr-HR" sz="1200">
              <a:latin typeface="Times New Roman" panose="02020603050405020304" charset="0"/>
              <a:cs typeface="Times New Roman" panose="02020603050405020304" charset="0"/>
            </a:rPr>
            <a:t>podizanje društvene svijesti o načelima kružne ekonomije</a:t>
          </a:r>
        </a:p>
      </dgm:t>
    </dgm:pt>
    <dgm:pt modelId="{B02AAA34-EA76-47D4-8BBD-D78D4CBAB167}" type="parTrans" cxnId="{CB78C968-3A50-486E-9D9E-545C7F9E8C61}">
      <dgm:prSet/>
      <dgm:spPr/>
      <dgm:t>
        <a:bodyPr/>
        <a:lstStyle/>
        <a:p>
          <a:endParaRPr lang="hr-HR" sz="1200">
            <a:latin typeface="Times New Roman" panose="02020603050405020304" charset="0"/>
            <a:cs typeface="Times New Roman" panose="02020603050405020304" charset="0"/>
          </a:endParaRPr>
        </a:p>
      </dgm:t>
    </dgm:pt>
    <dgm:pt modelId="{E6490341-BECC-4E49-BACB-BE978F48DC3A}" type="sibTrans" cxnId="{CB78C968-3A50-486E-9D9E-545C7F9E8C61}">
      <dgm:prSet/>
      <dgm:spPr/>
      <dgm:t>
        <a:bodyPr/>
        <a:lstStyle/>
        <a:p>
          <a:endParaRPr lang="hr-HR" sz="1200">
            <a:latin typeface="Times New Roman" panose="02020603050405020304" charset="0"/>
            <a:cs typeface="Times New Roman" panose="02020603050405020304" charset="0"/>
          </a:endParaRPr>
        </a:p>
      </dgm:t>
    </dgm:pt>
    <dgm:pt modelId="{23FD373E-5AD9-4C9D-A940-6DFBBDBB54C7}">
      <dgm:prSet custT="1"/>
      <dgm:spPr/>
      <dgm:t>
        <a:bodyPr/>
        <a:lstStyle/>
        <a:p>
          <a:r>
            <a:rPr lang="hr-HR" sz="1200">
              <a:latin typeface="Times New Roman" panose="02020603050405020304" charset="0"/>
              <a:cs typeface="Times New Roman" panose="02020603050405020304" charset="0"/>
            </a:rPr>
            <a:t>očuvanje kulturnih i društvenih vrijednosti</a:t>
          </a:r>
        </a:p>
      </dgm:t>
    </dgm:pt>
    <dgm:pt modelId="{0E4677F5-AC09-48D9-828A-0CC6A4299ABB}" type="parTrans" cxnId="{5B251C68-0D23-4CCF-9441-68133625B268}">
      <dgm:prSet/>
      <dgm:spPr/>
      <dgm:t>
        <a:bodyPr/>
        <a:lstStyle/>
        <a:p>
          <a:endParaRPr lang="hr-HR" sz="1200">
            <a:latin typeface="Times New Roman" panose="02020603050405020304" charset="0"/>
            <a:cs typeface="Times New Roman" panose="02020603050405020304" charset="0"/>
          </a:endParaRPr>
        </a:p>
      </dgm:t>
    </dgm:pt>
    <dgm:pt modelId="{D5ED902F-882E-49B2-9D1A-ECB6418FA051}" type="sibTrans" cxnId="{5B251C68-0D23-4CCF-9441-68133625B268}">
      <dgm:prSet/>
      <dgm:spPr/>
      <dgm:t>
        <a:bodyPr/>
        <a:lstStyle/>
        <a:p>
          <a:endParaRPr lang="hr-HR" sz="1200">
            <a:latin typeface="Times New Roman" panose="02020603050405020304" charset="0"/>
            <a:cs typeface="Times New Roman" panose="02020603050405020304" charset="0"/>
          </a:endParaRPr>
        </a:p>
      </dgm:t>
    </dgm:pt>
    <dgm:pt modelId="{3BD81492-A027-4728-8CBE-34400D2A6C6D}">
      <dgm:prSet custT="1"/>
      <dgm:spPr/>
      <dgm:t>
        <a:bodyPr/>
        <a:lstStyle/>
        <a:p>
          <a:pPr marL="114300" algn="just"/>
          <a:r>
            <a:rPr lang="hr-HR" sz="1200">
              <a:latin typeface="Times New Roman" panose="02020603050405020304" charset="0"/>
              <a:cs typeface="Times New Roman" panose="02020603050405020304" charset="0"/>
            </a:rPr>
            <a:t>smanjene količine građevnog otpada</a:t>
          </a:r>
        </a:p>
      </dgm:t>
    </dgm:pt>
    <dgm:pt modelId="{9BADE0C9-099B-4F10-A014-C71286B13C34}" type="parTrans" cxnId="{5320B4BE-B8CA-489F-BA66-45DCFE56F0DE}">
      <dgm:prSet/>
      <dgm:spPr/>
      <dgm:t>
        <a:bodyPr/>
        <a:lstStyle/>
        <a:p>
          <a:endParaRPr lang="hr-HR"/>
        </a:p>
      </dgm:t>
    </dgm:pt>
    <dgm:pt modelId="{345CF03F-C466-4C32-806C-36737C86E37A}" type="sibTrans" cxnId="{5320B4BE-B8CA-489F-BA66-45DCFE56F0DE}">
      <dgm:prSet/>
      <dgm:spPr/>
      <dgm:t>
        <a:bodyPr/>
        <a:lstStyle/>
        <a:p>
          <a:endParaRPr lang="hr-HR"/>
        </a:p>
      </dgm:t>
    </dgm:pt>
    <dgm:pt modelId="{026A8B47-E253-4BB7-A8FA-A4CC8F741016}">
      <dgm:prSet custT="1"/>
      <dgm:spPr/>
      <dgm:t>
        <a:bodyPr/>
        <a:lstStyle/>
        <a:p>
          <a:pPr marL="114300" algn="just"/>
          <a:r>
            <a:rPr lang="hr-HR" sz="1200">
              <a:latin typeface="Times New Roman" panose="02020603050405020304" charset="0"/>
              <a:cs typeface="Times New Roman" panose="02020603050405020304" charset="0"/>
            </a:rPr>
            <a:t>smanjenje ugljičnog otiska zgrada</a:t>
          </a:r>
        </a:p>
      </dgm:t>
    </dgm:pt>
    <dgm:pt modelId="{6DC3CCCF-F4D6-4BA7-98DE-359C631AA093}" type="parTrans" cxnId="{473BDBA3-4369-44CA-BEFD-2B04F8DC6443}">
      <dgm:prSet/>
      <dgm:spPr/>
      <dgm:t>
        <a:bodyPr/>
        <a:lstStyle/>
        <a:p>
          <a:endParaRPr lang="hr-HR"/>
        </a:p>
      </dgm:t>
    </dgm:pt>
    <dgm:pt modelId="{9306471D-454D-4B21-9830-E1D11F97BB0E}" type="sibTrans" cxnId="{473BDBA3-4369-44CA-BEFD-2B04F8DC6443}">
      <dgm:prSet/>
      <dgm:spPr/>
      <dgm:t>
        <a:bodyPr/>
        <a:lstStyle/>
        <a:p>
          <a:endParaRPr lang="hr-HR"/>
        </a:p>
      </dgm:t>
    </dgm:pt>
    <dgm:pt modelId="{814D6ED7-4ADC-49D7-B35D-702FF1B7D417}">
      <dgm:prSet custT="1"/>
      <dgm:spPr/>
      <dgm:t>
        <a:bodyPr/>
        <a:lstStyle/>
        <a:p>
          <a:pPr marL="114300" algn="just"/>
          <a:r>
            <a:rPr lang="hr-HR" sz="1200">
              <a:latin typeface="Times New Roman" panose="02020603050405020304" charset="0"/>
              <a:cs typeface="Times New Roman" panose="02020603050405020304" charset="0"/>
            </a:rPr>
            <a:t>kružna upotreba vode (kišnica, tehnička voda)</a:t>
          </a:r>
        </a:p>
      </dgm:t>
    </dgm:pt>
    <dgm:pt modelId="{5C0AFC2F-4579-43E2-AF84-628BE0766A7A}" type="parTrans" cxnId="{5A665B32-733B-4623-B933-30F6E99C51CE}">
      <dgm:prSet/>
      <dgm:spPr/>
      <dgm:t>
        <a:bodyPr/>
        <a:lstStyle/>
        <a:p>
          <a:endParaRPr lang="hr-HR"/>
        </a:p>
      </dgm:t>
    </dgm:pt>
    <dgm:pt modelId="{CA307D76-E709-481E-8737-143909A6943B}" type="sibTrans" cxnId="{5A665B32-733B-4623-B933-30F6E99C51CE}">
      <dgm:prSet/>
      <dgm:spPr/>
      <dgm:t>
        <a:bodyPr/>
        <a:lstStyle/>
        <a:p>
          <a:endParaRPr lang="hr-HR"/>
        </a:p>
      </dgm:t>
    </dgm:pt>
    <dgm:pt modelId="{638C281D-96A2-46BD-AF29-A66B77ACB204}">
      <dgm:prSet custT="1"/>
      <dgm:spPr/>
      <dgm:t>
        <a:bodyPr/>
        <a:lstStyle/>
        <a:p>
          <a:pPr marL="114300" algn="just"/>
          <a:r>
            <a:rPr lang="hr-HR" sz="1200">
              <a:latin typeface="Times New Roman" panose="02020603050405020304" charset="0"/>
              <a:cs typeface="Times New Roman" panose="02020603050405020304" charset="0"/>
            </a:rPr>
            <a:t>razvoj zelene infrastrukture u urbanim područjima</a:t>
          </a:r>
        </a:p>
      </dgm:t>
    </dgm:pt>
    <dgm:pt modelId="{C669BE9E-E503-4B56-8F1B-DEEB908F17B0}" type="parTrans" cxnId="{6E477895-80E3-450B-AD67-D178E13CE6AB}">
      <dgm:prSet/>
      <dgm:spPr/>
      <dgm:t>
        <a:bodyPr/>
        <a:lstStyle/>
        <a:p>
          <a:endParaRPr lang="hr-HR"/>
        </a:p>
      </dgm:t>
    </dgm:pt>
    <dgm:pt modelId="{F5369309-3848-4ECD-85EB-A0E690E4CD87}" type="sibTrans" cxnId="{6E477895-80E3-450B-AD67-D178E13CE6AB}">
      <dgm:prSet/>
      <dgm:spPr/>
      <dgm:t>
        <a:bodyPr/>
        <a:lstStyle/>
        <a:p>
          <a:endParaRPr lang="hr-HR"/>
        </a:p>
      </dgm:t>
    </dgm:pt>
    <dgm:pt modelId="{9F93ABBD-AC36-46F5-A247-E95C68B32147}">
      <dgm:prSet custT="1"/>
      <dgm:spPr/>
      <dgm:t>
        <a:bodyPr/>
        <a:lstStyle/>
        <a:p>
          <a:pPr algn="just"/>
          <a:r>
            <a:rPr lang="hr-HR" sz="1200">
              <a:latin typeface="Times New Roman" panose="02020603050405020304" charset="0"/>
              <a:cs typeface="Times New Roman" panose="02020603050405020304" charset="0"/>
            </a:rPr>
            <a:t>troškovno optimizirani cjeloživotni vijek zgrada</a:t>
          </a:r>
        </a:p>
      </dgm:t>
    </dgm:pt>
    <dgm:pt modelId="{86193C6A-5B0B-4A40-A9EF-E0A3352D2F65}" type="parTrans" cxnId="{636C6AE9-0508-42A1-AC2E-1ACA1DDA3879}">
      <dgm:prSet/>
      <dgm:spPr/>
      <dgm:t>
        <a:bodyPr/>
        <a:lstStyle/>
        <a:p>
          <a:endParaRPr lang="hr-HR"/>
        </a:p>
      </dgm:t>
    </dgm:pt>
    <dgm:pt modelId="{A5D96842-00BE-4547-82F1-4E835118E348}" type="sibTrans" cxnId="{636C6AE9-0508-42A1-AC2E-1ACA1DDA3879}">
      <dgm:prSet/>
      <dgm:spPr/>
      <dgm:t>
        <a:bodyPr/>
        <a:lstStyle/>
        <a:p>
          <a:endParaRPr lang="hr-HR"/>
        </a:p>
      </dgm:t>
    </dgm:pt>
    <dgm:pt modelId="{1B47A4B8-EDAF-4EA9-9E0C-2B2E6502C27C}">
      <dgm:prSet custT="1"/>
      <dgm:spPr/>
      <dgm:t>
        <a:bodyPr/>
        <a:lstStyle/>
        <a:p>
          <a:pPr algn="just"/>
          <a:r>
            <a:rPr lang="hr-HR" sz="1200">
              <a:latin typeface="Times New Roman" panose="02020603050405020304" charset="0"/>
              <a:cs typeface="Times New Roman" panose="02020603050405020304" charset="0"/>
            </a:rPr>
            <a:t>povećanje stope zaposlenosti</a:t>
          </a:r>
        </a:p>
      </dgm:t>
    </dgm:pt>
    <dgm:pt modelId="{CE650934-8D39-4663-9EFD-F852F2BA3E40}" type="parTrans" cxnId="{A572B90C-838D-41BC-A895-B7F00936B73D}">
      <dgm:prSet/>
      <dgm:spPr/>
      <dgm:t>
        <a:bodyPr/>
        <a:lstStyle/>
        <a:p>
          <a:endParaRPr lang="hr-HR"/>
        </a:p>
      </dgm:t>
    </dgm:pt>
    <dgm:pt modelId="{127809C3-7BD6-483E-8481-361E762CE100}" type="sibTrans" cxnId="{A572B90C-838D-41BC-A895-B7F00936B73D}">
      <dgm:prSet/>
      <dgm:spPr/>
      <dgm:t>
        <a:bodyPr/>
        <a:lstStyle/>
        <a:p>
          <a:endParaRPr lang="hr-HR"/>
        </a:p>
      </dgm:t>
    </dgm:pt>
    <dgm:pt modelId="{11B9310B-B5FC-4A88-A755-9998867640C7}" type="pres">
      <dgm:prSet presAssocID="{F5DFE925-82AF-4475-ACB4-A671200CE193}" presName="linear" presStyleCnt="0">
        <dgm:presLayoutVars>
          <dgm:dir/>
          <dgm:animLvl val="lvl"/>
          <dgm:resizeHandles val="exact"/>
        </dgm:presLayoutVars>
      </dgm:prSet>
      <dgm:spPr/>
    </dgm:pt>
    <dgm:pt modelId="{EED2D33A-E36F-47FF-B672-D2E3A7B4D314}" type="pres">
      <dgm:prSet presAssocID="{FC010AF8-DE5C-42C8-B8E0-5CFBB22ABD73}" presName="parentLin" presStyleCnt="0"/>
      <dgm:spPr/>
    </dgm:pt>
    <dgm:pt modelId="{58B846F6-F21D-4188-B6CA-A4E3C15E541F}" type="pres">
      <dgm:prSet presAssocID="{FC010AF8-DE5C-42C8-B8E0-5CFBB22ABD73}" presName="parentLeftMargin" presStyleLbl="node1" presStyleIdx="0" presStyleCnt="3"/>
      <dgm:spPr/>
    </dgm:pt>
    <dgm:pt modelId="{79B2A09D-BF2F-4A6B-A4C5-E504AE384696}" type="pres">
      <dgm:prSet presAssocID="{FC010AF8-DE5C-42C8-B8E0-5CFBB22ABD73}" presName="parentText" presStyleLbl="node1" presStyleIdx="0" presStyleCnt="3">
        <dgm:presLayoutVars>
          <dgm:chMax val="0"/>
          <dgm:bulletEnabled val="1"/>
        </dgm:presLayoutVars>
      </dgm:prSet>
      <dgm:spPr/>
    </dgm:pt>
    <dgm:pt modelId="{19F60774-44CF-4CD3-89D0-1BDE082A8820}" type="pres">
      <dgm:prSet presAssocID="{FC010AF8-DE5C-42C8-B8E0-5CFBB22ABD73}" presName="negativeSpace" presStyleCnt="0"/>
      <dgm:spPr/>
    </dgm:pt>
    <dgm:pt modelId="{3BD31082-5A0A-4B2F-B778-94DA62226926}" type="pres">
      <dgm:prSet presAssocID="{FC010AF8-DE5C-42C8-B8E0-5CFBB22ABD73}" presName="childText" presStyleLbl="conFgAcc1" presStyleIdx="0" presStyleCnt="3">
        <dgm:presLayoutVars>
          <dgm:bulletEnabled val="1"/>
        </dgm:presLayoutVars>
      </dgm:prSet>
      <dgm:spPr/>
    </dgm:pt>
    <dgm:pt modelId="{1842B7DB-F6B0-46A0-9371-BDC71FC02B2E}" type="pres">
      <dgm:prSet presAssocID="{FF16E628-1D55-44E0-A971-243E7505E524}" presName="spaceBetweenRectangles" presStyleCnt="0"/>
      <dgm:spPr/>
    </dgm:pt>
    <dgm:pt modelId="{2FD6FA92-9AD7-4BEE-A098-B599FF714E0A}" type="pres">
      <dgm:prSet presAssocID="{3CFF1ECB-AD09-4F71-9515-3695A5FDDC79}" presName="parentLin" presStyleCnt="0"/>
      <dgm:spPr/>
    </dgm:pt>
    <dgm:pt modelId="{1BDD6351-76D9-442C-BFB1-E3A375363DDD}" type="pres">
      <dgm:prSet presAssocID="{3CFF1ECB-AD09-4F71-9515-3695A5FDDC79}" presName="parentLeftMargin" presStyleLbl="node1" presStyleIdx="0" presStyleCnt="3"/>
      <dgm:spPr/>
    </dgm:pt>
    <dgm:pt modelId="{50DC9E0C-4941-434B-8E64-DD02A686EF99}" type="pres">
      <dgm:prSet presAssocID="{3CFF1ECB-AD09-4F71-9515-3695A5FDDC79}" presName="parentText" presStyleLbl="node1" presStyleIdx="1" presStyleCnt="3">
        <dgm:presLayoutVars>
          <dgm:chMax val="0"/>
          <dgm:bulletEnabled val="1"/>
        </dgm:presLayoutVars>
      </dgm:prSet>
      <dgm:spPr/>
    </dgm:pt>
    <dgm:pt modelId="{328F7F53-0254-460A-94A2-31CCC6175C5A}" type="pres">
      <dgm:prSet presAssocID="{3CFF1ECB-AD09-4F71-9515-3695A5FDDC79}" presName="negativeSpace" presStyleCnt="0"/>
      <dgm:spPr/>
    </dgm:pt>
    <dgm:pt modelId="{BDB3A22A-7C87-4297-9248-CE56924669BE}" type="pres">
      <dgm:prSet presAssocID="{3CFF1ECB-AD09-4F71-9515-3695A5FDDC79}" presName="childText" presStyleLbl="conFgAcc1" presStyleIdx="1" presStyleCnt="3">
        <dgm:presLayoutVars>
          <dgm:bulletEnabled val="1"/>
        </dgm:presLayoutVars>
      </dgm:prSet>
      <dgm:spPr/>
    </dgm:pt>
    <dgm:pt modelId="{28513FC6-F91E-4740-AB1F-AB6C802A6399}" type="pres">
      <dgm:prSet presAssocID="{9A7D6B9C-76B1-4955-8CE6-2530CCF932B4}" presName="spaceBetweenRectangles" presStyleCnt="0"/>
      <dgm:spPr/>
    </dgm:pt>
    <dgm:pt modelId="{F855FB40-0957-4755-96F1-9A0A6ECF294A}" type="pres">
      <dgm:prSet presAssocID="{C8E47129-97F5-43A3-907D-759E2D50539E}" presName="parentLin" presStyleCnt="0"/>
      <dgm:spPr/>
    </dgm:pt>
    <dgm:pt modelId="{F44D4401-E81C-47F3-B4F7-89203D46E2AD}" type="pres">
      <dgm:prSet presAssocID="{C8E47129-97F5-43A3-907D-759E2D50539E}" presName="parentLeftMargin" presStyleLbl="node1" presStyleIdx="1" presStyleCnt="3"/>
      <dgm:spPr/>
    </dgm:pt>
    <dgm:pt modelId="{57973AED-4ED1-4055-A3DC-7F44880DAF38}" type="pres">
      <dgm:prSet presAssocID="{C8E47129-97F5-43A3-907D-759E2D50539E}" presName="parentText" presStyleLbl="node1" presStyleIdx="2" presStyleCnt="3">
        <dgm:presLayoutVars>
          <dgm:chMax val="0"/>
          <dgm:bulletEnabled val="1"/>
        </dgm:presLayoutVars>
      </dgm:prSet>
      <dgm:spPr/>
    </dgm:pt>
    <dgm:pt modelId="{A6C726A9-98E7-4D72-B51D-9760A593AFA4}" type="pres">
      <dgm:prSet presAssocID="{C8E47129-97F5-43A3-907D-759E2D50539E}" presName="negativeSpace" presStyleCnt="0"/>
      <dgm:spPr/>
    </dgm:pt>
    <dgm:pt modelId="{FFF8D9A7-AC2E-4E22-ABD0-B7F201AF2D4D}" type="pres">
      <dgm:prSet presAssocID="{C8E47129-97F5-43A3-907D-759E2D50539E}" presName="childText" presStyleLbl="conFgAcc1" presStyleIdx="2" presStyleCnt="3">
        <dgm:presLayoutVars>
          <dgm:bulletEnabled val="1"/>
        </dgm:presLayoutVars>
      </dgm:prSet>
      <dgm:spPr/>
    </dgm:pt>
  </dgm:ptLst>
  <dgm:cxnLst>
    <dgm:cxn modelId="{247CF602-1FBE-438D-BFA2-C4CB135BAC07}" type="presOf" srcId="{814D6ED7-4ADC-49D7-B35D-702FF1B7D417}" destId="{3BD31082-5A0A-4B2F-B778-94DA62226926}" srcOrd="0" destOrd="8" presId="urn:microsoft.com/office/officeart/2005/8/layout/list1#2"/>
    <dgm:cxn modelId="{A572B90C-838D-41BC-A895-B7F00936B73D}" srcId="{3CFF1ECB-AD09-4F71-9515-3695A5FDDC79}" destId="{1B47A4B8-EDAF-4EA9-9E0C-2B2E6502C27C}" srcOrd="2" destOrd="0" parTransId="{CE650934-8D39-4663-9EFD-F852F2BA3E40}" sibTransId="{127809C3-7BD6-483E-8481-361E762CE100}"/>
    <dgm:cxn modelId="{ACA50916-E69A-480D-B6D2-29FCA46CC516}" type="presOf" srcId="{1B47A4B8-EDAF-4EA9-9E0C-2B2E6502C27C}" destId="{BDB3A22A-7C87-4297-9248-CE56924669BE}" srcOrd="0" destOrd="2" presId="urn:microsoft.com/office/officeart/2005/8/layout/list1#2"/>
    <dgm:cxn modelId="{1F54CD17-79E1-49FA-8C70-B30206705521}" type="presOf" srcId="{BEA438FD-1390-47DA-835C-58EDD61671D5}" destId="{FFF8D9A7-AC2E-4E22-ABD0-B7F201AF2D4D}" srcOrd="0" destOrd="1" presId="urn:microsoft.com/office/officeart/2005/8/layout/list1#2"/>
    <dgm:cxn modelId="{03F42E18-D773-4912-BB36-6FCC2173692D}" srcId="{C8E47129-97F5-43A3-907D-759E2D50539E}" destId="{2ED3E739-A565-4502-871B-3782F1F3D092}" srcOrd="0" destOrd="0" parTransId="{977E6C78-713D-46DA-8A44-84B1EA1CD1A5}" sibTransId="{037C4E65-E8BA-46CC-971C-5D05F91455E1}"/>
    <dgm:cxn modelId="{73CBE119-A446-4605-8E16-FA1EEFC03779}" type="presOf" srcId="{60F5A411-26F5-4EF0-9040-1D6D4053F605}" destId="{3BD31082-5A0A-4B2F-B778-94DA62226926}" srcOrd="0" destOrd="1" presId="urn:microsoft.com/office/officeart/2005/8/layout/list1#2"/>
    <dgm:cxn modelId="{D637F322-0D39-4928-813C-B510E9273D77}" type="presOf" srcId="{F5DFE925-82AF-4475-ACB4-A671200CE193}" destId="{11B9310B-B5FC-4A88-A755-9998867640C7}" srcOrd="0" destOrd="0" presId="urn:microsoft.com/office/officeart/2005/8/layout/list1#2"/>
    <dgm:cxn modelId="{0FCFC123-9436-4FE6-A334-6ED6FC4F9848}" type="presOf" srcId="{3BD81492-A027-4728-8CBE-34400D2A6C6D}" destId="{3BD31082-5A0A-4B2F-B778-94DA62226926}" srcOrd="0" destOrd="13" presId="urn:microsoft.com/office/officeart/2005/8/layout/list1#2"/>
    <dgm:cxn modelId="{D2E17E29-FDAE-4080-9F14-22F759C71E55}" srcId="{C8E47129-97F5-43A3-907D-759E2D50539E}" destId="{7BC8A23F-9C31-493D-A089-55B988A37097}" srcOrd="3" destOrd="0" parTransId="{CE5AECBB-97F7-49C2-89DB-241DBB33A305}" sibTransId="{E44F42C0-41FE-4EDD-A46C-8915CC6C9DD5}"/>
    <dgm:cxn modelId="{03C81A2B-9521-4351-A3F4-9700DBBCD4D5}" type="presOf" srcId="{96C0E11C-FCC2-4E50-AFE2-66F95B788F03}" destId="{3BD31082-5A0A-4B2F-B778-94DA62226926}" srcOrd="0" destOrd="5" presId="urn:microsoft.com/office/officeart/2005/8/layout/list1#2"/>
    <dgm:cxn modelId="{2FE9A72B-FA85-4145-8A46-4FC9A1EC5487}" srcId="{FC010AF8-DE5C-42C8-B8E0-5CFBB22ABD73}" destId="{96C0E11C-FCC2-4E50-AFE2-66F95B788F03}" srcOrd="5" destOrd="0" parTransId="{32347BDD-5471-45A6-B956-518E75D5ACFA}" sibTransId="{3B32BCB9-FFDE-4EE7-B682-E3633A3B1799}"/>
    <dgm:cxn modelId="{5A665B32-733B-4623-B933-30F6E99C51CE}" srcId="{FC010AF8-DE5C-42C8-B8E0-5CFBB22ABD73}" destId="{814D6ED7-4ADC-49D7-B35D-702FF1B7D417}" srcOrd="8" destOrd="0" parTransId="{5C0AFC2F-4579-43E2-AF84-628BE0766A7A}" sibTransId="{CA307D76-E709-481E-8737-143909A6943B}"/>
    <dgm:cxn modelId="{A3044033-20B7-4C59-BB90-8832CD959749}" srcId="{FC010AF8-DE5C-42C8-B8E0-5CFBB22ABD73}" destId="{DA544F82-69AC-43A3-9F22-BE474F10C3EE}" srcOrd="0" destOrd="0" parTransId="{13E432F3-9ABC-495C-8C56-7FD00CD3E159}" sibTransId="{BD7D34F1-D287-46AB-9156-8BB8CDF7B6CF}"/>
    <dgm:cxn modelId="{24219134-0ACF-4389-AA9D-3AB2FDA02291}" type="presOf" srcId="{FC010AF8-DE5C-42C8-B8E0-5CFBB22ABD73}" destId="{79B2A09D-BF2F-4A6B-A4C5-E504AE384696}" srcOrd="1" destOrd="0" presId="urn:microsoft.com/office/officeart/2005/8/layout/list1#2"/>
    <dgm:cxn modelId="{8D434238-4D82-4111-BFA1-F8828DAAC4C6}" type="presOf" srcId="{B7BF3413-1B8F-4E19-8B6F-4B86D8C20F49}" destId="{3BD31082-5A0A-4B2F-B778-94DA62226926}" srcOrd="0" destOrd="6" presId="urn:microsoft.com/office/officeart/2005/8/layout/list1#2"/>
    <dgm:cxn modelId="{F3389839-D2AF-407A-9240-8F4B93790C63}" srcId="{FC010AF8-DE5C-42C8-B8E0-5CFBB22ABD73}" destId="{3C22F16D-9705-47F7-A125-5108C7BEB4D8}" srcOrd="9" destOrd="0" parTransId="{D16D7D88-4C6C-4678-8015-D6AF1B7D140A}" sibTransId="{B373DBA3-4D0B-4677-83A3-E7A70D6B62D9}"/>
    <dgm:cxn modelId="{BF8FDC39-AD86-47B9-937E-614ABAB0D3E5}" srcId="{F5DFE925-82AF-4475-ACB4-A671200CE193}" destId="{FC010AF8-DE5C-42C8-B8E0-5CFBB22ABD73}" srcOrd="0" destOrd="0" parTransId="{6D64079E-FF85-4B41-BFAD-07495F0FF443}" sibTransId="{FF16E628-1D55-44E0-A971-243E7505E524}"/>
    <dgm:cxn modelId="{D0CF183A-2065-46D4-96A1-610484BA7BB3}" type="presOf" srcId="{7BC8A23F-9C31-493D-A089-55B988A37097}" destId="{FFF8D9A7-AC2E-4E22-ABD0-B7F201AF2D4D}" srcOrd="0" destOrd="3" presId="urn:microsoft.com/office/officeart/2005/8/layout/list1#2"/>
    <dgm:cxn modelId="{AC52F73E-8A1F-4891-8374-B90C1FE23947}" type="presOf" srcId="{ECF4B394-25CE-440A-A721-AD6981407A0A}" destId="{FFF8D9A7-AC2E-4E22-ABD0-B7F201AF2D4D}" srcOrd="0" destOrd="2" presId="urn:microsoft.com/office/officeart/2005/8/layout/list1#2"/>
    <dgm:cxn modelId="{11CF943F-B9F9-489E-8CC0-3B0AF3599A98}" type="presOf" srcId="{BF8946E3-0687-4764-A846-A9F0383DEF76}" destId="{FFF8D9A7-AC2E-4E22-ABD0-B7F201AF2D4D}" srcOrd="0" destOrd="4" presId="urn:microsoft.com/office/officeart/2005/8/layout/list1#2"/>
    <dgm:cxn modelId="{DE6A8145-8020-4AA0-A913-420186ADF25A}" type="presOf" srcId="{9BA210DB-17C3-4FFC-900A-6B735F3A9DFE}" destId="{3BD31082-5A0A-4B2F-B778-94DA62226926}" srcOrd="0" destOrd="2" presId="urn:microsoft.com/office/officeart/2005/8/layout/list1#2"/>
    <dgm:cxn modelId="{F30AD366-3279-43AB-84A3-7784B56F8339}" type="presOf" srcId="{3C22F16D-9705-47F7-A125-5108C7BEB4D8}" destId="{3BD31082-5A0A-4B2F-B778-94DA62226926}" srcOrd="0" destOrd="9" presId="urn:microsoft.com/office/officeart/2005/8/layout/list1#2"/>
    <dgm:cxn modelId="{5B251C68-0D23-4CCF-9441-68133625B268}" srcId="{C8E47129-97F5-43A3-907D-759E2D50539E}" destId="{23FD373E-5AD9-4C9D-A940-6DFBBDBB54C7}" srcOrd="6" destOrd="0" parTransId="{0E4677F5-AC09-48D9-828A-0CC6A4299ABB}" sibTransId="{D5ED902F-882E-49B2-9D1A-ECB6418FA051}"/>
    <dgm:cxn modelId="{CB78C968-3A50-486E-9D9E-545C7F9E8C61}" srcId="{C8E47129-97F5-43A3-907D-759E2D50539E}" destId="{FAE84206-36AD-490C-9572-B901C82E3358}" srcOrd="5" destOrd="0" parTransId="{B02AAA34-EA76-47D4-8BBD-D78D4CBAB167}" sibTransId="{E6490341-BECC-4E49-BACB-BE978F48DC3A}"/>
    <dgm:cxn modelId="{E50FB94B-EF7E-4CEC-A55D-0C9F85928999}" srcId="{C8E47129-97F5-43A3-907D-759E2D50539E}" destId="{BEA438FD-1390-47DA-835C-58EDD61671D5}" srcOrd="1" destOrd="0" parTransId="{45BFB907-970D-4877-A853-C4221A604BA2}" sibTransId="{6979C8FF-E6BF-42BC-BE58-FCA8B5D9ABC4}"/>
    <dgm:cxn modelId="{68B8D86D-21A4-4AE9-AFE0-5E2F3F7E4CD3}" type="presOf" srcId="{026A8B47-E253-4BB7-A8FA-A4CC8F741016}" destId="{3BD31082-5A0A-4B2F-B778-94DA62226926}" srcOrd="0" destOrd="3" presId="urn:microsoft.com/office/officeart/2005/8/layout/list1#2"/>
    <dgm:cxn modelId="{B6D3A250-14C6-422D-8C1C-54C412335D3F}" type="presOf" srcId="{63E1A4A2-0380-4E91-96E5-CBDB44BACE3B}" destId="{3BD31082-5A0A-4B2F-B778-94DA62226926}" srcOrd="0" destOrd="12" presId="urn:microsoft.com/office/officeart/2005/8/layout/list1#2"/>
    <dgm:cxn modelId="{78432251-C9AA-469B-8F88-D38D4A331817}" type="presOf" srcId="{9F93ABBD-AC36-46F5-A247-E95C68B32147}" destId="{BDB3A22A-7C87-4297-9248-CE56924669BE}" srcOrd="0" destOrd="3" presId="urn:microsoft.com/office/officeart/2005/8/layout/list1#2"/>
    <dgm:cxn modelId="{A0A1B675-8875-4B89-A6DB-B92FDFFA25AE}" srcId="{FC010AF8-DE5C-42C8-B8E0-5CFBB22ABD73}" destId="{60F5A411-26F5-4EF0-9040-1D6D4053F605}" srcOrd="1" destOrd="0" parTransId="{8F5F5ED0-D2C5-4671-84CC-3D852B2EAACA}" sibTransId="{565768FF-340A-4258-8C74-A15B5E465082}"/>
    <dgm:cxn modelId="{8C655D76-0876-46D8-ADEF-C707341EC67D}" srcId="{FC010AF8-DE5C-42C8-B8E0-5CFBB22ABD73}" destId="{CAEC597B-E5D2-4C27-81FD-0CD2A4811B95}" srcOrd="11" destOrd="0" parTransId="{49F0E357-AD0D-45D1-B8B7-E82889F1B984}" sibTransId="{98A0012B-8E55-485F-9CA4-2545CB618E20}"/>
    <dgm:cxn modelId="{B3FF697C-2B34-478B-90A9-F7CF5BDA6AA6}" type="presOf" srcId="{C8E47129-97F5-43A3-907D-759E2D50539E}" destId="{F44D4401-E81C-47F3-B4F7-89203D46E2AD}" srcOrd="0" destOrd="0" presId="urn:microsoft.com/office/officeart/2005/8/layout/list1#2"/>
    <dgm:cxn modelId="{D7F82B81-71EA-4776-82FF-29E5E3A974D5}" type="presOf" srcId="{3CFF1ECB-AD09-4F71-9515-3695A5FDDC79}" destId="{1BDD6351-76D9-442C-BFB1-E3A375363DDD}" srcOrd="0" destOrd="0" presId="urn:microsoft.com/office/officeart/2005/8/layout/list1#2"/>
    <dgm:cxn modelId="{FECB8882-9D45-456B-BF71-27DEBCA14CE4}" type="presOf" srcId="{65007593-9887-4BAB-9694-C0B7A42B7B94}" destId="{3BD31082-5A0A-4B2F-B778-94DA62226926}" srcOrd="0" destOrd="4" presId="urn:microsoft.com/office/officeart/2005/8/layout/list1#2"/>
    <dgm:cxn modelId="{8E2E0086-B224-4E6B-8E49-9D6C081FCBC6}" type="presOf" srcId="{DA544F82-69AC-43A3-9F22-BE474F10C3EE}" destId="{3BD31082-5A0A-4B2F-B778-94DA62226926}" srcOrd="0" destOrd="0" presId="urn:microsoft.com/office/officeart/2005/8/layout/list1#2"/>
    <dgm:cxn modelId="{374C4C88-BDB1-45F1-BC52-7C5F0E6BC0AE}" srcId="{3CFF1ECB-AD09-4F71-9515-3695A5FDDC79}" destId="{51E9C99E-3E12-4F0C-98FE-9F7E96D935A2}" srcOrd="1" destOrd="0" parTransId="{940BB5F7-8104-45A5-AADF-5BD21FC838C8}" sibTransId="{40AF19F1-D513-4DD1-9E43-FD6BAEE7A2BF}"/>
    <dgm:cxn modelId="{6E477895-80E3-450B-AD67-D178E13CE6AB}" srcId="{FC010AF8-DE5C-42C8-B8E0-5CFBB22ABD73}" destId="{638C281D-96A2-46BD-AF29-A66B77ACB204}" srcOrd="10" destOrd="0" parTransId="{C669BE9E-E503-4B56-8F1B-DEEB908F17B0}" sibTransId="{F5369309-3848-4ECD-85EB-A0E690E4CD87}"/>
    <dgm:cxn modelId="{F0F6B598-CFEC-4F08-AE21-06D8462B3C5D}" type="presOf" srcId="{C8E47129-97F5-43A3-907D-759E2D50539E}" destId="{57973AED-4ED1-4055-A3DC-7F44880DAF38}" srcOrd="1" destOrd="0" presId="urn:microsoft.com/office/officeart/2005/8/layout/list1#2"/>
    <dgm:cxn modelId="{76B56C9B-721D-468C-AC71-0836A5E8ABD5}" type="presOf" srcId="{C1E80080-160D-413B-BCBD-997EF92799D8}" destId="{BDB3A22A-7C87-4297-9248-CE56924669BE}" srcOrd="0" destOrd="0" presId="urn:microsoft.com/office/officeart/2005/8/layout/list1#2"/>
    <dgm:cxn modelId="{C15B5DA3-6EEB-4BAC-A8D5-8A7289D52CC7}" type="presOf" srcId="{8A6BEAF4-428C-4526-A9FE-B8091945B926}" destId="{3BD31082-5A0A-4B2F-B778-94DA62226926}" srcOrd="0" destOrd="7" presId="urn:microsoft.com/office/officeart/2005/8/layout/list1#2"/>
    <dgm:cxn modelId="{473BDBA3-4369-44CA-BEFD-2B04F8DC6443}" srcId="{FC010AF8-DE5C-42C8-B8E0-5CFBB22ABD73}" destId="{026A8B47-E253-4BB7-A8FA-A4CC8F741016}" srcOrd="3" destOrd="0" parTransId="{6DC3CCCF-F4D6-4BA7-98DE-359C631AA093}" sibTransId="{9306471D-454D-4B21-9830-E1D11F97BB0E}"/>
    <dgm:cxn modelId="{1702AAAF-8DDE-4C0D-9838-F934C377527B}" srcId="{FC010AF8-DE5C-42C8-B8E0-5CFBB22ABD73}" destId="{63E1A4A2-0380-4E91-96E5-CBDB44BACE3B}" srcOrd="12" destOrd="0" parTransId="{46051991-6568-44BC-B85D-238365DDB69E}" sibTransId="{80555732-4A1F-4BED-893D-D3B22202A6B6}"/>
    <dgm:cxn modelId="{8B7E88B1-962F-4E7A-A883-790E083FBAD6}" srcId="{F5DFE925-82AF-4475-ACB4-A671200CE193}" destId="{3CFF1ECB-AD09-4F71-9515-3695A5FDDC79}" srcOrd="1" destOrd="0" parTransId="{A721F087-2EDB-4EB9-889A-6B15CCEC2E54}" sibTransId="{9A7D6B9C-76B1-4955-8CE6-2530CCF932B4}"/>
    <dgm:cxn modelId="{240ED2B5-BF9E-4DB2-81DB-542E12920341}" type="presOf" srcId="{2ED3E739-A565-4502-871B-3782F1F3D092}" destId="{FFF8D9A7-AC2E-4E22-ABD0-B7F201AF2D4D}" srcOrd="0" destOrd="0" presId="urn:microsoft.com/office/officeart/2005/8/layout/list1#2"/>
    <dgm:cxn modelId="{C81A83B7-32CD-4844-A27D-18853EB2245F}" srcId="{F5DFE925-82AF-4475-ACB4-A671200CE193}" destId="{C8E47129-97F5-43A3-907D-759E2D50539E}" srcOrd="2" destOrd="0" parTransId="{598801A2-2CDF-46E2-B99F-2C6DE4CD42A6}" sibTransId="{0E242370-FFEF-409A-91D0-EF80C26E9F89}"/>
    <dgm:cxn modelId="{D4D7A2BA-53AF-4E76-A108-02430829CF16}" srcId="{FC010AF8-DE5C-42C8-B8E0-5CFBB22ABD73}" destId="{9BA210DB-17C3-4FFC-900A-6B735F3A9DFE}" srcOrd="2" destOrd="0" parTransId="{042A6B05-CE29-424C-AE48-272B908AFD54}" sibTransId="{07A04370-D65B-4BDA-9756-DCEA00945DC0}"/>
    <dgm:cxn modelId="{324776BB-FA86-4FAF-8115-0F22B1742B76}" type="presOf" srcId="{3CFF1ECB-AD09-4F71-9515-3695A5FDDC79}" destId="{50DC9E0C-4941-434B-8E64-DD02A686EF99}" srcOrd="1" destOrd="0" presId="urn:microsoft.com/office/officeart/2005/8/layout/list1#2"/>
    <dgm:cxn modelId="{5320B4BE-B8CA-489F-BA66-45DCFE56F0DE}" srcId="{FC010AF8-DE5C-42C8-B8E0-5CFBB22ABD73}" destId="{3BD81492-A027-4728-8CBE-34400D2A6C6D}" srcOrd="13" destOrd="0" parTransId="{9BADE0C9-099B-4F10-A014-C71286B13C34}" sibTransId="{345CF03F-C466-4C32-806C-36737C86E37A}"/>
    <dgm:cxn modelId="{3B64E0C0-E5F1-4EDB-A63E-F3F61A9EDD02}" srcId="{C8E47129-97F5-43A3-907D-759E2D50539E}" destId="{BF8946E3-0687-4764-A846-A9F0383DEF76}" srcOrd="4" destOrd="0" parTransId="{4D46EE42-BF00-4472-B641-67648E4052E7}" sibTransId="{4AF374A4-84AE-41E7-9615-3861419BEF69}"/>
    <dgm:cxn modelId="{183C7FD7-1822-4B69-81DA-38C59D9CB744}" type="presOf" srcId="{FC010AF8-DE5C-42C8-B8E0-5CFBB22ABD73}" destId="{58B846F6-F21D-4188-B6CA-A4E3C15E541F}" srcOrd="0" destOrd="0" presId="urn:microsoft.com/office/officeart/2005/8/layout/list1#2"/>
    <dgm:cxn modelId="{CE40A9D8-4BB7-4DB8-BEB3-F4C755F9E1A7}" type="presOf" srcId="{CAEC597B-E5D2-4C27-81FD-0CD2A4811B95}" destId="{3BD31082-5A0A-4B2F-B778-94DA62226926}" srcOrd="0" destOrd="11" presId="urn:microsoft.com/office/officeart/2005/8/layout/list1#2"/>
    <dgm:cxn modelId="{92B8BAE2-A697-4E70-A0E0-C559F0CEBD65}" type="presOf" srcId="{23FD373E-5AD9-4C9D-A940-6DFBBDBB54C7}" destId="{FFF8D9A7-AC2E-4E22-ABD0-B7F201AF2D4D}" srcOrd="0" destOrd="6" presId="urn:microsoft.com/office/officeart/2005/8/layout/list1#2"/>
    <dgm:cxn modelId="{31C593E5-0D3E-4420-9483-129BD272F5F8}" srcId="{3CFF1ECB-AD09-4F71-9515-3695A5FDDC79}" destId="{C1E80080-160D-413B-BCBD-997EF92799D8}" srcOrd="0" destOrd="0" parTransId="{31EFBDF5-ADA7-4D5C-B6D8-5FC51DD6DB30}" sibTransId="{12351196-D930-43D5-8233-F2267C9BFE33}"/>
    <dgm:cxn modelId="{65E56CE6-67D8-4D8E-A5AE-208B1E2577A9}" type="presOf" srcId="{51E9C99E-3E12-4F0C-98FE-9F7E96D935A2}" destId="{BDB3A22A-7C87-4297-9248-CE56924669BE}" srcOrd="0" destOrd="1" presId="urn:microsoft.com/office/officeart/2005/8/layout/list1#2"/>
    <dgm:cxn modelId="{636C6AE9-0508-42A1-AC2E-1ACA1DDA3879}" srcId="{3CFF1ECB-AD09-4F71-9515-3695A5FDDC79}" destId="{9F93ABBD-AC36-46F5-A247-E95C68B32147}" srcOrd="3" destOrd="0" parTransId="{86193C6A-5B0B-4A40-A9EF-E0A3352D2F65}" sibTransId="{A5D96842-00BE-4547-82F1-4E835118E348}"/>
    <dgm:cxn modelId="{E58C27F0-6C20-46BC-B898-A8BAE199A0FE}" type="presOf" srcId="{638C281D-96A2-46BD-AF29-A66B77ACB204}" destId="{3BD31082-5A0A-4B2F-B778-94DA62226926}" srcOrd="0" destOrd="10" presId="urn:microsoft.com/office/officeart/2005/8/layout/list1#2"/>
    <dgm:cxn modelId="{A17981F2-886B-4E52-9A39-634D0E4E66FE}" srcId="{FC010AF8-DE5C-42C8-B8E0-5CFBB22ABD73}" destId="{65007593-9887-4BAB-9694-C0B7A42B7B94}" srcOrd="4" destOrd="0" parTransId="{4D3B25B7-14B8-4C90-B48D-498B7F6C7D75}" sibTransId="{C5A38B10-6BA9-46FF-90DE-F2C9352854C4}"/>
    <dgm:cxn modelId="{A3CFF5F5-98F9-45CC-8EB4-A91DFD37B6A4}" srcId="{FC010AF8-DE5C-42C8-B8E0-5CFBB22ABD73}" destId="{8A6BEAF4-428C-4526-A9FE-B8091945B926}" srcOrd="7" destOrd="0" parTransId="{88A4F319-73AD-4EE2-9352-39923A1EEBE5}" sibTransId="{3AF4D397-DBB2-4C02-B16C-3793AFDE20FC}"/>
    <dgm:cxn modelId="{2F17AAF6-C33F-4E66-8DB0-BE07B269F1B3}" type="presOf" srcId="{FAE84206-36AD-490C-9572-B901C82E3358}" destId="{FFF8D9A7-AC2E-4E22-ABD0-B7F201AF2D4D}" srcOrd="0" destOrd="5" presId="urn:microsoft.com/office/officeart/2005/8/layout/list1#2"/>
    <dgm:cxn modelId="{A87DB7F7-9F81-4A72-BA22-CF05E1CF9974}" srcId="{C8E47129-97F5-43A3-907D-759E2D50539E}" destId="{ECF4B394-25CE-440A-A721-AD6981407A0A}" srcOrd="2" destOrd="0" parTransId="{AF9186FB-0BF0-4042-80FA-F82B6F0B34A7}" sibTransId="{2DF3C38B-81A4-4F3E-9993-81BDFA5855AF}"/>
    <dgm:cxn modelId="{E4B003F9-99E1-4E8C-BD81-D9A8EBA1E56D}" srcId="{FC010AF8-DE5C-42C8-B8E0-5CFBB22ABD73}" destId="{B7BF3413-1B8F-4E19-8B6F-4B86D8C20F49}" srcOrd="6" destOrd="0" parTransId="{A171602B-A24E-4E93-8B28-41E3E63F378D}" sibTransId="{34C95F34-5B02-47C1-9952-DEFADC137EE2}"/>
    <dgm:cxn modelId="{87B26AC9-B00C-420B-83D9-DEBD2DB0750F}" type="presParOf" srcId="{11B9310B-B5FC-4A88-A755-9998867640C7}" destId="{EED2D33A-E36F-47FF-B672-D2E3A7B4D314}" srcOrd="0" destOrd="0" presId="urn:microsoft.com/office/officeart/2005/8/layout/list1#2"/>
    <dgm:cxn modelId="{E8AECDFC-0E78-49B4-955B-35D7B4EC9B06}" type="presParOf" srcId="{EED2D33A-E36F-47FF-B672-D2E3A7B4D314}" destId="{58B846F6-F21D-4188-B6CA-A4E3C15E541F}" srcOrd="0" destOrd="0" presId="urn:microsoft.com/office/officeart/2005/8/layout/list1#2"/>
    <dgm:cxn modelId="{1ECA9D56-1047-450E-BA9B-72379E30BE50}" type="presParOf" srcId="{EED2D33A-E36F-47FF-B672-D2E3A7B4D314}" destId="{79B2A09D-BF2F-4A6B-A4C5-E504AE384696}" srcOrd="1" destOrd="0" presId="urn:microsoft.com/office/officeart/2005/8/layout/list1#2"/>
    <dgm:cxn modelId="{C238D8F6-0950-498B-AC73-36A23C1D159F}" type="presParOf" srcId="{11B9310B-B5FC-4A88-A755-9998867640C7}" destId="{19F60774-44CF-4CD3-89D0-1BDE082A8820}" srcOrd="1" destOrd="0" presId="urn:microsoft.com/office/officeart/2005/8/layout/list1#2"/>
    <dgm:cxn modelId="{273DA914-CB8D-4F74-8866-E643036190A5}" type="presParOf" srcId="{11B9310B-B5FC-4A88-A755-9998867640C7}" destId="{3BD31082-5A0A-4B2F-B778-94DA62226926}" srcOrd="2" destOrd="0" presId="urn:microsoft.com/office/officeart/2005/8/layout/list1#2"/>
    <dgm:cxn modelId="{FDE64AE7-A6FB-445D-A3C4-EB5B9DBBD1E2}" type="presParOf" srcId="{11B9310B-B5FC-4A88-A755-9998867640C7}" destId="{1842B7DB-F6B0-46A0-9371-BDC71FC02B2E}" srcOrd="3" destOrd="0" presId="urn:microsoft.com/office/officeart/2005/8/layout/list1#2"/>
    <dgm:cxn modelId="{BDC6BB6D-1392-4F8D-8838-786B0C81F635}" type="presParOf" srcId="{11B9310B-B5FC-4A88-A755-9998867640C7}" destId="{2FD6FA92-9AD7-4BEE-A098-B599FF714E0A}" srcOrd="4" destOrd="0" presId="urn:microsoft.com/office/officeart/2005/8/layout/list1#2"/>
    <dgm:cxn modelId="{0B3C043C-6991-4647-B6DA-773CD340061B}" type="presParOf" srcId="{2FD6FA92-9AD7-4BEE-A098-B599FF714E0A}" destId="{1BDD6351-76D9-442C-BFB1-E3A375363DDD}" srcOrd="0" destOrd="0" presId="urn:microsoft.com/office/officeart/2005/8/layout/list1#2"/>
    <dgm:cxn modelId="{3D012A69-297E-4448-A3CA-DC2CC92BC959}" type="presParOf" srcId="{2FD6FA92-9AD7-4BEE-A098-B599FF714E0A}" destId="{50DC9E0C-4941-434B-8E64-DD02A686EF99}" srcOrd="1" destOrd="0" presId="urn:microsoft.com/office/officeart/2005/8/layout/list1#2"/>
    <dgm:cxn modelId="{9C6770AF-44EF-442F-AB1C-BA698F24DC6B}" type="presParOf" srcId="{11B9310B-B5FC-4A88-A755-9998867640C7}" destId="{328F7F53-0254-460A-94A2-31CCC6175C5A}" srcOrd="5" destOrd="0" presId="urn:microsoft.com/office/officeart/2005/8/layout/list1#2"/>
    <dgm:cxn modelId="{7FA52F8B-7424-4B42-9754-45DDB85EF167}" type="presParOf" srcId="{11B9310B-B5FC-4A88-A755-9998867640C7}" destId="{BDB3A22A-7C87-4297-9248-CE56924669BE}" srcOrd="6" destOrd="0" presId="urn:microsoft.com/office/officeart/2005/8/layout/list1#2"/>
    <dgm:cxn modelId="{AB56E9F0-D485-447D-B148-E3105017CC66}" type="presParOf" srcId="{11B9310B-B5FC-4A88-A755-9998867640C7}" destId="{28513FC6-F91E-4740-AB1F-AB6C802A6399}" srcOrd="7" destOrd="0" presId="urn:microsoft.com/office/officeart/2005/8/layout/list1#2"/>
    <dgm:cxn modelId="{3341DB02-3A11-40FA-90D8-5B8356327CF2}" type="presParOf" srcId="{11B9310B-B5FC-4A88-A755-9998867640C7}" destId="{F855FB40-0957-4755-96F1-9A0A6ECF294A}" srcOrd="8" destOrd="0" presId="urn:microsoft.com/office/officeart/2005/8/layout/list1#2"/>
    <dgm:cxn modelId="{06A6D829-C991-4EA2-B5DE-E2B5485E2499}" type="presParOf" srcId="{F855FB40-0957-4755-96F1-9A0A6ECF294A}" destId="{F44D4401-E81C-47F3-B4F7-89203D46E2AD}" srcOrd="0" destOrd="0" presId="urn:microsoft.com/office/officeart/2005/8/layout/list1#2"/>
    <dgm:cxn modelId="{449BE628-5A13-48C2-90E1-D8617E3B7980}" type="presParOf" srcId="{F855FB40-0957-4755-96F1-9A0A6ECF294A}" destId="{57973AED-4ED1-4055-A3DC-7F44880DAF38}" srcOrd="1" destOrd="0" presId="urn:microsoft.com/office/officeart/2005/8/layout/list1#2"/>
    <dgm:cxn modelId="{B04C0D4A-EB13-4B1F-9115-D48939A71955}" type="presParOf" srcId="{11B9310B-B5FC-4A88-A755-9998867640C7}" destId="{A6C726A9-98E7-4D72-B51D-9760A593AFA4}" srcOrd="9" destOrd="0" presId="urn:microsoft.com/office/officeart/2005/8/layout/list1#2"/>
    <dgm:cxn modelId="{C685CCF2-5162-48B9-8038-CA1EC3E52D2F}" type="presParOf" srcId="{11B9310B-B5FC-4A88-A755-9998867640C7}" destId="{FFF8D9A7-AC2E-4E22-ABD0-B7F201AF2D4D}" srcOrd="10" destOrd="0" presId="urn:microsoft.com/office/officeart/2005/8/layout/list1#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BCAB9F-8C8A-4DD3-BFB9-DF50E81834C0}">
      <dsp:nvSpPr>
        <dsp:cNvPr id="0" name=""/>
        <dsp:cNvSpPr/>
      </dsp:nvSpPr>
      <dsp:spPr>
        <a:xfrm>
          <a:off x="0" y="647"/>
          <a:ext cx="5611495" cy="0"/>
        </a:xfrm>
        <a:prstGeom prst="line">
          <a:avLst/>
        </a:prstGeom>
        <a:gradFill rotWithShape="0">
          <a:gsLst>
            <a:gs pos="0">
              <a:schemeClr val="accent5">
                <a:alpha val="90000"/>
                <a:hueOff val="0"/>
                <a:satOff val="0"/>
                <a:lumOff val="0"/>
                <a:alphaOff val="0"/>
                <a:tint val="96000"/>
                <a:lumMod val="100000"/>
              </a:schemeClr>
            </a:gs>
            <a:gs pos="78000">
              <a:schemeClr val="accent5">
                <a:alpha val="90000"/>
                <a:hueOff val="0"/>
                <a:satOff val="0"/>
                <a:lumOff val="0"/>
                <a:alphaOff val="0"/>
                <a:shade val="94000"/>
                <a:lumMod val="94000"/>
              </a:schemeClr>
            </a:gs>
          </a:gsLst>
          <a:lin ang="5400000" scaled="0"/>
        </a:gradFill>
        <a:ln w="12700" cap="rnd" cmpd="sng" algn="ctr">
          <a:solidFill>
            <a:schemeClr val="accent5">
              <a:alpha val="90000"/>
              <a:hueOff val="0"/>
              <a:satOff val="0"/>
              <a:lumOff val="0"/>
              <a:alphaOff val="0"/>
            </a:schemeClr>
          </a:solidFill>
          <a:prstDash val="solid"/>
        </a:ln>
        <a:effectLst>
          <a:outerShdw blurRad="38100" dist="254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059A85D5-3093-4A4D-912D-E5E0128E46C5}">
      <dsp:nvSpPr>
        <dsp:cNvPr id="0" name=""/>
        <dsp:cNvSpPr/>
      </dsp:nvSpPr>
      <dsp:spPr>
        <a:xfrm>
          <a:off x="0" y="647"/>
          <a:ext cx="5611495" cy="4417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Font typeface="Cambria" panose="02040503050406030204" pitchFamily="18" charset="0"/>
            <a:buNone/>
          </a:pPr>
          <a:r>
            <a:rPr lang="hr-HR" sz="1200" b="0" kern="1200">
              <a:latin typeface="Times New Roman" panose="02020603050405020304" charset="0"/>
              <a:cs typeface="Times New Roman" panose="02020603050405020304" charset="0"/>
            </a:rPr>
            <a:t>planiranje i gradnja novih zgrada u skladu s kružnim gospodarstvom</a:t>
          </a:r>
          <a:endParaRPr lang="hr-HR" sz="1200" kern="1200">
            <a:latin typeface="Times New Roman" panose="02020603050405020304" charset="0"/>
            <a:cs typeface="Times New Roman" panose="02020603050405020304" charset="0"/>
          </a:endParaRPr>
        </a:p>
      </dsp:txBody>
      <dsp:txXfrm>
        <a:off x="0" y="647"/>
        <a:ext cx="5611495" cy="441739"/>
      </dsp:txXfrm>
    </dsp:sp>
    <dsp:sp modelId="{8F1FD2F6-3A2D-4EF8-93A2-D071668901D8}">
      <dsp:nvSpPr>
        <dsp:cNvPr id="0" name=""/>
        <dsp:cNvSpPr/>
      </dsp:nvSpPr>
      <dsp:spPr>
        <a:xfrm>
          <a:off x="0" y="442387"/>
          <a:ext cx="5611495" cy="0"/>
        </a:xfrm>
        <a:prstGeom prst="line">
          <a:avLst/>
        </a:prstGeom>
        <a:gradFill rotWithShape="0">
          <a:gsLst>
            <a:gs pos="0">
              <a:schemeClr val="accent5">
                <a:alpha val="90000"/>
                <a:hueOff val="0"/>
                <a:satOff val="0"/>
                <a:lumOff val="0"/>
                <a:alphaOff val="-20000"/>
                <a:tint val="96000"/>
                <a:lumMod val="100000"/>
              </a:schemeClr>
            </a:gs>
            <a:gs pos="78000">
              <a:schemeClr val="accent5">
                <a:alpha val="90000"/>
                <a:hueOff val="0"/>
                <a:satOff val="0"/>
                <a:lumOff val="0"/>
                <a:alphaOff val="-20000"/>
                <a:shade val="94000"/>
                <a:lumMod val="94000"/>
              </a:schemeClr>
            </a:gs>
          </a:gsLst>
          <a:lin ang="5400000" scaled="0"/>
        </a:gradFill>
        <a:ln w="12700" cap="rnd" cmpd="sng" algn="ctr">
          <a:solidFill>
            <a:schemeClr val="accent5">
              <a:alpha val="90000"/>
              <a:hueOff val="0"/>
              <a:satOff val="0"/>
              <a:lumOff val="0"/>
              <a:alphaOff val="-20000"/>
            </a:schemeClr>
          </a:solidFill>
          <a:prstDash val="solid"/>
        </a:ln>
        <a:effectLst>
          <a:outerShdw blurRad="38100" dist="254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62ED3A6A-3F56-40E0-BFF9-95B27CC42053}">
      <dsp:nvSpPr>
        <dsp:cNvPr id="0" name=""/>
        <dsp:cNvSpPr/>
      </dsp:nvSpPr>
      <dsp:spPr>
        <a:xfrm>
          <a:off x="0" y="442387"/>
          <a:ext cx="5611495" cy="4417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Cambria" panose="02040503050406030204" pitchFamily="18" charset="0"/>
            <a:buNone/>
          </a:pPr>
          <a:r>
            <a:rPr lang="hr-HR" sz="1100" b="0" kern="1200">
              <a:latin typeface="Calibri" panose="020F0502020204030204" pitchFamily="2" charset="0"/>
              <a:cs typeface="Calibri" panose="020F0502020204030204" pitchFamily="2" charset="0"/>
            </a:rPr>
            <a:t> </a:t>
          </a:r>
          <a:r>
            <a:rPr lang="hr-HR" sz="1200" b="0" kern="1200">
              <a:latin typeface="Times New Roman" panose="02020603050405020304" charset="0"/>
              <a:cs typeface="Times New Roman" panose="02020603050405020304" charset="0"/>
            </a:rPr>
            <a:t>revitalizacija i obnova nekorištenih prostora i zgrada</a:t>
          </a:r>
          <a:endParaRPr lang="hr-HR" sz="1200" kern="1200">
            <a:latin typeface="Times New Roman" panose="02020603050405020304" charset="0"/>
            <a:cs typeface="Times New Roman" panose="02020603050405020304" charset="0"/>
          </a:endParaRPr>
        </a:p>
      </dsp:txBody>
      <dsp:txXfrm>
        <a:off x="0" y="442387"/>
        <a:ext cx="5611495" cy="441739"/>
      </dsp:txXfrm>
    </dsp:sp>
    <dsp:sp modelId="{EB6A19B3-8EE9-4E1C-B305-C0BAA30289BD}">
      <dsp:nvSpPr>
        <dsp:cNvPr id="0" name=""/>
        <dsp:cNvSpPr/>
      </dsp:nvSpPr>
      <dsp:spPr>
        <a:xfrm>
          <a:off x="0" y="884127"/>
          <a:ext cx="5611495" cy="0"/>
        </a:xfrm>
        <a:prstGeom prst="line">
          <a:avLst/>
        </a:prstGeom>
        <a:gradFill rotWithShape="0">
          <a:gsLst>
            <a:gs pos="0">
              <a:schemeClr val="accent5">
                <a:alpha val="90000"/>
                <a:hueOff val="0"/>
                <a:satOff val="0"/>
                <a:lumOff val="0"/>
                <a:alphaOff val="-40000"/>
                <a:tint val="96000"/>
                <a:lumMod val="100000"/>
              </a:schemeClr>
            </a:gs>
            <a:gs pos="78000">
              <a:schemeClr val="accent5">
                <a:alpha val="90000"/>
                <a:hueOff val="0"/>
                <a:satOff val="0"/>
                <a:lumOff val="0"/>
                <a:alphaOff val="-40000"/>
                <a:shade val="94000"/>
                <a:lumMod val="94000"/>
              </a:schemeClr>
            </a:gs>
          </a:gsLst>
          <a:lin ang="5400000" scaled="0"/>
        </a:gradFill>
        <a:ln w="12700" cap="rnd" cmpd="sng" algn="ctr">
          <a:solidFill>
            <a:schemeClr val="accent5">
              <a:alpha val="90000"/>
              <a:hueOff val="0"/>
              <a:satOff val="0"/>
              <a:lumOff val="0"/>
              <a:alphaOff val="-40000"/>
            </a:schemeClr>
          </a:solidFill>
          <a:prstDash val="solid"/>
        </a:ln>
        <a:effectLst>
          <a:outerShdw blurRad="38100" dist="254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93F80FF3-1FE3-4931-A114-CEA80B9A943E}">
      <dsp:nvSpPr>
        <dsp:cNvPr id="0" name=""/>
        <dsp:cNvSpPr/>
      </dsp:nvSpPr>
      <dsp:spPr>
        <a:xfrm>
          <a:off x="0" y="884127"/>
          <a:ext cx="5611495" cy="4417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Font typeface="Cambria" panose="02040503050406030204" pitchFamily="18" charset="0"/>
            <a:buNone/>
          </a:pPr>
          <a:r>
            <a:rPr lang="hr-HR" sz="1200" b="0" kern="1200">
              <a:latin typeface="Times New Roman" panose="02020603050405020304" charset="0"/>
              <a:cs typeface="Times New Roman" panose="02020603050405020304" charset="0"/>
            </a:rPr>
            <a:t>kružna obnova i reprogramiranje korištenih prostora i zgrada</a:t>
          </a:r>
          <a:endParaRPr lang="hr-HR" sz="1200" b="1" kern="1200">
            <a:latin typeface="Times New Roman" panose="02020603050405020304" charset="0"/>
            <a:cs typeface="Times New Roman" panose="02020603050405020304" charset="0"/>
          </a:endParaRPr>
        </a:p>
      </dsp:txBody>
      <dsp:txXfrm>
        <a:off x="0" y="884127"/>
        <a:ext cx="5611495" cy="4417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D31082-5A0A-4B2F-B778-94DA62226926}">
      <dsp:nvSpPr>
        <dsp:cNvPr id="0" name=""/>
        <dsp:cNvSpPr/>
      </dsp:nvSpPr>
      <dsp:spPr>
        <a:xfrm>
          <a:off x="0" y="76829"/>
          <a:ext cx="6006465" cy="3029774"/>
        </a:xfrm>
        <a:prstGeom prst="rect">
          <a:avLst/>
        </a:prstGeom>
        <a:solidFill>
          <a:schemeClr val="lt1">
            <a:alpha val="90000"/>
            <a:hueOff val="0"/>
            <a:satOff val="0"/>
            <a:lumOff val="0"/>
            <a:alphaOff val="0"/>
          </a:schemeClr>
        </a:solidFill>
        <a:ln w="19050" cap="rnd"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6168" tIns="167624" rIns="466168" bIns="85344" numCol="1" spcCol="1270" anchor="t" anchorCtr="0">
          <a:noAutofit/>
        </a:bodyPr>
        <a:lstStyle/>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povećanje broja ponovno korištenih prostora i zgrada</a:t>
          </a:r>
        </a:p>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povećanje trajnosti, stabilnosti i sigurnosti zgrada i bolja energetska učinkovitosti istih</a:t>
          </a:r>
        </a:p>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povećanje broja multifunkcionalno korištenih prostora i zgrada</a:t>
          </a:r>
        </a:p>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smanjenje ugljičnog otiska zgrada</a:t>
          </a:r>
        </a:p>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povećanje inovativnosti u razvoju novih materijala iz sekundarnih i recikliranih sirovina (kružnost materijala)</a:t>
          </a:r>
        </a:p>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otpornost zgrada na očekivane klimatske promjene i katastrofalne događaje</a:t>
          </a:r>
        </a:p>
        <a:p>
          <a:pPr marL="36195"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smanjenje potrošnje energije </a:t>
          </a:r>
        </a:p>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razvoj lokalnih energetskih mreža</a:t>
          </a:r>
        </a:p>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kružna upotreba vode (kišnica, tehnička voda)</a:t>
          </a:r>
        </a:p>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smanjenje zagađenja zemlje, vode i zraka </a:t>
          </a:r>
        </a:p>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razvoj zelene infrastrukture u urbanim područjima</a:t>
          </a:r>
        </a:p>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usporavanje širenja / kontrolirano širenje građevinskih područja </a:t>
          </a:r>
        </a:p>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očuvanje okoliša </a:t>
          </a:r>
        </a:p>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smanjene količine građevnog otpada</a:t>
          </a:r>
        </a:p>
      </dsp:txBody>
      <dsp:txXfrm>
        <a:off x="0" y="76829"/>
        <a:ext cx="6006465" cy="3029774"/>
      </dsp:txXfrm>
    </dsp:sp>
    <dsp:sp modelId="{79B2A09D-BF2F-4A6B-A4C5-E504AE384696}">
      <dsp:nvSpPr>
        <dsp:cNvPr id="0" name=""/>
        <dsp:cNvSpPr/>
      </dsp:nvSpPr>
      <dsp:spPr>
        <a:xfrm>
          <a:off x="300323" y="4397"/>
          <a:ext cx="4204525" cy="144863"/>
        </a:xfrm>
        <a:prstGeom prst="roundRect">
          <a:avLst/>
        </a:prstGeom>
        <a:solidFill>
          <a:schemeClr val="accent4">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921" tIns="0" rIns="158921" bIns="0" numCol="1" spcCol="1270" anchor="ctr" anchorCtr="0">
          <a:noAutofit/>
        </a:bodyPr>
        <a:lstStyle/>
        <a:p>
          <a:pPr marL="0" lvl="0" indent="0" algn="l" defTabSz="533400">
            <a:lnSpc>
              <a:spcPct val="90000"/>
            </a:lnSpc>
            <a:spcBef>
              <a:spcPct val="0"/>
            </a:spcBef>
            <a:spcAft>
              <a:spcPct val="35000"/>
            </a:spcAft>
            <a:buNone/>
          </a:pPr>
          <a:r>
            <a:rPr lang="hr-HR" sz="1200" b="1" kern="1200">
              <a:latin typeface="Times New Roman" panose="02020603050405020304" charset="0"/>
              <a:cs typeface="Times New Roman" panose="02020603050405020304" charset="0"/>
            </a:rPr>
            <a:t>Okolišne</a:t>
          </a:r>
          <a:endParaRPr lang="hr-HR" sz="1200" kern="1200">
            <a:latin typeface="Times New Roman" panose="02020603050405020304" charset="0"/>
            <a:cs typeface="Times New Roman" panose="02020603050405020304" charset="0"/>
          </a:endParaRPr>
        </a:p>
      </dsp:txBody>
      <dsp:txXfrm>
        <a:off x="307395" y="11469"/>
        <a:ext cx="4190381" cy="130719"/>
      </dsp:txXfrm>
    </dsp:sp>
    <dsp:sp modelId="{BDB3A22A-7C87-4297-9248-CE56924669BE}">
      <dsp:nvSpPr>
        <dsp:cNvPr id="0" name=""/>
        <dsp:cNvSpPr/>
      </dsp:nvSpPr>
      <dsp:spPr>
        <a:xfrm>
          <a:off x="0" y="3205535"/>
          <a:ext cx="6006465" cy="896565"/>
        </a:xfrm>
        <a:prstGeom prst="rect">
          <a:avLst/>
        </a:prstGeom>
        <a:solidFill>
          <a:schemeClr val="lt1">
            <a:alpha val="90000"/>
            <a:hueOff val="0"/>
            <a:satOff val="0"/>
            <a:lumOff val="0"/>
            <a:alphaOff val="0"/>
          </a:schemeClr>
        </a:solidFill>
        <a:ln w="19050" cap="rnd" cmpd="sng" algn="ctr">
          <a:solidFill>
            <a:schemeClr val="accent4">
              <a:hueOff val="-4135930"/>
              <a:satOff val="23223"/>
              <a:lumOff val="-107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6168" tIns="167624" rIns="466168" bIns="85344" numCol="1" spcCol="1270" anchor="t" anchorCtr="0">
          <a:noAutofit/>
        </a:bodyPr>
        <a:lstStyle/>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gospodarska stabilnost temeljem neovisnosti o primarnim sirovinama </a:t>
          </a:r>
        </a:p>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ekonomski rast temeljem veće vrijednosti i dostupnosti materijala</a:t>
          </a:r>
        </a:p>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povećanje stope zaposlenosti</a:t>
          </a:r>
        </a:p>
        <a:p>
          <a:pPr marL="114300" lvl="1" indent="-114300" algn="just"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troškovno optimizirani cjeloživotni vijek zgrada</a:t>
          </a:r>
        </a:p>
      </dsp:txBody>
      <dsp:txXfrm>
        <a:off x="0" y="3205535"/>
        <a:ext cx="6006465" cy="896565"/>
      </dsp:txXfrm>
    </dsp:sp>
    <dsp:sp modelId="{50DC9E0C-4941-434B-8E64-DD02A686EF99}">
      <dsp:nvSpPr>
        <dsp:cNvPr id="0" name=""/>
        <dsp:cNvSpPr/>
      </dsp:nvSpPr>
      <dsp:spPr>
        <a:xfrm>
          <a:off x="300323" y="3133103"/>
          <a:ext cx="4204525" cy="144863"/>
        </a:xfrm>
        <a:prstGeom prst="roundRect">
          <a:avLst/>
        </a:prstGeom>
        <a:solidFill>
          <a:schemeClr val="accent4">
            <a:hueOff val="-4135930"/>
            <a:satOff val="23223"/>
            <a:lumOff val="-1078"/>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921" tIns="0" rIns="158921" bIns="0" numCol="1" spcCol="1270" anchor="ctr" anchorCtr="0">
          <a:noAutofit/>
        </a:bodyPr>
        <a:lstStyle/>
        <a:p>
          <a:pPr marL="0" lvl="0" indent="0" algn="l" defTabSz="533400">
            <a:lnSpc>
              <a:spcPct val="90000"/>
            </a:lnSpc>
            <a:spcBef>
              <a:spcPct val="0"/>
            </a:spcBef>
            <a:spcAft>
              <a:spcPct val="35000"/>
            </a:spcAft>
            <a:buNone/>
          </a:pPr>
          <a:r>
            <a:rPr lang="hr-HR" sz="1200" b="1" kern="1200">
              <a:latin typeface="Times New Roman" panose="02020603050405020304" charset="0"/>
              <a:cs typeface="Times New Roman" panose="02020603050405020304" charset="0"/>
            </a:rPr>
            <a:t>Ekonomske</a:t>
          </a:r>
          <a:endParaRPr lang="hr-HR" sz="1200" kern="1200">
            <a:latin typeface="Times New Roman" panose="02020603050405020304" charset="0"/>
            <a:cs typeface="Times New Roman" panose="02020603050405020304" charset="0"/>
          </a:endParaRPr>
        </a:p>
      </dsp:txBody>
      <dsp:txXfrm>
        <a:off x="307395" y="3140175"/>
        <a:ext cx="4190381" cy="130719"/>
      </dsp:txXfrm>
    </dsp:sp>
    <dsp:sp modelId="{FFF8D9A7-AC2E-4E22-ABD0-B7F201AF2D4D}">
      <dsp:nvSpPr>
        <dsp:cNvPr id="0" name=""/>
        <dsp:cNvSpPr/>
      </dsp:nvSpPr>
      <dsp:spPr>
        <a:xfrm>
          <a:off x="0" y="4201032"/>
          <a:ext cx="6006465" cy="1453055"/>
        </a:xfrm>
        <a:prstGeom prst="rect">
          <a:avLst/>
        </a:prstGeom>
        <a:solidFill>
          <a:schemeClr val="lt1">
            <a:alpha val="90000"/>
            <a:hueOff val="0"/>
            <a:satOff val="0"/>
            <a:lumOff val="0"/>
            <a:alphaOff val="0"/>
          </a:schemeClr>
        </a:solidFill>
        <a:ln w="19050" cap="rnd" cmpd="sng" algn="ctr">
          <a:solidFill>
            <a:schemeClr val="accent4">
              <a:hueOff val="-8271860"/>
              <a:satOff val="46445"/>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6168" tIns="167624" rIns="466168" bIns="85344" numCol="1" spcCol="1270" anchor="t" anchorCtr="0">
          <a:noAutofit/>
        </a:bodyPr>
        <a:lstStyle/>
        <a:p>
          <a:pPr marL="114300" lvl="1" indent="-114300" algn="l"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podizanje društvene svijesti o održivom okolišu</a:t>
          </a:r>
        </a:p>
        <a:p>
          <a:pPr marL="114300" lvl="1" indent="-114300" algn="l"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povećanje socijalne interakcije ljudi </a:t>
          </a:r>
        </a:p>
        <a:p>
          <a:pPr marL="114300" lvl="1" indent="-114300" algn="l"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poboljšanje zdravlja i dobrobiti ljudi</a:t>
          </a:r>
        </a:p>
        <a:p>
          <a:pPr marL="114300" lvl="1" indent="-114300" algn="l"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povećanje pristupačnosti</a:t>
          </a:r>
        </a:p>
        <a:p>
          <a:pPr marL="114300" lvl="1" indent="-114300" algn="l"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povećanje sigurnosti </a:t>
          </a:r>
        </a:p>
        <a:p>
          <a:pPr marL="114300" lvl="1" indent="-114300" algn="l"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podizanje društvene svijesti o načelima kružne ekonomije</a:t>
          </a:r>
        </a:p>
        <a:p>
          <a:pPr marL="114300" lvl="1" indent="-114300" algn="l" defTabSz="533400">
            <a:lnSpc>
              <a:spcPct val="90000"/>
            </a:lnSpc>
            <a:spcBef>
              <a:spcPct val="0"/>
            </a:spcBef>
            <a:spcAft>
              <a:spcPct val="15000"/>
            </a:spcAft>
            <a:buChar char="•"/>
          </a:pPr>
          <a:r>
            <a:rPr lang="hr-HR" sz="1200" kern="1200">
              <a:latin typeface="Times New Roman" panose="02020603050405020304" charset="0"/>
              <a:cs typeface="Times New Roman" panose="02020603050405020304" charset="0"/>
            </a:rPr>
            <a:t>očuvanje kulturnih i društvenih vrijednosti</a:t>
          </a:r>
        </a:p>
      </dsp:txBody>
      <dsp:txXfrm>
        <a:off x="0" y="4201032"/>
        <a:ext cx="6006465" cy="1453055"/>
      </dsp:txXfrm>
    </dsp:sp>
    <dsp:sp modelId="{57973AED-4ED1-4055-A3DC-7F44880DAF38}">
      <dsp:nvSpPr>
        <dsp:cNvPr id="0" name=""/>
        <dsp:cNvSpPr/>
      </dsp:nvSpPr>
      <dsp:spPr>
        <a:xfrm>
          <a:off x="300323" y="4128600"/>
          <a:ext cx="4204525" cy="144863"/>
        </a:xfrm>
        <a:prstGeom prst="roundRect">
          <a:avLst/>
        </a:prstGeom>
        <a:solidFill>
          <a:schemeClr val="accent4">
            <a:hueOff val="-8271860"/>
            <a:satOff val="46445"/>
            <a:lumOff val="-2156"/>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921" tIns="0" rIns="158921" bIns="0" numCol="1" spcCol="1270" anchor="ctr" anchorCtr="0">
          <a:noAutofit/>
        </a:bodyPr>
        <a:lstStyle/>
        <a:p>
          <a:pPr marL="0" lvl="0" indent="0" algn="l" defTabSz="533400">
            <a:lnSpc>
              <a:spcPct val="90000"/>
            </a:lnSpc>
            <a:spcBef>
              <a:spcPct val="0"/>
            </a:spcBef>
            <a:spcAft>
              <a:spcPct val="35000"/>
            </a:spcAft>
            <a:buNone/>
          </a:pPr>
          <a:r>
            <a:rPr lang="hr-HR" sz="1200" b="1" kern="1200">
              <a:latin typeface="Times New Roman" panose="02020603050405020304" charset="0"/>
              <a:cs typeface="Times New Roman" panose="02020603050405020304" charset="0"/>
            </a:rPr>
            <a:t>Društvene</a:t>
          </a:r>
          <a:endParaRPr lang="hr-HR" sz="1200" kern="1200">
            <a:latin typeface="Times New Roman" panose="02020603050405020304" charset="0"/>
            <a:cs typeface="Times New Roman" panose="02020603050405020304" charset="0"/>
          </a:endParaRPr>
        </a:p>
      </dsp:txBody>
      <dsp:txXfrm>
        <a:off x="307395" y="4135672"/>
        <a:ext cx="4190381" cy="130719"/>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list1#2">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rSet qsTypeId="urn:microsoft.com/office/officeart/2005/8/quickstyle/simple5"/>
        </dgm:pt>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2">
  <dgm:title val=""/>
  <dgm:desc val=""/>
  <dgm:catLst>
    <dgm:cat type="simple" pri="104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Faseta">
  <a:themeElements>
    <a:clrScheme name="Mlazno strujanje">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Faseta">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seta">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4.xml><?xml version="1.0" encoding="utf-8"?>
<ct:contentTypeSchema xmlns:ct="http://schemas.microsoft.com/office/2006/metadata/contentType" xmlns:ma="http://schemas.microsoft.com/office/2006/metadata/properties/metaAttributes" ct:_="" ma:_="" ma:contentTypeName="Dokument" ma:contentTypeID="0x010100541124BC30C24E42BCFF698328276702" ma:contentTypeVersion="14" ma:contentTypeDescription="Stvaranje novog dokumenta." ma:contentTypeScope="" ma:versionID="c5aa084a5a7bac768bead6529d27070e">
  <xsd:schema xmlns:xsd="http://www.w3.org/2001/XMLSchema" xmlns:xs="http://www.w3.org/2001/XMLSchema" xmlns:p="http://schemas.microsoft.com/office/2006/metadata/properties" xmlns:ns1="http://schemas.microsoft.com/sharepoint/v3" xmlns:ns2="b79bbf72-da78-429d-b3af-e70e85e72d43" xmlns:ns3="e7e76099-6754-463c-9cf2-a42a0296b652" targetNamespace="http://schemas.microsoft.com/office/2006/metadata/properties" ma:root="true" ma:fieldsID="203ebaa66fac46843b992645638cd5a5" ns1:_="" ns2:_="" ns3:_="">
    <xsd:import namespace="http://schemas.microsoft.com/sharepoint/v3"/>
    <xsd:import namespace="b79bbf72-da78-429d-b3af-e70e85e72d43"/>
    <xsd:import namespace="e7e76099-6754-463c-9cf2-a42a0296b65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Svojstva jedinstvenog pravilnika za usklađivanje" ma:hidden="true" ma:internalName="_ip_UnifiedCompliancePolicyProperties">
      <xsd:simpleType>
        <xsd:restriction base="dms:Note"/>
      </xsd:simpleType>
    </xsd:element>
    <xsd:element name="_ip_UnifiedCompliancePolicyUIAction" ma:index="21" nillable="true" ma:displayName="Radnja korisničkog sučelja jedinstvenog pravilnika za usklađivanj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9bbf72-da78-429d-b3af-e70e85e72d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e76099-6754-463c-9cf2-a42a0296b652" elementFormDefault="qualified">
    <xsd:import namespace="http://schemas.microsoft.com/office/2006/documentManagement/types"/>
    <xsd:import namespace="http://schemas.microsoft.com/office/infopath/2007/PartnerControls"/>
    <xsd:element name="SharedWithUsers" ma:index="18"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ji o zajedničkom korištenju"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b:Source>
    <b:Tag>Pro19</b:Tag>
    <b:SourceType>Report</b:SourceType>
    <b:Guid>{061E1534-0ED6-43D1-AA35-A385F7A49A49}</b:Guid>
    <b:Title>Program suzbijanja energetskog siromaštva koji uključuje korištenje obnovljivih izvora energije u stambenim zgradama na potpomognutim područjima i područjima posebne državne skrbi za razdoblje 2019. – 2021. godine</b:Title>
    <b:Year>2019</b:Year>
    <b:Publisher>MGIPU</b:Publisher>
    <b:City>Zagreb</b:City>
    <b:RefOrder>18</b:RefOrder>
  </b:Source>
</b:Sources>
</file>

<file path=customXml/itemProps1.xml><?xml version="1.0" encoding="utf-8"?>
<ds:datastoreItem xmlns:ds="http://schemas.openxmlformats.org/officeDocument/2006/customXml" ds:itemID="{6BD9776F-5B4D-46E6-B366-B0D469C0A56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9D03669-2D5F-417D-9081-9F5E4906E273}">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DF44AF35-55B2-4017-8A78-A942CCAA45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79bbf72-da78-429d-b3af-e70e85e72d43"/>
    <ds:schemaRef ds:uri="e7e76099-6754-463c-9cf2-a42a0296b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2BE0E7A-6E15-4D80-A0BF-593F80858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86</Pages>
  <Words>36166</Words>
  <Characters>206148</Characters>
  <Application>Microsoft Office Word</Application>
  <DocSecurity>0</DocSecurity>
  <Lines>1717</Lines>
  <Paragraphs>483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Anka Javora</dc:creator>
  <cp:lastModifiedBy>MPGI</cp:lastModifiedBy>
  <cp:revision>19</cp:revision>
  <cp:lastPrinted>2021-03-01T13:35:00Z</cp:lastPrinted>
  <dcterms:created xsi:type="dcterms:W3CDTF">2021-06-14T10:39:00Z</dcterms:created>
  <dcterms:modified xsi:type="dcterms:W3CDTF">2021-06-14T11:13:00Z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0x010100541124BC30C24E42BCFF698328276702</vt:lpwstr>
  </property>
  <property fmtid="{D5CDD505-2E9C-101B-9397-08002B2CF9AE}" pid="3" name="KSOProductBuildVer">
    <vt:lpwstr>1033-11.2.0.10114</vt:lpwstr>
  </property>
</Properties>
</file>