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8401FA" w14:paraId="04D6E18D" w14:textId="77777777" w:rsidTr="00DC2F13">
        <w:trPr>
          <w:jc w:val="center"/>
        </w:trPr>
        <w:tc>
          <w:tcPr>
            <w:tcW w:w="9923" w:type="dxa"/>
            <w:gridSpan w:val="4"/>
            <w:shd w:val="clear" w:color="auto" w:fill="auto"/>
          </w:tcPr>
          <w:p w14:paraId="25BCF34E" w14:textId="77777777" w:rsidR="000213BB" w:rsidRPr="008401FA" w:rsidRDefault="000213BB" w:rsidP="00FD4E84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8401FA">
              <w:rPr>
                <w:b/>
                <w:szCs w:val="24"/>
              </w:rPr>
              <w:t>PRILOG 5.</w:t>
            </w:r>
          </w:p>
          <w:p w14:paraId="5CCECE8D" w14:textId="77777777" w:rsidR="000213BB" w:rsidRPr="008401FA" w:rsidRDefault="000213BB" w:rsidP="00FD4E84">
            <w:pPr>
              <w:jc w:val="center"/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OBRAZAC NAKNADNE PROCJENE UČINAKA PROPISA</w:t>
            </w:r>
          </w:p>
        </w:tc>
      </w:tr>
      <w:tr w:rsidR="000213BB" w:rsidRPr="008401FA" w14:paraId="2778BD86" w14:textId="77777777" w:rsidTr="00DC2F13">
        <w:trPr>
          <w:jc w:val="center"/>
        </w:trPr>
        <w:tc>
          <w:tcPr>
            <w:tcW w:w="851" w:type="dxa"/>
          </w:tcPr>
          <w:p w14:paraId="42978808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1.</w:t>
            </w:r>
          </w:p>
        </w:tc>
        <w:tc>
          <w:tcPr>
            <w:tcW w:w="9072" w:type="dxa"/>
            <w:gridSpan w:val="3"/>
          </w:tcPr>
          <w:p w14:paraId="4A4A8262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OPĆE INFORMACIJE</w:t>
            </w:r>
          </w:p>
        </w:tc>
      </w:tr>
      <w:tr w:rsidR="000213BB" w:rsidRPr="008401FA" w14:paraId="238BDEE1" w14:textId="77777777" w:rsidTr="00DC2F13">
        <w:trPr>
          <w:jc w:val="center"/>
        </w:trPr>
        <w:tc>
          <w:tcPr>
            <w:tcW w:w="851" w:type="dxa"/>
          </w:tcPr>
          <w:p w14:paraId="5E0B81F0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1.1.</w:t>
            </w:r>
          </w:p>
        </w:tc>
        <w:tc>
          <w:tcPr>
            <w:tcW w:w="2698" w:type="dxa"/>
          </w:tcPr>
          <w:p w14:paraId="7A84C03B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51CF94CA" w14:textId="5009741E" w:rsidR="000213BB" w:rsidRPr="008401FA" w:rsidRDefault="00FD4E84" w:rsidP="00B43E76">
            <w:pPr>
              <w:rPr>
                <w:szCs w:val="24"/>
              </w:rPr>
            </w:pPr>
            <w:r w:rsidRPr="008401FA">
              <w:rPr>
                <w:szCs w:val="24"/>
              </w:rPr>
              <w:t xml:space="preserve">Zakon o </w:t>
            </w:r>
            <w:r w:rsidR="00777A22" w:rsidRPr="008401FA">
              <w:rPr>
                <w:szCs w:val="24"/>
              </w:rPr>
              <w:t xml:space="preserve">izmjenama i dopunama Zakona o </w:t>
            </w:r>
            <w:r w:rsidRPr="008401FA">
              <w:rPr>
                <w:szCs w:val="24"/>
              </w:rPr>
              <w:t xml:space="preserve">porezu na </w:t>
            </w:r>
            <w:r w:rsidR="00B43E76" w:rsidRPr="008401FA">
              <w:rPr>
                <w:szCs w:val="24"/>
              </w:rPr>
              <w:t xml:space="preserve">dohodak </w:t>
            </w:r>
          </w:p>
        </w:tc>
      </w:tr>
      <w:tr w:rsidR="000213BB" w:rsidRPr="008401FA" w14:paraId="4923F3D5" w14:textId="77777777" w:rsidTr="00DC2F13">
        <w:trPr>
          <w:jc w:val="center"/>
        </w:trPr>
        <w:tc>
          <w:tcPr>
            <w:tcW w:w="851" w:type="dxa"/>
          </w:tcPr>
          <w:p w14:paraId="47F21AE1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1.2.</w:t>
            </w:r>
          </w:p>
        </w:tc>
        <w:tc>
          <w:tcPr>
            <w:tcW w:w="2698" w:type="dxa"/>
          </w:tcPr>
          <w:p w14:paraId="2DFE0BF8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061E07F5" w14:textId="7769D494" w:rsidR="000213BB" w:rsidRPr="008401FA" w:rsidRDefault="00057D97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121/19</w:t>
            </w:r>
          </w:p>
        </w:tc>
      </w:tr>
      <w:tr w:rsidR="000213BB" w:rsidRPr="008401FA" w14:paraId="67E78491" w14:textId="77777777" w:rsidTr="00DC2F13">
        <w:trPr>
          <w:trHeight w:val="1267"/>
          <w:jc w:val="center"/>
        </w:trPr>
        <w:tc>
          <w:tcPr>
            <w:tcW w:w="851" w:type="dxa"/>
          </w:tcPr>
          <w:p w14:paraId="034E0434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1.3.</w:t>
            </w:r>
          </w:p>
        </w:tc>
        <w:tc>
          <w:tcPr>
            <w:tcW w:w="2698" w:type="dxa"/>
          </w:tcPr>
          <w:p w14:paraId="6303FFDA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14:paraId="2B7B3A8C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b/>
                <w:szCs w:val="24"/>
              </w:rPr>
              <w:t>Da</w:t>
            </w:r>
            <w:r w:rsidRPr="008401FA">
              <w:rPr>
                <w:szCs w:val="24"/>
              </w:rPr>
              <w:t>/Ne:</w:t>
            </w:r>
          </w:p>
          <w:p w14:paraId="3181CA01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649F817E" w14:textId="77777777" w:rsidR="00777A22" w:rsidRPr="008401FA" w:rsidRDefault="000213BB" w:rsidP="00777A22">
            <w:pPr>
              <w:rPr>
                <w:szCs w:val="24"/>
              </w:rPr>
            </w:pPr>
            <w:r w:rsidRPr="008401FA">
              <w:rPr>
                <w:szCs w:val="24"/>
              </w:rPr>
              <w:t>Naziv akta:</w:t>
            </w:r>
            <w:r w:rsidR="00C57BF0" w:rsidRPr="008401FA">
              <w:rPr>
                <w:szCs w:val="24"/>
              </w:rPr>
              <w:t xml:space="preserve"> </w:t>
            </w:r>
          </w:p>
          <w:p w14:paraId="69B434A6" w14:textId="7E2821A4" w:rsidR="00777A22" w:rsidRPr="008401FA" w:rsidRDefault="00777A22" w:rsidP="00777A22">
            <w:pPr>
              <w:rPr>
                <w:szCs w:val="24"/>
              </w:rPr>
            </w:pPr>
            <w:r w:rsidRPr="008401FA">
              <w:rPr>
                <w:szCs w:val="24"/>
              </w:rPr>
              <w:t>Program Vlade Republike Hrvatske za mandat 2016. – 2020.</w:t>
            </w:r>
          </w:p>
          <w:p w14:paraId="4154B945" w14:textId="44DF630A" w:rsidR="00777A22" w:rsidRPr="008401FA" w:rsidRDefault="00777A22" w:rsidP="00777A22">
            <w:pPr>
              <w:shd w:val="clear" w:color="auto" w:fill="FFFFFF"/>
              <w:rPr>
                <w:szCs w:val="24"/>
              </w:rPr>
            </w:pPr>
            <w:r w:rsidRPr="008401FA">
              <w:rPr>
                <w:szCs w:val="24"/>
              </w:rPr>
              <w:t>Opis mjere:</w:t>
            </w:r>
          </w:p>
          <w:p w14:paraId="6A54544C" w14:textId="77777777" w:rsidR="00777A22" w:rsidRPr="00414834" w:rsidRDefault="00777A22" w:rsidP="00777A22">
            <w:pPr>
              <w:shd w:val="clear" w:color="auto" w:fill="FFFFFF"/>
              <w:rPr>
                <w:szCs w:val="24"/>
              </w:rPr>
            </w:pPr>
            <w:r w:rsidRPr="00414834">
              <w:rPr>
                <w:szCs w:val="24"/>
              </w:rPr>
              <w:t>1.2. Razvoj obrtništva i poduzetništva</w:t>
            </w:r>
          </w:p>
          <w:p w14:paraId="07B5E38E" w14:textId="3F962577" w:rsidR="00482C7F" w:rsidRPr="008401FA" w:rsidRDefault="00482C7F" w:rsidP="00482C7F">
            <w:pPr>
              <w:rPr>
                <w:szCs w:val="24"/>
              </w:rPr>
            </w:pPr>
            <w:r w:rsidRPr="00414834">
              <w:rPr>
                <w:szCs w:val="24"/>
              </w:rPr>
              <w:t>7.2. Porezni sustav</w:t>
            </w:r>
          </w:p>
        </w:tc>
      </w:tr>
      <w:tr w:rsidR="000213BB" w:rsidRPr="008401FA" w14:paraId="2808B88D" w14:textId="77777777" w:rsidTr="00DC2F13">
        <w:trPr>
          <w:jc w:val="center"/>
        </w:trPr>
        <w:tc>
          <w:tcPr>
            <w:tcW w:w="851" w:type="dxa"/>
          </w:tcPr>
          <w:p w14:paraId="37D5A18B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1.4.</w:t>
            </w:r>
          </w:p>
        </w:tc>
        <w:tc>
          <w:tcPr>
            <w:tcW w:w="2698" w:type="dxa"/>
          </w:tcPr>
          <w:p w14:paraId="19A3166F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14:paraId="20A05800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b/>
                <w:szCs w:val="24"/>
              </w:rPr>
              <w:t>Da</w:t>
            </w:r>
            <w:r w:rsidRPr="008401FA">
              <w:rPr>
                <w:szCs w:val="24"/>
              </w:rPr>
              <w:t>/Ne:</w:t>
            </w:r>
          </w:p>
          <w:p w14:paraId="425CA9E7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7EEDBB4" w14:textId="77777777" w:rsidR="00482C7F" w:rsidRPr="008401FA" w:rsidRDefault="00482C7F" w:rsidP="00C57BF0">
            <w:pPr>
              <w:rPr>
                <w:szCs w:val="24"/>
              </w:rPr>
            </w:pPr>
            <w:r w:rsidRPr="008401FA">
              <w:rPr>
                <w:szCs w:val="24"/>
              </w:rPr>
              <w:t>Naziv pravne stečevine EU:</w:t>
            </w:r>
          </w:p>
          <w:p w14:paraId="216F91F6" w14:textId="77777777" w:rsidR="00482C7F" w:rsidRPr="008401FA" w:rsidRDefault="00482C7F" w:rsidP="00C57BF0">
            <w:pPr>
              <w:rPr>
                <w:szCs w:val="24"/>
              </w:rPr>
            </w:pPr>
          </w:p>
          <w:p w14:paraId="503F50B9" w14:textId="77777777" w:rsidR="00C57BF0" w:rsidRPr="008401FA" w:rsidRDefault="00B43E76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NE</w:t>
            </w:r>
          </w:p>
        </w:tc>
      </w:tr>
      <w:tr w:rsidR="000213BB" w:rsidRPr="008401FA" w14:paraId="032BB508" w14:textId="77777777" w:rsidTr="00DC2F13">
        <w:trPr>
          <w:trHeight w:val="314"/>
          <w:jc w:val="center"/>
        </w:trPr>
        <w:tc>
          <w:tcPr>
            <w:tcW w:w="851" w:type="dxa"/>
          </w:tcPr>
          <w:p w14:paraId="719CCFE9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7E123EB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ANALIZA POSTIGNUTIH REZULTATA PRIMJENE ZAKONA</w:t>
            </w:r>
          </w:p>
        </w:tc>
      </w:tr>
      <w:tr w:rsidR="000213BB" w:rsidRPr="008401FA" w14:paraId="1ABFA9A2" w14:textId="77777777" w:rsidTr="00DC2F13">
        <w:trPr>
          <w:jc w:val="center"/>
        </w:trPr>
        <w:tc>
          <w:tcPr>
            <w:tcW w:w="851" w:type="dxa"/>
          </w:tcPr>
          <w:p w14:paraId="3ECCB266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95B3ED0" w14:textId="4574D622" w:rsidR="006822E9" w:rsidRPr="008401FA" w:rsidRDefault="00DF46FE" w:rsidP="006822E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Provođenje porezne reforme sukladno</w:t>
            </w:r>
            <w:r w:rsidR="006822E9" w:rsidRPr="008401FA">
              <w:rPr>
                <w:color w:val="000000"/>
                <w:szCs w:val="24"/>
              </w:rPr>
              <w:t xml:space="preserve"> Program</w:t>
            </w:r>
            <w:r>
              <w:rPr>
                <w:color w:val="000000"/>
                <w:szCs w:val="24"/>
              </w:rPr>
              <w:t>u</w:t>
            </w:r>
            <w:r w:rsidR="006822E9" w:rsidRPr="008401FA">
              <w:rPr>
                <w:color w:val="000000"/>
                <w:szCs w:val="24"/>
              </w:rPr>
              <w:t xml:space="preserve"> Vlade Republike Hrvatske za mandat 2016. – 2020. obuhva</w:t>
            </w:r>
            <w:r>
              <w:rPr>
                <w:color w:val="000000"/>
                <w:szCs w:val="24"/>
              </w:rPr>
              <w:t>tilo je</w:t>
            </w:r>
            <w:r w:rsidR="006822E9" w:rsidRPr="008401FA">
              <w:rPr>
                <w:color w:val="000000"/>
                <w:szCs w:val="24"/>
              </w:rPr>
              <w:t xml:space="preserve"> sve segmente poreznog sustava, a posebno </w:t>
            </w:r>
            <w:r>
              <w:rPr>
                <w:color w:val="000000"/>
                <w:szCs w:val="24"/>
              </w:rPr>
              <w:t>se</w:t>
            </w:r>
            <w:r w:rsidR="006822E9" w:rsidRPr="008401FA">
              <w:rPr>
                <w:color w:val="000000"/>
                <w:szCs w:val="24"/>
              </w:rPr>
              <w:t xml:space="preserve"> usmjer</w:t>
            </w:r>
            <w:r>
              <w:rPr>
                <w:color w:val="000000"/>
                <w:szCs w:val="24"/>
              </w:rPr>
              <w:t>ilo</w:t>
            </w:r>
            <w:r w:rsidR="006822E9" w:rsidRPr="008401FA">
              <w:rPr>
                <w:color w:val="000000"/>
                <w:szCs w:val="24"/>
              </w:rPr>
              <w:t xml:space="preserve"> na pojednostavljenje sustava, širenje porezne baze </w:t>
            </w:r>
            <w:r w:rsidR="00D07E8B">
              <w:rPr>
                <w:color w:val="000000"/>
                <w:szCs w:val="24"/>
              </w:rPr>
              <w:t>te</w:t>
            </w:r>
            <w:r w:rsidR="006822E9" w:rsidRPr="008401FA">
              <w:rPr>
                <w:color w:val="000000"/>
                <w:szCs w:val="24"/>
              </w:rPr>
              <w:t xml:space="preserve"> porezno rasterećenje građana i poduzetnika. </w:t>
            </w:r>
            <w:r w:rsidR="00D341D5">
              <w:rPr>
                <w:color w:val="000000"/>
                <w:szCs w:val="24"/>
              </w:rPr>
              <w:t xml:space="preserve">Naime, </w:t>
            </w:r>
            <w:r w:rsidR="006822E9" w:rsidRPr="008401FA">
              <w:rPr>
                <w:color w:val="000000"/>
                <w:szCs w:val="24"/>
              </w:rPr>
              <w:t>analiz</w:t>
            </w:r>
            <w:r w:rsidR="00D341D5">
              <w:rPr>
                <w:color w:val="000000"/>
                <w:szCs w:val="24"/>
              </w:rPr>
              <w:t>om su</w:t>
            </w:r>
            <w:r w:rsidR="006822E9" w:rsidRPr="008401FA">
              <w:rPr>
                <w:color w:val="000000"/>
                <w:szCs w:val="24"/>
              </w:rPr>
              <w:t xml:space="preserve"> utvrđeni ciljevi reforme poreznog sustava i to: smanjenje ukupnog poreznog opterećenja, poticanje konkurentnosti gospodarstva, izgradnja socijalno pravednijeg poreznog sustava, stabilan, održiv i jednostavan porezni sustav, pojednostavljenje i pojeftinjenje porezne administracije kao i pružanje veće pravne sigurnosti poreznim obveznicima.  </w:t>
            </w:r>
          </w:p>
          <w:p w14:paraId="48EB85D6" w14:textId="77777777" w:rsidR="00F74981" w:rsidRDefault="00F74981" w:rsidP="004A5947">
            <w:pPr>
              <w:jc w:val="both"/>
              <w:rPr>
                <w:color w:val="000000"/>
                <w:szCs w:val="24"/>
              </w:rPr>
            </w:pPr>
          </w:p>
          <w:p w14:paraId="7D77D55F" w14:textId="4D5984BF" w:rsidR="004A5947" w:rsidRPr="00780B76" w:rsidRDefault="003C70FD" w:rsidP="004A59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Stoga</w:t>
            </w:r>
            <w:r w:rsidR="0054220B">
              <w:rPr>
                <w:szCs w:val="24"/>
              </w:rPr>
              <w:t xml:space="preserve"> je</w:t>
            </w:r>
            <w:r>
              <w:rPr>
                <w:szCs w:val="24"/>
              </w:rPr>
              <w:t>, a k</w:t>
            </w:r>
            <w:r w:rsidR="006822E9" w:rsidRPr="00780B76">
              <w:rPr>
                <w:szCs w:val="24"/>
              </w:rPr>
              <w:t>ako bi se nastavilo ispunjenje zadanih ciljeva</w:t>
            </w:r>
            <w:r w:rsidR="00F272C0" w:rsidRPr="00780B76">
              <w:rPr>
                <w:szCs w:val="24"/>
              </w:rPr>
              <w:t>,</w:t>
            </w:r>
            <w:r>
              <w:rPr>
                <w:szCs w:val="24"/>
              </w:rPr>
              <w:t xml:space="preserve"> proveden i</w:t>
            </w:r>
            <w:r w:rsidR="006822E9" w:rsidRPr="00780B76">
              <w:rPr>
                <w:szCs w:val="24"/>
              </w:rPr>
              <w:t xml:space="preserve"> </w:t>
            </w:r>
            <w:r>
              <w:rPr>
                <w:szCs w:val="24"/>
              </w:rPr>
              <w:t>č</w:t>
            </w:r>
            <w:r w:rsidR="006822E9" w:rsidRPr="00780B76">
              <w:rPr>
                <w:szCs w:val="24"/>
              </w:rPr>
              <w:t>etvrti krug porezne reforme s primjenom od 1. siječnja 2020.</w:t>
            </w:r>
            <w:r w:rsidR="00F272C0" w:rsidRPr="00780B76">
              <w:rPr>
                <w:szCs w:val="24"/>
              </w:rPr>
              <w:t xml:space="preserve"> </w:t>
            </w:r>
            <w:r w:rsidR="006822E9" w:rsidRPr="00780B76">
              <w:rPr>
                <w:szCs w:val="24"/>
              </w:rPr>
              <w:t>kojim su bile obuhvaćene izmjene i dopune Zakona o porezu na dohodak. Naime, Zakonom o izmjenama i dopunama Zakona o porezu na dohodak (NN</w:t>
            </w:r>
            <w:r w:rsidR="0037196C" w:rsidRPr="00780B76">
              <w:rPr>
                <w:szCs w:val="24"/>
              </w:rPr>
              <w:t xml:space="preserve"> </w:t>
            </w:r>
            <w:r w:rsidR="006822E9" w:rsidRPr="00780B76">
              <w:rPr>
                <w:szCs w:val="24"/>
              </w:rPr>
              <w:t>121/19) propisan</w:t>
            </w:r>
            <w:r w:rsidR="00C06259" w:rsidRPr="00780B76">
              <w:rPr>
                <w:szCs w:val="24"/>
              </w:rPr>
              <w:t xml:space="preserve">a su </w:t>
            </w:r>
            <w:r w:rsidR="006822E9" w:rsidRPr="00780B76">
              <w:rPr>
                <w:szCs w:val="24"/>
              </w:rPr>
              <w:t>dodatn</w:t>
            </w:r>
            <w:r w:rsidR="00C06259" w:rsidRPr="00780B76">
              <w:rPr>
                <w:szCs w:val="24"/>
              </w:rPr>
              <w:t>a</w:t>
            </w:r>
            <w:r w:rsidR="006822E9" w:rsidRPr="00780B76">
              <w:rPr>
                <w:szCs w:val="24"/>
              </w:rPr>
              <w:t xml:space="preserve"> </w:t>
            </w:r>
            <w:r w:rsidR="00C06259" w:rsidRPr="00780B76">
              <w:rPr>
                <w:szCs w:val="24"/>
              </w:rPr>
              <w:t xml:space="preserve">porezna i administrativna </w:t>
            </w:r>
            <w:r w:rsidR="006822E9" w:rsidRPr="00780B76">
              <w:rPr>
                <w:szCs w:val="24"/>
              </w:rPr>
              <w:t>rasterećenj</w:t>
            </w:r>
            <w:r w:rsidR="00C06259" w:rsidRPr="00780B76">
              <w:rPr>
                <w:szCs w:val="24"/>
              </w:rPr>
              <w:t>a te veća pravna sigurnost za porezne obveznike.</w:t>
            </w:r>
            <w:r w:rsidR="00A969DD" w:rsidRPr="00780B76">
              <w:rPr>
                <w:szCs w:val="24"/>
              </w:rPr>
              <w:t xml:space="preserve"> </w:t>
            </w:r>
            <w:r w:rsidR="00C06259" w:rsidRPr="00780B76">
              <w:rPr>
                <w:szCs w:val="24"/>
              </w:rPr>
              <w:t>P</w:t>
            </w:r>
            <w:r w:rsidR="00A969DD" w:rsidRPr="00780B76">
              <w:rPr>
                <w:szCs w:val="24"/>
              </w:rPr>
              <w:t xml:space="preserve">orezno </w:t>
            </w:r>
            <w:r w:rsidR="00C06259" w:rsidRPr="00780B76">
              <w:rPr>
                <w:szCs w:val="24"/>
              </w:rPr>
              <w:t xml:space="preserve">je </w:t>
            </w:r>
            <w:r w:rsidR="00A969DD" w:rsidRPr="00780B76">
              <w:rPr>
                <w:szCs w:val="24"/>
              </w:rPr>
              <w:t>rastereć</w:t>
            </w:r>
            <w:r w:rsidR="00C06259" w:rsidRPr="00780B76">
              <w:rPr>
                <w:szCs w:val="24"/>
              </w:rPr>
              <w:t>en</w:t>
            </w:r>
            <w:r w:rsidR="00A969DD" w:rsidRPr="00780B76">
              <w:rPr>
                <w:szCs w:val="24"/>
              </w:rPr>
              <w:t xml:space="preserve"> rad i poduzetništv</w:t>
            </w:r>
            <w:r w:rsidR="00C06259" w:rsidRPr="00780B76">
              <w:rPr>
                <w:szCs w:val="24"/>
              </w:rPr>
              <w:t>o</w:t>
            </w:r>
            <w:r w:rsidR="00A969DD" w:rsidRPr="00780B76">
              <w:rPr>
                <w:szCs w:val="24"/>
              </w:rPr>
              <w:t xml:space="preserve"> </w:t>
            </w:r>
            <w:r w:rsidR="00C06259" w:rsidRPr="00780B76">
              <w:rPr>
                <w:szCs w:val="24"/>
              </w:rPr>
              <w:t>kako bi se</w:t>
            </w:r>
            <w:r w:rsidR="00A969DD" w:rsidRPr="00780B76">
              <w:rPr>
                <w:szCs w:val="24"/>
              </w:rPr>
              <w:t xml:space="preserve"> poveća</w:t>
            </w:r>
            <w:r w:rsidR="00C06259" w:rsidRPr="00780B76">
              <w:rPr>
                <w:szCs w:val="24"/>
              </w:rPr>
              <w:t>o</w:t>
            </w:r>
            <w:r w:rsidR="00A969DD" w:rsidRPr="00780B76">
              <w:rPr>
                <w:szCs w:val="24"/>
              </w:rPr>
              <w:t xml:space="preserve"> raspoloživ</w:t>
            </w:r>
            <w:r w:rsidR="00C06259" w:rsidRPr="00780B76">
              <w:rPr>
                <w:szCs w:val="24"/>
              </w:rPr>
              <w:t>i</w:t>
            </w:r>
            <w:r w:rsidR="00A969DD" w:rsidRPr="00780B76">
              <w:rPr>
                <w:szCs w:val="24"/>
              </w:rPr>
              <w:t xml:space="preserve"> doho</w:t>
            </w:r>
            <w:r w:rsidR="00C06259" w:rsidRPr="00780B76">
              <w:rPr>
                <w:szCs w:val="24"/>
              </w:rPr>
              <w:t>dak</w:t>
            </w:r>
            <w:r w:rsidR="00D07E8B">
              <w:rPr>
                <w:szCs w:val="24"/>
              </w:rPr>
              <w:t>,</w:t>
            </w:r>
            <w:r w:rsidR="00A969DD" w:rsidRPr="00780B76">
              <w:rPr>
                <w:szCs w:val="24"/>
              </w:rPr>
              <w:t xml:space="preserve"> konkurentnost hrvatskih radnika na međunarodnom tržištu</w:t>
            </w:r>
            <w:r w:rsidR="00AF73EA">
              <w:rPr>
                <w:szCs w:val="24"/>
              </w:rPr>
              <w:t xml:space="preserve"> rada</w:t>
            </w:r>
            <w:r w:rsidR="00A969DD" w:rsidRPr="00780B76">
              <w:rPr>
                <w:szCs w:val="24"/>
              </w:rPr>
              <w:t xml:space="preserve"> </w:t>
            </w:r>
            <w:r w:rsidR="00B760A8" w:rsidRPr="00780B76">
              <w:rPr>
                <w:szCs w:val="24"/>
              </w:rPr>
              <w:t xml:space="preserve">i plaće visokokvalificiranih radnika </w:t>
            </w:r>
            <w:r w:rsidR="00A969DD" w:rsidRPr="00780B76">
              <w:rPr>
                <w:szCs w:val="24"/>
              </w:rPr>
              <w:t>te su</w:t>
            </w:r>
            <w:r w:rsidR="00B623F7" w:rsidRPr="00780B76">
              <w:rPr>
                <w:szCs w:val="24"/>
              </w:rPr>
              <w:t xml:space="preserve"> </w:t>
            </w:r>
            <w:r w:rsidR="006822E9" w:rsidRPr="00780B76">
              <w:rPr>
                <w:szCs w:val="24"/>
              </w:rPr>
              <w:t xml:space="preserve">u </w:t>
            </w:r>
            <w:r w:rsidR="00AA3C59">
              <w:rPr>
                <w:szCs w:val="24"/>
              </w:rPr>
              <w:t xml:space="preserve">okviru </w:t>
            </w:r>
            <w:r w:rsidR="006822E9" w:rsidRPr="00780B76">
              <w:rPr>
                <w:szCs w:val="24"/>
              </w:rPr>
              <w:t>Zakon</w:t>
            </w:r>
            <w:r w:rsidR="00AA3C59">
              <w:rPr>
                <w:szCs w:val="24"/>
              </w:rPr>
              <w:t>a</w:t>
            </w:r>
            <w:r w:rsidR="006822E9" w:rsidRPr="00780B76">
              <w:rPr>
                <w:szCs w:val="24"/>
              </w:rPr>
              <w:t xml:space="preserve"> o porezu na dohodak (NN </w:t>
            </w:r>
            <w:r w:rsidR="00B63697" w:rsidRPr="00780B76">
              <w:rPr>
                <w:szCs w:val="24"/>
              </w:rPr>
              <w:t>115/16 i 106/18</w:t>
            </w:r>
            <w:r w:rsidR="00B623F7" w:rsidRPr="00780B76">
              <w:rPr>
                <w:szCs w:val="24"/>
              </w:rPr>
              <w:t>)</w:t>
            </w:r>
            <w:r w:rsidR="006822E9" w:rsidRPr="00780B76">
              <w:rPr>
                <w:szCs w:val="24"/>
              </w:rPr>
              <w:t xml:space="preserve"> izvršene sljedeće izmjene i dopune koje su u primjeni od 1. siječnja 2020.:</w:t>
            </w:r>
          </w:p>
          <w:p w14:paraId="1F133985" w14:textId="43E955F5" w:rsidR="00DA3EC8" w:rsidRPr="001E6C6A" w:rsidRDefault="006822E9" w:rsidP="001E6C6A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6A">
              <w:rPr>
                <w:rFonts w:ascii="Times New Roman" w:hAnsi="Times New Roman"/>
                <w:sz w:val="24"/>
                <w:szCs w:val="24"/>
              </w:rPr>
              <w:t xml:space="preserve">propisano je umanjenje </w:t>
            </w:r>
            <w:r w:rsidR="00CD2943" w:rsidRPr="001E6C6A">
              <w:rPr>
                <w:rFonts w:ascii="Times New Roman" w:hAnsi="Times New Roman"/>
                <w:sz w:val="24"/>
                <w:szCs w:val="24"/>
              </w:rPr>
              <w:t xml:space="preserve">godišnje 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porezne obveze </w:t>
            </w:r>
            <w:r w:rsidR="00455AC7" w:rsidRPr="001E6C6A">
              <w:rPr>
                <w:rFonts w:ascii="Times New Roman" w:hAnsi="Times New Roman"/>
                <w:sz w:val="24"/>
                <w:szCs w:val="24"/>
              </w:rPr>
              <w:t>mladim osobama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943" w:rsidRPr="001E6C6A">
              <w:rPr>
                <w:rFonts w:ascii="Times New Roman" w:hAnsi="Times New Roman"/>
                <w:sz w:val="24"/>
                <w:szCs w:val="24"/>
              </w:rPr>
              <w:t xml:space="preserve">do 30 godina života 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>koj</w:t>
            </w:r>
            <w:r w:rsidR="00455AC7" w:rsidRPr="001E6C6A">
              <w:rPr>
                <w:rFonts w:ascii="Times New Roman" w:hAnsi="Times New Roman"/>
                <w:sz w:val="24"/>
                <w:szCs w:val="24"/>
              </w:rPr>
              <w:t>e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 ostvaruju dohodak od nesamostalnog rad</w:t>
            </w:r>
            <w:r w:rsidR="00AF4077" w:rsidRPr="001E6C6A">
              <w:rPr>
                <w:rFonts w:ascii="Times New Roman" w:hAnsi="Times New Roman"/>
                <w:sz w:val="24"/>
                <w:szCs w:val="24"/>
              </w:rPr>
              <w:t xml:space="preserve">a (plaću), obračunate na dio 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 xml:space="preserve">godišnje porezne osnovice </w:t>
            </w:r>
            <w:r w:rsidR="00AF4077" w:rsidRPr="001E6C6A">
              <w:rPr>
                <w:rFonts w:ascii="Times New Roman" w:hAnsi="Times New Roman"/>
                <w:sz w:val="24"/>
                <w:szCs w:val="24"/>
              </w:rPr>
              <w:t>do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 xml:space="preserve"> 360.000,00 kn</w:t>
            </w:r>
            <w:r w:rsidR="00CD2943" w:rsidRPr="001E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>i to:</w:t>
            </w:r>
          </w:p>
          <w:p w14:paraId="71651F01" w14:textId="2B27E99F" w:rsidR="00DA3EC8" w:rsidRPr="001E6C6A" w:rsidRDefault="006822E9" w:rsidP="00DA3EC8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6A">
              <w:rPr>
                <w:rFonts w:ascii="Times New Roman" w:hAnsi="Times New Roman"/>
                <w:sz w:val="24"/>
                <w:szCs w:val="24"/>
              </w:rPr>
              <w:t xml:space="preserve">za 100% 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>mladim osobama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 do 25 godina života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>,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168205" w14:textId="55600570" w:rsidR="004A5947" w:rsidRPr="001E6C6A" w:rsidRDefault="006822E9" w:rsidP="006822E9">
            <w:pPr>
              <w:pStyle w:val="Odlomakpopis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6A">
              <w:rPr>
                <w:rFonts w:ascii="Times New Roman" w:hAnsi="Times New Roman"/>
                <w:sz w:val="24"/>
                <w:szCs w:val="24"/>
              </w:rPr>
              <w:t xml:space="preserve">za 50% 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>mladim osobama</w:t>
            </w:r>
            <w:r w:rsidRPr="001E6C6A">
              <w:rPr>
                <w:rFonts w:ascii="Times New Roman" w:hAnsi="Times New Roman"/>
                <w:sz w:val="24"/>
                <w:szCs w:val="24"/>
              </w:rPr>
              <w:t xml:space="preserve"> od 26 do 30 godina života</w:t>
            </w:r>
            <w:r w:rsidR="00DA3EC8" w:rsidRPr="001E6C6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FBD885B" w14:textId="4970B8DB" w:rsidR="001E6C6A" w:rsidRPr="001E6C6A" w:rsidRDefault="001E6C6A" w:rsidP="001E6C6A">
            <w:pPr>
              <w:pStyle w:val="Odlomakpopisa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C6A">
              <w:rPr>
                <w:rFonts w:ascii="Times New Roman" w:hAnsi="Times New Roman"/>
                <w:sz w:val="24"/>
                <w:szCs w:val="24"/>
              </w:rPr>
              <w:t>povećan je mjesečni iznos osnovnog osobnog odbitka s 3.800,00 kn na 4.000,00 kn</w:t>
            </w:r>
            <w:r w:rsidRPr="001E6C6A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</w:p>
          <w:p w14:paraId="57931DDB" w14:textId="38D4A809" w:rsidR="00846B64" w:rsidRDefault="00B337DB" w:rsidP="006921D3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A3C59">
              <w:rPr>
                <w:rFonts w:ascii="Times New Roman" w:hAnsi="Times New Roman"/>
                <w:sz w:val="24"/>
                <w:szCs w:val="24"/>
              </w:rPr>
              <w:t xml:space="preserve">ropisano je da se </w:t>
            </w:r>
            <w:r w:rsidR="00B760A8" w:rsidRPr="00780B76">
              <w:rPr>
                <w:rFonts w:ascii="Times New Roman" w:hAnsi="Times New Roman"/>
                <w:sz w:val="24"/>
                <w:szCs w:val="24"/>
              </w:rPr>
              <w:t>porez na dohodak</w:t>
            </w:r>
            <w:r w:rsidR="004C3438" w:rsidRPr="0078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F75">
              <w:rPr>
                <w:rFonts w:ascii="Times New Roman" w:hAnsi="Times New Roman"/>
                <w:sz w:val="24"/>
                <w:szCs w:val="24"/>
              </w:rPr>
              <w:t>ne plaća na</w:t>
            </w:r>
            <w:r w:rsidR="00846B6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50AA36" w14:textId="1660956D" w:rsidR="00846B64" w:rsidRDefault="00846B64" w:rsidP="00846B64">
            <w:pPr>
              <w:pStyle w:val="Odlomakpopis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22E9" w:rsidRPr="00846B64">
              <w:rPr>
                <w:rFonts w:ascii="Times New Roman" w:hAnsi="Times New Roman"/>
                <w:sz w:val="24"/>
                <w:szCs w:val="24"/>
              </w:rPr>
              <w:t>premije dodatnog i dopunskog zdravstvenog osiguranja</w:t>
            </w:r>
            <w:r w:rsidR="001D568D" w:rsidRPr="00846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F75">
              <w:rPr>
                <w:rFonts w:ascii="Times New Roman" w:hAnsi="Times New Roman"/>
                <w:sz w:val="24"/>
                <w:szCs w:val="24"/>
              </w:rPr>
              <w:t xml:space="preserve">koje poslodavac uplaćuje </w:t>
            </w:r>
            <w:r w:rsidR="006921D3" w:rsidRPr="00846B64">
              <w:rPr>
                <w:rFonts w:ascii="Times New Roman" w:hAnsi="Times New Roman"/>
                <w:sz w:val="24"/>
                <w:szCs w:val="24"/>
              </w:rPr>
              <w:t xml:space="preserve">u korist svojeg radnika do određenog iznosa na temelju vjerodostojne dokumentacije </w:t>
            </w:r>
          </w:p>
          <w:p w14:paraId="5E0FFE5D" w14:textId="5BF12E42" w:rsidR="0092449E" w:rsidRPr="00846B64" w:rsidRDefault="00846B64" w:rsidP="00846B64">
            <w:pPr>
              <w:pStyle w:val="Odlomakpopis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22E9" w:rsidRPr="00846B64">
              <w:rPr>
                <w:rFonts w:ascii="Times New Roman" w:hAnsi="Times New Roman"/>
                <w:sz w:val="24"/>
                <w:szCs w:val="24"/>
              </w:rPr>
              <w:t>naknade učenicima za vrijeme dualnog obrazovanja do određenog iznosa</w:t>
            </w:r>
            <w:r w:rsidR="0092449E" w:rsidRPr="00846B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A69F3C" w14:textId="1B181493" w:rsidR="00A66B31" w:rsidRPr="00780B76" w:rsidRDefault="00A66B31" w:rsidP="00A66B3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proširen je obuhvat primitaka koji se ne smatraju dohotkom </w:t>
            </w:r>
            <w:r w:rsidR="00366F15" w:rsidRPr="00E25B0E">
              <w:rPr>
                <w:rFonts w:ascii="Times New Roman" w:hAnsi="Times New Roman"/>
                <w:sz w:val="24"/>
                <w:szCs w:val="24"/>
              </w:rPr>
              <w:t>za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 pomoći i potpore koje neprofitne organizacije isplaćuju članovima uže obitelji preminulog člana neprofitne organizacije </w:t>
            </w:r>
          </w:p>
          <w:p w14:paraId="6705C9D8" w14:textId="2AA8B078" w:rsidR="00A66B31" w:rsidRPr="00780B76" w:rsidRDefault="00A66B31" w:rsidP="006921D3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detaljnije su razrađene odredbe o poreznom tretmanu </w:t>
            </w:r>
            <w:r w:rsidRPr="00310242">
              <w:rPr>
                <w:rFonts w:ascii="Times New Roman" w:hAnsi="Times New Roman"/>
                <w:sz w:val="24"/>
                <w:szCs w:val="24"/>
              </w:rPr>
              <w:t>donacija</w:t>
            </w:r>
          </w:p>
          <w:p w14:paraId="264FA362" w14:textId="1481BBDD" w:rsidR="004A5947" w:rsidRPr="00577B06" w:rsidRDefault="00AB2995" w:rsidP="00AB2995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proširen je obuhvat primitaka koji se ne uzimaju u obzir pri utvrđivanju prava na osobni odbitak za uzdržavane članove </w:t>
            </w:r>
            <w:r w:rsidR="000A0642">
              <w:rPr>
                <w:rFonts w:ascii="Times New Roman" w:hAnsi="Times New Roman"/>
                <w:sz w:val="24"/>
                <w:szCs w:val="24"/>
              </w:rPr>
              <w:t>z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92449E" w:rsidRPr="00780B76">
              <w:rPr>
                <w:rFonts w:ascii="Times New Roman" w:hAnsi="Times New Roman"/>
                <w:sz w:val="24"/>
                <w:szCs w:val="24"/>
              </w:rPr>
              <w:t>naknade učenicima za vrijeme dualnog obrazovanja</w:t>
            </w:r>
            <w:r w:rsidR="00376F2E" w:rsidRPr="0078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49E" w:rsidRPr="00780B7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376F2E" w:rsidRPr="00780B76">
              <w:rPr>
                <w:rFonts w:ascii="Times New Roman" w:hAnsi="Times New Roman"/>
                <w:sz w:val="24"/>
                <w:szCs w:val="24"/>
              </w:rPr>
              <w:t>na</w:t>
            </w:r>
            <w:r w:rsidR="0092449E" w:rsidRPr="00780B76">
              <w:rPr>
                <w:rFonts w:ascii="Times New Roman" w:hAnsi="Times New Roman"/>
                <w:sz w:val="24"/>
                <w:szCs w:val="24"/>
              </w:rPr>
              <w:t>grade</w:t>
            </w:r>
            <w:r w:rsidR="00376F2E" w:rsidRPr="0078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F2E" w:rsidRPr="00577B06">
              <w:rPr>
                <w:rFonts w:ascii="Times New Roman" w:hAnsi="Times New Roman"/>
                <w:sz w:val="24"/>
                <w:szCs w:val="24"/>
              </w:rPr>
              <w:t xml:space="preserve">učenicima za vrijeme praktičnog rada i naukovanja </w:t>
            </w:r>
          </w:p>
          <w:p w14:paraId="194B4EE4" w14:textId="77777777" w:rsidR="00086CC3" w:rsidRDefault="00DA7E62" w:rsidP="00086CC3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B06">
              <w:rPr>
                <w:rFonts w:ascii="Times New Roman" w:hAnsi="Times New Roman"/>
                <w:sz w:val="24"/>
                <w:szCs w:val="24"/>
              </w:rPr>
              <w:t>uređen</w:t>
            </w:r>
            <w:r w:rsidR="00A719E3" w:rsidRPr="00577B06">
              <w:rPr>
                <w:rFonts w:ascii="Times New Roman" w:hAnsi="Times New Roman"/>
                <w:sz w:val="24"/>
                <w:szCs w:val="24"/>
              </w:rPr>
              <w:t xml:space="preserve"> je</w:t>
            </w:r>
            <w:r w:rsidR="006822E9" w:rsidRPr="00577B06">
              <w:rPr>
                <w:rFonts w:ascii="Times New Roman" w:hAnsi="Times New Roman"/>
                <w:sz w:val="24"/>
                <w:szCs w:val="24"/>
              </w:rPr>
              <w:t xml:space="preserve"> porezni tretman otpisa </w:t>
            </w:r>
            <w:r w:rsidR="00577B06" w:rsidRPr="00577B06">
              <w:rPr>
                <w:rFonts w:ascii="Times New Roman" w:hAnsi="Times New Roman"/>
                <w:sz w:val="24"/>
                <w:szCs w:val="24"/>
              </w:rPr>
              <w:t>nenaplaćenih</w:t>
            </w:r>
            <w:r w:rsidR="006822E9" w:rsidRPr="00577B06">
              <w:rPr>
                <w:rFonts w:ascii="Times New Roman" w:hAnsi="Times New Roman"/>
                <w:sz w:val="24"/>
                <w:szCs w:val="24"/>
              </w:rPr>
              <w:t xml:space="preserve"> tražbina </w:t>
            </w:r>
          </w:p>
          <w:p w14:paraId="7B06A4FB" w14:textId="3D0EC617" w:rsidR="008401FA" w:rsidRPr="00086CC3" w:rsidRDefault="008401FA" w:rsidP="00086CC3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CC3">
              <w:rPr>
                <w:rFonts w:ascii="Times New Roman" w:hAnsi="Times New Roman"/>
                <w:sz w:val="24"/>
                <w:szCs w:val="24"/>
              </w:rPr>
              <w:t>propisana je iznimka odnosno da se pripadnost poreza na dohodak po osnovi ostvarenog dohotka s osnove djelatnosti iznajmljivanja i organiziranja smještaja u turizmu, a koji se utvrđuje u paušalnom iznosu, određuje prema mjestu gdje se nekretnina odnosno smještajna jedinica nalaz</w:t>
            </w:r>
            <w:r w:rsidR="00A337BD">
              <w:rPr>
                <w:rFonts w:ascii="Times New Roman" w:hAnsi="Times New Roman"/>
                <w:sz w:val="24"/>
                <w:szCs w:val="24"/>
              </w:rPr>
              <w:t>i</w:t>
            </w:r>
            <w:r w:rsidRPr="00086CC3">
              <w:rPr>
                <w:rFonts w:ascii="Times New Roman" w:hAnsi="Times New Roman"/>
                <w:sz w:val="24"/>
                <w:szCs w:val="24"/>
              </w:rPr>
              <w:t xml:space="preserve">, a ne prema prebivalištu/uobičajenom boravištu poreznog obveznika </w:t>
            </w:r>
          </w:p>
          <w:p w14:paraId="60233F5C" w14:textId="21F2726D" w:rsidR="004A5947" w:rsidRPr="00780B76" w:rsidRDefault="00B623F7" w:rsidP="006822E9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047">
              <w:rPr>
                <w:rFonts w:ascii="Times New Roman" w:hAnsi="Times New Roman"/>
                <w:sz w:val="24"/>
                <w:szCs w:val="24"/>
              </w:rPr>
              <w:t>za obveznike poreza na dohodak koji obavljaju samostalnu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 djelatnost, a porez na dohodak po toj osnovi plaćaju u paušalnom iznosu, </w:t>
            </w:r>
            <w:r w:rsidR="006822E9" w:rsidRPr="00780B76">
              <w:rPr>
                <w:rFonts w:ascii="Times New Roman" w:hAnsi="Times New Roman"/>
                <w:sz w:val="24"/>
                <w:szCs w:val="24"/>
              </w:rPr>
              <w:t xml:space="preserve">ukinuto je izdavanje 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poreznih </w:t>
            </w:r>
            <w:r w:rsidR="006822E9" w:rsidRPr="00780B76">
              <w:rPr>
                <w:rFonts w:ascii="Times New Roman" w:hAnsi="Times New Roman"/>
                <w:sz w:val="24"/>
                <w:szCs w:val="24"/>
              </w:rPr>
              <w:t xml:space="preserve">rješenja </w:t>
            </w:r>
          </w:p>
          <w:p w14:paraId="16C1561E" w14:textId="42612FB3" w:rsidR="008401FA" w:rsidRPr="00780B76" w:rsidRDefault="008401FA" w:rsidP="006822E9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poslodavcima je omogućen uvid u neoporezive primitke radnika te </w:t>
            </w:r>
            <w:r w:rsidR="008B3A58">
              <w:rPr>
                <w:rFonts w:ascii="Times New Roman" w:hAnsi="Times New Roman"/>
                <w:sz w:val="24"/>
                <w:szCs w:val="24"/>
              </w:rPr>
              <w:t xml:space="preserve">je istima omogućeno 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>korištenje podataka iz porezne kartice bivšeg radnika pri isplati plaće za posljednji mjesec rada</w:t>
            </w:r>
          </w:p>
          <w:p w14:paraId="210440DE" w14:textId="77777777" w:rsidR="00202CF2" w:rsidRDefault="006822E9" w:rsidP="006822E9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>pojednostavljen</w:t>
            </w:r>
            <w:r w:rsidR="004A5947" w:rsidRPr="00780B76">
              <w:rPr>
                <w:rFonts w:ascii="Times New Roman" w:hAnsi="Times New Roman"/>
                <w:sz w:val="24"/>
                <w:szCs w:val="24"/>
              </w:rPr>
              <w:t xml:space="preserve">o je 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5947" w:rsidRPr="00780B76">
              <w:rPr>
                <w:rFonts w:ascii="Times New Roman" w:hAnsi="Times New Roman"/>
                <w:sz w:val="24"/>
                <w:szCs w:val="24"/>
              </w:rPr>
              <w:t>izvještavanje</w:t>
            </w:r>
            <w:r w:rsidRPr="00780B76">
              <w:rPr>
                <w:rFonts w:ascii="Times New Roman" w:hAnsi="Times New Roman"/>
                <w:sz w:val="24"/>
                <w:szCs w:val="24"/>
              </w:rPr>
              <w:t xml:space="preserve"> o primljenim inozemnim primicima</w:t>
            </w:r>
          </w:p>
          <w:p w14:paraId="4751DBDD" w14:textId="56D9D948" w:rsidR="006822E9" w:rsidRPr="00086CC3" w:rsidRDefault="00202CF2" w:rsidP="00202CF2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6CC3">
              <w:rPr>
                <w:rFonts w:ascii="Times New Roman" w:hAnsi="Times New Roman"/>
                <w:sz w:val="24"/>
                <w:szCs w:val="24"/>
              </w:rPr>
              <w:t>propisana su obilježja nesamostalnog rada za potrebe oporezivanja određivanjem relevantnih kriterija sukladno Općem poreznom zakonu</w:t>
            </w:r>
            <w:r w:rsidR="00DD3B88" w:rsidRPr="00086CC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8EFDEC" w14:textId="77777777" w:rsidR="00633C2A" w:rsidRPr="008401FA" w:rsidRDefault="00633C2A" w:rsidP="006822E9">
            <w:pPr>
              <w:jc w:val="both"/>
              <w:rPr>
                <w:color w:val="000000"/>
                <w:szCs w:val="24"/>
              </w:rPr>
            </w:pPr>
          </w:p>
          <w:p w14:paraId="45950AE2" w14:textId="3312DDE2" w:rsidR="00DE578B" w:rsidRPr="00A36C77" w:rsidRDefault="006822E9" w:rsidP="00DE578B">
            <w:pPr>
              <w:jc w:val="both"/>
            </w:pPr>
            <w:r w:rsidRPr="008401FA">
              <w:rPr>
                <w:color w:val="000000"/>
                <w:szCs w:val="24"/>
              </w:rPr>
              <w:t xml:space="preserve">Navedenim </w:t>
            </w:r>
            <w:r w:rsidR="003857A3">
              <w:rPr>
                <w:color w:val="000000"/>
                <w:szCs w:val="24"/>
              </w:rPr>
              <w:t>izmjenama Zakona</w:t>
            </w:r>
            <w:r w:rsidRPr="008401FA">
              <w:rPr>
                <w:color w:val="000000"/>
                <w:szCs w:val="24"/>
              </w:rPr>
              <w:t xml:space="preserve"> nastavljaju se zadani ciljevi porezne reforme odnosno omogućava se daljnje porezno i administrativno rasterećenje poreznih obveznika</w:t>
            </w:r>
            <w:r w:rsidR="00C00C53">
              <w:rPr>
                <w:color w:val="000000"/>
                <w:szCs w:val="24"/>
              </w:rPr>
              <w:t xml:space="preserve"> koje</w:t>
            </w:r>
            <w:r w:rsidRPr="00E904DF">
              <w:rPr>
                <w:color w:val="000000"/>
                <w:szCs w:val="24"/>
              </w:rPr>
              <w:t xml:space="preserve"> je prije svega usmjereno na porezno rasterećenje rada mladih osoba</w:t>
            </w:r>
            <w:r w:rsidR="00331FCF" w:rsidRPr="00E904DF">
              <w:rPr>
                <w:color w:val="000000"/>
                <w:szCs w:val="24"/>
              </w:rPr>
              <w:t xml:space="preserve"> </w:t>
            </w:r>
            <w:r w:rsidRPr="00E904DF">
              <w:rPr>
                <w:color w:val="000000"/>
                <w:szCs w:val="24"/>
              </w:rPr>
              <w:t xml:space="preserve">kako bi se </w:t>
            </w:r>
            <w:r w:rsidR="00765CCB" w:rsidRPr="00E904DF">
              <w:rPr>
                <w:color w:val="000000"/>
                <w:szCs w:val="24"/>
              </w:rPr>
              <w:t>st</w:t>
            </w:r>
            <w:r w:rsidR="00061BB8" w:rsidRPr="00E904DF">
              <w:rPr>
                <w:color w:val="000000"/>
                <w:szCs w:val="24"/>
              </w:rPr>
              <w:t>vorili dodatni uvjeti za zadržavanje visokokvalificiranih radnika u Republici Hrvatskoj</w:t>
            </w:r>
            <w:r w:rsidR="00C00C53">
              <w:rPr>
                <w:color w:val="000000"/>
                <w:szCs w:val="24"/>
              </w:rPr>
              <w:t xml:space="preserve"> </w:t>
            </w:r>
            <w:r w:rsidR="000F6047" w:rsidRPr="00C00C53">
              <w:rPr>
                <w:color w:val="000000"/>
                <w:szCs w:val="24"/>
              </w:rPr>
              <w:t xml:space="preserve">odnosno kako bi se </w:t>
            </w:r>
            <w:r w:rsidRPr="00C00C53">
              <w:rPr>
                <w:color w:val="000000"/>
                <w:szCs w:val="24"/>
              </w:rPr>
              <w:t>zaustavio odljev mladih osoba i visokoobrazovanog mladog kadra iz zemlje</w:t>
            </w:r>
            <w:r w:rsidRPr="00E904DF">
              <w:rPr>
                <w:color w:val="000000"/>
                <w:szCs w:val="24"/>
              </w:rPr>
              <w:t>.</w:t>
            </w:r>
            <w:r w:rsidR="00F74981" w:rsidRPr="00E904DF">
              <w:rPr>
                <w:color w:val="000000"/>
                <w:szCs w:val="24"/>
              </w:rPr>
              <w:t xml:space="preserve"> </w:t>
            </w:r>
            <w:r w:rsidRPr="00E904DF">
              <w:rPr>
                <w:color w:val="000000"/>
                <w:szCs w:val="24"/>
              </w:rPr>
              <w:t>Smanjivanjem poreznog opterećenja rada omogućilo se stvaranje poticajnog</w:t>
            </w:r>
            <w:r w:rsidRPr="008401FA">
              <w:rPr>
                <w:color w:val="000000"/>
                <w:szCs w:val="24"/>
              </w:rPr>
              <w:t xml:space="preserve"> okruženja za mlade osobe. </w:t>
            </w:r>
            <w:r w:rsidR="00394843">
              <w:rPr>
                <w:color w:val="000000"/>
                <w:szCs w:val="24"/>
              </w:rPr>
              <w:t>Naime, u</w:t>
            </w:r>
            <w:r w:rsidRPr="008401FA">
              <w:rPr>
                <w:color w:val="000000"/>
                <w:szCs w:val="24"/>
              </w:rPr>
              <w:t>manjenjem obveze poreza na dohodak do određenog iznosa po osnovi nesamostalnog rada za 100% za mlade</w:t>
            </w:r>
            <w:r w:rsidR="00394843">
              <w:rPr>
                <w:color w:val="000000"/>
                <w:szCs w:val="24"/>
              </w:rPr>
              <w:t xml:space="preserve"> osobe </w:t>
            </w:r>
            <w:r w:rsidRPr="008401FA">
              <w:rPr>
                <w:color w:val="000000"/>
                <w:szCs w:val="24"/>
              </w:rPr>
              <w:t>do 25 godina života</w:t>
            </w:r>
            <w:r w:rsidR="00A81A9F">
              <w:rPr>
                <w:color w:val="000000"/>
                <w:szCs w:val="24"/>
              </w:rPr>
              <w:t>,</w:t>
            </w:r>
            <w:r w:rsidRPr="008401FA">
              <w:rPr>
                <w:color w:val="000000"/>
                <w:szCs w:val="24"/>
              </w:rPr>
              <w:t xml:space="preserve"> odnosno za 50% za mlade</w:t>
            </w:r>
            <w:r w:rsidR="00394843">
              <w:rPr>
                <w:color w:val="000000"/>
                <w:szCs w:val="24"/>
              </w:rPr>
              <w:t xml:space="preserve"> osobe</w:t>
            </w:r>
            <w:r w:rsidRPr="008401FA">
              <w:rPr>
                <w:color w:val="000000"/>
                <w:szCs w:val="24"/>
              </w:rPr>
              <w:t xml:space="preserve"> od 26 do 30 godina života direktno se utjecalo na povećanje </w:t>
            </w:r>
            <w:r w:rsidR="00F74981">
              <w:rPr>
                <w:color w:val="000000"/>
                <w:szCs w:val="24"/>
              </w:rPr>
              <w:t>raspoloživog dohotka</w:t>
            </w:r>
            <w:r w:rsidR="00394843">
              <w:rPr>
                <w:color w:val="000000"/>
                <w:szCs w:val="24"/>
              </w:rPr>
              <w:t>.</w:t>
            </w:r>
            <w:r w:rsidRPr="008401FA">
              <w:rPr>
                <w:color w:val="000000"/>
                <w:szCs w:val="24"/>
              </w:rPr>
              <w:t xml:space="preserve"> </w:t>
            </w:r>
            <w:r w:rsidR="00FA193B">
              <w:rPr>
                <w:color w:val="000000"/>
                <w:szCs w:val="24"/>
              </w:rPr>
              <w:t xml:space="preserve"> </w:t>
            </w:r>
            <w:r w:rsidRPr="008401FA">
              <w:rPr>
                <w:color w:val="000000"/>
                <w:szCs w:val="24"/>
              </w:rPr>
              <w:t>Mjera umanjenja obveze poreza na dohodak i prireza porez</w:t>
            </w:r>
            <w:r w:rsidR="00BC6098">
              <w:rPr>
                <w:color w:val="000000"/>
                <w:szCs w:val="24"/>
              </w:rPr>
              <w:t>u</w:t>
            </w:r>
            <w:r w:rsidRPr="008401FA">
              <w:rPr>
                <w:color w:val="000000"/>
                <w:szCs w:val="24"/>
              </w:rPr>
              <w:t xml:space="preserve"> na dohodak osim što je izravni doprinos uvećanju raspoloživog dohotka odnosno povećanj</w:t>
            </w:r>
            <w:r w:rsidR="00E52A87" w:rsidRPr="008401FA">
              <w:rPr>
                <w:color w:val="000000"/>
                <w:szCs w:val="24"/>
              </w:rPr>
              <w:t>u</w:t>
            </w:r>
            <w:r w:rsidRPr="008401FA">
              <w:rPr>
                <w:color w:val="000000"/>
                <w:szCs w:val="24"/>
              </w:rPr>
              <w:t xml:space="preserve"> potrošnje građana, ujedno predstavlja i demografsku mjeru.</w:t>
            </w:r>
            <w:r w:rsidR="00BB5B9D">
              <w:t xml:space="preserve"> </w:t>
            </w:r>
            <w:r w:rsidR="00A36C77">
              <w:t>Porezno rasterećenje obuhvatilo je</w:t>
            </w:r>
            <w:r w:rsidR="00DE578B">
              <w:rPr>
                <w:color w:val="000000"/>
                <w:szCs w:val="24"/>
              </w:rPr>
              <w:t xml:space="preserve"> </w:t>
            </w:r>
            <w:r w:rsidR="00DE578B" w:rsidRPr="004E1A64">
              <w:rPr>
                <w:color w:val="000000"/>
                <w:szCs w:val="24"/>
              </w:rPr>
              <w:t>ukupno oko 142 tisuće porezni</w:t>
            </w:r>
            <w:r w:rsidR="00DE578B">
              <w:rPr>
                <w:color w:val="000000"/>
                <w:szCs w:val="24"/>
              </w:rPr>
              <w:t>h</w:t>
            </w:r>
            <w:r w:rsidR="00DE578B" w:rsidRPr="004E1A64">
              <w:rPr>
                <w:color w:val="000000"/>
                <w:szCs w:val="24"/>
              </w:rPr>
              <w:t xml:space="preserve"> obveznika-mladih osoba</w:t>
            </w:r>
            <w:r w:rsidR="00DE578B">
              <w:rPr>
                <w:color w:val="000000"/>
                <w:szCs w:val="24"/>
              </w:rPr>
              <w:t xml:space="preserve"> do 30 godina života</w:t>
            </w:r>
            <w:r w:rsidR="00DE578B" w:rsidRPr="004E1A64">
              <w:rPr>
                <w:color w:val="000000"/>
                <w:szCs w:val="24"/>
              </w:rPr>
              <w:t xml:space="preserve"> </w:t>
            </w:r>
            <w:r w:rsidR="00A36C77">
              <w:rPr>
                <w:color w:val="000000"/>
                <w:szCs w:val="24"/>
              </w:rPr>
              <w:t xml:space="preserve">koji su u </w:t>
            </w:r>
            <w:r w:rsidR="00A36C77" w:rsidRPr="004E1A64">
              <w:rPr>
                <w:color w:val="000000"/>
                <w:szCs w:val="24"/>
              </w:rPr>
              <w:t>godišnje</w:t>
            </w:r>
            <w:r w:rsidR="00A36C77">
              <w:rPr>
                <w:color w:val="000000"/>
                <w:szCs w:val="24"/>
              </w:rPr>
              <w:t>m</w:t>
            </w:r>
            <w:r w:rsidR="00A36C77" w:rsidRPr="004E1A64">
              <w:rPr>
                <w:color w:val="000000"/>
                <w:szCs w:val="24"/>
              </w:rPr>
              <w:t xml:space="preserve"> obračun</w:t>
            </w:r>
            <w:r w:rsidR="00A36C77">
              <w:rPr>
                <w:color w:val="000000"/>
                <w:szCs w:val="24"/>
              </w:rPr>
              <w:t>u</w:t>
            </w:r>
            <w:r w:rsidR="00A36C77" w:rsidRPr="004E1A64">
              <w:rPr>
                <w:color w:val="000000"/>
                <w:szCs w:val="24"/>
              </w:rPr>
              <w:t xml:space="preserve"> poreza na dohodak za 2020. godinu </w:t>
            </w:r>
            <w:r w:rsidR="00045DC5">
              <w:rPr>
                <w:color w:val="000000"/>
                <w:szCs w:val="24"/>
              </w:rPr>
              <w:t xml:space="preserve">s osnove umanjenja porezne obveze </w:t>
            </w:r>
            <w:r w:rsidR="00DE578B" w:rsidRPr="004E1A64">
              <w:rPr>
                <w:color w:val="000000"/>
                <w:szCs w:val="24"/>
              </w:rPr>
              <w:t>ostvaril</w:t>
            </w:r>
            <w:r w:rsidR="00A36C77">
              <w:rPr>
                <w:color w:val="000000"/>
                <w:szCs w:val="24"/>
              </w:rPr>
              <w:t>i</w:t>
            </w:r>
            <w:r w:rsidR="00DE578B" w:rsidRPr="004E1A64">
              <w:rPr>
                <w:color w:val="000000"/>
                <w:szCs w:val="24"/>
              </w:rPr>
              <w:t xml:space="preserve"> pravo na povrat više uplaćenog poreza i prireza na dohodak</w:t>
            </w:r>
            <w:r w:rsidR="00045DC5" w:rsidRPr="004E1A64">
              <w:rPr>
                <w:color w:val="000000"/>
                <w:szCs w:val="24"/>
              </w:rPr>
              <w:t xml:space="preserve"> u</w:t>
            </w:r>
            <w:r w:rsidR="00045DC5">
              <w:rPr>
                <w:color w:val="000000"/>
                <w:szCs w:val="24"/>
              </w:rPr>
              <w:t xml:space="preserve"> ukupnom</w:t>
            </w:r>
            <w:r w:rsidR="00045DC5" w:rsidRPr="004E1A64">
              <w:rPr>
                <w:color w:val="000000"/>
                <w:szCs w:val="24"/>
              </w:rPr>
              <w:t xml:space="preserve"> iznosu od 696 </w:t>
            </w:r>
            <w:proofErr w:type="spellStart"/>
            <w:r w:rsidR="00045DC5" w:rsidRPr="004E1A64">
              <w:rPr>
                <w:color w:val="000000"/>
                <w:szCs w:val="24"/>
              </w:rPr>
              <w:t>mil</w:t>
            </w:r>
            <w:proofErr w:type="spellEnd"/>
            <w:r w:rsidR="00045DC5" w:rsidRPr="004E1A64">
              <w:rPr>
                <w:color w:val="000000"/>
                <w:szCs w:val="24"/>
              </w:rPr>
              <w:t xml:space="preserve"> kn</w:t>
            </w:r>
            <w:r w:rsidR="00DE578B" w:rsidRPr="004E1A64">
              <w:rPr>
                <w:color w:val="000000"/>
                <w:szCs w:val="24"/>
              </w:rPr>
              <w:t>.</w:t>
            </w:r>
          </w:p>
          <w:p w14:paraId="1560725A" w14:textId="77777777" w:rsidR="00747CF4" w:rsidRDefault="00747CF4" w:rsidP="00DE578B">
            <w:pPr>
              <w:jc w:val="both"/>
              <w:rPr>
                <w:szCs w:val="24"/>
              </w:rPr>
            </w:pPr>
          </w:p>
          <w:p w14:paraId="2652D521" w14:textId="156F5AAB" w:rsidR="00A91CF9" w:rsidRDefault="00DE578B" w:rsidP="00DE578B">
            <w:pPr>
              <w:jc w:val="both"/>
              <w:rPr>
                <w:szCs w:val="24"/>
              </w:rPr>
            </w:pPr>
            <w:r w:rsidRPr="00747CF4">
              <w:rPr>
                <w:szCs w:val="24"/>
              </w:rPr>
              <w:t xml:space="preserve">U nastavku </w:t>
            </w:r>
            <w:r w:rsidR="00747CF4">
              <w:rPr>
                <w:szCs w:val="24"/>
              </w:rPr>
              <w:t xml:space="preserve">dajemo </w:t>
            </w:r>
            <w:r w:rsidR="00574CFE">
              <w:rPr>
                <w:szCs w:val="24"/>
              </w:rPr>
              <w:t xml:space="preserve">i </w:t>
            </w:r>
            <w:r w:rsidR="00747CF4">
              <w:rPr>
                <w:szCs w:val="24"/>
              </w:rPr>
              <w:t>konkretan primjer</w:t>
            </w:r>
            <w:r w:rsidRPr="00747CF4">
              <w:rPr>
                <w:szCs w:val="24"/>
              </w:rPr>
              <w:t xml:space="preserve"> godišnjeg obračuna </w:t>
            </w:r>
            <w:r w:rsidR="004B1AEA">
              <w:rPr>
                <w:szCs w:val="24"/>
              </w:rPr>
              <w:t>na primjeru mlade osobe do 25 godina života i na primjeru mlade osobe od 26 do 30 godina života</w:t>
            </w:r>
            <w:r w:rsidRPr="00747CF4">
              <w:rPr>
                <w:szCs w:val="24"/>
              </w:rPr>
              <w:t xml:space="preserve"> za 2020. godinu, koje su </w:t>
            </w:r>
            <w:r w:rsidR="004B1AEA">
              <w:rPr>
                <w:szCs w:val="24"/>
              </w:rPr>
              <w:t xml:space="preserve">tijekom 2020. </w:t>
            </w:r>
            <w:r w:rsidRPr="00747CF4">
              <w:rPr>
                <w:szCs w:val="24"/>
              </w:rPr>
              <w:t>ostvari</w:t>
            </w:r>
            <w:r w:rsidR="004B1AEA">
              <w:rPr>
                <w:szCs w:val="24"/>
              </w:rPr>
              <w:t>vale mjesečni iznos dohotka od 10.000,00 kn</w:t>
            </w:r>
            <w:r w:rsidRPr="00747CF4">
              <w:rPr>
                <w:szCs w:val="24"/>
              </w:rPr>
              <w:t xml:space="preserve"> </w:t>
            </w:r>
            <w:r w:rsidR="004B1AEA">
              <w:rPr>
                <w:szCs w:val="24"/>
              </w:rPr>
              <w:t>(</w:t>
            </w:r>
            <w:r w:rsidRPr="00747CF4">
              <w:rPr>
                <w:szCs w:val="24"/>
              </w:rPr>
              <w:t>godišnji dohodak u iznosu od 120.000,00 kn</w:t>
            </w:r>
            <w:r w:rsidR="004B1AEA">
              <w:rPr>
                <w:szCs w:val="24"/>
              </w:rPr>
              <w:t>)</w:t>
            </w:r>
            <w:r>
              <w:rPr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XSpec="center" w:tblpY="243"/>
              <w:tblOverlap w:val="never"/>
              <w:tblW w:w="877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2"/>
              <w:gridCol w:w="2394"/>
              <w:gridCol w:w="2268"/>
            </w:tblGrid>
            <w:tr w:rsidR="00851535" w:rsidRPr="008401FA" w14:paraId="5296B321" w14:textId="77777777" w:rsidTr="00C20645">
              <w:trPr>
                <w:trHeight w:val="1137"/>
                <w:jc w:val="center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3D8DB340" w14:textId="77777777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41B123E9" w14:textId="77777777" w:rsidR="00851535" w:rsidRPr="00780B76" w:rsidRDefault="00851535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Godišnji obračun za mladu osobu do 25 godina života</w:t>
                  </w:r>
                </w:p>
                <w:p w14:paraId="00226760" w14:textId="54631E5B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za 2020</w:t>
                  </w:r>
                  <w:r w:rsidRPr="00780B76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godinu, iznosi izraženi u kunama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4547AB" w14:textId="77777777" w:rsidR="00851535" w:rsidRPr="00780B76" w:rsidRDefault="00851535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Godišnji obračun za mladu osobu od 26 do 30 godina života</w:t>
                  </w:r>
                </w:p>
                <w:p w14:paraId="42E47CDB" w14:textId="75A2841F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za 2020. godinu, iznosi izraženi u kunama</w:t>
                  </w:r>
                </w:p>
              </w:tc>
            </w:tr>
            <w:tr w:rsidR="00DE578B" w:rsidRPr="00780B76" w14:paraId="4584DF9A" w14:textId="77777777" w:rsidTr="005B136D">
              <w:trPr>
                <w:trHeight w:val="99"/>
                <w:jc w:val="center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F84FD0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51AB256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C384390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3.</w:t>
                  </w:r>
                </w:p>
              </w:tc>
            </w:tr>
            <w:tr w:rsidR="00DE578B" w:rsidRPr="00780B76" w14:paraId="5134EDCB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1582ED31" w14:textId="77777777" w:rsidR="00DE578B" w:rsidRPr="00780B76" w:rsidRDefault="00DE578B" w:rsidP="00DE578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1. Sveukupni godišnji dohodak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AD226E6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120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2B24F0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780B76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20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08914855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76936015" w14:textId="77777777" w:rsidR="00DE578B" w:rsidRPr="00780B76" w:rsidRDefault="00DE578B" w:rsidP="00DE578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2. Ukupni godišnji osobni odbitak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ED9EF95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C8D49C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48.000,0</w:t>
                  </w:r>
                  <w:r w:rsidRPr="00780B76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DE578B" w:rsidRPr="00780B76" w14:paraId="4D3D420F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48908852" w14:textId="77777777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3. Godišnja porezna osnovica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BCA8867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3DFD6B8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3325090F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78E887D3" w14:textId="1480AA1C" w:rsidR="00DE578B" w:rsidRPr="00780B76" w:rsidRDefault="00801E9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4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. Dio porezne osnovice do 360.000,00 kn za primjenu stope 24%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AF93AE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C12E95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452BA3D2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2ED952C0" w14:textId="611022FB" w:rsidR="00DE578B" w:rsidRPr="00780B76" w:rsidRDefault="00801E9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lastRenderedPageBreak/>
                    <w:t>5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 xml:space="preserve">. Dio porezne osnovice </w:t>
                  </w:r>
                  <w:r w:rsidR="00DE578B">
                    <w:rPr>
                      <w:rFonts w:cs="Arial"/>
                      <w:sz w:val="18"/>
                      <w:szCs w:val="18"/>
                    </w:rPr>
                    <w:t xml:space="preserve">iznad 360.000,00 kn 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za primjenu stope 36%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486278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DF683D1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  <w:tr w:rsidR="00DE578B" w:rsidRPr="00780B76" w14:paraId="4AB24D98" w14:textId="77777777" w:rsidTr="005B136D">
              <w:trPr>
                <w:trHeight w:val="399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3638804A" w14:textId="467599E1" w:rsidR="00DE578B" w:rsidRPr="00780B76" w:rsidRDefault="00801E9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. Godišnji porez po stopi 24%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9FC5B0" w14:textId="04E2AA85" w:rsidR="00DE578B" w:rsidRPr="00780B76" w:rsidRDefault="00DE578B" w:rsidP="005B136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17.280,00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254419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17.280,00</w:t>
                  </w:r>
                </w:p>
              </w:tc>
            </w:tr>
            <w:tr w:rsidR="00DE578B" w:rsidRPr="00780B76" w14:paraId="47FFA1C4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3557AA3E" w14:textId="2FDAED91" w:rsidR="00DE578B" w:rsidRPr="00780B76" w:rsidRDefault="00801E9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7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 xml:space="preserve">. Godišnji porez po stopi 36%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2AE72F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F3EE09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</w:t>
                  </w:r>
                  <w:r w:rsidRPr="00780B76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</w:tr>
            <w:tr w:rsidR="00DE578B" w:rsidRPr="00780B76" w14:paraId="0D053066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34EDB585" w14:textId="20124C4A" w:rsidR="00DE578B" w:rsidRPr="00F52961" w:rsidRDefault="00801E9D" w:rsidP="00DE578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</w:t>
                  </w:r>
                  <w:r w:rsidR="00DE578B" w:rsidRPr="00F52961">
                    <w:rPr>
                      <w:rFonts w:cs="Arial"/>
                      <w:sz w:val="18"/>
                      <w:szCs w:val="18"/>
                    </w:rPr>
                    <w:t>. Ukupni godišnji porez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597693" w14:textId="45431A95" w:rsidR="00DE578B" w:rsidRPr="00780B76" w:rsidRDefault="005B136D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17.280,00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26B546" w14:textId="2FFFB716" w:rsidR="00DE578B" w:rsidRPr="00780B76" w:rsidRDefault="005B136D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17.280,00</w:t>
                  </w:r>
                </w:p>
              </w:tc>
            </w:tr>
            <w:tr w:rsidR="00DE578B" w:rsidRPr="00780B76" w14:paraId="47AFC6FF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1B1E7719" w14:textId="4099B696" w:rsidR="00DE578B" w:rsidRPr="00F52961" w:rsidRDefault="00801E9D" w:rsidP="00DE578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9</w:t>
                  </w:r>
                  <w:r w:rsidR="00DE578B" w:rsidRPr="00F52961">
                    <w:rPr>
                      <w:rFonts w:cs="Arial"/>
                      <w:sz w:val="18"/>
                      <w:szCs w:val="18"/>
                    </w:rPr>
                    <w:t>.</w:t>
                  </w:r>
                  <w:r w:rsidR="00DE578B" w:rsidRPr="00F52961">
                    <w:rPr>
                      <w:sz w:val="18"/>
                      <w:szCs w:val="18"/>
                    </w:rPr>
                    <w:t xml:space="preserve"> Godišnji prirez (Grad Zagreb 18%)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CBBCD7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3.110,40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187E3C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3.110,40</w:t>
                  </w:r>
                </w:p>
              </w:tc>
            </w:tr>
            <w:tr w:rsidR="00DE578B" w:rsidRPr="00780B76" w14:paraId="6B1D49A8" w14:textId="77777777" w:rsidTr="005B136D">
              <w:trPr>
                <w:trHeight w:val="60"/>
                <w:jc w:val="center"/>
              </w:trPr>
              <w:tc>
                <w:tcPr>
                  <w:tcW w:w="4112" w:type="dxa"/>
                  <w:noWrap/>
                  <w:vAlign w:val="center"/>
                </w:tcPr>
                <w:p w14:paraId="3D720093" w14:textId="31B1ACDB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801E9D">
                    <w:rPr>
                      <w:rFonts w:cs="Arial"/>
                      <w:sz w:val="18"/>
                      <w:szCs w:val="18"/>
                    </w:rPr>
                    <w:t>0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>. Godišnja obveza poreza i prireza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98CDC5F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EF019B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</w:tr>
            <w:tr w:rsidR="00DE578B" w:rsidRPr="00780B76" w14:paraId="7CCF0726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noWrap/>
                  <w:vAlign w:val="center"/>
                </w:tcPr>
                <w:p w14:paraId="5D9FB4A1" w14:textId="45B9AF6D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801E9D">
                    <w:rPr>
                      <w:rFonts w:cs="Arial"/>
                      <w:sz w:val="18"/>
                      <w:szCs w:val="18"/>
                    </w:rPr>
                    <w:t>1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. Umanjenje za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mlade po članku 46. st. 2.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E17568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61E65B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10.195,20</w:t>
                  </w:r>
                </w:p>
              </w:tc>
            </w:tr>
            <w:tr w:rsidR="00DE578B" w:rsidRPr="00780B76" w14:paraId="6714AE05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noWrap/>
                  <w:vAlign w:val="center"/>
                </w:tcPr>
                <w:p w14:paraId="2D5231B2" w14:textId="2FF13163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801E9D">
                    <w:rPr>
                      <w:rFonts w:cs="Arial"/>
                      <w:sz w:val="18"/>
                      <w:szCs w:val="18"/>
                    </w:rPr>
                    <w:t>2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>. Obveza nakon umanjenja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5493AED" w14:textId="77777777" w:rsidR="00DE578B" w:rsidRPr="00840E73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56677F5" w14:textId="77777777" w:rsidR="00DE578B" w:rsidRPr="00840E73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10.195,20</w:t>
                  </w:r>
                </w:p>
              </w:tc>
            </w:tr>
            <w:tr w:rsidR="00DE578B" w:rsidRPr="00780B76" w14:paraId="7F43CD54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noWrap/>
                  <w:vAlign w:val="center"/>
                </w:tcPr>
                <w:p w14:paraId="1F64E29D" w14:textId="51FD9C52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801E9D">
                    <w:rPr>
                      <w:rFonts w:cs="Arial"/>
                      <w:sz w:val="18"/>
                      <w:szCs w:val="18"/>
                    </w:rPr>
                    <w:t>3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. Uplaćeni predujam poreza i prireza u tuzemstvu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5670FB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E38B1"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B39461F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E38B1"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</w:tr>
            <w:tr w:rsidR="00DE578B" w:rsidRPr="00780B76" w14:paraId="5D967640" w14:textId="77777777" w:rsidTr="005B136D">
              <w:trPr>
                <w:trHeight w:val="255"/>
                <w:jc w:val="center"/>
              </w:trPr>
              <w:tc>
                <w:tcPr>
                  <w:tcW w:w="4112" w:type="dxa"/>
                  <w:noWrap/>
                  <w:vAlign w:val="center"/>
                </w:tcPr>
                <w:p w14:paraId="672906F3" w14:textId="312589BF" w:rsidR="00DE578B" w:rsidRPr="001610C7" w:rsidRDefault="00DE578B" w:rsidP="00DE578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801E9D">
                    <w:rPr>
                      <w:rFonts w:cs="Arial"/>
                      <w:sz w:val="18"/>
                      <w:szCs w:val="18"/>
                    </w:rPr>
                    <w:t>4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Razlika poreza </w:t>
                  </w:r>
                  <w:r>
                    <w:rPr>
                      <w:rFonts w:cs="Arial"/>
                      <w:sz w:val="18"/>
                      <w:szCs w:val="18"/>
                    </w:rPr>
                    <w:t>za povrat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FC86CC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E38B1">
                    <w:rPr>
                      <w:b/>
                      <w:sz w:val="16"/>
                      <w:szCs w:val="16"/>
                    </w:rPr>
                    <w:t>20.390,40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CC16E1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6E38B1">
                    <w:rPr>
                      <w:b/>
                      <w:sz w:val="16"/>
                      <w:szCs w:val="16"/>
                    </w:rPr>
                    <w:t>10.195,20</w:t>
                  </w:r>
                </w:p>
              </w:tc>
            </w:tr>
          </w:tbl>
          <w:p w14:paraId="2D054738" w14:textId="43C1AF41" w:rsidR="00EF54E2" w:rsidRDefault="00EF54E2" w:rsidP="00574CFE">
            <w:pPr>
              <w:jc w:val="both"/>
              <w:rPr>
                <w:szCs w:val="24"/>
              </w:rPr>
            </w:pPr>
          </w:p>
          <w:p w14:paraId="786D33BE" w14:textId="5712C633" w:rsidR="0042440B" w:rsidRDefault="0042440B" w:rsidP="00574CF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Dakle, mlada osoba do 25 godina života </w:t>
            </w:r>
            <w:r w:rsidR="00AD6418">
              <w:rPr>
                <w:szCs w:val="24"/>
              </w:rPr>
              <w:t>koja je tijekom 2020. godine ostvarila godišnj</w:t>
            </w:r>
            <w:r w:rsidR="00AA2A4E">
              <w:rPr>
                <w:szCs w:val="24"/>
              </w:rPr>
              <w:t>i dohodak</w:t>
            </w:r>
            <w:r w:rsidR="00AD6418">
              <w:rPr>
                <w:szCs w:val="24"/>
              </w:rPr>
              <w:t xml:space="preserve"> u iznosu </w:t>
            </w:r>
            <w:r w:rsidR="000A26B0">
              <w:rPr>
                <w:szCs w:val="24"/>
              </w:rPr>
              <w:t>od</w:t>
            </w:r>
            <w:r w:rsidR="00FD12FE">
              <w:rPr>
                <w:szCs w:val="24"/>
              </w:rPr>
              <w:t xml:space="preserve"> </w:t>
            </w:r>
            <w:r w:rsidR="000A26B0">
              <w:rPr>
                <w:szCs w:val="24"/>
              </w:rPr>
              <w:t>120.000,00 kn</w:t>
            </w:r>
            <w:r w:rsidR="000F1AE9">
              <w:rPr>
                <w:szCs w:val="24"/>
              </w:rPr>
              <w:t xml:space="preserve"> </w:t>
            </w:r>
            <w:r w:rsidR="000F1AE9" w:rsidRPr="000F1AE9">
              <w:rPr>
                <w:szCs w:val="24"/>
              </w:rPr>
              <w:t xml:space="preserve">nakon umanjenja </w:t>
            </w:r>
            <w:r w:rsidR="00FD12FE" w:rsidRPr="00521BE2">
              <w:rPr>
                <w:szCs w:val="24"/>
              </w:rPr>
              <w:t>porezne obveze obračunate</w:t>
            </w:r>
            <w:r w:rsidR="000F1AE9" w:rsidRPr="00521BE2">
              <w:rPr>
                <w:szCs w:val="24"/>
              </w:rPr>
              <w:t xml:space="preserve"> </w:t>
            </w:r>
            <w:r w:rsidR="000F1AE9" w:rsidRPr="000F1AE9">
              <w:rPr>
                <w:szCs w:val="24"/>
              </w:rPr>
              <w:t xml:space="preserve">na dio porezne osnovice na koju se plaća godišnji porez po stopi od 24% odnosno na osnovicu do 360.000,00 kn u 100% iznosu ostvaruje pravo na povrat poreza na dohodak i prireza porezu na dohodak u iznosu </w:t>
            </w:r>
            <w:r w:rsidR="000F1AE9">
              <w:rPr>
                <w:szCs w:val="24"/>
              </w:rPr>
              <w:t>20.390,40</w:t>
            </w:r>
            <w:r w:rsidR="000F1AE9" w:rsidRPr="000F1AE9">
              <w:rPr>
                <w:szCs w:val="24"/>
              </w:rPr>
              <w:t xml:space="preserve"> kn</w:t>
            </w:r>
            <w:r w:rsidR="00B840F1">
              <w:rPr>
                <w:szCs w:val="24"/>
              </w:rPr>
              <w:t>,</w:t>
            </w:r>
            <w:r w:rsidR="001E13AC">
              <w:rPr>
                <w:szCs w:val="24"/>
              </w:rPr>
              <w:t xml:space="preserve"> dok</w:t>
            </w:r>
            <w:r w:rsidR="000F1AE9">
              <w:rPr>
                <w:szCs w:val="24"/>
              </w:rPr>
              <w:t xml:space="preserve"> mlada osoba od 26 do 30 godina života</w:t>
            </w:r>
            <w:r w:rsidR="001E13AC">
              <w:rPr>
                <w:szCs w:val="24"/>
              </w:rPr>
              <w:t xml:space="preserve"> sa ist</w:t>
            </w:r>
            <w:r w:rsidR="00AA2A4E">
              <w:rPr>
                <w:szCs w:val="24"/>
              </w:rPr>
              <w:t>im</w:t>
            </w:r>
            <w:r w:rsidR="001E13AC">
              <w:rPr>
                <w:szCs w:val="24"/>
              </w:rPr>
              <w:t xml:space="preserve"> godišnj</w:t>
            </w:r>
            <w:r w:rsidR="00AA2A4E">
              <w:rPr>
                <w:szCs w:val="24"/>
              </w:rPr>
              <w:t>im</w:t>
            </w:r>
            <w:r w:rsidR="001E13AC">
              <w:rPr>
                <w:szCs w:val="24"/>
              </w:rPr>
              <w:t xml:space="preserve"> </w:t>
            </w:r>
            <w:r w:rsidR="00AA2A4E">
              <w:rPr>
                <w:szCs w:val="24"/>
              </w:rPr>
              <w:t>dohotkom</w:t>
            </w:r>
            <w:r w:rsidR="001E13AC">
              <w:rPr>
                <w:szCs w:val="24"/>
              </w:rPr>
              <w:t xml:space="preserve"> </w:t>
            </w:r>
            <w:r w:rsidR="001E13AC" w:rsidRPr="001E13AC">
              <w:rPr>
                <w:szCs w:val="24"/>
              </w:rPr>
              <w:t xml:space="preserve">nakon umanjenja </w:t>
            </w:r>
            <w:r w:rsidR="00FD12FE" w:rsidRPr="00521BE2">
              <w:rPr>
                <w:szCs w:val="24"/>
              </w:rPr>
              <w:t xml:space="preserve">porezne obveze obračunate </w:t>
            </w:r>
            <w:r w:rsidR="001E13AC" w:rsidRPr="001E13AC">
              <w:rPr>
                <w:szCs w:val="24"/>
              </w:rPr>
              <w:t xml:space="preserve">na dio porezne osnovice na koju se plaća godišnji porez po stopi od 24% odnosno na osnovicu do 360.000,00 kn u </w:t>
            </w:r>
            <w:r w:rsidR="001E13AC">
              <w:rPr>
                <w:szCs w:val="24"/>
              </w:rPr>
              <w:t>5</w:t>
            </w:r>
            <w:r w:rsidR="001E13AC" w:rsidRPr="001E13AC">
              <w:rPr>
                <w:szCs w:val="24"/>
              </w:rPr>
              <w:t>0% iznosu</w:t>
            </w:r>
            <w:r w:rsidR="001E13AC">
              <w:rPr>
                <w:szCs w:val="24"/>
              </w:rPr>
              <w:t xml:space="preserve"> ostvaruje pravo na povrat u iznosu od 10.195,20 kn.</w:t>
            </w:r>
          </w:p>
          <w:p w14:paraId="7BD79821" w14:textId="77777777" w:rsidR="001E13AC" w:rsidRDefault="001E13AC" w:rsidP="00574CFE">
            <w:pPr>
              <w:jc w:val="both"/>
              <w:rPr>
                <w:szCs w:val="24"/>
              </w:rPr>
            </w:pPr>
          </w:p>
          <w:p w14:paraId="4D3C4807" w14:textId="64521EEB" w:rsidR="00EF54E2" w:rsidRPr="00EF54E2" w:rsidRDefault="00574CFE" w:rsidP="00EF54E2">
            <w:pPr>
              <w:jc w:val="both"/>
              <w:rPr>
                <w:szCs w:val="24"/>
              </w:rPr>
            </w:pPr>
            <w:r w:rsidRPr="00747CF4">
              <w:rPr>
                <w:szCs w:val="24"/>
              </w:rPr>
              <w:t xml:space="preserve">U </w:t>
            </w:r>
            <w:r>
              <w:rPr>
                <w:szCs w:val="24"/>
              </w:rPr>
              <w:t>sljedećoj tablici</w:t>
            </w:r>
            <w:r w:rsidRPr="00747CF4">
              <w:rPr>
                <w:szCs w:val="24"/>
              </w:rPr>
              <w:t xml:space="preserve"> </w:t>
            </w:r>
            <w:r>
              <w:rPr>
                <w:szCs w:val="24"/>
              </w:rPr>
              <w:t>dajemo i konkretan primjer</w:t>
            </w:r>
            <w:r w:rsidRPr="00747CF4">
              <w:rPr>
                <w:szCs w:val="24"/>
              </w:rPr>
              <w:t xml:space="preserve"> godišnjeg obračuna </w:t>
            </w:r>
            <w:r>
              <w:rPr>
                <w:szCs w:val="24"/>
              </w:rPr>
              <w:t>na primjeru mlade osobe do 25 godina života i na primjeru mlade osobe od 26 do 30 godina života</w:t>
            </w:r>
            <w:r w:rsidRPr="00747CF4">
              <w:rPr>
                <w:szCs w:val="24"/>
              </w:rPr>
              <w:t xml:space="preserve"> za 2020. godinu, koje su </w:t>
            </w:r>
            <w:r>
              <w:rPr>
                <w:szCs w:val="24"/>
              </w:rPr>
              <w:t xml:space="preserve">tijekom 2020. </w:t>
            </w:r>
            <w:r w:rsidRPr="00747CF4">
              <w:rPr>
                <w:szCs w:val="24"/>
              </w:rPr>
              <w:t>ostvari</w:t>
            </w:r>
            <w:r>
              <w:rPr>
                <w:szCs w:val="24"/>
              </w:rPr>
              <w:t xml:space="preserve">vale mjesečni iznos dohotka od 20.000,00 </w:t>
            </w:r>
            <w:r w:rsidR="00E715A9">
              <w:rPr>
                <w:szCs w:val="24"/>
              </w:rPr>
              <w:t>kn</w:t>
            </w:r>
            <w:r w:rsidRPr="00747CF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747CF4">
              <w:rPr>
                <w:szCs w:val="24"/>
              </w:rPr>
              <w:t xml:space="preserve">godišnji dohodak u iznosu od </w:t>
            </w:r>
            <w:r>
              <w:rPr>
                <w:szCs w:val="24"/>
              </w:rPr>
              <w:t>240</w:t>
            </w:r>
            <w:r w:rsidRPr="00747CF4">
              <w:rPr>
                <w:szCs w:val="24"/>
              </w:rPr>
              <w:t xml:space="preserve">.000,00 </w:t>
            </w:r>
            <w:r w:rsidR="00E715A9">
              <w:rPr>
                <w:szCs w:val="24"/>
              </w:rPr>
              <w:t>kn</w:t>
            </w:r>
            <w:r>
              <w:rPr>
                <w:szCs w:val="24"/>
              </w:rPr>
              <w:t>):</w:t>
            </w:r>
          </w:p>
          <w:tbl>
            <w:tblPr>
              <w:tblpPr w:leftFromText="180" w:rightFromText="180" w:vertAnchor="text" w:horzAnchor="margin" w:tblpY="243"/>
              <w:tblOverlap w:val="never"/>
              <w:tblW w:w="877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2"/>
              <w:gridCol w:w="2394"/>
              <w:gridCol w:w="2268"/>
            </w:tblGrid>
            <w:tr w:rsidR="00851535" w:rsidRPr="008401FA" w14:paraId="3A6B679C" w14:textId="77777777" w:rsidTr="001F12CC">
              <w:trPr>
                <w:trHeight w:val="1124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782A97AC" w14:textId="77777777" w:rsidR="00851535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1509A489" w14:textId="77777777" w:rsidR="00851535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2DF9E9C5" w14:textId="77777777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14:paraId="3BB04EA0" w14:textId="77777777" w:rsidR="00851535" w:rsidRPr="00780B76" w:rsidRDefault="00851535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Godišnji obračun za mladu osobu do 25. godine života</w:t>
                  </w:r>
                </w:p>
                <w:p w14:paraId="678A07C6" w14:textId="5DC4A828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za 2020. godinu, iznosi izraženi u kunama</w:t>
                  </w:r>
                </w:p>
              </w:tc>
              <w:tc>
                <w:tcPr>
                  <w:tcW w:w="2268" w:type="dxa"/>
                  <w:vAlign w:val="center"/>
                </w:tcPr>
                <w:p w14:paraId="09E5D698" w14:textId="77777777" w:rsidR="00851535" w:rsidRPr="00780B76" w:rsidRDefault="00851535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Godišnji obračun za mladu osobu od 26. do 30. godine života</w:t>
                  </w:r>
                </w:p>
                <w:p w14:paraId="355935A2" w14:textId="6F6A8B7E" w:rsidR="00851535" w:rsidRPr="008401FA" w:rsidRDefault="00851535" w:rsidP="00DE578B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za 2020</w:t>
                  </w:r>
                  <w:r w:rsidRPr="00780B76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godinu, iznosi izraženi u kunama</w:t>
                  </w:r>
                </w:p>
              </w:tc>
            </w:tr>
            <w:tr w:rsidR="00DE578B" w:rsidRPr="00780B76" w14:paraId="6159D6EB" w14:textId="77777777" w:rsidTr="003410E0">
              <w:trPr>
                <w:trHeight w:val="99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3B2CDA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03476C5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7BD39A8" w14:textId="77777777" w:rsidR="00DE578B" w:rsidRPr="00780B76" w:rsidRDefault="00DE578B" w:rsidP="00DE578B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3.</w:t>
                  </w:r>
                </w:p>
              </w:tc>
            </w:tr>
            <w:tr w:rsidR="00DE578B" w:rsidRPr="00780B76" w14:paraId="615D1CF6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4E96DCFF" w14:textId="77777777" w:rsidR="00DE578B" w:rsidRPr="00780B76" w:rsidRDefault="00DE578B" w:rsidP="00DE578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1. Sveukupni godišnji dohodak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A9047F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240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B1E3827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240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0A8520C4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4C2CFFAE" w14:textId="77777777" w:rsidR="00DE578B" w:rsidRPr="00780B76" w:rsidRDefault="00DE578B" w:rsidP="00DE578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2. Ukupni godišnji osobni odbitak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5988C7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E140F1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</w:tr>
            <w:tr w:rsidR="00DE578B" w:rsidRPr="00780B76" w14:paraId="7D21B1E6" w14:textId="77777777" w:rsidTr="005B136D">
              <w:trPr>
                <w:trHeight w:val="255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046B00F" w14:textId="77777777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3. Godišnja porezna osnovica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DCF369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72D352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2FC82299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4D0E8901" w14:textId="2B5C9FF5" w:rsidR="00DE578B" w:rsidRPr="00780B76" w:rsidRDefault="005B136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4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. Dio porezne osnovice do 360.000,00 kn za primjenu stope 24%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1AACEDE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CEFCE1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192</w:t>
                  </w:r>
                  <w:r w:rsidRPr="00780B76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E578B" w:rsidRPr="00780B76" w14:paraId="3F335E40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2BE41FC6" w14:textId="64824476" w:rsidR="00DE578B" w:rsidRPr="00E715A9" w:rsidRDefault="005B136D" w:rsidP="00DE578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5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 xml:space="preserve">. Dio porezne osnovice </w:t>
                  </w:r>
                  <w:r w:rsidR="00DE578B">
                    <w:rPr>
                      <w:rFonts w:cs="Arial"/>
                      <w:sz w:val="18"/>
                      <w:szCs w:val="18"/>
                    </w:rPr>
                    <w:t xml:space="preserve">iznad 360.000,00 </w:t>
                  </w:r>
                  <w:r w:rsidR="00E715A9">
                    <w:rPr>
                      <w:rFonts w:cs="Arial"/>
                      <w:sz w:val="18"/>
                      <w:szCs w:val="18"/>
                    </w:rPr>
                    <w:t>kn</w:t>
                  </w:r>
                  <w:r w:rsidR="00DE578B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za primjenu stope 36%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A3C0C0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266D13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  <w:tr w:rsidR="00DE578B" w:rsidRPr="00780B76" w14:paraId="76619DD7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30B389C1" w14:textId="503859EF" w:rsidR="00DE578B" w:rsidRPr="00780B76" w:rsidRDefault="005B136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>. Godišnji porez po stopi 24%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9958865" w14:textId="06B47148" w:rsidR="00DE578B" w:rsidRPr="00780B76" w:rsidRDefault="00DE578B" w:rsidP="005B136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46.080,00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4A09AB" w14:textId="536A9D23" w:rsidR="00DE578B" w:rsidRPr="00780B76" w:rsidRDefault="00DE578B" w:rsidP="005B136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46.080,00</w:t>
                  </w:r>
                </w:p>
              </w:tc>
            </w:tr>
            <w:tr w:rsidR="00DE578B" w:rsidRPr="00780B76" w14:paraId="12025671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19F12E34" w14:textId="3287287B" w:rsidR="00DE578B" w:rsidRPr="00780B76" w:rsidRDefault="005B136D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7</w:t>
                  </w:r>
                  <w:r w:rsidR="00DE578B" w:rsidRPr="001610C7">
                    <w:rPr>
                      <w:rFonts w:cs="Arial"/>
                      <w:sz w:val="18"/>
                      <w:szCs w:val="18"/>
                    </w:rPr>
                    <w:t xml:space="preserve">. Godišnji porez po stopi 36%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864659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45ACC8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  <w:tr w:rsidR="00DE578B" w:rsidRPr="00780B76" w14:paraId="77C78A5D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7EBAE219" w14:textId="6719733F" w:rsidR="00DE578B" w:rsidRPr="00F52961" w:rsidRDefault="005B136D" w:rsidP="00DE578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</w:t>
                  </w:r>
                  <w:r w:rsidR="00DE578B" w:rsidRPr="00F52961">
                    <w:rPr>
                      <w:rFonts w:cs="Arial"/>
                      <w:sz w:val="18"/>
                      <w:szCs w:val="18"/>
                    </w:rPr>
                    <w:t>. Ukupni godišnji porez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80C9FF" w14:textId="0CFFB443" w:rsidR="00DE578B" w:rsidRPr="00780B76" w:rsidRDefault="005B136D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46.080,00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D231A7" w14:textId="2EF78F69" w:rsidR="00DE578B" w:rsidRPr="00780B76" w:rsidRDefault="005B136D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46.080,00</w:t>
                  </w:r>
                </w:p>
              </w:tc>
            </w:tr>
            <w:tr w:rsidR="00DE578B" w:rsidRPr="00780B76" w14:paraId="7C2EB034" w14:textId="77777777" w:rsidTr="005B136D">
              <w:trPr>
                <w:trHeight w:val="255"/>
              </w:trPr>
              <w:tc>
                <w:tcPr>
                  <w:tcW w:w="4112" w:type="dxa"/>
                  <w:shd w:val="clear" w:color="auto" w:fill="FFFFFF" w:themeFill="background1"/>
                  <w:noWrap/>
                  <w:vAlign w:val="center"/>
                </w:tcPr>
                <w:p w14:paraId="3D14028E" w14:textId="1660A6F4" w:rsidR="00DE578B" w:rsidRPr="00F52961" w:rsidRDefault="005B136D" w:rsidP="00DE578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9</w:t>
                  </w:r>
                  <w:r w:rsidR="00DE578B" w:rsidRPr="00F52961">
                    <w:rPr>
                      <w:rFonts w:cs="Arial"/>
                      <w:sz w:val="18"/>
                      <w:szCs w:val="18"/>
                    </w:rPr>
                    <w:t>.</w:t>
                  </w:r>
                  <w:r w:rsidR="00DE578B" w:rsidRPr="00F52961">
                    <w:rPr>
                      <w:sz w:val="18"/>
                      <w:szCs w:val="18"/>
                    </w:rPr>
                    <w:t xml:space="preserve"> Godišnji prirez (Grad Zagreb 18%)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B2DA3A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8.294,40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6AB857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8.294,40</w:t>
                  </w:r>
                </w:p>
              </w:tc>
            </w:tr>
            <w:tr w:rsidR="00DE578B" w:rsidRPr="00780B76" w14:paraId="44E8036B" w14:textId="77777777" w:rsidTr="005B136D">
              <w:trPr>
                <w:trHeight w:val="255"/>
              </w:trPr>
              <w:tc>
                <w:tcPr>
                  <w:tcW w:w="4112" w:type="dxa"/>
                  <w:noWrap/>
                  <w:vAlign w:val="center"/>
                </w:tcPr>
                <w:p w14:paraId="262AA97D" w14:textId="16CC490B" w:rsidR="00DE578B" w:rsidRPr="00F52961" w:rsidRDefault="00DE578B" w:rsidP="00DE578B">
                  <w:pPr>
                    <w:rPr>
                      <w:b/>
                      <w:sz w:val="18"/>
                      <w:szCs w:val="18"/>
                    </w:rPr>
                  </w:pPr>
                  <w:r w:rsidRPr="00F52961"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5B136D">
                    <w:rPr>
                      <w:rFonts w:cs="Arial"/>
                      <w:sz w:val="18"/>
                      <w:szCs w:val="18"/>
                    </w:rPr>
                    <w:t>0</w:t>
                  </w:r>
                  <w:r w:rsidRPr="00F52961">
                    <w:rPr>
                      <w:rFonts w:cs="Arial"/>
                      <w:sz w:val="18"/>
                      <w:szCs w:val="18"/>
                    </w:rPr>
                    <w:t>. Godišnja obveza poreza i prireza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B4D7C8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C6F66A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</w:tr>
            <w:tr w:rsidR="00DE578B" w:rsidRPr="00780B76" w14:paraId="27CA3172" w14:textId="77777777" w:rsidTr="005B136D">
              <w:trPr>
                <w:trHeight w:val="255"/>
              </w:trPr>
              <w:tc>
                <w:tcPr>
                  <w:tcW w:w="4112" w:type="dxa"/>
                  <w:noWrap/>
                  <w:vAlign w:val="center"/>
                </w:tcPr>
                <w:p w14:paraId="13D80195" w14:textId="3EF283D9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5B136D">
                    <w:rPr>
                      <w:rFonts w:cs="Arial"/>
                      <w:sz w:val="18"/>
                      <w:szCs w:val="18"/>
                    </w:rPr>
                    <w:t>1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. Umanjenje za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mlade po članku 46. st. 2.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C15F35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6E694A" w14:textId="77777777" w:rsidR="00DE578B" w:rsidRPr="00780B76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27.187,20</w:t>
                  </w:r>
                </w:p>
              </w:tc>
            </w:tr>
            <w:tr w:rsidR="00DE578B" w:rsidRPr="00780B76" w14:paraId="6E711089" w14:textId="77777777" w:rsidTr="005B136D">
              <w:trPr>
                <w:trHeight w:val="255"/>
              </w:trPr>
              <w:tc>
                <w:tcPr>
                  <w:tcW w:w="4112" w:type="dxa"/>
                  <w:noWrap/>
                  <w:vAlign w:val="center"/>
                </w:tcPr>
                <w:p w14:paraId="12D7BC1B" w14:textId="67B05BF1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5B136D">
                    <w:rPr>
                      <w:rFonts w:cs="Arial"/>
                      <w:sz w:val="18"/>
                      <w:szCs w:val="18"/>
                    </w:rPr>
                    <w:t>2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>. Obveza nakon umanjenja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581B8A" w14:textId="77777777" w:rsidR="00DE578B" w:rsidRPr="00840E73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258521" w14:textId="6E1CA1D1" w:rsidR="00DE578B" w:rsidRPr="00840E73" w:rsidRDefault="001C2148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27.187,20</w:t>
                  </w:r>
                </w:p>
              </w:tc>
            </w:tr>
            <w:tr w:rsidR="00DE578B" w:rsidRPr="00780B76" w14:paraId="4F49160B" w14:textId="77777777" w:rsidTr="005B136D">
              <w:trPr>
                <w:trHeight w:val="255"/>
              </w:trPr>
              <w:tc>
                <w:tcPr>
                  <w:tcW w:w="4112" w:type="dxa"/>
                  <w:noWrap/>
                  <w:vAlign w:val="center"/>
                </w:tcPr>
                <w:p w14:paraId="029457E7" w14:textId="474F0149" w:rsidR="00DE578B" w:rsidRPr="00780B76" w:rsidRDefault="00DE578B" w:rsidP="00DE578B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5B136D">
                    <w:rPr>
                      <w:rFonts w:cs="Arial"/>
                      <w:sz w:val="18"/>
                      <w:szCs w:val="18"/>
                    </w:rPr>
                    <w:t>3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. Uplaćeni predujam poreza i prireza u tuzemstvu 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FFCDD69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2C6CA3A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</w:tr>
            <w:tr w:rsidR="00DE578B" w:rsidRPr="00780B76" w14:paraId="52BD5580" w14:textId="77777777" w:rsidTr="005B136D">
              <w:trPr>
                <w:trHeight w:val="255"/>
              </w:trPr>
              <w:tc>
                <w:tcPr>
                  <w:tcW w:w="4112" w:type="dxa"/>
                  <w:noWrap/>
                  <w:vAlign w:val="center"/>
                </w:tcPr>
                <w:p w14:paraId="41DF9151" w14:textId="0BC1B79D" w:rsidR="00DE578B" w:rsidRPr="001610C7" w:rsidRDefault="00DE578B" w:rsidP="00DE578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</w:t>
                  </w:r>
                  <w:r w:rsidR="005B136D">
                    <w:rPr>
                      <w:rFonts w:cs="Arial"/>
                      <w:sz w:val="18"/>
                      <w:szCs w:val="18"/>
                    </w:rPr>
                    <w:t>4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</w:t>
                  </w:r>
                  <w:r w:rsidRPr="001610C7">
                    <w:rPr>
                      <w:rFonts w:cs="Arial"/>
                      <w:sz w:val="18"/>
                      <w:szCs w:val="18"/>
                    </w:rPr>
                    <w:t xml:space="preserve">Razlika poreza </w:t>
                  </w:r>
                  <w:r>
                    <w:rPr>
                      <w:rFonts w:cs="Arial"/>
                      <w:sz w:val="18"/>
                      <w:szCs w:val="18"/>
                    </w:rPr>
                    <w:t>za povrat</w:t>
                  </w:r>
                </w:p>
              </w:tc>
              <w:tc>
                <w:tcPr>
                  <w:tcW w:w="239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D6AACA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54.374,40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E62E379" w14:textId="77777777" w:rsidR="00DE578B" w:rsidRPr="006E38B1" w:rsidRDefault="00DE578B" w:rsidP="00DE578B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27.187,20</w:t>
                  </w:r>
                </w:p>
              </w:tc>
            </w:tr>
          </w:tbl>
          <w:p w14:paraId="1C478F0C" w14:textId="77777777" w:rsidR="001E13AC" w:rsidRDefault="001E13AC" w:rsidP="006822E9">
            <w:pPr>
              <w:jc w:val="both"/>
              <w:rPr>
                <w:color w:val="000000"/>
                <w:szCs w:val="24"/>
              </w:rPr>
            </w:pPr>
          </w:p>
          <w:p w14:paraId="17B64649" w14:textId="70FB12E4" w:rsidR="008B3A58" w:rsidRDefault="001E13AC" w:rsidP="006822E9">
            <w:pPr>
              <w:jc w:val="both"/>
              <w:rPr>
                <w:color w:val="000000"/>
                <w:szCs w:val="24"/>
              </w:rPr>
            </w:pPr>
            <w:r w:rsidRPr="001E13AC">
              <w:rPr>
                <w:color w:val="000000"/>
                <w:szCs w:val="24"/>
              </w:rPr>
              <w:t xml:space="preserve">Dakle, </w:t>
            </w:r>
            <w:r w:rsidR="00886F05">
              <w:rPr>
                <w:color w:val="000000"/>
                <w:szCs w:val="24"/>
              </w:rPr>
              <w:t xml:space="preserve">prema godišnjem obračunu </w:t>
            </w:r>
            <w:r w:rsidRPr="001E13AC">
              <w:rPr>
                <w:color w:val="000000"/>
                <w:szCs w:val="24"/>
              </w:rPr>
              <w:t>mlada osoba do 25 godina života koja je tijekom 2020. godine ostvarila godišnj</w:t>
            </w:r>
            <w:r w:rsidR="00AA2A4E">
              <w:rPr>
                <w:color w:val="000000"/>
                <w:szCs w:val="24"/>
              </w:rPr>
              <w:t>i dohodak</w:t>
            </w:r>
            <w:r w:rsidRPr="001E13AC">
              <w:rPr>
                <w:color w:val="000000"/>
                <w:szCs w:val="24"/>
              </w:rPr>
              <w:t xml:space="preserve"> u iznosu od 2</w:t>
            </w:r>
            <w:r w:rsidR="00886F05">
              <w:rPr>
                <w:color w:val="000000"/>
                <w:szCs w:val="24"/>
              </w:rPr>
              <w:t>4</w:t>
            </w:r>
            <w:r w:rsidRPr="001E13AC">
              <w:rPr>
                <w:color w:val="000000"/>
                <w:szCs w:val="24"/>
              </w:rPr>
              <w:t xml:space="preserve">0.000,00 kn nakon umanjenja </w:t>
            </w:r>
            <w:r w:rsidR="00FD12FE" w:rsidRPr="00FD12FE">
              <w:rPr>
                <w:color w:val="000000"/>
                <w:szCs w:val="24"/>
              </w:rPr>
              <w:t>porezne obveze obračunate</w:t>
            </w:r>
            <w:r w:rsidRPr="001E13AC">
              <w:rPr>
                <w:color w:val="000000"/>
                <w:szCs w:val="24"/>
              </w:rPr>
              <w:t xml:space="preserve"> na dio porezne osnovice na koju se plaća godišnji porez po stopi od 24% odnosno na osnovicu do 360.000,00 kn u 100% iznosu ostvaruje pravo na povrat poreza na </w:t>
            </w:r>
            <w:r w:rsidRPr="001E13AC">
              <w:rPr>
                <w:color w:val="000000"/>
                <w:szCs w:val="24"/>
              </w:rPr>
              <w:lastRenderedPageBreak/>
              <w:t xml:space="preserve">dohodak i prireza porezu na dohodak u iznosu </w:t>
            </w:r>
            <w:r w:rsidR="00886F05">
              <w:rPr>
                <w:color w:val="000000"/>
                <w:szCs w:val="24"/>
              </w:rPr>
              <w:t>54.374,40</w:t>
            </w:r>
            <w:r w:rsidRPr="001E13AC">
              <w:rPr>
                <w:color w:val="000000"/>
                <w:szCs w:val="24"/>
              </w:rPr>
              <w:t xml:space="preserve"> kn dok mlada osoba od 26 do 30 godina života sa ist</w:t>
            </w:r>
            <w:r w:rsidR="00AA2A4E">
              <w:rPr>
                <w:color w:val="000000"/>
                <w:szCs w:val="24"/>
              </w:rPr>
              <w:t>im</w:t>
            </w:r>
            <w:r w:rsidRPr="001E13AC">
              <w:rPr>
                <w:color w:val="000000"/>
                <w:szCs w:val="24"/>
              </w:rPr>
              <w:t xml:space="preserve"> godišnj</w:t>
            </w:r>
            <w:r w:rsidR="00AA2A4E">
              <w:rPr>
                <w:color w:val="000000"/>
                <w:szCs w:val="24"/>
              </w:rPr>
              <w:t>im dohotkom</w:t>
            </w:r>
            <w:r w:rsidRPr="001E13AC">
              <w:rPr>
                <w:color w:val="000000"/>
                <w:szCs w:val="24"/>
              </w:rPr>
              <w:t xml:space="preserve"> nakon umanjenja </w:t>
            </w:r>
            <w:r w:rsidR="00FD12FE" w:rsidRPr="00FD12FE">
              <w:rPr>
                <w:color w:val="000000"/>
                <w:szCs w:val="24"/>
              </w:rPr>
              <w:t xml:space="preserve">porezne obveze obračunate </w:t>
            </w:r>
            <w:r w:rsidRPr="001E13AC">
              <w:rPr>
                <w:color w:val="000000"/>
                <w:szCs w:val="24"/>
              </w:rPr>
              <w:t xml:space="preserve">na dio porezne osnovice na koju se plaća godišnji porez po stopi od 24% odnosno na osnovicu do 360.000,00 kn u 50% iznosu ostvaruje pravo na povrat u iznosu od </w:t>
            </w:r>
            <w:r w:rsidR="00886F05">
              <w:rPr>
                <w:color w:val="000000"/>
                <w:szCs w:val="24"/>
              </w:rPr>
              <w:t>27.187,20</w:t>
            </w:r>
            <w:r w:rsidRPr="001E13AC">
              <w:rPr>
                <w:color w:val="000000"/>
                <w:szCs w:val="24"/>
              </w:rPr>
              <w:t xml:space="preserve"> kn.</w:t>
            </w:r>
          </w:p>
          <w:p w14:paraId="5188BC58" w14:textId="77777777" w:rsidR="001E13AC" w:rsidRDefault="001E13AC" w:rsidP="006822E9">
            <w:pPr>
              <w:jc w:val="both"/>
              <w:rPr>
                <w:color w:val="000000"/>
                <w:szCs w:val="24"/>
              </w:rPr>
            </w:pPr>
          </w:p>
          <w:p w14:paraId="4805AEC9" w14:textId="7AD22284" w:rsidR="00AD554F" w:rsidRDefault="00E23AD4" w:rsidP="006822E9">
            <w:pPr>
              <w:jc w:val="both"/>
              <w:rPr>
                <w:color w:val="000000"/>
                <w:szCs w:val="24"/>
              </w:rPr>
            </w:pPr>
            <w:r w:rsidRPr="008401FA">
              <w:rPr>
                <w:color w:val="000000"/>
                <w:szCs w:val="24"/>
              </w:rPr>
              <w:t xml:space="preserve">Povećanjem </w:t>
            </w:r>
            <w:r>
              <w:rPr>
                <w:color w:val="000000"/>
                <w:szCs w:val="24"/>
              </w:rPr>
              <w:t xml:space="preserve">mjesečnog </w:t>
            </w:r>
            <w:r w:rsidRPr="008401FA">
              <w:rPr>
                <w:color w:val="000000"/>
                <w:szCs w:val="24"/>
              </w:rPr>
              <w:t xml:space="preserve">osnovnog osobnog odbitka s 3.800,00 </w:t>
            </w:r>
            <w:r w:rsidR="00E715A9">
              <w:rPr>
                <w:color w:val="000000"/>
                <w:szCs w:val="24"/>
              </w:rPr>
              <w:t>kn</w:t>
            </w:r>
            <w:r w:rsidRPr="008401FA">
              <w:rPr>
                <w:color w:val="000000"/>
                <w:szCs w:val="24"/>
              </w:rPr>
              <w:t xml:space="preserve"> na 4.000,00 </w:t>
            </w:r>
            <w:r w:rsidR="00E715A9">
              <w:rPr>
                <w:color w:val="000000"/>
                <w:szCs w:val="24"/>
              </w:rPr>
              <w:t>kn</w:t>
            </w:r>
            <w:r w:rsidRPr="008401FA">
              <w:rPr>
                <w:color w:val="000000"/>
                <w:szCs w:val="24"/>
              </w:rPr>
              <w:t>, smanjila se porezna obveza poreznih obveznika koji ostvaruju dohodak neovisno o tome radi li se o radniku, umirovljeniku ili drugoj osobi koja ostvaruje dohodak</w:t>
            </w:r>
            <w:r>
              <w:t xml:space="preserve"> </w:t>
            </w:r>
            <w:r w:rsidRPr="00F74981">
              <w:rPr>
                <w:color w:val="000000"/>
                <w:szCs w:val="24"/>
              </w:rPr>
              <w:t>čime se dodatno poveća</w:t>
            </w:r>
            <w:r w:rsidR="00201ADD">
              <w:rPr>
                <w:color w:val="000000"/>
                <w:szCs w:val="24"/>
              </w:rPr>
              <w:t>la</w:t>
            </w:r>
            <w:r w:rsidRPr="00F74981">
              <w:rPr>
                <w:color w:val="000000"/>
                <w:szCs w:val="24"/>
              </w:rPr>
              <w:t xml:space="preserve"> mjesečna neto plaća tj. raspoloživi dohodak poreznih obveznika</w:t>
            </w:r>
            <w:r w:rsidRPr="008401FA">
              <w:rPr>
                <w:color w:val="000000"/>
                <w:szCs w:val="24"/>
              </w:rPr>
              <w:t>.</w:t>
            </w:r>
          </w:p>
          <w:p w14:paraId="690450EC" w14:textId="7BE9BFFD" w:rsidR="00AD554F" w:rsidRDefault="00AD554F" w:rsidP="006822E9">
            <w:pPr>
              <w:jc w:val="both"/>
              <w:rPr>
                <w:color w:val="000000"/>
                <w:szCs w:val="24"/>
              </w:rPr>
            </w:pPr>
          </w:p>
          <w:p w14:paraId="0CEDA086" w14:textId="5DD04B5D" w:rsidR="00BE498B" w:rsidRPr="00521BE2" w:rsidRDefault="00DB0B3A" w:rsidP="00E23AD4">
            <w:pPr>
              <w:jc w:val="both"/>
              <w:rPr>
                <w:color w:val="000000"/>
                <w:szCs w:val="24"/>
              </w:rPr>
            </w:pPr>
            <w:r w:rsidRPr="00521BE2">
              <w:rPr>
                <w:color w:val="000000"/>
                <w:szCs w:val="24"/>
              </w:rPr>
              <w:t xml:space="preserve">Obzirom na </w:t>
            </w:r>
            <w:r w:rsidR="00E546E5" w:rsidRPr="00E06D86">
              <w:rPr>
                <w:color w:val="000000"/>
                <w:szCs w:val="24"/>
              </w:rPr>
              <w:t>propisano povećanje mjesečnog osobnog odbitka</w:t>
            </w:r>
            <w:r w:rsidRPr="00E06D86">
              <w:rPr>
                <w:color w:val="000000"/>
                <w:szCs w:val="24"/>
              </w:rPr>
              <w:t>, u nastavku se daje komparativni prikaz godišnjeg obračuna plaće prije i nakon 1. siječnja 2020. na primjerima poreznih obveznika s prebivalištem u Gradu Zagrebu koji ostvaruju mjesečnu</w:t>
            </w:r>
            <w:r w:rsidR="00B840F1" w:rsidRPr="00E06D86">
              <w:rPr>
                <w:color w:val="000000"/>
                <w:szCs w:val="24"/>
              </w:rPr>
              <w:t xml:space="preserve"> bruto</w:t>
            </w:r>
            <w:r w:rsidRPr="00E06D86">
              <w:rPr>
                <w:color w:val="000000"/>
                <w:szCs w:val="24"/>
              </w:rPr>
              <w:t xml:space="preserve"> plaću u iznosima od 10.000,00 kn i 20.000,00 kn </w:t>
            </w:r>
            <w:r w:rsidR="00B75285" w:rsidRPr="00E06D86">
              <w:rPr>
                <w:color w:val="000000"/>
                <w:szCs w:val="24"/>
              </w:rPr>
              <w:t xml:space="preserve">što u </w:t>
            </w:r>
            <w:r w:rsidRPr="00E06D86">
              <w:rPr>
                <w:color w:val="000000"/>
                <w:szCs w:val="24"/>
              </w:rPr>
              <w:t>godišnj</w:t>
            </w:r>
            <w:r w:rsidR="00B75285" w:rsidRPr="00E06D86">
              <w:rPr>
                <w:color w:val="000000"/>
                <w:szCs w:val="24"/>
              </w:rPr>
              <w:t>im iznosima iznosi</w:t>
            </w:r>
            <w:r w:rsidRPr="00E06D86">
              <w:rPr>
                <w:color w:val="000000"/>
                <w:szCs w:val="24"/>
              </w:rPr>
              <w:t xml:space="preserve"> 120.000,00 kn i 240.000,00 kn.</w:t>
            </w:r>
            <w:r w:rsidR="00FD12FE" w:rsidRPr="00E06D86">
              <w:rPr>
                <w:color w:val="000000"/>
                <w:szCs w:val="24"/>
              </w:rPr>
              <w:t xml:space="preserve"> (Porezni obveznici ne ostvaruju pravo na uvećani osobni odbitak niti dodatne olakšice.)</w:t>
            </w:r>
          </w:p>
          <w:tbl>
            <w:tblPr>
              <w:tblpPr w:leftFromText="180" w:rightFromText="180" w:vertAnchor="text" w:horzAnchor="margin" w:tblpY="243"/>
              <w:tblOverlap w:val="never"/>
              <w:tblW w:w="879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7"/>
              <w:gridCol w:w="1418"/>
              <w:gridCol w:w="1417"/>
              <w:gridCol w:w="1276"/>
              <w:gridCol w:w="1292"/>
            </w:tblGrid>
            <w:tr w:rsidR="00BD3167" w:rsidRPr="00521BE2" w14:paraId="5B5F3AA8" w14:textId="77777777" w:rsidTr="00BD3167">
              <w:trPr>
                <w:trHeight w:val="940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7D7532E6" w14:textId="77777777" w:rsidR="00BD3167" w:rsidRPr="00521BE2" w:rsidRDefault="00BD3167" w:rsidP="00BD316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521BE2">
                    <w:rPr>
                      <w:b/>
                      <w:bCs/>
                      <w:szCs w:val="24"/>
                    </w:rPr>
                    <w:t>Opis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BA4D936" w14:textId="701BB470" w:rsidR="00BD3167" w:rsidRPr="00AE2A12" w:rsidRDefault="00BD3167" w:rsidP="00BD316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 xml:space="preserve">Godišnji obračun </w:t>
                  </w:r>
                </w:p>
                <w:p w14:paraId="142EA98D" w14:textId="2F9A75A6" w:rsidR="00BD3167" w:rsidRPr="00AE2A12" w:rsidRDefault="00BD3167" w:rsidP="00BD316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do 31.12.2019. iznosi izraženi u kunama</w:t>
                  </w:r>
                </w:p>
              </w:tc>
              <w:tc>
                <w:tcPr>
                  <w:tcW w:w="1417" w:type="dxa"/>
                  <w:vAlign w:val="center"/>
                </w:tcPr>
                <w:p w14:paraId="1DD1F6FD" w14:textId="2472179B" w:rsidR="00BD3167" w:rsidRPr="00AE2A12" w:rsidRDefault="00BD3167" w:rsidP="00BD316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Godišnji obračun</w:t>
                  </w:r>
                </w:p>
                <w:p w14:paraId="5D2B53C6" w14:textId="598C8AD3" w:rsidR="00BD3167" w:rsidRPr="00AE2A12" w:rsidRDefault="00BD3167" w:rsidP="00BD316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od</w:t>
                  </w:r>
                  <w:r w:rsidRPr="00AE2A1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E2A12">
                    <w:rPr>
                      <w:b/>
                      <w:bCs/>
                      <w:sz w:val="16"/>
                      <w:szCs w:val="16"/>
                    </w:rPr>
                    <w:t>01.01.2020. iznosi izraženi u kunama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0C7A6AD" w14:textId="77777777" w:rsidR="00BD3167" w:rsidRPr="00AE2A12" w:rsidRDefault="00BD3167" w:rsidP="00BD316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 xml:space="preserve">Godišnji obračun </w:t>
                  </w:r>
                </w:p>
                <w:p w14:paraId="6239ACB1" w14:textId="53A0354C" w:rsidR="00BD3167" w:rsidRPr="00AE2A12" w:rsidRDefault="00BD3167" w:rsidP="00BD316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do 31.12.2019. iznosi izraženi u kunama</w:t>
                  </w:r>
                </w:p>
              </w:tc>
              <w:tc>
                <w:tcPr>
                  <w:tcW w:w="1292" w:type="dxa"/>
                  <w:vAlign w:val="center"/>
                </w:tcPr>
                <w:p w14:paraId="2E8107E7" w14:textId="77777777" w:rsidR="00BD3167" w:rsidRPr="00AE2A12" w:rsidRDefault="00BD3167" w:rsidP="00BD316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Godišnji obračun</w:t>
                  </w:r>
                </w:p>
                <w:p w14:paraId="59A2F35E" w14:textId="2718E3D0" w:rsidR="00BD3167" w:rsidRPr="00AE2A12" w:rsidRDefault="00BD3167" w:rsidP="00BD316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E2A12">
                    <w:rPr>
                      <w:b/>
                      <w:bCs/>
                      <w:sz w:val="16"/>
                      <w:szCs w:val="16"/>
                    </w:rPr>
                    <w:t>od</w:t>
                  </w:r>
                  <w:r w:rsidRPr="00AE2A1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AE2A12">
                    <w:rPr>
                      <w:b/>
                      <w:bCs/>
                      <w:sz w:val="16"/>
                      <w:szCs w:val="16"/>
                    </w:rPr>
                    <w:t>01.01.2020. iznosi izraženi u kunama</w:t>
                  </w:r>
                </w:p>
              </w:tc>
            </w:tr>
            <w:tr w:rsidR="00DB0B3A" w:rsidRPr="00521BE2" w14:paraId="3696C765" w14:textId="77777777" w:rsidTr="00BD3167">
              <w:trPr>
                <w:trHeight w:val="99"/>
              </w:trPr>
              <w:tc>
                <w:tcPr>
                  <w:tcW w:w="33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FF05FC" w14:textId="0C8D1ADD" w:rsidR="00DB0B3A" w:rsidRPr="00521BE2" w:rsidRDefault="00B75285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55702" w14:textId="1C4C56F2" w:rsidR="00DB0B3A" w:rsidRPr="00521BE2" w:rsidRDefault="00B75285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37C5FD" w14:textId="37B04068" w:rsidR="00DB0B3A" w:rsidRPr="00521BE2" w:rsidRDefault="00B75285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75B341B7" w14:textId="7FA39BFC" w:rsidR="00DB0B3A" w:rsidRPr="00521BE2" w:rsidRDefault="00B75285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ECFC44" w14:textId="42A41A51" w:rsidR="00DB0B3A" w:rsidRPr="00521BE2" w:rsidRDefault="00B75285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5.</w:t>
                  </w:r>
                </w:p>
              </w:tc>
            </w:tr>
            <w:tr w:rsidR="00DB0B3A" w:rsidRPr="00521BE2" w14:paraId="164F536F" w14:textId="77777777" w:rsidTr="00BD3167">
              <w:trPr>
                <w:trHeight w:val="255"/>
              </w:trPr>
              <w:tc>
                <w:tcPr>
                  <w:tcW w:w="33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6C4FEC" w14:textId="77777777" w:rsidR="00DB0B3A" w:rsidRPr="00521BE2" w:rsidRDefault="00DB0B3A" w:rsidP="00DB0B3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 xml:space="preserve">Plaća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42EF98" w14:textId="5F1A9630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EE7268" w14:textId="65422E3F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120.000,00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A7F7F7" w14:textId="587E1B6D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2</w:t>
                  </w:r>
                  <w:r w:rsidR="00261FFD" w:rsidRPr="00521BE2">
                    <w:rPr>
                      <w:b/>
                      <w:sz w:val="16"/>
                      <w:szCs w:val="16"/>
                    </w:rPr>
                    <w:t>4</w:t>
                  </w:r>
                  <w:r w:rsidRPr="00521BE2">
                    <w:rPr>
                      <w:b/>
                      <w:sz w:val="16"/>
                      <w:szCs w:val="16"/>
                    </w:rPr>
                    <w:t>0.000,00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E0A60F" w14:textId="48AD5AF1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2</w:t>
                  </w:r>
                  <w:r w:rsidR="00AA7CBE" w:rsidRPr="00521BE2">
                    <w:rPr>
                      <w:b/>
                      <w:sz w:val="16"/>
                      <w:szCs w:val="16"/>
                    </w:rPr>
                    <w:t>4</w:t>
                  </w:r>
                  <w:r w:rsidRPr="00521BE2">
                    <w:rPr>
                      <w:b/>
                      <w:sz w:val="16"/>
                      <w:szCs w:val="16"/>
                    </w:rPr>
                    <w:t>0.000,00</w:t>
                  </w:r>
                </w:p>
              </w:tc>
            </w:tr>
            <w:tr w:rsidR="00DB0B3A" w:rsidRPr="00521BE2" w14:paraId="167D155C" w14:textId="77777777" w:rsidTr="00BD3167">
              <w:trPr>
                <w:trHeight w:val="255"/>
              </w:trPr>
              <w:tc>
                <w:tcPr>
                  <w:tcW w:w="338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4095D3" w14:textId="77777777" w:rsidR="00DB0B3A" w:rsidRPr="00521BE2" w:rsidRDefault="00DB0B3A" w:rsidP="00DB0B3A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Doprinosi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0AAF3" w14:textId="11B5AF1E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24.000,00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6B0A4F" w14:textId="36F50BF7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24.000,00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777753" w14:textId="78EF040E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</w:t>
                  </w:r>
                  <w:r w:rsidR="00261FFD" w:rsidRPr="00521BE2">
                    <w:rPr>
                      <w:b/>
                      <w:sz w:val="16"/>
                      <w:szCs w:val="16"/>
                    </w:rPr>
                    <w:t>8</w:t>
                  </w:r>
                  <w:r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129AA74" w14:textId="3D86A14C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</w:t>
                  </w:r>
                  <w:r w:rsidR="00AA7CBE" w:rsidRPr="00521BE2">
                    <w:rPr>
                      <w:b/>
                      <w:sz w:val="16"/>
                      <w:szCs w:val="16"/>
                    </w:rPr>
                    <w:t>8</w:t>
                  </w:r>
                  <w:r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B0B3A" w:rsidRPr="00521BE2" w14:paraId="6514F5F2" w14:textId="77777777" w:rsidTr="00BD3167">
              <w:trPr>
                <w:trHeight w:val="255"/>
              </w:trPr>
              <w:tc>
                <w:tcPr>
                  <w:tcW w:w="3387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92F81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Dohodak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9053D7" w14:textId="77CF609E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96.000,00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ED08C5" w14:textId="118C8DBA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96.000,00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1F7620BF" w14:textId="69369AB3" w:rsidR="00DB0B3A" w:rsidRPr="00521BE2" w:rsidRDefault="00261FFD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192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D2F530" w14:textId="275ED4BB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</w:t>
                  </w:r>
                  <w:r w:rsidR="00AA7CBE" w:rsidRPr="00521BE2">
                    <w:rPr>
                      <w:b/>
                      <w:sz w:val="16"/>
                      <w:szCs w:val="16"/>
                    </w:rPr>
                    <w:t>92</w:t>
                  </w:r>
                  <w:r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B0B3A" w:rsidRPr="00521BE2" w14:paraId="4528F73F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702C3800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Osobni odbitak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B6D5833" w14:textId="5F2C556E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45.600,00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CDD94A3" w14:textId="0C3C11FC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B9C11A6" w14:textId="33AA4B25" w:rsidR="00DB0B3A" w:rsidRPr="00521BE2" w:rsidRDefault="00261FFD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45.600,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5DDE60" w14:textId="7C13D95B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</w:t>
                  </w:r>
                  <w:r w:rsidR="00AA7CBE" w:rsidRPr="00521BE2">
                    <w:rPr>
                      <w:b/>
                      <w:sz w:val="16"/>
                      <w:szCs w:val="16"/>
                    </w:rPr>
                    <w:t>8</w:t>
                  </w:r>
                  <w:r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B0B3A" w:rsidRPr="00521BE2" w14:paraId="46B4C96B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4FA1F4CB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Porezna osnovica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338DF79" w14:textId="27B3AD7F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50.400,00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E1E2A0" w14:textId="778AAEF6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BFDA67" w14:textId="66461F5A" w:rsidR="00DB0B3A" w:rsidRPr="00521BE2" w:rsidRDefault="00261FFD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146.400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2AB027" w14:textId="2DE766F3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144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B0B3A" w:rsidRPr="00521BE2" w14:paraId="472B8E97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209FF473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 xml:space="preserve">Porezna osnovica za primjenu stope 24% 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3371ACCE" w14:textId="5E13A3D3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50.400,00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AFF2A30" w14:textId="1E66F8F9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48.000,00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0234A1" w14:textId="1BDDD231" w:rsidR="00DB0B3A" w:rsidRPr="00521BE2" w:rsidRDefault="00261FFD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146.400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1A9B903" w14:textId="19CBC333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144</w:t>
                  </w:r>
                  <w:r w:rsidR="00DB0B3A" w:rsidRPr="00521BE2">
                    <w:rPr>
                      <w:b/>
                      <w:sz w:val="16"/>
                      <w:szCs w:val="16"/>
                    </w:rPr>
                    <w:t>.000,00</w:t>
                  </w:r>
                </w:p>
              </w:tc>
            </w:tr>
            <w:tr w:rsidR="00DB0B3A" w:rsidRPr="00521BE2" w14:paraId="4D351EAC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6D0A2346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 xml:space="preserve">Porezna osnovica za primjenu stope 36% 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38F82E44" w14:textId="77777777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114111B" w14:textId="5553F5EA" w:rsidR="00DB0B3A" w:rsidRPr="00521BE2" w:rsidRDefault="00225DC3" w:rsidP="00225DC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14:paraId="19E10550" w14:textId="77777777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89592FF" w14:textId="110E00E8" w:rsidR="00DB0B3A" w:rsidRPr="00521BE2" w:rsidRDefault="00225DC3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DB0B3A" w:rsidRPr="00521BE2" w14:paraId="4171C6F6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09E684C1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Porez po stopi 24%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6B7F928A" w14:textId="3F17C5C5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12.096,00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259B57" w14:textId="491D1ED4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11.520,00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C51EF6" w14:textId="70300A1D" w:rsidR="00DB0B3A" w:rsidRPr="00521BE2" w:rsidRDefault="00CD5440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35.136,00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41B2B6" w14:textId="2D24AC3B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34.560,00</w:t>
                  </w:r>
                </w:p>
              </w:tc>
            </w:tr>
            <w:tr w:rsidR="00DB0B3A" w:rsidRPr="00521BE2" w14:paraId="7114AAF0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44EA92D9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Porez po stopi 36%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7610739C" w14:textId="77777777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300D46" w14:textId="48FD5935" w:rsidR="00DB0B3A" w:rsidRPr="00521BE2" w:rsidRDefault="00726754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E7A1BF4" w14:textId="77777777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8F64A4" w14:textId="3A541E25" w:rsidR="00DB0B3A" w:rsidRPr="00521BE2" w:rsidRDefault="00726754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DB0B3A" w:rsidRPr="00521BE2" w14:paraId="25885C19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40EE9E57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Ukupno porez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1D3D51D7" w14:textId="79519C8B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12.096,00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795D9A" w14:textId="62079FFF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11.520,00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F08B523" w14:textId="5F38C81B" w:rsidR="00DB0B3A" w:rsidRPr="00521BE2" w:rsidRDefault="00CD5440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35.136,00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19D18A" w14:textId="447B0A11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34.560,00</w:t>
                  </w:r>
                </w:p>
              </w:tc>
            </w:tr>
            <w:tr w:rsidR="00DB0B3A" w:rsidRPr="00521BE2" w14:paraId="4AF0E17C" w14:textId="77777777" w:rsidTr="00BD3167">
              <w:trPr>
                <w:trHeight w:val="255"/>
              </w:trPr>
              <w:tc>
                <w:tcPr>
                  <w:tcW w:w="3387" w:type="dxa"/>
                  <w:shd w:val="clear" w:color="auto" w:fill="auto"/>
                  <w:noWrap/>
                  <w:vAlign w:val="bottom"/>
                </w:tcPr>
                <w:p w14:paraId="7B41F110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Prirez (18%)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14:paraId="2BC9E5AE" w14:textId="10D26840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2.177,28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B7D0937" w14:textId="311698E7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2.073,60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D78E5A" w14:textId="118D2614" w:rsidR="00DB0B3A" w:rsidRPr="00521BE2" w:rsidRDefault="00CD5440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6.324,48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7CC07B" w14:textId="55A26575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6.220,80</w:t>
                  </w:r>
                </w:p>
              </w:tc>
            </w:tr>
            <w:tr w:rsidR="00DB0B3A" w:rsidRPr="00521BE2" w14:paraId="0CACACDD" w14:textId="77777777" w:rsidTr="00BD3167">
              <w:trPr>
                <w:trHeight w:val="255"/>
              </w:trPr>
              <w:tc>
                <w:tcPr>
                  <w:tcW w:w="33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0731BC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Porez i prirez ukupno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0BAB0D" w14:textId="1C10C16C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bCs/>
                      <w:sz w:val="16"/>
                      <w:szCs w:val="16"/>
                    </w:rPr>
                    <w:t>14.273,28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ADDC94" w14:textId="288BCC30" w:rsidR="00DB0B3A" w:rsidRPr="00521BE2" w:rsidRDefault="00DB0B3A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13.593,60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2FF3DEDA" w14:textId="3FAF0741" w:rsidR="00DB0B3A" w:rsidRPr="00521BE2" w:rsidRDefault="00CD5440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41.460,48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B916CE" w14:textId="0D1DB753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40.780,80</w:t>
                  </w:r>
                </w:p>
              </w:tc>
            </w:tr>
            <w:tr w:rsidR="00DB0B3A" w:rsidRPr="00521BE2" w14:paraId="05602686" w14:textId="77777777" w:rsidTr="00BD3167">
              <w:trPr>
                <w:trHeight w:val="255"/>
              </w:trPr>
              <w:tc>
                <w:tcPr>
                  <w:tcW w:w="338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704D76" w14:textId="77777777" w:rsidR="00DB0B3A" w:rsidRPr="00521BE2" w:rsidRDefault="00DB0B3A" w:rsidP="00DB0B3A">
                  <w:pPr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Iznos plaće za isplatu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588408" w14:textId="0ACF4DDB" w:rsidR="00DB0B3A" w:rsidRPr="00521BE2" w:rsidRDefault="00DB0B3A" w:rsidP="00DB0B3A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81.726,72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0CDEA6C" w14:textId="1CCA73A7" w:rsidR="00DB0B3A" w:rsidRPr="00521BE2" w:rsidRDefault="00CA522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82.406,40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76A6D798" w14:textId="0A665155" w:rsidR="00DB0B3A" w:rsidRPr="00521BE2" w:rsidRDefault="00CD5440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150.539,52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A9E26B" w14:textId="1F4C0611" w:rsidR="00DB0B3A" w:rsidRPr="00521BE2" w:rsidRDefault="00AA7CBE" w:rsidP="00DB0B3A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21BE2">
                    <w:rPr>
                      <w:b/>
                      <w:sz w:val="16"/>
                      <w:szCs w:val="16"/>
                    </w:rPr>
                    <w:t>151.219,20</w:t>
                  </w:r>
                </w:p>
              </w:tc>
            </w:tr>
          </w:tbl>
          <w:p w14:paraId="28227EE6" w14:textId="77777777" w:rsidR="00DB0B3A" w:rsidRPr="00521BE2" w:rsidRDefault="00DB0B3A" w:rsidP="00E23AD4">
            <w:pPr>
              <w:jc w:val="both"/>
              <w:rPr>
                <w:color w:val="000000"/>
                <w:szCs w:val="24"/>
              </w:rPr>
            </w:pPr>
          </w:p>
          <w:p w14:paraId="43F46928" w14:textId="68EBEAF9" w:rsidR="00E23AD4" w:rsidRPr="00AE2A12" w:rsidRDefault="00AC79D8" w:rsidP="00E23AD4">
            <w:pPr>
              <w:jc w:val="both"/>
              <w:rPr>
                <w:color w:val="000000"/>
                <w:szCs w:val="24"/>
              </w:rPr>
            </w:pPr>
            <w:r w:rsidRPr="00521BE2">
              <w:rPr>
                <w:color w:val="000000"/>
                <w:szCs w:val="24"/>
              </w:rPr>
              <w:t xml:space="preserve">Dakle, </w:t>
            </w:r>
            <w:r w:rsidRPr="00E06D86">
              <w:rPr>
                <w:color w:val="000000"/>
                <w:szCs w:val="24"/>
              </w:rPr>
              <w:t>uzimajući u obzir propisano povećanje</w:t>
            </w:r>
            <w:r w:rsidR="00726754" w:rsidRPr="00E06D86">
              <w:rPr>
                <w:color w:val="000000"/>
                <w:szCs w:val="24"/>
              </w:rPr>
              <w:t xml:space="preserve"> mjesečnog</w:t>
            </w:r>
            <w:r w:rsidRPr="00E06D86">
              <w:rPr>
                <w:color w:val="000000"/>
                <w:szCs w:val="24"/>
              </w:rPr>
              <w:t xml:space="preserve"> osobnog odbitka sa 3.800,00 na 4.000,00 kn </w:t>
            </w:r>
            <w:r w:rsidR="00726754" w:rsidRPr="00E06D86">
              <w:rPr>
                <w:color w:val="000000"/>
                <w:szCs w:val="24"/>
              </w:rPr>
              <w:t>odnosno godišnje s</w:t>
            </w:r>
            <w:r w:rsidR="00225DC3" w:rsidRPr="00E06D86">
              <w:rPr>
                <w:color w:val="000000"/>
                <w:szCs w:val="24"/>
              </w:rPr>
              <w:t>a</w:t>
            </w:r>
            <w:r w:rsidR="00726754" w:rsidRPr="00E06D86">
              <w:rPr>
                <w:color w:val="000000"/>
                <w:szCs w:val="24"/>
              </w:rPr>
              <w:t xml:space="preserve"> 45.600,00</w:t>
            </w:r>
            <w:r w:rsidR="00225DC3" w:rsidRPr="00E06D86">
              <w:rPr>
                <w:color w:val="000000"/>
                <w:szCs w:val="24"/>
              </w:rPr>
              <w:t xml:space="preserve"> kn</w:t>
            </w:r>
            <w:r w:rsidR="00726754" w:rsidRPr="00E06D86">
              <w:rPr>
                <w:color w:val="000000"/>
                <w:szCs w:val="24"/>
              </w:rPr>
              <w:t xml:space="preserve"> na 48.000,00 k</w:t>
            </w:r>
            <w:r w:rsidR="00225DC3" w:rsidRPr="00E06D86">
              <w:rPr>
                <w:color w:val="000000"/>
                <w:szCs w:val="24"/>
              </w:rPr>
              <w:t xml:space="preserve">n </w:t>
            </w:r>
            <w:r w:rsidRPr="00E06D86">
              <w:rPr>
                <w:color w:val="000000"/>
                <w:szCs w:val="24"/>
              </w:rPr>
              <w:t>s danom 1.1.2020., poreznom obvezniku sa mjesečnom bruto plaćom od 10.000,00 kn</w:t>
            </w:r>
            <w:r w:rsidR="009C65E8" w:rsidRPr="00E06D86">
              <w:rPr>
                <w:color w:val="000000"/>
                <w:szCs w:val="24"/>
              </w:rPr>
              <w:t xml:space="preserve"> (godišnje 120.000,00 kn) </w:t>
            </w:r>
            <w:r w:rsidRPr="00E06D86">
              <w:rPr>
                <w:color w:val="000000"/>
                <w:szCs w:val="24"/>
              </w:rPr>
              <w:t>i poreznom obvezniku koji ostvaruje mjesečnu bruto plaću od 20.000,00 kn</w:t>
            </w:r>
            <w:r w:rsidR="009C65E8" w:rsidRPr="00E06D86">
              <w:rPr>
                <w:color w:val="000000"/>
                <w:szCs w:val="24"/>
              </w:rPr>
              <w:t xml:space="preserve"> (godišnje 240.000,00 kn)</w:t>
            </w:r>
            <w:r w:rsidR="00BD3167" w:rsidRPr="00E06D86">
              <w:rPr>
                <w:color w:val="000000"/>
                <w:szCs w:val="24"/>
              </w:rPr>
              <w:t>,</w:t>
            </w:r>
            <w:r w:rsidR="009E5AF1" w:rsidRPr="00E06D86">
              <w:rPr>
                <w:color w:val="000000"/>
                <w:szCs w:val="24"/>
              </w:rPr>
              <w:t xml:space="preserve"> a na koj</w:t>
            </w:r>
            <w:r w:rsidR="00BD3167" w:rsidRPr="00E06D86">
              <w:rPr>
                <w:color w:val="000000"/>
                <w:szCs w:val="24"/>
              </w:rPr>
              <w:t>u</w:t>
            </w:r>
            <w:r w:rsidR="009E5AF1" w:rsidRPr="00E06D86">
              <w:rPr>
                <w:color w:val="000000"/>
                <w:szCs w:val="24"/>
              </w:rPr>
              <w:t xml:space="preserve"> se </w:t>
            </w:r>
            <w:r w:rsidR="00BD3167" w:rsidRPr="00E06D86">
              <w:rPr>
                <w:color w:val="000000"/>
                <w:szCs w:val="24"/>
              </w:rPr>
              <w:t xml:space="preserve">pri oporezivanju </w:t>
            </w:r>
            <w:r w:rsidR="009E5AF1" w:rsidRPr="00E06D86">
              <w:rPr>
                <w:color w:val="000000"/>
                <w:szCs w:val="24"/>
              </w:rPr>
              <w:t>primjenjuje st</w:t>
            </w:r>
            <w:r w:rsidR="00BD3167" w:rsidRPr="00E06D86">
              <w:rPr>
                <w:color w:val="000000"/>
                <w:szCs w:val="24"/>
              </w:rPr>
              <w:t>opa od 24%,</w:t>
            </w:r>
            <w:r w:rsidRPr="00E06D86">
              <w:rPr>
                <w:color w:val="000000"/>
                <w:szCs w:val="24"/>
              </w:rPr>
              <w:t xml:space="preserve"> </w:t>
            </w:r>
            <w:r w:rsidR="00225DC3" w:rsidRPr="00E06D86">
              <w:rPr>
                <w:color w:val="000000"/>
                <w:szCs w:val="24"/>
              </w:rPr>
              <w:t xml:space="preserve">godišnji iznos </w:t>
            </w:r>
            <w:r w:rsidRPr="00E06D86">
              <w:rPr>
                <w:color w:val="000000"/>
                <w:szCs w:val="24"/>
              </w:rPr>
              <w:t>neto-plać</w:t>
            </w:r>
            <w:r w:rsidR="00225DC3" w:rsidRPr="00E06D86">
              <w:rPr>
                <w:color w:val="000000"/>
                <w:szCs w:val="24"/>
              </w:rPr>
              <w:t>e</w:t>
            </w:r>
            <w:r w:rsidRPr="00E06D86">
              <w:rPr>
                <w:color w:val="000000"/>
                <w:szCs w:val="24"/>
              </w:rPr>
              <w:t xml:space="preserve"> povećan </w:t>
            </w:r>
            <w:r w:rsidR="00225DC3" w:rsidRPr="00E06D86">
              <w:rPr>
                <w:color w:val="000000"/>
                <w:szCs w:val="24"/>
              </w:rPr>
              <w:t xml:space="preserve">je </w:t>
            </w:r>
            <w:r w:rsidRPr="00E06D86">
              <w:rPr>
                <w:color w:val="000000"/>
                <w:szCs w:val="24"/>
              </w:rPr>
              <w:t>za</w:t>
            </w:r>
            <w:r w:rsidR="00225DC3" w:rsidRPr="00E06D86">
              <w:rPr>
                <w:color w:val="000000"/>
                <w:szCs w:val="24"/>
              </w:rPr>
              <w:t xml:space="preserve"> </w:t>
            </w:r>
            <w:r w:rsidR="00E32EBA" w:rsidRPr="00E06D86">
              <w:rPr>
                <w:color w:val="000000"/>
                <w:szCs w:val="24"/>
              </w:rPr>
              <w:t>679,68 kn</w:t>
            </w:r>
            <w:r w:rsidRPr="00E06D86">
              <w:rPr>
                <w:color w:val="000000"/>
                <w:szCs w:val="24"/>
              </w:rPr>
              <w:t>.</w:t>
            </w:r>
            <w:r w:rsidR="00225DC3" w:rsidRPr="00E06D86">
              <w:rPr>
                <w:color w:val="000000"/>
                <w:szCs w:val="24"/>
              </w:rPr>
              <w:t xml:space="preserve"> Stoga je iz navedenog </w:t>
            </w:r>
            <w:r w:rsidR="00E23AD4" w:rsidRPr="00E06D86">
              <w:rPr>
                <w:color w:val="000000"/>
                <w:szCs w:val="24"/>
              </w:rPr>
              <w:t xml:space="preserve">razvidno kako </w:t>
            </w:r>
            <w:r w:rsidR="00225DC3" w:rsidRPr="00E06D86">
              <w:rPr>
                <w:color w:val="000000"/>
                <w:szCs w:val="24"/>
              </w:rPr>
              <w:t xml:space="preserve">je </w:t>
            </w:r>
            <w:r w:rsidR="00E23AD4" w:rsidRPr="00E06D86">
              <w:rPr>
                <w:color w:val="000000"/>
                <w:szCs w:val="24"/>
              </w:rPr>
              <w:t xml:space="preserve">s povećanjem osobnog odbitka </w:t>
            </w:r>
            <w:r w:rsidR="00BE498B" w:rsidRPr="00E06D86">
              <w:rPr>
                <w:color w:val="000000"/>
                <w:szCs w:val="24"/>
              </w:rPr>
              <w:t>povećan</w:t>
            </w:r>
            <w:r w:rsidR="00E23AD4" w:rsidRPr="00E06D86">
              <w:rPr>
                <w:color w:val="000000"/>
                <w:szCs w:val="24"/>
              </w:rPr>
              <w:t xml:space="preserve"> raspoloživi dohodak poreznog obveznika</w:t>
            </w:r>
            <w:r w:rsidR="009C06B9" w:rsidRPr="00E06D86">
              <w:rPr>
                <w:color w:val="000000"/>
                <w:szCs w:val="24"/>
              </w:rPr>
              <w:t xml:space="preserve"> </w:t>
            </w:r>
            <w:r w:rsidR="00EB148A" w:rsidRPr="00E06D86">
              <w:rPr>
                <w:color w:val="000000"/>
                <w:szCs w:val="24"/>
              </w:rPr>
              <w:t>koji je između ostalog od utjecaja na povećanje potrošnje.</w:t>
            </w:r>
          </w:p>
          <w:p w14:paraId="51775175" w14:textId="77777777" w:rsidR="00E23AD4" w:rsidRPr="00AE2A12" w:rsidRDefault="00E23AD4" w:rsidP="006822E9">
            <w:pPr>
              <w:jc w:val="both"/>
              <w:rPr>
                <w:color w:val="000000"/>
                <w:szCs w:val="24"/>
              </w:rPr>
            </w:pPr>
          </w:p>
          <w:p w14:paraId="5B3EA561" w14:textId="04774735" w:rsidR="00F24B62" w:rsidRDefault="00E23AD4" w:rsidP="00284B31">
            <w:pPr>
              <w:jc w:val="both"/>
              <w:rPr>
                <w:color w:val="000000"/>
                <w:szCs w:val="24"/>
              </w:rPr>
            </w:pPr>
            <w:r w:rsidRPr="00AE2A12">
              <w:rPr>
                <w:color w:val="000000"/>
                <w:szCs w:val="24"/>
              </w:rPr>
              <w:t xml:space="preserve">Izmjenama koje se odnose na proširenje primitaka </w:t>
            </w:r>
            <w:r w:rsidR="00E25B0E" w:rsidRPr="00AE2A12">
              <w:rPr>
                <w:color w:val="000000"/>
                <w:szCs w:val="24"/>
              </w:rPr>
              <w:t>na koje se ne plaća porez na dohodak</w:t>
            </w:r>
            <w:r w:rsidRPr="00AE2A12">
              <w:rPr>
                <w:color w:val="000000"/>
                <w:szCs w:val="24"/>
              </w:rPr>
              <w:t xml:space="preserve"> postignuto je dodatno rasterećenje obveznika poreza na dohodak, socijalna pravednost te je stvoreno poticajno okruženje za poduzetništvo i zapošljavanje.</w:t>
            </w:r>
            <w:r w:rsidR="00BC26D3" w:rsidRPr="00AE2A12">
              <w:rPr>
                <w:color w:val="000000"/>
                <w:szCs w:val="24"/>
              </w:rPr>
              <w:t xml:space="preserve"> Naime, k</w:t>
            </w:r>
            <w:r w:rsidR="006822E9" w:rsidRPr="00AE2A12">
              <w:rPr>
                <w:color w:val="000000"/>
                <w:szCs w:val="24"/>
              </w:rPr>
              <w:t xml:space="preserve">ako bi se dodatno utjecalo na </w:t>
            </w:r>
            <w:r w:rsidR="00A03783" w:rsidRPr="00AE2A12">
              <w:rPr>
                <w:color w:val="000000"/>
                <w:szCs w:val="24"/>
              </w:rPr>
              <w:t xml:space="preserve">zaštitu zdravlja radnika </w:t>
            </w:r>
            <w:r w:rsidR="0018779D" w:rsidRPr="00AE2A12">
              <w:rPr>
                <w:color w:val="000000"/>
                <w:szCs w:val="24"/>
              </w:rPr>
              <w:t xml:space="preserve">te na </w:t>
            </w:r>
            <w:r w:rsidR="006822E9" w:rsidRPr="00AE2A12">
              <w:rPr>
                <w:color w:val="000000"/>
                <w:szCs w:val="24"/>
              </w:rPr>
              <w:t xml:space="preserve">povećanje </w:t>
            </w:r>
            <w:r w:rsidR="000B5C39">
              <w:rPr>
                <w:color w:val="000000"/>
                <w:szCs w:val="24"/>
              </w:rPr>
              <w:t>plaća</w:t>
            </w:r>
            <w:r w:rsidR="006822E9" w:rsidRPr="00AE2A12">
              <w:rPr>
                <w:color w:val="000000"/>
                <w:szCs w:val="24"/>
              </w:rPr>
              <w:t xml:space="preserve"> omoguć</w:t>
            </w:r>
            <w:r w:rsidR="00BC26D3" w:rsidRPr="00AE2A12">
              <w:rPr>
                <w:color w:val="000000"/>
                <w:szCs w:val="24"/>
              </w:rPr>
              <w:t xml:space="preserve">eno je </w:t>
            </w:r>
            <w:r w:rsidR="006822E9" w:rsidRPr="00AE2A12">
              <w:rPr>
                <w:color w:val="000000"/>
                <w:szCs w:val="24"/>
              </w:rPr>
              <w:t>poslodavcima da kao dodatan način nagrađivanja radnika</w:t>
            </w:r>
            <w:r w:rsidR="006822E9" w:rsidRPr="008401FA">
              <w:rPr>
                <w:color w:val="000000"/>
                <w:szCs w:val="24"/>
              </w:rPr>
              <w:t xml:space="preserve"> neoporezivo podmire troškove dodatnog i dopunskog zdravstvenog osiguranja do određenog iznosa na temelju vjerodostojne dokumentacije.</w:t>
            </w:r>
            <w:r w:rsidR="00CE134D">
              <w:rPr>
                <w:color w:val="000000"/>
                <w:szCs w:val="24"/>
              </w:rPr>
              <w:t xml:space="preserve"> </w:t>
            </w:r>
            <w:r w:rsidR="00E25B0E">
              <w:rPr>
                <w:color w:val="000000"/>
                <w:szCs w:val="24"/>
              </w:rPr>
              <w:t xml:space="preserve">U nastavku se daje tabelarni prikaz </w:t>
            </w:r>
            <w:r w:rsidR="00F24B62">
              <w:rPr>
                <w:color w:val="000000"/>
                <w:szCs w:val="24"/>
              </w:rPr>
              <w:t xml:space="preserve">broja poslodavaca koji su prema podacima iz službenih </w:t>
            </w:r>
            <w:r w:rsidR="00F24B62">
              <w:rPr>
                <w:color w:val="000000"/>
                <w:szCs w:val="24"/>
              </w:rPr>
              <w:lastRenderedPageBreak/>
              <w:t>evidencija Porezne uprave tijekom 2020. godine u korist svojih radnika uplatili premije dodatnog i dopunskog zdravstvenog osiguranja</w:t>
            </w:r>
            <w:r w:rsidR="00801E9D">
              <w:rPr>
                <w:color w:val="000000"/>
                <w:szCs w:val="24"/>
              </w:rPr>
              <w:t xml:space="preserve"> te </w:t>
            </w:r>
            <w:r w:rsidR="00F24B62">
              <w:rPr>
                <w:color w:val="000000"/>
                <w:szCs w:val="24"/>
              </w:rPr>
              <w:t xml:space="preserve">broj radnika </w:t>
            </w:r>
            <w:r w:rsidR="00521BE2">
              <w:rPr>
                <w:color w:val="000000"/>
                <w:szCs w:val="24"/>
              </w:rPr>
              <w:t>(</w:t>
            </w:r>
            <w:r w:rsidR="00F24B62">
              <w:rPr>
                <w:color w:val="000000"/>
                <w:szCs w:val="24"/>
              </w:rPr>
              <w:t>stjecatelja</w:t>
            </w:r>
            <w:r w:rsidR="00521BE2">
              <w:rPr>
                <w:color w:val="000000"/>
                <w:szCs w:val="24"/>
              </w:rPr>
              <w:t>)</w:t>
            </w:r>
            <w:r w:rsidR="00801E9D">
              <w:rPr>
                <w:color w:val="000000"/>
                <w:szCs w:val="24"/>
              </w:rPr>
              <w:t xml:space="preserve"> i</w:t>
            </w:r>
            <w:r w:rsidR="00F24B62">
              <w:rPr>
                <w:color w:val="000000"/>
                <w:szCs w:val="24"/>
              </w:rPr>
              <w:t xml:space="preserve"> iznos uplaćenih premija</w:t>
            </w:r>
            <w:r w:rsidR="00801E9D">
              <w:rPr>
                <w:color w:val="000000"/>
                <w:szCs w:val="24"/>
              </w:rPr>
              <w:t>:</w:t>
            </w:r>
            <w:r w:rsidR="00F24B62">
              <w:rPr>
                <w:color w:val="000000"/>
                <w:szCs w:val="24"/>
              </w:rPr>
              <w:t xml:space="preserve">  </w:t>
            </w:r>
          </w:p>
          <w:p w14:paraId="09D9C7A6" w14:textId="77777777" w:rsidR="00F24B62" w:rsidRDefault="00F24B62" w:rsidP="00284B31">
            <w:pPr>
              <w:jc w:val="both"/>
              <w:rPr>
                <w:color w:val="000000"/>
                <w:szCs w:val="24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551"/>
              <w:gridCol w:w="3857"/>
            </w:tblGrid>
            <w:tr w:rsidR="00F24B62" w14:paraId="16AA77EE" w14:textId="77777777" w:rsidTr="00801E9D">
              <w:tc>
                <w:tcPr>
                  <w:tcW w:w="2438" w:type="dxa"/>
                </w:tcPr>
                <w:p w14:paraId="780B7777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Broj poslodavaca</w:t>
                  </w:r>
                </w:p>
              </w:tc>
              <w:tc>
                <w:tcPr>
                  <w:tcW w:w="2551" w:type="dxa"/>
                </w:tcPr>
                <w:p w14:paraId="6AF2F71B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Broj stjecatelja</w:t>
                  </w:r>
                </w:p>
              </w:tc>
              <w:tc>
                <w:tcPr>
                  <w:tcW w:w="3857" w:type="dxa"/>
                </w:tcPr>
                <w:p w14:paraId="05FEAFC9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Iznos neoporezivog primitka</w:t>
                  </w:r>
                </w:p>
              </w:tc>
            </w:tr>
            <w:tr w:rsidR="00F24B62" w14:paraId="66363927" w14:textId="77777777" w:rsidTr="00801E9D">
              <w:tc>
                <w:tcPr>
                  <w:tcW w:w="2438" w:type="dxa"/>
                </w:tcPr>
                <w:p w14:paraId="24C7AAFF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3.115</w:t>
                  </w:r>
                </w:p>
              </w:tc>
              <w:tc>
                <w:tcPr>
                  <w:tcW w:w="2551" w:type="dxa"/>
                </w:tcPr>
                <w:p w14:paraId="1AF7C1B2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95.385</w:t>
                  </w:r>
                </w:p>
              </w:tc>
              <w:tc>
                <w:tcPr>
                  <w:tcW w:w="3857" w:type="dxa"/>
                </w:tcPr>
                <w:p w14:paraId="2DCE80F6" w14:textId="77777777" w:rsidR="00F24B62" w:rsidRDefault="00F24B62" w:rsidP="00F24B62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52.517.564,58 kn</w:t>
                  </w:r>
                </w:p>
              </w:tc>
            </w:tr>
          </w:tbl>
          <w:p w14:paraId="1EA09B56" w14:textId="77777777" w:rsidR="00284B31" w:rsidRDefault="00284B31" w:rsidP="0073192C">
            <w:pPr>
              <w:jc w:val="both"/>
              <w:rPr>
                <w:color w:val="FF0000"/>
                <w:szCs w:val="24"/>
              </w:rPr>
            </w:pPr>
          </w:p>
          <w:p w14:paraId="31F1FFB9" w14:textId="585871B2" w:rsidR="0073192C" w:rsidRPr="00284B31" w:rsidRDefault="00284B31" w:rsidP="0073192C">
            <w:pPr>
              <w:jc w:val="both"/>
              <w:rPr>
                <w:color w:val="000000"/>
                <w:szCs w:val="24"/>
              </w:rPr>
            </w:pPr>
            <w:r w:rsidRPr="00801E9D">
              <w:rPr>
                <w:szCs w:val="24"/>
              </w:rPr>
              <w:t xml:space="preserve">Nadalje, navedenim izmjenama Zakona </w:t>
            </w:r>
            <w:r w:rsidR="00E25B0E" w:rsidRPr="00801E9D">
              <w:rPr>
                <w:szCs w:val="24"/>
              </w:rPr>
              <w:t>propisano je</w:t>
            </w:r>
            <w:r w:rsidRPr="00801E9D">
              <w:rPr>
                <w:szCs w:val="24"/>
              </w:rPr>
              <w:t xml:space="preserve"> da se porez na dohodak ne plaća ni na</w:t>
            </w:r>
            <w:r w:rsidRPr="00801E9D">
              <w:t xml:space="preserve"> </w:t>
            </w:r>
            <w:r w:rsidRPr="00801E9D">
              <w:rPr>
                <w:szCs w:val="24"/>
              </w:rPr>
              <w:t xml:space="preserve">naknade učenicima za vrijeme dualnog obrazovanja. </w:t>
            </w:r>
            <w:r w:rsidR="00751D9B" w:rsidRPr="00065010">
              <w:t>Propisivanjem poreznog tretmana primitaka osoba iz</w:t>
            </w:r>
            <w:r w:rsidR="00751D9B" w:rsidRPr="00065010">
              <w:rPr>
                <w:spacing w:val="1"/>
              </w:rPr>
              <w:t xml:space="preserve"> </w:t>
            </w:r>
            <w:r w:rsidR="00751D9B" w:rsidRPr="00065010">
              <w:t>specifičnog sustava dualnog obrazovanja, odnosno oblika strukovnog obrazovanja na radnom</w:t>
            </w:r>
            <w:r w:rsidR="00751D9B" w:rsidRPr="00065010">
              <w:rPr>
                <w:spacing w:val="1"/>
              </w:rPr>
              <w:t xml:space="preserve"> </w:t>
            </w:r>
            <w:r w:rsidR="00751D9B" w:rsidRPr="00065010">
              <w:t>mjestu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definira</w:t>
            </w:r>
            <w:r w:rsidR="00830FFB" w:rsidRPr="00065010">
              <w:t>n je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porezni</w:t>
            </w:r>
            <w:r w:rsidR="00751D9B" w:rsidRPr="00065010">
              <w:rPr>
                <w:spacing w:val="-8"/>
              </w:rPr>
              <w:t xml:space="preserve"> </w:t>
            </w:r>
            <w:r w:rsidR="00751D9B" w:rsidRPr="00065010">
              <w:t>položaj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osoba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uključenih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u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taj</w:t>
            </w:r>
            <w:r w:rsidR="00751D9B" w:rsidRPr="00065010">
              <w:rPr>
                <w:spacing w:val="-9"/>
              </w:rPr>
              <w:t xml:space="preserve"> </w:t>
            </w:r>
            <w:r w:rsidR="00751D9B" w:rsidRPr="00065010">
              <w:t>sustav.</w:t>
            </w:r>
            <w:r w:rsidR="00751D9B" w:rsidRPr="00065010">
              <w:rPr>
                <w:spacing w:val="-10"/>
              </w:rPr>
              <w:t xml:space="preserve"> </w:t>
            </w:r>
          </w:p>
          <w:p w14:paraId="20217930" w14:textId="77777777" w:rsidR="0073192C" w:rsidRDefault="0073192C" w:rsidP="0073192C">
            <w:pPr>
              <w:jc w:val="both"/>
            </w:pPr>
          </w:p>
          <w:p w14:paraId="3909AD2A" w14:textId="78647655" w:rsidR="00756F4D" w:rsidRPr="0073192C" w:rsidRDefault="002507E5" w:rsidP="0073192C">
            <w:pPr>
              <w:jc w:val="both"/>
              <w:rPr>
                <w:color w:val="000000"/>
                <w:szCs w:val="24"/>
              </w:rPr>
            </w:pPr>
            <w:r w:rsidRPr="00725075">
              <w:t>Proši</w:t>
            </w:r>
            <w:r w:rsidR="00E25F05" w:rsidRPr="00725075">
              <w:t>renje</w:t>
            </w:r>
            <w:r w:rsidR="00725075" w:rsidRPr="00725075">
              <w:t>m</w:t>
            </w:r>
            <w:r w:rsidRPr="00725075">
              <w:t xml:space="preserve"> obuhvat</w:t>
            </w:r>
            <w:r w:rsidR="004E25A5">
              <w:t>a</w:t>
            </w:r>
            <w:r w:rsidRPr="00725075">
              <w:t xml:space="preserve"> primitaka koji se ne smatraju dohotkom na pomoći</w:t>
            </w:r>
            <w:r w:rsidRPr="00725075">
              <w:rPr>
                <w:spacing w:val="-57"/>
              </w:rPr>
              <w:t xml:space="preserve"> </w:t>
            </w:r>
            <w:r w:rsidR="00756F4D" w:rsidRPr="00725075">
              <w:t xml:space="preserve"> i </w:t>
            </w:r>
            <w:r w:rsidRPr="00725075">
              <w:t>potpore</w:t>
            </w:r>
            <w:r w:rsidRPr="00725075">
              <w:rPr>
                <w:spacing w:val="1"/>
              </w:rPr>
              <w:t xml:space="preserve"> </w:t>
            </w:r>
            <w:r w:rsidRPr="00725075">
              <w:t>koje</w:t>
            </w:r>
            <w:r w:rsidRPr="00725075">
              <w:rPr>
                <w:spacing w:val="1"/>
              </w:rPr>
              <w:t xml:space="preserve"> </w:t>
            </w:r>
            <w:r w:rsidRPr="00725075">
              <w:t>neprofitne</w:t>
            </w:r>
            <w:r w:rsidRPr="00725075">
              <w:rPr>
                <w:spacing w:val="1"/>
              </w:rPr>
              <w:t xml:space="preserve"> </w:t>
            </w:r>
            <w:r w:rsidRPr="00725075">
              <w:t>organizacije</w:t>
            </w:r>
            <w:r w:rsidRPr="00725075">
              <w:rPr>
                <w:spacing w:val="1"/>
              </w:rPr>
              <w:t xml:space="preserve"> </w:t>
            </w:r>
            <w:r w:rsidRPr="00725075">
              <w:t>isplaćuju</w:t>
            </w:r>
            <w:r w:rsidRPr="00725075">
              <w:rPr>
                <w:spacing w:val="1"/>
              </w:rPr>
              <w:t xml:space="preserve"> </w:t>
            </w:r>
            <w:r w:rsidRPr="00725075">
              <w:t>članovima</w:t>
            </w:r>
            <w:r w:rsidRPr="00725075">
              <w:rPr>
                <w:spacing w:val="1"/>
              </w:rPr>
              <w:t xml:space="preserve"> </w:t>
            </w:r>
            <w:r w:rsidRPr="00725075">
              <w:t>uže</w:t>
            </w:r>
            <w:r w:rsidRPr="00725075">
              <w:rPr>
                <w:spacing w:val="1"/>
              </w:rPr>
              <w:t xml:space="preserve"> </w:t>
            </w:r>
            <w:r w:rsidRPr="00725075">
              <w:t>obitelji</w:t>
            </w:r>
            <w:r w:rsidRPr="00725075">
              <w:rPr>
                <w:spacing w:val="1"/>
              </w:rPr>
              <w:t xml:space="preserve"> </w:t>
            </w:r>
            <w:r w:rsidRPr="00725075">
              <w:t>preminulog</w:t>
            </w:r>
            <w:r w:rsidRPr="00725075">
              <w:rPr>
                <w:spacing w:val="1"/>
              </w:rPr>
              <w:t xml:space="preserve"> </w:t>
            </w:r>
            <w:r w:rsidRPr="00725075">
              <w:t>člana</w:t>
            </w:r>
            <w:r w:rsidRPr="00725075">
              <w:rPr>
                <w:spacing w:val="-57"/>
              </w:rPr>
              <w:t xml:space="preserve"> </w:t>
            </w:r>
            <w:r w:rsidRPr="00725075">
              <w:t>neprofitne</w:t>
            </w:r>
            <w:r w:rsidRPr="00725075">
              <w:rPr>
                <w:spacing w:val="-2"/>
              </w:rPr>
              <w:t xml:space="preserve"> </w:t>
            </w:r>
            <w:r w:rsidRPr="00725075">
              <w:t>organizacije</w:t>
            </w:r>
            <w:r w:rsidR="00756F4D" w:rsidRPr="00725075">
              <w:t xml:space="preserve"> pod istim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uvjetima</w:t>
            </w:r>
            <w:r w:rsidR="00756F4D" w:rsidRPr="00725075">
              <w:rPr>
                <w:spacing w:val="-14"/>
              </w:rPr>
              <w:t xml:space="preserve"> </w:t>
            </w:r>
            <w:r w:rsidR="00756F4D" w:rsidRPr="00725075">
              <w:t>iz</w:t>
            </w:r>
            <w:r w:rsidR="00756F4D" w:rsidRPr="00725075">
              <w:rPr>
                <w:spacing w:val="-11"/>
              </w:rPr>
              <w:t xml:space="preserve"> </w:t>
            </w:r>
            <w:r w:rsidR="00756F4D" w:rsidRPr="00725075">
              <w:t>sredstava</w:t>
            </w:r>
            <w:r w:rsidR="00756F4D" w:rsidRPr="00725075">
              <w:rPr>
                <w:spacing w:val="-14"/>
              </w:rPr>
              <w:t xml:space="preserve"> </w:t>
            </w:r>
            <w:r w:rsidR="00756F4D" w:rsidRPr="00725075">
              <w:t>prikupljenih</w:t>
            </w:r>
            <w:r w:rsidR="00756F4D" w:rsidRPr="00725075">
              <w:rPr>
                <w:spacing w:val="-12"/>
              </w:rPr>
              <w:t xml:space="preserve"> </w:t>
            </w:r>
            <w:r w:rsidR="00756F4D" w:rsidRPr="00725075">
              <w:t>članarinama</w:t>
            </w:r>
            <w:r w:rsidR="00756F4D" w:rsidRPr="00725075">
              <w:rPr>
                <w:spacing w:val="-13"/>
              </w:rPr>
              <w:t xml:space="preserve"> </w:t>
            </w:r>
            <w:r w:rsidR="00756F4D" w:rsidRPr="00725075">
              <w:t>koja</w:t>
            </w:r>
            <w:r w:rsidR="00756F4D" w:rsidRPr="00725075">
              <w:rPr>
                <w:spacing w:val="-14"/>
              </w:rPr>
              <w:t xml:space="preserve"> </w:t>
            </w:r>
            <w:r w:rsidR="00756F4D" w:rsidRPr="00725075">
              <w:t>nisu</w:t>
            </w:r>
            <w:r w:rsidR="00756F4D" w:rsidRPr="00725075">
              <w:rPr>
                <w:spacing w:val="-12"/>
              </w:rPr>
              <w:t xml:space="preserve"> </w:t>
            </w:r>
            <w:r w:rsidR="00756F4D" w:rsidRPr="00725075">
              <w:t>ostvarena</w:t>
            </w:r>
            <w:r w:rsidR="00756F4D" w:rsidRPr="00725075">
              <w:rPr>
                <w:spacing w:val="-13"/>
              </w:rPr>
              <w:t xml:space="preserve"> </w:t>
            </w:r>
            <w:r w:rsidR="00756F4D" w:rsidRPr="00725075">
              <w:t>obavljanjem</w:t>
            </w:r>
            <w:r w:rsidR="00756F4D" w:rsidRPr="00725075">
              <w:rPr>
                <w:spacing w:val="-12"/>
              </w:rPr>
              <w:t xml:space="preserve"> </w:t>
            </w:r>
            <w:r w:rsidR="00756F4D" w:rsidRPr="00725075">
              <w:t>djelatnosti</w:t>
            </w:r>
            <w:r w:rsidR="00756F4D" w:rsidRPr="00725075">
              <w:rPr>
                <w:spacing w:val="-12"/>
              </w:rPr>
              <w:t xml:space="preserve"> </w:t>
            </w:r>
            <w:r w:rsidR="00756F4D" w:rsidRPr="00725075">
              <w:t xml:space="preserve">koja </w:t>
            </w:r>
            <w:r w:rsidR="00756F4D" w:rsidRPr="00725075">
              <w:rPr>
                <w:spacing w:val="-58"/>
              </w:rPr>
              <w:t xml:space="preserve"> </w:t>
            </w:r>
            <w:r w:rsidR="00756F4D" w:rsidRPr="00725075">
              <w:t>podliježe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obvezi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plaćanja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poreza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na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dobit,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temeljem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statuta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i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odluka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nadležnih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tijela</w:t>
            </w:r>
            <w:r w:rsidR="00756F4D" w:rsidRPr="00725075">
              <w:rPr>
                <w:spacing w:val="1"/>
              </w:rPr>
              <w:t xml:space="preserve"> </w:t>
            </w:r>
            <w:r w:rsidR="00756F4D" w:rsidRPr="00725075">
              <w:t>neprofitnih organizacija, uz uvjet da se za isplaćene primitke ne traži niti ne daje protučinidba</w:t>
            </w:r>
            <w:r w:rsidR="00725075" w:rsidRPr="00725075">
              <w:t>, omogućeno je pomaganje fizičkim osobama u potrebi.</w:t>
            </w:r>
          </w:p>
          <w:p w14:paraId="341AA9BB" w14:textId="77777777" w:rsidR="00E22EE9" w:rsidRDefault="00E22EE9" w:rsidP="00E22EE9">
            <w:pPr>
              <w:jc w:val="both"/>
              <w:rPr>
                <w:color w:val="000000"/>
                <w:szCs w:val="24"/>
              </w:rPr>
            </w:pPr>
          </w:p>
          <w:p w14:paraId="310E0293" w14:textId="0EEB3909" w:rsidR="00876701" w:rsidRDefault="00791C7D" w:rsidP="00AF65B4">
            <w:pPr>
              <w:jc w:val="both"/>
              <w:rPr>
                <w:color w:val="000000"/>
                <w:szCs w:val="24"/>
              </w:rPr>
            </w:pPr>
            <w:r w:rsidRPr="002A7135">
              <w:rPr>
                <w:color w:val="000000"/>
                <w:szCs w:val="24"/>
              </w:rPr>
              <w:t xml:space="preserve">Radi veće pravne sigurnosti </w:t>
            </w:r>
            <w:r w:rsidR="001C2DEB" w:rsidRPr="002A7135">
              <w:rPr>
                <w:color w:val="000000"/>
                <w:szCs w:val="24"/>
              </w:rPr>
              <w:t>pojašnjen je porezni tretman darovanja i donacija fizičkim osobama, te se tako dohotkom ne smatraju primici koje fizičke osobe ostvaruju po osnovi darovanja (materijalnih i financijskih dobara kao što su t</w:t>
            </w:r>
            <w:r w:rsidR="00B84469" w:rsidRPr="002A7135">
              <w:rPr>
                <w:color w:val="000000"/>
                <w:szCs w:val="24"/>
              </w:rPr>
              <w:t>ro</w:t>
            </w:r>
            <w:r w:rsidR="001C2DEB" w:rsidRPr="002A7135">
              <w:rPr>
                <w:color w:val="000000"/>
                <w:szCs w:val="24"/>
              </w:rPr>
              <w:t>škovi prehrane, smještaja</w:t>
            </w:r>
            <w:r w:rsidR="00C738A2">
              <w:rPr>
                <w:color w:val="000000"/>
                <w:szCs w:val="24"/>
              </w:rPr>
              <w:t>,</w:t>
            </w:r>
            <w:r w:rsidR="001C2DEB" w:rsidRPr="002A7135">
              <w:rPr>
                <w:color w:val="000000"/>
                <w:szCs w:val="24"/>
              </w:rPr>
              <w:t xml:space="preserve"> odjeće i sličnog) od pravnih i fizičkih osoba, prikupljenih u humanitarnim akcijama i javno oglašenim akcijama koje imaju općekorisnu svrhu.</w:t>
            </w:r>
          </w:p>
          <w:p w14:paraId="7C53FA32" w14:textId="77777777" w:rsidR="00876701" w:rsidRDefault="00876701" w:rsidP="00AF65B4">
            <w:pPr>
              <w:jc w:val="both"/>
              <w:rPr>
                <w:color w:val="000000"/>
                <w:szCs w:val="24"/>
              </w:rPr>
            </w:pPr>
          </w:p>
          <w:p w14:paraId="46164E7F" w14:textId="6B83D893" w:rsidR="00223560" w:rsidRDefault="00AF65B4" w:rsidP="00223560">
            <w:pPr>
              <w:jc w:val="both"/>
              <w:rPr>
                <w:color w:val="000000"/>
                <w:szCs w:val="24"/>
              </w:rPr>
            </w:pPr>
            <w:r w:rsidRPr="00E84D16">
              <w:rPr>
                <w:szCs w:val="24"/>
              </w:rPr>
              <w:t xml:space="preserve">Propisivanjem izuzeća da se </w:t>
            </w:r>
            <w:r w:rsidRPr="00AE2A12">
              <w:rPr>
                <w:szCs w:val="24"/>
              </w:rPr>
              <w:t>pri utvrđivanju prava na osobni odbitak za uzdržavane članove ne uzima</w:t>
            </w:r>
            <w:r w:rsidR="00BC5AD8" w:rsidRPr="00AE2A12">
              <w:rPr>
                <w:szCs w:val="24"/>
              </w:rPr>
              <w:t>ju</w:t>
            </w:r>
            <w:r w:rsidRPr="00AE2A12">
              <w:rPr>
                <w:szCs w:val="24"/>
              </w:rPr>
              <w:t xml:space="preserve"> u obzir primi</w:t>
            </w:r>
            <w:r w:rsidR="00BC5AD8" w:rsidRPr="00AE2A12">
              <w:rPr>
                <w:szCs w:val="24"/>
              </w:rPr>
              <w:t>ci</w:t>
            </w:r>
            <w:r w:rsidRPr="00AE2A12">
              <w:rPr>
                <w:szCs w:val="24"/>
              </w:rPr>
              <w:t xml:space="preserve"> po osnovi naknad</w:t>
            </w:r>
            <w:r w:rsidR="009F0F4F" w:rsidRPr="00AE2A12">
              <w:rPr>
                <w:szCs w:val="24"/>
              </w:rPr>
              <w:t>a</w:t>
            </w:r>
            <w:r w:rsidRPr="00AE2A12">
              <w:rPr>
                <w:szCs w:val="24"/>
              </w:rPr>
              <w:t xml:space="preserve"> učenicima za vrijeme praktičnog rada i naukovanja</w:t>
            </w:r>
            <w:r w:rsidR="006B57ED" w:rsidRPr="00AE2A12">
              <w:rPr>
                <w:szCs w:val="24"/>
              </w:rPr>
              <w:t xml:space="preserve"> i nagrada za </w:t>
            </w:r>
            <w:r w:rsidR="006B57ED" w:rsidRPr="00AE2A12">
              <w:rPr>
                <w:color w:val="000000"/>
                <w:szCs w:val="24"/>
              </w:rPr>
              <w:t>vrijeme dualnog obrazovanja</w:t>
            </w:r>
            <w:r w:rsidRPr="00AE2A12">
              <w:rPr>
                <w:color w:val="000000"/>
                <w:szCs w:val="24"/>
              </w:rPr>
              <w:t xml:space="preserve"> olakšalo se obiteljima s djecom obzirom da roditelji neovisno o ostvarenim primicima djece po naveden</w:t>
            </w:r>
            <w:r w:rsidR="009F0F4F" w:rsidRPr="00AE2A12">
              <w:rPr>
                <w:color w:val="000000"/>
                <w:szCs w:val="24"/>
              </w:rPr>
              <w:t>im</w:t>
            </w:r>
            <w:r w:rsidRPr="00AE2A12">
              <w:rPr>
                <w:color w:val="000000"/>
                <w:szCs w:val="24"/>
              </w:rPr>
              <w:t xml:space="preserve"> osnov</w:t>
            </w:r>
            <w:r w:rsidR="009F0F4F" w:rsidRPr="00AE2A12">
              <w:rPr>
                <w:color w:val="000000"/>
                <w:szCs w:val="24"/>
              </w:rPr>
              <w:t>ama</w:t>
            </w:r>
            <w:r w:rsidRPr="00AE2A12">
              <w:rPr>
                <w:color w:val="000000"/>
                <w:szCs w:val="24"/>
              </w:rPr>
              <w:t xml:space="preserve"> mogu i dalje koristiti tu djecu kao uzdržavane članove. Naveden</w:t>
            </w:r>
            <w:r w:rsidR="006B57ED" w:rsidRPr="00AE2A12">
              <w:rPr>
                <w:color w:val="000000"/>
                <w:szCs w:val="24"/>
              </w:rPr>
              <w:t>o</w:t>
            </w:r>
            <w:r w:rsidRPr="00AE2A12">
              <w:rPr>
                <w:color w:val="000000"/>
                <w:szCs w:val="24"/>
              </w:rPr>
              <w:t xml:space="preserve"> izuzeće</w:t>
            </w:r>
            <w:r w:rsidR="006B57ED" w:rsidRPr="00AE2A12">
              <w:rPr>
                <w:color w:val="000000"/>
                <w:szCs w:val="24"/>
              </w:rPr>
              <w:t xml:space="preserve"> </w:t>
            </w:r>
            <w:r w:rsidRPr="00AE2A12">
              <w:rPr>
                <w:color w:val="000000"/>
                <w:szCs w:val="24"/>
              </w:rPr>
              <w:t xml:space="preserve">dovelo je do povećanja neto raspoloživog dohotka roditelja koji su djecu koristili kao uzdržavane članove </w:t>
            </w:r>
            <w:r w:rsidR="006B57ED" w:rsidRPr="00AE2A12">
              <w:rPr>
                <w:color w:val="000000"/>
                <w:szCs w:val="24"/>
              </w:rPr>
              <w:t xml:space="preserve">čime je otvoren prostor za </w:t>
            </w:r>
            <w:r w:rsidRPr="00AE2A12">
              <w:rPr>
                <w:color w:val="000000"/>
                <w:szCs w:val="24"/>
              </w:rPr>
              <w:t>povećanj</w:t>
            </w:r>
            <w:r w:rsidR="006B57ED" w:rsidRPr="00AE2A12">
              <w:rPr>
                <w:color w:val="000000"/>
                <w:szCs w:val="24"/>
              </w:rPr>
              <w:t>e</w:t>
            </w:r>
            <w:r w:rsidRPr="00AE2A12">
              <w:rPr>
                <w:color w:val="000000"/>
                <w:szCs w:val="24"/>
              </w:rPr>
              <w:t xml:space="preserve"> potrošnje. </w:t>
            </w:r>
            <w:r w:rsidR="00223560" w:rsidRPr="00AE2A12">
              <w:rPr>
                <w:color w:val="000000"/>
                <w:szCs w:val="24"/>
              </w:rPr>
              <w:t xml:space="preserve">Prema podacima iz službenih evidencija Porezne uprave u 2020. godini evidentirano je sveukupno 7.677 uzdržavanih članova koji su ostvarili </w:t>
            </w:r>
            <w:r w:rsidR="00223560" w:rsidRPr="00AE2A12">
              <w:rPr>
                <w:szCs w:val="24"/>
              </w:rPr>
              <w:t xml:space="preserve">primitke po osnovi naknada učenicima za vrijeme praktičnog rada i naukovanja i nagrada za </w:t>
            </w:r>
            <w:r w:rsidR="00223560" w:rsidRPr="00AE2A12">
              <w:rPr>
                <w:color w:val="000000"/>
                <w:szCs w:val="24"/>
              </w:rPr>
              <w:t>vrijeme dualnog obrazovanja.</w:t>
            </w:r>
          </w:p>
          <w:p w14:paraId="603B1B07" w14:textId="77777777" w:rsidR="00223560" w:rsidRDefault="00223560" w:rsidP="00223560">
            <w:pPr>
              <w:jc w:val="both"/>
              <w:rPr>
                <w:color w:val="000000"/>
                <w:szCs w:val="24"/>
              </w:rPr>
            </w:pPr>
          </w:p>
          <w:p w14:paraId="5FB5ECA6" w14:textId="4375D385" w:rsidR="00D3747B" w:rsidRDefault="00D3747B" w:rsidP="00D3747B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</w:t>
            </w:r>
            <w:r w:rsidR="00BF0E3C">
              <w:rPr>
                <w:color w:val="000000"/>
                <w:szCs w:val="24"/>
              </w:rPr>
              <w:t xml:space="preserve">ropisano je </w:t>
            </w:r>
            <w:r>
              <w:t>oslobođenje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obveze</w:t>
            </w:r>
            <w:r>
              <w:rPr>
                <w:spacing w:val="1"/>
              </w:rPr>
              <w:t xml:space="preserve"> </w:t>
            </w:r>
            <w:r>
              <w:t>poreza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dohodak</w:t>
            </w:r>
            <w:r>
              <w:rPr>
                <w:spacing w:val="1"/>
              </w:rPr>
              <w:t xml:space="preserve"> </w:t>
            </w:r>
            <w:r>
              <w:t>po</w:t>
            </w:r>
            <w:r>
              <w:rPr>
                <w:spacing w:val="1"/>
              </w:rPr>
              <w:t xml:space="preserve"> </w:t>
            </w:r>
            <w:r>
              <w:t>osnovi</w:t>
            </w:r>
            <w:r>
              <w:rPr>
                <w:spacing w:val="1"/>
              </w:rPr>
              <w:t xml:space="preserve"> </w:t>
            </w:r>
            <w:r>
              <w:t>otpisa</w:t>
            </w:r>
            <w:r>
              <w:rPr>
                <w:spacing w:val="1"/>
              </w:rPr>
              <w:t xml:space="preserve"> </w:t>
            </w:r>
            <w:r>
              <w:t>nenaplaćenih</w:t>
            </w:r>
            <w:r>
              <w:rPr>
                <w:spacing w:val="1"/>
              </w:rPr>
              <w:t xml:space="preserve"> </w:t>
            </w:r>
            <w:r>
              <w:t>tražbina</w:t>
            </w:r>
            <w:r>
              <w:rPr>
                <w:spacing w:val="1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nepovezanih osoba u slučajevima kada su ista potvrđena u skladu s posebnim propisom o</w:t>
            </w:r>
            <w:r>
              <w:rPr>
                <w:spacing w:val="1"/>
              </w:rPr>
              <w:t xml:space="preserve"> </w:t>
            </w:r>
            <w:r>
              <w:t>stečaju potrošača, kada je trošak postupka naplate potraživanja veći od očekivane naplate te</w:t>
            </w:r>
            <w:r>
              <w:rPr>
                <w:spacing w:val="1"/>
              </w:rPr>
              <w:t xml:space="preserve"> </w:t>
            </w:r>
            <w:r>
              <w:t>kada</w:t>
            </w:r>
            <w:r>
              <w:rPr>
                <w:spacing w:val="-2"/>
              </w:rPr>
              <w:t xml:space="preserve"> </w:t>
            </w:r>
            <w:r>
              <w:t>je tražbina zastarjela</w:t>
            </w:r>
            <w:r>
              <w:rPr>
                <w:spacing w:val="-2"/>
              </w:rPr>
              <w:t xml:space="preserve"> </w:t>
            </w:r>
            <w:r>
              <w:t>te ne</w:t>
            </w:r>
            <w:r>
              <w:rPr>
                <w:spacing w:val="-2"/>
              </w:rPr>
              <w:t xml:space="preserve"> </w:t>
            </w:r>
            <w:r>
              <w:t>prelazi</w:t>
            </w:r>
            <w:r>
              <w:rPr>
                <w:spacing w:val="-1"/>
              </w:rPr>
              <w:t xml:space="preserve"> </w:t>
            </w:r>
            <w:r>
              <w:t>propisane iznose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pojedinom poreznom razdoblju, čime je</w:t>
            </w:r>
            <w:r w:rsidR="009F0F4F">
              <w:t>,</w:t>
            </w:r>
            <w:r>
              <w:t xml:space="preserve"> između ostalog</w:t>
            </w:r>
            <w:r w:rsidR="009F0F4F">
              <w:t>,</w:t>
            </w:r>
            <w:r>
              <w:t xml:space="preserve"> i</w:t>
            </w:r>
            <w:r>
              <w:rPr>
                <w:color w:val="000000"/>
                <w:szCs w:val="24"/>
              </w:rPr>
              <w:t>zjednačen</w:t>
            </w:r>
            <w:r w:rsidRPr="008401FA">
              <w:rPr>
                <w:color w:val="000000"/>
                <w:szCs w:val="24"/>
              </w:rPr>
              <w:t xml:space="preserve"> porezn</w:t>
            </w:r>
            <w:r>
              <w:rPr>
                <w:color w:val="000000"/>
                <w:szCs w:val="24"/>
              </w:rPr>
              <w:t>i</w:t>
            </w:r>
            <w:r w:rsidRPr="008401FA">
              <w:rPr>
                <w:color w:val="000000"/>
                <w:szCs w:val="24"/>
              </w:rPr>
              <w:t xml:space="preserve"> tretman otpisa pojedinih tražbina kod obveznika poreza na dohodak s otpisima potraživanja kod obveznika poreza na dobit</w:t>
            </w:r>
            <w:r>
              <w:rPr>
                <w:color w:val="000000"/>
                <w:szCs w:val="24"/>
              </w:rPr>
              <w:t>.</w:t>
            </w:r>
            <w:r w:rsidRPr="008401FA">
              <w:rPr>
                <w:color w:val="000000"/>
                <w:szCs w:val="24"/>
              </w:rPr>
              <w:t xml:space="preserve"> </w:t>
            </w:r>
          </w:p>
          <w:p w14:paraId="672FD993" w14:textId="77777777" w:rsidR="009F0F4F" w:rsidRDefault="009F0F4F" w:rsidP="009F0F4F">
            <w:pPr>
              <w:jc w:val="both"/>
              <w:rPr>
                <w:color w:val="000000"/>
                <w:szCs w:val="24"/>
              </w:rPr>
            </w:pPr>
          </w:p>
          <w:p w14:paraId="1F10D5BC" w14:textId="77777777" w:rsidR="009F0F4F" w:rsidRDefault="009F0F4F" w:rsidP="009F0F4F">
            <w:pPr>
              <w:jc w:val="both"/>
              <w:rPr>
                <w:color w:val="000000"/>
                <w:szCs w:val="24"/>
              </w:rPr>
            </w:pPr>
            <w:r w:rsidRPr="001373DF">
              <w:rPr>
                <w:color w:val="000000"/>
                <w:szCs w:val="24"/>
              </w:rPr>
              <w:t xml:space="preserve">Pripadnost poreza na dohodak koji je ostvaren po osnovi obavljanja djelatnosti iznajmljivanja i organiziranja smještaja u turizmu, a koji se utvrđuje u paušalnom iznosu, određena je prema mjestu gdje se nekretnina odnosno smještajna jedinica nalazi, </w:t>
            </w:r>
            <w:r>
              <w:rPr>
                <w:color w:val="000000"/>
                <w:szCs w:val="24"/>
              </w:rPr>
              <w:t xml:space="preserve">a </w:t>
            </w:r>
            <w:r w:rsidRPr="001373DF">
              <w:rPr>
                <w:color w:val="000000"/>
                <w:szCs w:val="24"/>
              </w:rPr>
              <w:t>budući da se pri pružanju usluga koriste resursi jedinica lokalne i područne samouprave</w:t>
            </w:r>
            <w:r>
              <w:rPr>
                <w:color w:val="000000"/>
                <w:szCs w:val="24"/>
              </w:rPr>
              <w:t>, postignuta je pravednija raspodjela prihoda.</w:t>
            </w:r>
          </w:p>
          <w:p w14:paraId="2FA24A5E" w14:textId="3A4CCE27" w:rsidR="009927E5" w:rsidRDefault="009927E5" w:rsidP="006822E9">
            <w:pPr>
              <w:jc w:val="both"/>
              <w:rPr>
                <w:color w:val="000000"/>
                <w:szCs w:val="24"/>
              </w:rPr>
            </w:pPr>
          </w:p>
          <w:p w14:paraId="296F667E" w14:textId="25548C70" w:rsidR="006822E9" w:rsidRPr="00AE2A12" w:rsidRDefault="00850473" w:rsidP="006822E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U</w:t>
            </w:r>
            <w:r w:rsidR="006822E9" w:rsidRPr="008401FA">
              <w:rPr>
                <w:color w:val="000000"/>
                <w:szCs w:val="24"/>
              </w:rPr>
              <w:t>kidanjem obveze izdavanja poreznih rješenja za obveznike poreza na dohodak koji obavljaju samostalnu djelatnost, a koji porez plaćaju u paušalnom iznosu postignuto je daljnje smanjenje administrativnog opterećenja poreznih obveznika.</w:t>
            </w:r>
            <w:r w:rsidR="004E1A64">
              <w:t xml:space="preserve"> </w:t>
            </w:r>
            <w:r w:rsidR="004E1A64" w:rsidRPr="004E1A64">
              <w:rPr>
                <w:color w:val="000000"/>
                <w:szCs w:val="24"/>
              </w:rPr>
              <w:t xml:space="preserve">Prema </w:t>
            </w:r>
            <w:r w:rsidR="00FC4F60">
              <w:rPr>
                <w:color w:val="000000"/>
                <w:szCs w:val="24"/>
              </w:rPr>
              <w:t>podacima iz</w:t>
            </w:r>
            <w:r w:rsidR="00936712">
              <w:rPr>
                <w:color w:val="000000"/>
                <w:szCs w:val="24"/>
              </w:rPr>
              <w:t xml:space="preserve"> službenih evidencija </w:t>
            </w:r>
            <w:r w:rsidR="00FC4F60">
              <w:rPr>
                <w:color w:val="000000"/>
                <w:szCs w:val="24"/>
              </w:rPr>
              <w:t xml:space="preserve">Porezne uprave, po </w:t>
            </w:r>
            <w:r w:rsidR="004E1A64" w:rsidRPr="004E1A64">
              <w:rPr>
                <w:color w:val="000000"/>
                <w:szCs w:val="24"/>
              </w:rPr>
              <w:t xml:space="preserve">zaprimljenim </w:t>
            </w:r>
            <w:r w:rsidR="005B1142" w:rsidRPr="00AE2A12">
              <w:rPr>
                <w:color w:val="000000"/>
                <w:szCs w:val="24"/>
              </w:rPr>
              <w:t>Izvješćima o paušalnom dohotku od samostalnih djelatnosti i uplaćenom paušalnom porezu na dohodak i prirezu poreza na dohodak (dalje u tekstu: Obrazac PO-SD)</w:t>
            </w:r>
            <w:r w:rsidR="001A2C68" w:rsidRPr="00AE2A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4E1A64" w:rsidRPr="00AE2A12">
              <w:rPr>
                <w:color w:val="000000"/>
                <w:szCs w:val="24"/>
              </w:rPr>
              <w:t xml:space="preserve">za 2019. godinu izdano je 47.581 poreznih rješenja, dok je </w:t>
            </w:r>
            <w:r w:rsidR="00F012C6" w:rsidRPr="00AE2A12">
              <w:rPr>
                <w:color w:val="000000"/>
                <w:szCs w:val="24"/>
              </w:rPr>
              <w:t xml:space="preserve">za 2020. </w:t>
            </w:r>
            <w:r w:rsidR="004E1A64" w:rsidRPr="00AE2A12">
              <w:rPr>
                <w:color w:val="000000"/>
                <w:szCs w:val="24"/>
              </w:rPr>
              <w:t>godinu izdano 9.148 poreznih rješenja</w:t>
            </w:r>
            <w:r w:rsidR="004138CD" w:rsidRPr="00AE2A12">
              <w:rPr>
                <w:color w:val="000000"/>
                <w:szCs w:val="24"/>
              </w:rPr>
              <w:t>, a koja se izdaju u slučaju početka obavljanja djelatnosti</w:t>
            </w:r>
            <w:r w:rsidR="00487E55" w:rsidRPr="00AE2A12">
              <w:rPr>
                <w:color w:val="000000"/>
                <w:szCs w:val="24"/>
              </w:rPr>
              <w:t xml:space="preserve"> te u slučaju netočnih/nepotpunih podataka u Obrascu PO-SD</w:t>
            </w:r>
            <w:r w:rsidR="004E1A64" w:rsidRPr="00AE2A12">
              <w:rPr>
                <w:color w:val="000000"/>
                <w:szCs w:val="24"/>
              </w:rPr>
              <w:t>.</w:t>
            </w:r>
          </w:p>
          <w:p w14:paraId="7409105A" w14:textId="2451D9BE" w:rsidR="006822E9" w:rsidRPr="00AE2A12" w:rsidRDefault="006822E9" w:rsidP="006822E9">
            <w:pPr>
              <w:jc w:val="both"/>
              <w:rPr>
                <w:color w:val="000000"/>
                <w:szCs w:val="24"/>
              </w:rPr>
            </w:pPr>
          </w:p>
          <w:p w14:paraId="4D84B3D0" w14:textId="3044B5CA" w:rsidR="004E1A64" w:rsidRPr="00AE2A12" w:rsidRDefault="006822E9" w:rsidP="004E1A64">
            <w:pPr>
              <w:jc w:val="both"/>
              <w:rPr>
                <w:szCs w:val="24"/>
              </w:rPr>
            </w:pPr>
            <w:r w:rsidRPr="00AE2A12">
              <w:rPr>
                <w:color w:val="000000"/>
                <w:szCs w:val="24"/>
              </w:rPr>
              <w:t xml:space="preserve">Kako bi se poslodavcima olakšalo postupanje pri obračunu </w:t>
            </w:r>
            <w:r w:rsidR="002017F4" w:rsidRPr="00AE2A12">
              <w:rPr>
                <w:color w:val="000000"/>
                <w:szCs w:val="24"/>
              </w:rPr>
              <w:t xml:space="preserve">i isplati </w:t>
            </w:r>
            <w:r w:rsidRPr="00AE2A12">
              <w:rPr>
                <w:color w:val="000000"/>
                <w:szCs w:val="24"/>
              </w:rPr>
              <w:t>javnih davanja te otklonile možebitne pogreške, istima je omogućen uvid u neoporezive primitke radnika u tijeku poreznog razdoblja. Također, istima je omogućeno da pri isplati plaće bivšim radnicima za posljednji mjesec rada koriste podatke iz porezne kartice bivšeg radnika, a najkasnije do isplate plaće ili do dana dospjelosti plaće za posljednji mjesec rada kod tog poslodavca kako bi radnici iskoristili pravo na osobni odbitak u tijeku godine.</w:t>
            </w:r>
            <w:r w:rsidR="00EF789A" w:rsidRPr="00AE2A12">
              <w:rPr>
                <w:color w:val="000000"/>
                <w:szCs w:val="24"/>
              </w:rPr>
              <w:t xml:space="preserve"> </w:t>
            </w:r>
            <w:r w:rsidR="0010087A" w:rsidRPr="00AE2A12">
              <w:rPr>
                <w:szCs w:val="24"/>
              </w:rPr>
              <w:t xml:space="preserve">Navedenom izmjenom postiže se administrativno rasterećenje poduzetnika budući da ne moraju od svojih radnika, koji su u tijeku poreznog razdoblja imali više poslodavaca, prikupljati izjave o primljenim neoporezivim primicima. Prema podacima iz službenih evidencija Porezne uprave </w:t>
            </w:r>
            <w:r w:rsidR="0093147F" w:rsidRPr="00AE2A12">
              <w:rPr>
                <w:szCs w:val="24"/>
              </w:rPr>
              <w:t xml:space="preserve">broj pristupa poslodavaca </w:t>
            </w:r>
            <w:proofErr w:type="spellStart"/>
            <w:r w:rsidR="00C86A7A" w:rsidRPr="00AE2A12">
              <w:rPr>
                <w:szCs w:val="24"/>
              </w:rPr>
              <w:t>novopropisa</w:t>
            </w:r>
            <w:r w:rsidR="0093147F" w:rsidRPr="00AE2A12">
              <w:rPr>
                <w:szCs w:val="24"/>
              </w:rPr>
              <w:t>n</w:t>
            </w:r>
            <w:r w:rsidR="006B3D0C" w:rsidRPr="00AE2A12">
              <w:rPr>
                <w:szCs w:val="24"/>
              </w:rPr>
              <w:t>oj</w:t>
            </w:r>
            <w:proofErr w:type="spellEnd"/>
            <w:r w:rsidR="0093147F" w:rsidRPr="00AE2A12">
              <w:rPr>
                <w:szCs w:val="24"/>
              </w:rPr>
              <w:t xml:space="preserve"> uslu</w:t>
            </w:r>
            <w:r w:rsidR="006B3D0C" w:rsidRPr="00AE2A12">
              <w:rPr>
                <w:szCs w:val="24"/>
              </w:rPr>
              <w:t>zi</w:t>
            </w:r>
            <w:r w:rsidR="0093147F" w:rsidRPr="00AE2A12">
              <w:rPr>
                <w:szCs w:val="24"/>
              </w:rPr>
              <w:t xml:space="preserve"> u</w:t>
            </w:r>
            <w:r w:rsidR="00C86A7A" w:rsidRPr="00AE2A12">
              <w:rPr>
                <w:szCs w:val="24"/>
              </w:rPr>
              <w:t>vid</w:t>
            </w:r>
            <w:r w:rsidR="0093147F" w:rsidRPr="00AE2A12">
              <w:rPr>
                <w:szCs w:val="24"/>
              </w:rPr>
              <w:t>a</w:t>
            </w:r>
            <w:r w:rsidR="00C86A7A" w:rsidRPr="00AE2A12">
              <w:rPr>
                <w:szCs w:val="24"/>
              </w:rPr>
              <w:t xml:space="preserve"> u neoporezive primitke</w:t>
            </w:r>
            <w:r w:rsidR="0093147F" w:rsidRPr="00AE2A12">
              <w:rPr>
                <w:szCs w:val="24"/>
              </w:rPr>
              <w:t xml:space="preserve"> radnika</w:t>
            </w:r>
            <w:r w:rsidR="00C86A7A" w:rsidRPr="00AE2A12">
              <w:rPr>
                <w:szCs w:val="24"/>
              </w:rPr>
              <w:t xml:space="preserve"> </w:t>
            </w:r>
            <w:r w:rsidR="0010087A" w:rsidRPr="00AE2A12">
              <w:rPr>
                <w:szCs w:val="24"/>
              </w:rPr>
              <w:t xml:space="preserve">u 2020. godini </w:t>
            </w:r>
            <w:r w:rsidR="00C86A7A" w:rsidRPr="00AE2A12">
              <w:rPr>
                <w:szCs w:val="24"/>
              </w:rPr>
              <w:t>bio je</w:t>
            </w:r>
            <w:r w:rsidR="007A61A5" w:rsidRPr="00AE2A12">
              <w:rPr>
                <w:szCs w:val="24"/>
              </w:rPr>
              <w:t xml:space="preserve"> </w:t>
            </w:r>
            <w:r w:rsidR="0010087A" w:rsidRPr="00AE2A12">
              <w:rPr>
                <w:szCs w:val="24"/>
              </w:rPr>
              <w:t>1.618.181</w:t>
            </w:r>
            <w:r w:rsidR="0018779D" w:rsidRPr="00AE2A12">
              <w:rPr>
                <w:szCs w:val="24"/>
              </w:rPr>
              <w:t xml:space="preserve"> puta, odnosno toliko izjava su poslodavci u 2020. trebali manje prikupiti.</w:t>
            </w:r>
          </w:p>
          <w:p w14:paraId="48E03B37" w14:textId="77777777" w:rsidR="0010087A" w:rsidRPr="00AE2A12" w:rsidRDefault="0010087A" w:rsidP="004E1A64">
            <w:pPr>
              <w:jc w:val="both"/>
              <w:rPr>
                <w:color w:val="000000"/>
                <w:szCs w:val="24"/>
              </w:rPr>
            </w:pPr>
          </w:p>
          <w:p w14:paraId="3CBF448D" w14:textId="65999C55" w:rsidR="006E062A" w:rsidRDefault="006E062A" w:rsidP="004E1A64">
            <w:pPr>
              <w:jc w:val="both"/>
              <w:rPr>
                <w:color w:val="000000"/>
                <w:szCs w:val="24"/>
              </w:rPr>
            </w:pPr>
            <w:r w:rsidRPr="00AE2A12">
              <w:rPr>
                <w:color w:val="000000"/>
                <w:szCs w:val="24"/>
              </w:rPr>
              <w:t xml:space="preserve">Također, smanjeno je administrativno opterećenje poreznih obveznika </w:t>
            </w:r>
            <w:r w:rsidR="00D376A5" w:rsidRPr="00AE2A12">
              <w:rPr>
                <w:color w:val="000000"/>
                <w:szCs w:val="24"/>
              </w:rPr>
              <w:t>na način da porezni obveznici koji su ostvarili dohodak iz inozemstva i dostav</w:t>
            </w:r>
            <w:r w:rsidR="00EF789A" w:rsidRPr="00AE2A12">
              <w:rPr>
                <w:color w:val="000000"/>
                <w:szCs w:val="24"/>
              </w:rPr>
              <w:t>ili</w:t>
            </w:r>
            <w:r w:rsidR="00D376A5" w:rsidRPr="00AE2A12">
              <w:rPr>
                <w:color w:val="000000"/>
                <w:szCs w:val="24"/>
              </w:rPr>
              <w:t xml:space="preserve"> Obrazac INO-DOH do kraja siječnja tekuće za prethodnu kalendarsku godinu</w:t>
            </w:r>
            <w:r w:rsidR="007A61A5" w:rsidRPr="00AE2A12">
              <w:rPr>
                <w:color w:val="000000"/>
                <w:szCs w:val="24"/>
              </w:rPr>
              <w:t xml:space="preserve"> </w:t>
            </w:r>
            <w:r w:rsidR="007A61A5" w:rsidRPr="00AE2A12">
              <w:rPr>
                <w:szCs w:val="24"/>
              </w:rPr>
              <w:t>i koji</w:t>
            </w:r>
            <w:r w:rsidR="00EF789A" w:rsidRPr="00DC2F13">
              <w:rPr>
                <w:szCs w:val="24"/>
              </w:rPr>
              <w:t xml:space="preserve"> </w:t>
            </w:r>
            <w:r w:rsidR="00EF789A">
              <w:rPr>
                <w:color w:val="000000"/>
                <w:szCs w:val="24"/>
              </w:rPr>
              <w:t>nisu</w:t>
            </w:r>
            <w:r w:rsidR="003877C7">
              <w:rPr>
                <w:color w:val="000000"/>
                <w:szCs w:val="24"/>
              </w:rPr>
              <w:t xml:space="preserve"> prilo</w:t>
            </w:r>
            <w:r w:rsidR="00EF789A">
              <w:rPr>
                <w:color w:val="000000"/>
                <w:szCs w:val="24"/>
              </w:rPr>
              <w:t>žili</w:t>
            </w:r>
            <w:r w:rsidR="003877C7">
              <w:rPr>
                <w:color w:val="000000"/>
                <w:szCs w:val="24"/>
              </w:rPr>
              <w:t xml:space="preserve"> potvrdu o plaćenom porezu u inozemstvu, </w:t>
            </w:r>
            <w:r w:rsidR="00D376A5">
              <w:rPr>
                <w:color w:val="000000"/>
                <w:szCs w:val="24"/>
              </w:rPr>
              <w:t xml:space="preserve">a žele da im se uplaćeni porez u inozemstvu uračuna u tuzemnu obvezu poreza na dohodak, nisu više dužni dostaviti </w:t>
            </w:r>
            <w:r w:rsidR="00784829">
              <w:rPr>
                <w:color w:val="000000"/>
                <w:szCs w:val="24"/>
              </w:rPr>
              <w:t xml:space="preserve">i </w:t>
            </w:r>
            <w:r w:rsidR="00D376A5">
              <w:rPr>
                <w:color w:val="000000"/>
                <w:szCs w:val="24"/>
              </w:rPr>
              <w:t>Obrazac ZPP-DOH</w:t>
            </w:r>
            <w:r w:rsidR="003877C7">
              <w:rPr>
                <w:color w:val="000000"/>
                <w:szCs w:val="24"/>
              </w:rPr>
              <w:t xml:space="preserve"> </w:t>
            </w:r>
            <w:r w:rsidR="000C0C2B">
              <w:rPr>
                <w:color w:val="000000"/>
                <w:szCs w:val="24"/>
              </w:rPr>
              <w:t xml:space="preserve">do kraja veljače </w:t>
            </w:r>
            <w:r w:rsidR="00784829">
              <w:rPr>
                <w:color w:val="000000"/>
                <w:szCs w:val="24"/>
              </w:rPr>
              <w:t>tekuće godine za prethodnu</w:t>
            </w:r>
            <w:r w:rsidR="003877C7">
              <w:rPr>
                <w:color w:val="000000"/>
                <w:szCs w:val="24"/>
              </w:rPr>
              <w:t>.</w:t>
            </w:r>
          </w:p>
          <w:p w14:paraId="52207A2B" w14:textId="77777777" w:rsidR="006822E9" w:rsidRPr="008401FA" w:rsidRDefault="006822E9" w:rsidP="006822E9">
            <w:pPr>
              <w:jc w:val="both"/>
              <w:rPr>
                <w:color w:val="000000"/>
                <w:szCs w:val="24"/>
              </w:rPr>
            </w:pPr>
          </w:p>
          <w:p w14:paraId="0B88D0D1" w14:textId="585DFF17" w:rsidR="00C81D15" w:rsidRPr="00C81D15" w:rsidRDefault="00EF789A" w:rsidP="00C81D15">
            <w:pPr>
              <w:jc w:val="both"/>
              <w:rPr>
                <w:rFonts w:eastAsiaTheme="minorHAnsi"/>
                <w:sz w:val="22"/>
              </w:rPr>
            </w:pPr>
            <w:r>
              <w:t>U svrhu postizanja veće pravne sigurnosti pr</w:t>
            </w:r>
            <w:r w:rsidR="00537D81">
              <w:t>opis</w:t>
            </w:r>
            <w:r>
              <w:t>ana su</w:t>
            </w:r>
            <w:r w:rsidR="00EB21B3">
              <w:t xml:space="preserve"> </w:t>
            </w:r>
            <w:r w:rsidR="00537D81">
              <w:t>obilježja nesamostalnog rada za potrebe oporezivanja određivanjem relevantnih kriterija</w:t>
            </w:r>
            <w:r w:rsidR="00A97288">
              <w:t xml:space="preserve"> (</w:t>
            </w:r>
            <w:r w:rsidR="00537D81">
              <w:t>kontrola ponašanja, financijska kontrola i odnos stranaka</w:t>
            </w:r>
            <w:r w:rsidR="00A97288">
              <w:t>)</w:t>
            </w:r>
            <w:r w:rsidR="00537D81">
              <w:t xml:space="preserve"> odnosno</w:t>
            </w:r>
            <w:r>
              <w:t>,</w:t>
            </w:r>
            <w:r w:rsidR="00537D81">
              <w:t xml:space="preserve"> propisano je da se primici proizašli iz korištenja poreznih pogodnosti protivno svrsi zakona propisanih propisom koji je uređen opći porezni postupak smatraju primicima po osnovi radnog odnosa</w:t>
            </w:r>
            <w:r w:rsidR="007F710B">
              <w:t>.</w:t>
            </w:r>
          </w:p>
        </w:tc>
      </w:tr>
      <w:tr w:rsidR="000213BB" w:rsidRPr="008401FA" w14:paraId="7B05355B" w14:textId="77777777" w:rsidTr="00DC2F13">
        <w:trPr>
          <w:trHeight w:val="240"/>
          <w:jc w:val="center"/>
        </w:trPr>
        <w:tc>
          <w:tcPr>
            <w:tcW w:w="851" w:type="dxa"/>
            <w:shd w:val="clear" w:color="auto" w:fill="auto"/>
          </w:tcPr>
          <w:p w14:paraId="45DB7F2C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0AA943A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 xml:space="preserve">ANALIZA IZRAVNIH UČINAKA NASTALIH PRIMJENOM ZAKONA </w:t>
            </w:r>
          </w:p>
        </w:tc>
      </w:tr>
      <w:tr w:rsidR="000213BB" w:rsidRPr="008401FA" w14:paraId="7454D8E0" w14:textId="77777777" w:rsidTr="00DC2F13">
        <w:trPr>
          <w:jc w:val="center"/>
        </w:trPr>
        <w:tc>
          <w:tcPr>
            <w:tcW w:w="851" w:type="dxa"/>
          </w:tcPr>
          <w:p w14:paraId="11DCDE6B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14D7A2C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b/>
                <w:szCs w:val="24"/>
              </w:rPr>
              <w:t>Analiza gospodarskih učinaka primjene Zakona</w:t>
            </w:r>
          </w:p>
        </w:tc>
      </w:tr>
      <w:tr w:rsidR="000213BB" w:rsidRPr="008401FA" w14:paraId="25BC885E" w14:textId="77777777" w:rsidTr="00DC2F13">
        <w:trPr>
          <w:jc w:val="center"/>
        </w:trPr>
        <w:tc>
          <w:tcPr>
            <w:tcW w:w="851" w:type="dxa"/>
          </w:tcPr>
          <w:p w14:paraId="761102FB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037D1298" w14:textId="3F37C3F2" w:rsidR="00542CAE" w:rsidRPr="00DC38B5" w:rsidRDefault="00542CAE" w:rsidP="00542CAE">
            <w:pPr>
              <w:jc w:val="both"/>
            </w:pPr>
            <w:r w:rsidRPr="00521BE2">
              <w:t>Primjen</w:t>
            </w:r>
            <w:r w:rsidR="0010087A" w:rsidRPr="00521BE2">
              <w:t>om</w:t>
            </w:r>
            <w:r w:rsidRPr="00521BE2">
              <w:t xml:space="preserve"> Zakona </w:t>
            </w:r>
            <w:r w:rsidR="00801E9D" w:rsidRPr="00521BE2">
              <w:t>omogućen je</w:t>
            </w:r>
            <w:r w:rsidRPr="00521BE2">
              <w:t xml:space="preserve"> </w:t>
            </w:r>
            <w:r w:rsidR="00801E9D" w:rsidRPr="00521BE2">
              <w:t xml:space="preserve">rast osobne potrošnje te samim time i </w:t>
            </w:r>
            <w:r w:rsidRPr="00521BE2">
              <w:t>gospodarski rast.</w:t>
            </w:r>
            <w:r w:rsidRPr="00542CAE">
              <w:t xml:space="preserve"> U sustavu poreza na dohodak smanjeno je ukupno porezno opterećenje za obveznike poreza na dohodak i to </w:t>
            </w:r>
            <w:r w:rsidRPr="00DC38B5">
              <w:t>povećanjem osobnog odbitka, propisivanjem olakšice za mlade, dodatnim propisivanjem oslobođenja od plaćanja poreza na određene primitke te proširenjem obuhvata primitaka koji se ne uzimaju u obzir pri utvrđivanju prava na osobni odbitak za uzdržavane članove.</w:t>
            </w:r>
          </w:p>
          <w:p w14:paraId="0773F91C" w14:textId="77777777" w:rsidR="00BE34D0" w:rsidRPr="00DC38B5" w:rsidRDefault="00BE34D0" w:rsidP="00955E89">
            <w:pPr>
              <w:jc w:val="both"/>
              <w:rPr>
                <w:bCs/>
                <w:szCs w:val="24"/>
              </w:rPr>
            </w:pPr>
          </w:p>
          <w:p w14:paraId="388514A3" w14:textId="53FC86E7" w:rsidR="0042294D" w:rsidRPr="00DC38B5" w:rsidRDefault="00BE34D0" w:rsidP="00955E89">
            <w:pPr>
              <w:jc w:val="both"/>
              <w:rPr>
                <w:bCs/>
                <w:szCs w:val="24"/>
              </w:rPr>
            </w:pPr>
            <w:r w:rsidRPr="00DC38B5">
              <w:rPr>
                <w:bCs/>
                <w:szCs w:val="24"/>
              </w:rPr>
              <w:t xml:space="preserve">Tako </w:t>
            </w:r>
            <w:r w:rsidR="00775E48" w:rsidRPr="00DC38B5">
              <w:rPr>
                <w:bCs/>
                <w:szCs w:val="24"/>
              </w:rPr>
              <w:t xml:space="preserve">se </w:t>
            </w:r>
            <w:r w:rsidR="00955E89" w:rsidRPr="00DC38B5">
              <w:rPr>
                <w:bCs/>
                <w:szCs w:val="24"/>
              </w:rPr>
              <w:t>primjerice</w:t>
            </w:r>
            <w:r w:rsidRPr="00DC38B5">
              <w:rPr>
                <w:bCs/>
                <w:szCs w:val="24"/>
              </w:rPr>
              <w:t>,</w:t>
            </w:r>
            <w:r w:rsidR="00955E89" w:rsidRPr="00DC38B5">
              <w:rPr>
                <w:bCs/>
                <w:szCs w:val="24"/>
              </w:rPr>
              <w:t xml:space="preserve"> </w:t>
            </w:r>
            <w:r w:rsidR="0042294D" w:rsidRPr="00DC38B5">
              <w:rPr>
                <w:bCs/>
                <w:szCs w:val="24"/>
              </w:rPr>
              <w:t xml:space="preserve">poreznom obvezniku sa </w:t>
            </w:r>
            <w:r w:rsidR="00521BE2">
              <w:rPr>
                <w:bCs/>
                <w:szCs w:val="24"/>
              </w:rPr>
              <w:t>godišnjom</w:t>
            </w:r>
            <w:r w:rsidR="0042294D" w:rsidRPr="00DC38B5">
              <w:rPr>
                <w:bCs/>
                <w:szCs w:val="24"/>
              </w:rPr>
              <w:t xml:space="preserve"> bruto plaćom od </w:t>
            </w:r>
            <w:r w:rsidR="006D765B" w:rsidRPr="00DC38B5">
              <w:rPr>
                <w:bCs/>
                <w:szCs w:val="24"/>
              </w:rPr>
              <w:t>1</w:t>
            </w:r>
            <w:r w:rsidR="00521BE2">
              <w:rPr>
                <w:bCs/>
                <w:szCs w:val="24"/>
              </w:rPr>
              <w:t>2</w:t>
            </w:r>
            <w:r w:rsidR="006D765B" w:rsidRPr="00DC38B5">
              <w:rPr>
                <w:bCs/>
                <w:szCs w:val="24"/>
              </w:rPr>
              <w:t>0</w:t>
            </w:r>
            <w:r w:rsidR="0042294D" w:rsidRPr="00DC38B5">
              <w:rPr>
                <w:bCs/>
                <w:szCs w:val="24"/>
              </w:rPr>
              <w:t>.000,00 kn</w:t>
            </w:r>
            <w:r w:rsidR="00775E48" w:rsidRPr="00DC38B5">
              <w:rPr>
                <w:bCs/>
                <w:szCs w:val="24"/>
              </w:rPr>
              <w:t xml:space="preserve"> i </w:t>
            </w:r>
            <w:r w:rsidR="00521BE2">
              <w:rPr>
                <w:bCs/>
                <w:szCs w:val="24"/>
              </w:rPr>
              <w:t>godišnjom</w:t>
            </w:r>
            <w:r w:rsidR="00775E48" w:rsidRPr="00DC38B5">
              <w:rPr>
                <w:bCs/>
                <w:szCs w:val="24"/>
              </w:rPr>
              <w:t xml:space="preserve"> bruto plać</w:t>
            </w:r>
            <w:r w:rsidR="00D72344" w:rsidRPr="00DC38B5">
              <w:rPr>
                <w:bCs/>
                <w:szCs w:val="24"/>
              </w:rPr>
              <w:t>om</w:t>
            </w:r>
            <w:r w:rsidR="00775E48" w:rsidRPr="00DC38B5">
              <w:rPr>
                <w:bCs/>
                <w:szCs w:val="24"/>
              </w:rPr>
              <w:t xml:space="preserve"> od 2</w:t>
            </w:r>
            <w:r w:rsidR="00521BE2">
              <w:rPr>
                <w:bCs/>
                <w:szCs w:val="24"/>
              </w:rPr>
              <w:t>4</w:t>
            </w:r>
            <w:r w:rsidR="00775E48" w:rsidRPr="00DC38B5">
              <w:rPr>
                <w:bCs/>
                <w:szCs w:val="24"/>
              </w:rPr>
              <w:t>0.000,00 kn</w:t>
            </w:r>
            <w:r w:rsidR="0042294D" w:rsidRPr="00DC38B5">
              <w:rPr>
                <w:bCs/>
                <w:szCs w:val="24"/>
              </w:rPr>
              <w:t xml:space="preserve"> koji nema uzdržavanih članova niti invalidnost </w:t>
            </w:r>
            <w:r w:rsidR="00521BE2">
              <w:rPr>
                <w:bCs/>
                <w:szCs w:val="24"/>
              </w:rPr>
              <w:t xml:space="preserve">godišnja </w:t>
            </w:r>
            <w:r w:rsidR="0042294D" w:rsidRPr="00DC38B5">
              <w:rPr>
                <w:bCs/>
                <w:szCs w:val="24"/>
              </w:rPr>
              <w:t>neto-plaća poveća</w:t>
            </w:r>
            <w:r w:rsidR="00955E89" w:rsidRPr="00DC38B5">
              <w:rPr>
                <w:bCs/>
                <w:szCs w:val="24"/>
              </w:rPr>
              <w:t>la</w:t>
            </w:r>
            <w:r w:rsidR="0042294D" w:rsidRPr="00DC38B5">
              <w:rPr>
                <w:bCs/>
                <w:szCs w:val="24"/>
              </w:rPr>
              <w:t xml:space="preserve"> za </w:t>
            </w:r>
            <w:r w:rsidR="00521BE2" w:rsidRPr="00521BE2">
              <w:rPr>
                <w:bCs/>
                <w:szCs w:val="24"/>
              </w:rPr>
              <w:t xml:space="preserve">679,68 kn </w:t>
            </w:r>
            <w:r w:rsidR="00955E89" w:rsidRPr="00DC38B5">
              <w:rPr>
                <w:bCs/>
                <w:szCs w:val="24"/>
              </w:rPr>
              <w:t xml:space="preserve"> </w:t>
            </w:r>
            <w:r w:rsidRPr="00DC38B5">
              <w:rPr>
                <w:bCs/>
                <w:szCs w:val="24"/>
              </w:rPr>
              <w:t>(kao što je to prikazano u primjerima pod točkom 2.1.).</w:t>
            </w:r>
            <w:r w:rsidR="00955E89" w:rsidRPr="00DC38B5">
              <w:rPr>
                <w:bCs/>
                <w:szCs w:val="24"/>
              </w:rPr>
              <w:t xml:space="preserve"> </w:t>
            </w:r>
          </w:p>
          <w:p w14:paraId="07A96A4E" w14:textId="77777777" w:rsidR="00DC38B5" w:rsidRPr="00DC38B5" w:rsidRDefault="00DC38B5" w:rsidP="00955E89">
            <w:pPr>
              <w:jc w:val="both"/>
              <w:rPr>
                <w:szCs w:val="24"/>
              </w:rPr>
            </w:pPr>
          </w:p>
          <w:p w14:paraId="2884C190" w14:textId="678E1256" w:rsidR="00DC38B5" w:rsidRPr="002B3686" w:rsidRDefault="00DC38B5" w:rsidP="00955E89">
            <w:pPr>
              <w:jc w:val="both"/>
              <w:rPr>
                <w:szCs w:val="24"/>
              </w:rPr>
            </w:pPr>
            <w:r w:rsidRPr="00DC38B5">
              <w:rPr>
                <w:szCs w:val="24"/>
              </w:rPr>
              <w:t>Također, mlade osobe</w:t>
            </w:r>
            <w:r>
              <w:rPr>
                <w:szCs w:val="24"/>
              </w:rPr>
              <w:t xml:space="preserve"> do 30 godina života</w:t>
            </w:r>
            <w:r w:rsidRPr="00747CF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ostvarile su povrat uplaćenog poreza na dohodak od nesamostalnog rada </w:t>
            </w:r>
            <w:r w:rsidRPr="00747CF4">
              <w:rPr>
                <w:szCs w:val="24"/>
              </w:rPr>
              <w:t>za 2020. godinu</w:t>
            </w:r>
            <w:r w:rsidR="00B02C0B">
              <w:rPr>
                <w:szCs w:val="24"/>
              </w:rPr>
              <w:t xml:space="preserve"> temeljem </w:t>
            </w:r>
            <w:proofErr w:type="spellStart"/>
            <w:r w:rsidR="00B02C0B">
              <w:rPr>
                <w:szCs w:val="24"/>
              </w:rPr>
              <w:t>novopropisane</w:t>
            </w:r>
            <w:proofErr w:type="spellEnd"/>
            <w:r w:rsidR="00B02C0B">
              <w:rPr>
                <w:szCs w:val="24"/>
              </w:rPr>
              <w:t xml:space="preserve"> porezne olakšice i to:</w:t>
            </w:r>
            <w:r>
              <w:rPr>
                <w:szCs w:val="24"/>
              </w:rPr>
              <w:t xml:space="preserve"> mlade </w:t>
            </w:r>
            <w:r>
              <w:rPr>
                <w:szCs w:val="24"/>
              </w:rPr>
              <w:lastRenderedPageBreak/>
              <w:t>osobe do 25 godina života ostvarile</w:t>
            </w:r>
            <w:r w:rsidR="00B02C0B">
              <w:rPr>
                <w:szCs w:val="24"/>
              </w:rPr>
              <w:t xml:space="preserve"> su</w:t>
            </w:r>
            <w:r>
              <w:rPr>
                <w:szCs w:val="24"/>
              </w:rPr>
              <w:t xml:space="preserve"> povrat poreza na dohodak od nesamostalnog rada u 100% iznosu, dok su mlade osobe od 26 do 30 godina života</w:t>
            </w:r>
            <w:r w:rsidRPr="00747CF4">
              <w:rPr>
                <w:szCs w:val="24"/>
              </w:rPr>
              <w:t xml:space="preserve"> </w:t>
            </w:r>
            <w:r>
              <w:rPr>
                <w:szCs w:val="24"/>
              </w:rPr>
              <w:t>ostvarile povrat poreza na dohodak od nesamostalnog rada u 50% iznosu</w:t>
            </w:r>
            <w:r w:rsidR="00B02C0B">
              <w:rPr>
                <w:szCs w:val="24"/>
              </w:rPr>
              <w:t>, obračunatog na dio porezne osnovice do 360.000,00 kn</w:t>
            </w:r>
            <w:r>
              <w:rPr>
                <w:szCs w:val="24"/>
              </w:rPr>
              <w:t>.</w:t>
            </w:r>
            <w:r w:rsidR="00C81D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Tako su </w:t>
            </w:r>
            <w:r w:rsidR="006B39AF">
              <w:rPr>
                <w:szCs w:val="24"/>
              </w:rPr>
              <w:t xml:space="preserve">primjerice </w:t>
            </w:r>
            <w:r>
              <w:rPr>
                <w:szCs w:val="24"/>
              </w:rPr>
              <w:t xml:space="preserve">mlade osobe do 25 godina života </w:t>
            </w:r>
            <w:r w:rsidRPr="00747CF4">
              <w:rPr>
                <w:szCs w:val="24"/>
              </w:rPr>
              <w:t xml:space="preserve">koje su </w:t>
            </w:r>
            <w:r>
              <w:rPr>
                <w:szCs w:val="24"/>
              </w:rPr>
              <w:t xml:space="preserve">tijekom 2020. </w:t>
            </w:r>
            <w:r w:rsidRPr="00747CF4">
              <w:rPr>
                <w:szCs w:val="24"/>
              </w:rPr>
              <w:t>ostvari</w:t>
            </w:r>
            <w:r>
              <w:rPr>
                <w:szCs w:val="24"/>
              </w:rPr>
              <w:t>vale mjesečni iznos dohotka od 10.000,00 kn</w:t>
            </w:r>
            <w:r w:rsidRPr="00747CF4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747CF4">
              <w:rPr>
                <w:szCs w:val="24"/>
              </w:rPr>
              <w:t>godišnji dohodak u iznosu od 120.000,00 kn</w:t>
            </w:r>
            <w:r>
              <w:rPr>
                <w:szCs w:val="24"/>
              </w:rPr>
              <w:t xml:space="preserve">) </w:t>
            </w:r>
            <w:r w:rsidR="0074610D">
              <w:rPr>
                <w:szCs w:val="24"/>
              </w:rPr>
              <w:t xml:space="preserve">u godišnjem obračunu </w:t>
            </w:r>
            <w:r>
              <w:rPr>
                <w:szCs w:val="24"/>
              </w:rPr>
              <w:t>ostvarile p</w:t>
            </w:r>
            <w:r w:rsidR="006B39AF">
              <w:rPr>
                <w:szCs w:val="24"/>
              </w:rPr>
              <w:t>ravo na p</w:t>
            </w:r>
            <w:r>
              <w:rPr>
                <w:szCs w:val="24"/>
              </w:rPr>
              <w:t xml:space="preserve">ovrat poreza na dohodak u iznosu od </w:t>
            </w:r>
            <w:r w:rsidRPr="00DC38B5">
              <w:rPr>
                <w:szCs w:val="24"/>
              </w:rPr>
              <w:t>20.390,40 kn, dok su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Cs w:val="24"/>
              </w:rPr>
              <w:t xml:space="preserve">mlade osobe od 26 do 30 godina života </w:t>
            </w:r>
            <w:r w:rsidRPr="00747CF4">
              <w:rPr>
                <w:szCs w:val="24"/>
              </w:rPr>
              <w:t xml:space="preserve">koje su </w:t>
            </w:r>
            <w:r w:rsidRPr="00DC38B5">
              <w:rPr>
                <w:szCs w:val="24"/>
              </w:rPr>
              <w:t xml:space="preserve">tijekom 2020. ostvarivale mjesečni iznos dohotka od 10.000,00 kn (godišnji dohodak u iznosu od 120.000,00 kn) </w:t>
            </w:r>
            <w:r w:rsidR="0074610D">
              <w:rPr>
                <w:szCs w:val="24"/>
              </w:rPr>
              <w:t xml:space="preserve">u godišnjem obračunu </w:t>
            </w:r>
            <w:r w:rsidRPr="00DC38B5">
              <w:rPr>
                <w:szCs w:val="24"/>
              </w:rPr>
              <w:t xml:space="preserve">ostvarile </w:t>
            </w:r>
            <w:r w:rsidR="0074610D">
              <w:rPr>
                <w:szCs w:val="24"/>
              </w:rPr>
              <w:t xml:space="preserve">pravo na </w:t>
            </w:r>
            <w:r w:rsidRPr="00DC38B5">
              <w:rPr>
                <w:szCs w:val="24"/>
              </w:rPr>
              <w:t xml:space="preserve">povrat poreza na dohodak u iznosu od 10.195,20 kn </w:t>
            </w:r>
            <w:r w:rsidRPr="00DC38B5">
              <w:rPr>
                <w:bCs/>
                <w:szCs w:val="24"/>
              </w:rPr>
              <w:t xml:space="preserve">(kao što je to prikazano u </w:t>
            </w:r>
            <w:r w:rsidRPr="002B3686">
              <w:rPr>
                <w:bCs/>
                <w:szCs w:val="24"/>
              </w:rPr>
              <w:t>primjerima pod točkom 2.1.)</w:t>
            </w:r>
            <w:r w:rsidRPr="002B3686">
              <w:rPr>
                <w:szCs w:val="24"/>
              </w:rPr>
              <w:t>.</w:t>
            </w:r>
          </w:p>
          <w:p w14:paraId="7CA37496" w14:textId="727EE9F2" w:rsidR="006B3D0C" w:rsidRPr="006B3D0C" w:rsidRDefault="00542CAE" w:rsidP="004F1F25">
            <w:pPr>
              <w:jc w:val="both"/>
              <w:rPr>
                <w:color w:val="000000"/>
                <w:szCs w:val="24"/>
              </w:rPr>
            </w:pPr>
            <w:r w:rsidRPr="002B3686">
              <w:rPr>
                <w:bCs/>
                <w:szCs w:val="24"/>
              </w:rPr>
              <w:t>Time se potaknula konkurentnost hrvatskih radnika na tržištu rada osobito u sektoru visokih tehnologija, koji u pravilu ostvaruju veće iznose dohotka, a povećanje</w:t>
            </w:r>
            <w:r w:rsidR="00481397">
              <w:rPr>
                <w:bCs/>
                <w:szCs w:val="24"/>
              </w:rPr>
              <w:t>m</w:t>
            </w:r>
            <w:r w:rsidRPr="002B3686">
              <w:rPr>
                <w:bCs/>
                <w:szCs w:val="24"/>
              </w:rPr>
              <w:t xml:space="preserve"> neto plaća </w:t>
            </w:r>
            <w:r w:rsidR="00481397">
              <w:rPr>
                <w:bCs/>
                <w:szCs w:val="24"/>
              </w:rPr>
              <w:t>otvoren</w:t>
            </w:r>
            <w:r w:rsidR="007519E5">
              <w:rPr>
                <w:bCs/>
                <w:szCs w:val="24"/>
              </w:rPr>
              <w:t xml:space="preserve"> je</w:t>
            </w:r>
            <w:r w:rsidR="00481397">
              <w:rPr>
                <w:bCs/>
                <w:szCs w:val="24"/>
              </w:rPr>
              <w:t xml:space="preserve"> prostor za povećanje potrošnje i gospodarski rast, odnosno, stvoreni su dodatni uvjeti </w:t>
            </w:r>
            <w:r w:rsidR="00481397" w:rsidRPr="00E904DF">
              <w:rPr>
                <w:color w:val="000000"/>
                <w:szCs w:val="24"/>
              </w:rPr>
              <w:t>za zadržavanje visokokvalificiranih radnika u Republici Hrvatskoj</w:t>
            </w:r>
            <w:r w:rsidR="00481397">
              <w:rPr>
                <w:color w:val="000000"/>
                <w:szCs w:val="24"/>
              </w:rPr>
              <w:t>.</w:t>
            </w:r>
          </w:p>
        </w:tc>
      </w:tr>
      <w:tr w:rsidR="000213BB" w:rsidRPr="008401FA" w14:paraId="2AFE728B" w14:textId="77777777" w:rsidTr="00DC2F13">
        <w:trPr>
          <w:jc w:val="center"/>
        </w:trPr>
        <w:tc>
          <w:tcPr>
            <w:tcW w:w="851" w:type="dxa"/>
          </w:tcPr>
          <w:p w14:paraId="4CC84AF3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lastRenderedPageBreak/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AF02D16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 xml:space="preserve">Analiza učinaka primjene Zakona na zaštitu tržišnog natjecanja </w:t>
            </w:r>
          </w:p>
        </w:tc>
      </w:tr>
      <w:tr w:rsidR="000213BB" w:rsidRPr="008401FA" w14:paraId="68E7BC94" w14:textId="77777777" w:rsidTr="00DC2F13">
        <w:trPr>
          <w:jc w:val="center"/>
        </w:trPr>
        <w:tc>
          <w:tcPr>
            <w:tcW w:w="851" w:type="dxa"/>
          </w:tcPr>
          <w:p w14:paraId="7E7D1842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0188D0C" w14:textId="77777777" w:rsidR="00C57BF0" w:rsidRPr="008401FA" w:rsidRDefault="00C2697B" w:rsidP="00944AC4">
            <w:pPr>
              <w:jc w:val="both"/>
              <w:rPr>
                <w:szCs w:val="24"/>
                <w:highlight w:val="lightGray"/>
              </w:rPr>
            </w:pPr>
            <w:r w:rsidRPr="008401FA">
              <w:rPr>
                <w:szCs w:val="24"/>
              </w:rPr>
              <w:t>Primjena ovog Z</w:t>
            </w:r>
            <w:r w:rsidR="00A00D03" w:rsidRPr="008401FA">
              <w:rPr>
                <w:szCs w:val="24"/>
              </w:rPr>
              <w:t>akona nije rezultirala učincima na zaštitu tržišnog natjecanja.</w:t>
            </w:r>
          </w:p>
        </w:tc>
      </w:tr>
      <w:tr w:rsidR="000213BB" w:rsidRPr="008401FA" w14:paraId="7064B1EA" w14:textId="77777777" w:rsidTr="00DC2F13">
        <w:trPr>
          <w:jc w:val="center"/>
        </w:trPr>
        <w:tc>
          <w:tcPr>
            <w:tcW w:w="851" w:type="dxa"/>
          </w:tcPr>
          <w:p w14:paraId="1D3A74F3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6A5596E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b/>
                <w:szCs w:val="24"/>
              </w:rPr>
              <w:t>Analiza socijalnih učinaka primjene Zakona</w:t>
            </w:r>
          </w:p>
        </w:tc>
      </w:tr>
      <w:tr w:rsidR="000213BB" w:rsidRPr="008401FA" w14:paraId="083EDAA9" w14:textId="77777777" w:rsidTr="00DC2F13">
        <w:trPr>
          <w:jc w:val="center"/>
        </w:trPr>
        <w:tc>
          <w:tcPr>
            <w:tcW w:w="851" w:type="dxa"/>
          </w:tcPr>
          <w:p w14:paraId="620A5FDB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2466F524" w14:textId="7F7C230F" w:rsidR="00B47340" w:rsidRDefault="00B47340" w:rsidP="0040128C">
            <w:pPr>
              <w:jc w:val="both"/>
            </w:pPr>
            <w:r w:rsidRPr="00E97DCE">
              <w:rPr>
                <w:rFonts w:asciiTheme="majorBidi" w:hAnsiTheme="majorBidi" w:cstheme="majorBidi"/>
              </w:rPr>
              <w:t>Primjena Zakona predstavlja jednu od mjera koja ima pozitivan utjecaj na olakšavanje položaja obitelji s djecom. Kao što je već ranije spomenuto, određeni primici su izuzeti od cenzusa za uzdržavanog člana</w:t>
            </w:r>
            <w:r>
              <w:rPr>
                <w:rFonts w:asciiTheme="majorBidi" w:hAnsiTheme="majorBidi" w:cstheme="majorBidi"/>
              </w:rPr>
              <w:t xml:space="preserve"> i to: naknada za dualno obrazovanje i nagrada učenicima za vrijeme praktičnog rada i naukovanja.</w:t>
            </w:r>
          </w:p>
          <w:p w14:paraId="59F43269" w14:textId="1ADFCE03" w:rsidR="009E2835" w:rsidRPr="006B3D0C" w:rsidRDefault="0073467D" w:rsidP="00B47340">
            <w:pPr>
              <w:jc w:val="both"/>
            </w:pPr>
            <w:r>
              <w:t>P</w:t>
            </w:r>
            <w:r w:rsidR="0040128C">
              <w:t>ovećanje mjesečnog iznosa osobnog odbitka rezultiralo je povećanjem mjesečne neto plaće tj. raspoloživog dohotka poreznih obveznika koji ostvaruju godišnji dohodak bez obzira kojoj dobnoj skupini pripadaju.</w:t>
            </w:r>
            <w:r w:rsidR="006E688C">
              <w:t xml:space="preserve"> </w:t>
            </w:r>
            <w:r w:rsidR="009E2835">
              <w:t xml:space="preserve">Također, uređenjem </w:t>
            </w:r>
            <w:r w:rsidR="009E2835" w:rsidRPr="002A7135">
              <w:rPr>
                <w:color w:val="000000"/>
                <w:szCs w:val="24"/>
              </w:rPr>
              <w:t>porezn</w:t>
            </w:r>
            <w:r w:rsidR="009E2835">
              <w:rPr>
                <w:color w:val="000000"/>
                <w:szCs w:val="24"/>
              </w:rPr>
              <w:t>og</w:t>
            </w:r>
            <w:r w:rsidR="009E2835" w:rsidRPr="002A7135">
              <w:rPr>
                <w:color w:val="000000"/>
                <w:szCs w:val="24"/>
              </w:rPr>
              <w:t xml:space="preserve"> tretman</w:t>
            </w:r>
            <w:r w:rsidR="006E688C">
              <w:rPr>
                <w:color w:val="000000"/>
                <w:szCs w:val="24"/>
              </w:rPr>
              <w:t>a</w:t>
            </w:r>
            <w:r w:rsidR="009E2835" w:rsidRPr="002A7135">
              <w:rPr>
                <w:color w:val="000000"/>
                <w:szCs w:val="24"/>
              </w:rPr>
              <w:t xml:space="preserve"> darovanja i donacija fizičkim osobama</w:t>
            </w:r>
            <w:r w:rsidR="0089748D">
              <w:rPr>
                <w:color w:val="000000"/>
                <w:szCs w:val="24"/>
              </w:rPr>
              <w:t xml:space="preserve"> </w:t>
            </w:r>
            <w:r w:rsidR="009E2835" w:rsidRPr="002A7135">
              <w:rPr>
                <w:color w:val="000000"/>
                <w:szCs w:val="24"/>
              </w:rPr>
              <w:t>prikupljenih u humanitarnim akcijama i javno oglašenim akcijama koje imaju općekorisnu svrhu</w:t>
            </w:r>
            <w:r w:rsidR="0089748D">
              <w:rPr>
                <w:color w:val="000000"/>
                <w:szCs w:val="24"/>
              </w:rPr>
              <w:t xml:space="preserve"> znatno se olakšalo fizičkim osobama u potrebi.</w:t>
            </w:r>
          </w:p>
        </w:tc>
      </w:tr>
      <w:tr w:rsidR="000213BB" w:rsidRPr="008401FA" w14:paraId="283763C9" w14:textId="77777777" w:rsidTr="00DC2F13">
        <w:trPr>
          <w:jc w:val="center"/>
        </w:trPr>
        <w:tc>
          <w:tcPr>
            <w:tcW w:w="851" w:type="dxa"/>
          </w:tcPr>
          <w:p w14:paraId="6E574A2D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5C596D0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Analiza učinaka primjene Zakona na rad i tržište rada</w:t>
            </w:r>
          </w:p>
        </w:tc>
      </w:tr>
      <w:tr w:rsidR="000213BB" w:rsidRPr="008401FA" w14:paraId="2B9D1C54" w14:textId="77777777" w:rsidTr="00DC2F13">
        <w:trPr>
          <w:jc w:val="center"/>
        </w:trPr>
        <w:tc>
          <w:tcPr>
            <w:tcW w:w="851" w:type="dxa"/>
          </w:tcPr>
          <w:p w14:paraId="6FFBCEAA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9F65EBB" w14:textId="16EF179E" w:rsidR="006822E9" w:rsidRPr="006B3D0C" w:rsidRDefault="00755E77" w:rsidP="00755E77">
            <w:pPr>
              <w:jc w:val="both"/>
            </w:pPr>
            <w:r w:rsidRPr="00755E77">
              <w:rPr>
                <w:shd w:val="clear" w:color="auto" w:fill="FFFFFF" w:themeFill="background1"/>
              </w:rPr>
              <w:t xml:space="preserve">Rezultati donošenja izmjena i dopuna Zakona o porezu na dohodak očituju se u smanjenju ukupnog poreznog opterećenja za sve porezne obveznike, a posebno za mlade osobe do 30-te godine života. </w:t>
            </w:r>
            <w:r w:rsidR="00C04884" w:rsidRPr="00755E77">
              <w:rPr>
                <w:shd w:val="clear" w:color="auto" w:fill="FFFFFF" w:themeFill="background1"/>
              </w:rPr>
              <w:t>Umanjenjem</w:t>
            </w:r>
            <w:r w:rsidR="00C04884">
              <w:t xml:space="preserve"> porezne obveze za mlade osobe </w:t>
            </w:r>
            <w:r w:rsidR="00107F0F">
              <w:t xml:space="preserve">do 30-te godine života </w:t>
            </w:r>
            <w:r w:rsidR="00702962">
              <w:t>utjecalo</w:t>
            </w:r>
            <w:r w:rsidR="00D17A6A">
              <w:t xml:space="preserve"> se na povećanje neto </w:t>
            </w:r>
            <w:r w:rsidR="00702962">
              <w:t>plaće</w:t>
            </w:r>
            <w:r w:rsidR="00D17A6A">
              <w:t xml:space="preserve"> </w:t>
            </w:r>
            <w:r w:rsidR="00702962">
              <w:t>čime se potiče</w:t>
            </w:r>
            <w:r w:rsidR="00D17A6A">
              <w:t xml:space="preserve"> konkurentnost visokoobrazovanih </w:t>
            </w:r>
            <w:r w:rsidR="00702962">
              <w:t>hrvatskih</w:t>
            </w:r>
            <w:r w:rsidR="00D17A6A">
              <w:t xml:space="preserve"> radnika</w:t>
            </w:r>
            <w:r w:rsidR="00425060">
              <w:t xml:space="preserve"> </w:t>
            </w:r>
            <w:r w:rsidR="00702962">
              <w:t xml:space="preserve">na tržištu rada </w:t>
            </w:r>
            <w:r w:rsidR="00425060">
              <w:t xml:space="preserve">u odnosu na zemlje u okruženju. Dakle, umanjenjem porezne obveze mladim osobama </w:t>
            </w:r>
            <w:r w:rsidR="00C04884">
              <w:t xml:space="preserve">stvara </w:t>
            </w:r>
            <w:r w:rsidR="00107F0F">
              <w:t xml:space="preserve">se </w:t>
            </w:r>
            <w:r w:rsidR="00C04884">
              <w:t xml:space="preserve">poticajno okruženje </w:t>
            </w:r>
            <w:r w:rsidR="003E75A1">
              <w:t xml:space="preserve">za </w:t>
            </w:r>
            <w:r w:rsidR="00425060">
              <w:t xml:space="preserve">njihovo </w:t>
            </w:r>
            <w:r w:rsidR="003E75A1">
              <w:t xml:space="preserve">zapošljavanje </w:t>
            </w:r>
            <w:r w:rsidR="00C04884">
              <w:t xml:space="preserve">kako bi se zaustavio </w:t>
            </w:r>
            <w:r w:rsidR="00107F0F">
              <w:t>trend odlaska mladih i visokoobrazovanih osoba na rad u inozemstvo.</w:t>
            </w:r>
            <w:r w:rsidR="00E442A7">
              <w:t xml:space="preserve"> </w:t>
            </w:r>
            <w:r w:rsidR="00FE6AC6">
              <w:t>Također, stvoreni su i povoljniji uvjeti za hrvatska društva</w:t>
            </w:r>
            <w:r w:rsidR="003846B7">
              <w:t xml:space="preserve"> budući da im je omogućeno zadržati stručnu radnu snagu u Republici Hrvatskoj, odnosno, poreznim rasterećenjem radnika štiti se i razvija hrvatska izvozna industrija.</w:t>
            </w:r>
            <w:r w:rsidR="00D807BA">
              <w:t xml:space="preserve"> Tome </w:t>
            </w:r>
            <w:r w:rsidR="00E442A7">
              <w:t xml:space="preserve">pridonosi i proširenje neoporezivih primitaka temeljem kojeg poslodavci mogu radnicima neoporezivo podmiriti troškove dodatnog i dopunskog zdravstvenog osiguranja do određenog iznosa čime se ujedno poslodavcima omogućuje </w:t>
            </w:r>
            <w:r>
              <w:t xml:space="preserve">da </w:t>
            </w:r>
            <w:r w:rsidR="00E442A7">
              <w:t>dodatno motiviraju i nagrade svoje radnik</w:t>
            </w:r>
            <w:r>
              <w:t>e</w:t>
            </w:r>
            <w:r w:rsidR="00E442A7">
              <w:t>.</w:t>
            </w:r>
          </w:p>
        </w:tc>
      </w:tr>
      <w:tr w:rsidR="000213BB" w:rsidRPr="008401FA" w14:paraId="47AD5580" w14:textId="77777777" w:rsidTr="00DC2F13">
        <w:trPr>
          <w:jc w:val="center"/>
        </w:trPr>
        <w:tc>
          <w:tcPr>
            <w:tcW w:w="851" w:type="dxa"/>
          </w:tcPr>
          <w:p w14:paraId="455487AD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6E5C46C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Analiza učinaka primjene Zakona na zaštitu okoliša</w:t>
            </w:r>
          </w:p>
        </w:tc>
      </w:tr>
      <w:tr w:rsidR="000213BB" w:rsidRPr="008401FA" w14:paraId="021D6714" w14:textId="77777777" w:rsidTr="00DC2F13">
        <w:trPr>
          <w:jc w:val="center"/>
        </w:trPr>
        <w:tc>
          <w:tcPr>
            <w:tcW w:w="851" w:type="dxa"/>
          </w:tcPr>
          <w:p w14:paraId="5FB5E96A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0C86025" w14:textId="77777777" w:rsidR="00C57BF0" w:rsidRPr="008401FA" w:rsidRDefault="00C2697B" w:rsidP="00944AC4">
            <w:pPr>
              <w:jc w:val="both"/>
              <w:rPr>
                <w:szCs w:val="24"/>
              </w:rPr>
            </w:pPr>
            <w:r w:rsidRPr="008401FA">
              <w:rPr>
                <w:szCs w:val="24"/>
              </w:rPr>
              <w:t>Primjena ovog Z</w:t>
            </w:r>
            <w:r w:rsidR="002F79E9" w:rsidRPr="008401FA">
              <w:rPr>
                <w:szCs w:val="24"/>
              </w:rPr>
              <w:t>akona nije rezultirala učincima na zaštitu okoliša.</w:t>
            </w:r>
          </w:p>
        </w:tc>
      </w:tr>
      <w:tr w:rsidR="000213BB" w:rsidRPr="008401FA" w14:paraId="08A93876" w14:textId="77777777" w:rsidTr="00DC2F13">
        <w:trPr>
          <w:jc w:val="center"/>
        </w:trPr>
        <w:tc>
          <w:tcPr>
            <w:tcW w:w="851" w:type="dxa"/>
          </w:tcPr>
          <w:p w14:paraId="3D081281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9BAA718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Analiza učinaka primjene Zakona na zaštitu ljudskih prava</w:t>
            </w:r>
          </w:p>
        </w:tc>
      </w:tr>
      <w:tr w:rsidR="000213BB" w:rsidRPr="008401FA" w14:paraId="2E00D3F8" w14:textId="77777777" w:rsidTr="00DC2F13">
        <w:trPr>
          <w:jc w:val="center"/>
        </w:trPr>
        <w:tc>
          <w:tcPr>
            <w:tcW w:w="851" w:type="dxa"/>
          </w:tcPr>
          <w:p w14:paraId="5EE7BA57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7AE493A3" w14:textId="77777777" w:rsidR="00C57BF0" w:rsidRPr="008401FA" w:rsidRDefault="00C2697B" w:rsidP="00944AC4">
            <w:pPr>
              <w:jc w:val="both"/>
              <w:rPr>
                <w:szCs w:val="24"/>
              </w:rPr>
            </w:pPr>
            <w:r w:rsidRPr="008401FA">
              <w:rPr>
                <w:szCs w:val="24"/>
              </w:rPr>
              <w:t>Primjena ovog Z</w:t>
            </w:r>
            <w:r w:rsidR="002F79E9" w:rsidRPr="008401FA">
              <w:rPr>
                <w:szCs w:val="24"/>
              </w:rPr>
              <w:t>akona nije rezultirala učincima na zaštitu ljudskih prava.</w:t>
            </w:r>
          </w:p>
        </w:tc>
      </w:tr>
      <w:tr w:rsidR="000213BB" w:rsidRPr="008401FA" w14:paraId="54D2825D" w14:textId="77777777" w:rsidTr="00DC2F13">
        <w:trPr>
          <w:jc w:val="center"/>
        </w:trPr>
        <w:tc>
          <w:tcPr>
            <w:tcW w:w="851" w:type="dxa"/>
          </w:tcPr>
          <w:p w14:paraId="70D09F64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0E7FB86A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SAVJETOVANJE I KONZULTACIJE</w:t>
            </w:r>
          </w:p>
        </w:tc>
      </w:tr>
      <w:tr w:rsidR="000213BB" w:rsidRPr="008401FA" w14:paraId="5BFF78AC" w14:textId="77777777" w:rsidTr="00DC2F13">
        <w:trPr>
          <w:trHeight w:val="264"/>
          <w:jc w:val="center"/>
        </w:trPr>
        <w:tc>
          <w:tcPr>
            <w:tcW w:w="851" w:type="dxa"/>
          </w:tcPr>
          <w:p w14:paraId="2AE00B0B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701475FE" w14:textId="77777777" w:rsidR="000213BB" w:rsidRPr="008401FA" w:rsidRDefault="000213BB" w:rsidP="00FD4E84">
            <w:pPr>
              <w:jc w:val="both"/>
              <w:rPr>
                <w:szCs w:val="24"/>
              </w:rPr>
            </w:pPr>
          </w:p>
        </w:tc>
      </w:tr>
      <w:tr w:rsidR="000213BB" w:rsidRPr="008401FA" w14:paraId="27B4B005" w14:textId="77777777" w:rsidTr="00DC2F13">
        <w:trPr>
          <w:jc w:val="center"/>
        </w:trPr>
        <w:tc>
          <w:tcPr>
            <w:tcW w:w="851" w:type="dxa"/>
          </w:tcPr>
          <w:p w14:paraId="72C551CC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6DFEDDB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b/>
                <w:szCs w:val="24"/>
              </w:rPr>
              <w:t>PREPORUKA O DALJNJEM POSTUPANJU</w:t>
            </w:r>
          </w:p>
        </w:tc>
      </w:tr>
      <w:tr w:rsidR="000213BB" w:rsidRPr="008401FA" w14:paraId="7701CC10" w14:textId="77777777" w:rsidTr="00DC2F13">
        <w:trPr>
          <w:trHeight w:val="258"/>
          <w:jc w:val="center"/>
        </w:trPr>
        <w:tc>
          <w:tcPr>
            <w:tcW w:w="851" w:type="dxa"/>
          </w:tcPr>
          <w:p w14:paraId="59D171E7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569D98F5" w14:textId="10FCE7B2" w:rsidR="000213BB" w:rsidRPr="008401FA" w:rsidRDefault="000213BB" w:rsidP="00E3246D">
            <w:pPr>
              <w:jc w:val="both"/>
              <w:rPr>
                <w:szCs w:val="24"/>
              </w:rPr>
            </w:pPr>
          </w:p>
        </w:tc>
      </w:tr>
      <w:tr w:rsidR="000213BB" w:rsidRPr="008401FA" w14:paraId="45FB4069" w14:textId="77777777" w:rsidTr="00DC2F13">
        <w:trPr>
          <w:jc w:val="center"/>
        </w:trPr>
        <w:tc>
          <w:tcPr>
            <w:tcW w:w="851" w:type="dxa"/>
          </w:tcPr>
          <w:p w14:paraId="1AFE7295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t xml:space="preserve">6.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E7E7FD8" w14:textId="77777777" w:rsidR="000213BB" w:rsidRPr="008401FA" w:rsidRDefault="000213BB" w:rsidP="00FD4E84">
            <w:pPr>
              <w:jc w:val="both"/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PRILOZI</w:t>
            </w:r>
          </w:p>
        </w:tc>
      </w:tr>
      <w:tr w:rsidR="000213BB" w:rsidRPr="008401FA" w14:paraId="69844359" w14:textId="77777777" w:rsidTr="00DC2F13">
        <w:trPr>
          <w:jc w:val="center"/>
        </w:trPr>
        <w:tc>
          <w:tcPr>
            <w:tcW w:w="851" w:type="dxa"/>
          </w:tcPr>
          <w:p w14:paraId="52E2C5CC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60CB1227" w14:textId="77777777" w:rsidR="000213BB" w:rsidRPr="008401FA" w:rsidRDefault="000213BB" w:rsidP="00FD4E84">
            <w:pPr>
              <w:jc w:val="both"/>
              <w:rPr>
                <w:i/>
                <w:szCs w:val="24"/>
              </w:rPr>
            </w:pPr>
          </w:p>
        </w:tc>
      </w:tr>
      <w:tr w:rsidR="000213BB" w:rsidRPr="008401FA" w14:paraId="0580AB84" w14:textId="77777777" w:rsidTr="00DC2F13">
        <w:trPr>
          <w:jc w:val="center"/>
        </w:trPr>
        <w:tc>
          <w:tcPr>
            <w:tcW w:w="851" w:type="dxa"/>
          </w:tcPr>
          <w:p w14:paraId="12189DBA" w14:textId="77777777" w:rsidR="000213BB" w:rsidRPr="008401FA" w:rsidRDefault="000213BB" w:rsidP="00FD4E84">
            <w:pPr>
              <w:rPr>
                <w:szCs w:val="24"/>
              </w:rPr>
            </w:pPr>
            <w:r w:rsidRPr="008401FA">
              <w:rPr>
                <w:szCs w:val="24"/>
              </w:rPr>
              <w:lastRenderedPageBreak/>
              <w:t xml:space="preserve">7.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567ADBA" w14:textId="77777777" w:rsidR="000213BB" w:rsidRPr="008401FA" w:rsidRDefault="000213BB" w:rsidP="00FD4E84">
            <w:pPr>
              <w:rPr>
                <w:b/>
                <w:szCs w:val="24"/>
              </w:rPr>
            </w:pPr>
            <w:r w:rsidRPr="008401FA">
              <w:rPr>
                <w:b/>
                <w:szCs w:val="24"/>
              </w:rPr>
              <w:t>POTPIS ČELNIKA TIJELA</w:t>
            </w:r>
          </w:p>
        </w:tc>
      </w:tr>
      <w:tr w:rsidR="000213BB" w:rsidRPr="008401FA" w14:paraId="790B183D" w14:textId="77777777" w:rsidTr="00DC2F13">
        <w:trPr>
          <w:trHeight w:val="561"/>
          <w:jc w:val="center"/>
        </w:trPr>
        <w:tc>
          <w:tcPr>
            <w:tcW w:w="851" w:type="dxa"/>
          </w:tcPr>
          <w:p w14:paraId="34408C7E" w14:textId="77777777" w:rsidR="000213BB" w:rsidRPr="008401FA" w:rsidRDefault="000213BB" w:rsidP="00FD4E84">
            <w:pPr>
              <w:rPr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4D7A1394" w14:textId="5B99FA6D" w:rsidR="000213BB" w:rsidRPr="008401FA" w:rsidRDefault="000213BB" w:rsidP="00FD4E84">
            <w:pPr>
              <w:jc w:val="both"/>
              <w:rPr>
                <w:rFonts w:eastAsia="Times New Roman"/>
                <w:szCs w:val="24"/>
              </w:rPr>
            </w:pPr>
            <w:r w:rsidRPr="008401FA">
              <w:rPr>
                <w:rFonts w:eastAsia="Times New Roman"/>
                <w:szCs w:val="24"/>
              </w:rPr>
              <w:t>Potpis:</w:t>
            </w:r>
            <w:r w:rsidR="00674434" w:rsidRPr="008401FA">
              <w:rPr>
                <w:rFonts w:eastAsia="Times New Roman"/>
                <w:szCs w:val="24"/>
              </w:rPr>
              <w:t xml:space="preserve"> dr.sc. Zdravko Marić</w:t>
            </w:r>
          </w:p>
          <w:p w14:paraId="4B1829DE" w14:textId="20C4D9D4" w:rsidR="000213BB" w:rsidRPr="008401FA" w:rsidRDefault="000213BB" w:rsidP="003C5260">
            <w:pPr>
              <w:jc w:val="both"/>
              <w:rPr>
                <w:rFonts w:eastAsia="Times New Roman"/>
                <w:szCs w:val="24"/>
              </w:rPr>
            </w:pPr>
            <w:r w:rsidRPr="008401FA">
              <w:rPr>
                <w:rFonts w:eastAsia="Times New Roman"/>
                <w:szCs w:val="24"/>
              </w:rPr>
              <w:t>Datum:</w:t>
            </w:r>
            <w:r w:rsidR="00EB2F06" w:rsidRPr="008401FA">
              <w:rPr>
                <w:rFonts w:eastAsia="Times New Roman"/>
                <w:szCs w:val="24"/>
              </w:rPr>
              <w:t xml:space="preserve"> </w:t>
            </w:r>
            <w:r w:rsidR="00362F60">
              <w:rPr>
                <w:rFonts w:eastAsia="Times New Roman"/>
                <w:szCs w:val="24"/>
              </w:rPr>
              <w:t>9</w:t>
            </w:r>
            <w:r w:rsidR="00E97DCE" w:rsidRPr="007A61A5">
              <w:rPr>
                <w:rFonts w:eastAsia="Times New Roman"/>
                <w:szCs w:val="24"/>
              </w:rPr>
              <w:t xml:space="preserve">. </w:t>
            </w:r>
            <w:r w:rsidR="00362F60">
              <w:rPr>
                <w:rFonts w:eastAsia="Times New Roman"/>
                <w:szCs w:val="24"/>
              </w:rPr>
              <w:t>kolovoz</w:t>
            </w:r>
            <w:r w:rsidR="00D33621" w:rsidRPr="007A61A5">
              <w:rPr>
                <w:rFonts w:eastAsia="Times New Roman"/>
                <w:szCs w:val="24"/>
              </w:rPr>
              <w:t>a</w:t>
            </w:r>
            <w:r w:rsidR="00674434" w:rsidRPr="007A61A5">
              <w:rPr>
                <w:rFonts w:eastAsia="Times New Roman"/>
                <w:szCs w:val="24"/>
              </w:rPr>
              <w:t xml:space="preserve"> 20</w:t>
            </w:r>
            <w:r w:rsidR="00484B95" w:rsidRPr="007A61A5">
              <w:rPr>
                <w:rFonts w:eastAsia="Times New Roman"/>
                <w:szCs w:val="24"/>
              </w:rPr>
              <w:t>2</w:t>
            </w:r>
            <w:r w:rsidR="00D33621" w:rsidRPr="007A61A5">
              <w:rPr>
                <w:rFonts w:eastAsia="Times New Roman"/>
                <w:szCs w:val="24"/>
              </w:rPr>
              <w:t>1</w:t>
            </w:r>
            <w:r w:rsidR="00674434" w:rsidRPr="007A61A5">
              <w:rPr>
                <w:rFonts w:eastAsia="Times New Roman"/>
                <w:szCs w:val="24"/>
              </w:rPr>
              <w:t>.</w:t>
            </w:r>
          </w:p>
        </w:tc>
      </w:tr>
    </w:tbl>
    <w:p w14:paraId="71071C7A" w14:textId="7B078990" w:rsidR="00E97DCE" w:rsidRPr="008401FA" w:rsidRDefault="00E97DCE" w:rsidP="00E97DCE">
      <w:pPr>
        <w:suppressAutoHyphens/>
        <w:jc w:val="both"/>
        <w:rPr>
          <w:szCs w:val="24"/>
        </w:rPr>
      </w:pPr>
    </w:p>
    <w:p w14:paraId="0E6A3A41" w14:textId="2FE5C851" w:rsidR="006B3D0C" w:rsidRDefault="006B3D0C" w:rsidP="00E3246D">
      <w:pPr>
        <w:suppressAutoHyphens/>
        <w:ind w:left="5664"/>
        <w:jc w:val="both"/>
        <w:rPr>
          <w:kern w:val="1"/>
          <w:szCs w:val="24"/>
        </w:rPr>
      </w:pPr>
    </w:p>
    <w:sectPr w:rsidR="006B3D0C" w:rsidSect="004A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AF2"/>
    <w:multiLevelType w:val="hybridMultilevel"/>
    <w:tmpl w:val="1B82C2A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969EB"/>
    <w:multiLevelType w:val="hybridMultilevel"/>
    <w:tmpl w:val="72524C30"/>
    <w:lvl w:ilvl="0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E25535A"/>
    <w:multiLevelType w:val="hybridMultilevel"/>
    <w:tmpl w:val="F2844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1CFD"/>
    <w:multiLevelType w:val="hybridMultilevel"/>
    <w:tmpl w:val="D6E6D4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61C03"/>
    <w:multiLevelType w:val="hybridMultilevel"/>
    <w:tmpl w:val="F0FA4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2BA8"/>
    <w:multiLevelType w:val="hybridMultilevel"/>
    <w:tmpl w:val="FF4CC48C"/>
    <w:lvl w:ilvl="0" w:tplc="C03413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3AD3"/>
    <w:multiLevelType w:val="hybridMultilevel"/>
    <w:tmpl w:val="F93028EA"/>
    <w:lvl w:ilvl="0" w:tplc="0BD8D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6AB3"/>
    <w:multiLevelType w:val="hybridMultilevel"/>
    <w:tmpl w:val="30F22B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51BB6"/>
    <w:multiLevelType w:val="hybridMultilevel"/>
    <w:tmpl w:val="E7FA0424"/>
    <w:lvl w:ilvl="0" w:tplc="E4B6D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82C"/>
    <w:multiLevelType w:val="hybridMultilevel"/>
    <w:tmpl w:val="5F2ED3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722B2D"/>
    <w:multiLevelType w:val="hybridMultilevel"/>
    <w:tmpl w:val="04E6244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916E62"/>
    <w:multiLevelType w:val="hybridMultilevel"/>
    <w:tmpl w:val="C4BE2BF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97C7D"/>
    <w:multiLevelType w:val="hybridMultilevel"/>
    <w:tmpl w:val="3CC600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2E5A6E"/>
    <w:multiLevelType w:val="hybridMultilevel"/>
    <w:tmpl w:val="74AA0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17C19"/>
    <w:multiLevelType w:val="hybridMultilevel"/>
    <w:tmpl w:val="D438F1D0"/>
    <w:lvl w:ilvl="0" w:tplc="C2FA7E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0DEB"/>
    <w:multiLevelType w:val="hybridMultilevel"/>
    <w:tmpl w:val="AC5860E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4062BC"/>
    <w:multiLevelType w:val="hybridMultilevel"/>
    <w:tmpl w:val="22D22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F3EE6"/>
    <w:multiLevelType w:val="hybridMultilevel"/>
    <w:tmpl w:val="84E491E0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3186A"/>
    <w:multiLevelType w:val="hybridMultilevel"/>
    <w:tmpl w:val="84AE8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F6B22"/>
    <w:multiLevelType w:val="hybridMultilevel"/>
    <w:tmpl w:val="A754E47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F527B5"/>
    <w:multiLevelType w:val="hybridMultilevel"/>
    <w:tmpl w:val="2A4A9F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8"/>
  </w:num>
  <w:num w:numId="5">
    <w:abstractNumId w:val="15"/>
  </w:num>
  <w:num w:numId="6">
    <w:abstractNumId w:val="14"/>
  </w:num>
  <w:num w:numId="7">
    <w:abstractNumId w:val="10"/>
  </w:num>
  <w:num w:numId="8">
    <w:abstractNumId w:val="1"/>
  </w:num>
  <w:num w:numId="9">
    <w:abstractNumId w:val="20"/>
  </w:num>
  <w:num w:numId="10">
    <w:abstractNumId w:val="6"/>
  </w:num>
  <w:num w:numId="11">
    <w:abstractNumId w:val="19"/>
  </w:num>
  <w:num w:numId="12">
    <w:abstractNumId w:val="7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0"/>
  </w:num>
  <w:num w:numId="18">
    <w:abstractNumId w:val="13"/>
  </w:num>
  <w:num w:numId="19">
    <w:abstractNumId w:val="1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BB"/>
    <w:rsid w:val="0000413B"/>
    <w:rsid w:val="000213BB"/>
    <w:rsid w:val="0003208E"/>
    <w:rsid w:val="00035044"/>
    <w:rsid w:val="00035E7B"/>
    <w:rsid w:val="00035F52"/>
    <w:rsid w:val="00040C08"/>
    <w:rsid w:val="00045DC5"/>
    <w:rsid w:val="000477BD"/>
    <w:rsid w:val="00053FE4"/>
    <w:rsid w:val="00057D97"/>
    <w:rsid w:val="00060463"/>
    <w:rsid w:val="00061BB8"/>
    <w:rsid w:val="00065010"/>
    <w:rsid w:val="00072C94"/>
    <w:rsid w:val="00084AF2"/>
    <w:rsid w:val="00086CC3"/>
    <w:rsid w:val="00091EDF"/>
    <w:rsid w:val="00095C0B"/>
    <w:rsid w:val="000A0642"/>
    <w:rsid w:val="000A19C4"/>
    <w:rsid w:val="000A26B0"/>
    <w:rsid w:val="000A3748"/>
    <w:rsid w:val="000A7569"/>
    <w:rsid w:val="000B33A2"/>
    <w:rsid w:val="000B5C39"/>
    <w:rsid w:val="000B66E0"/>
    <w:rsid w:val="000C0C2B"/>
    <w:rsid w:val="000D5515"/>
    <w:rsid w:val="000D5F3E"/>
    <w:rsid w:val="000E3027"/>
    <w:rsid w:val="000E4126"/>
    <w:rsid w:val="000E41D9"/>
    <w:rsid w:val="000E66D8"/>
    <w:rsid w:val="000F1AE9"/>
    <w:rsid w:val="000F2738"/>
    <w:rsid w:val="000F3324"/>
    <w:rsid w:val="000F4AA0"/>
    <w:rsid w:val="000F6047"/>
    <w:rsid w:val="000F77A8"/>
    <w:rsid w:val="0010087A"/>
    <w:rsid w:val="00105FA6"/>
    <w:rsid w:val="00107F0F"/>
    <w:rsid w:val="00111833"/>
    <w:rsid w:val="00117B9F"/>
    <w:rsid w:val="001373DF"/>
    <w:rsid w:val="001524DC"/>
    <w:rsid w:val="00156408"/>
    <w:rsid w:val="0016553B"/>
    <w:rsid w:val="00165936"/>
    <w:rsid w:val="0017067D"/>
    <w:rsid w:val="001756F1"/>
    <w:rsid w:val="00183E08"/>
    <w:rsid w:val="00183ED0"/>
    <w:rsid w:val="00185D91"/>
    <w:rsid w:val="0018779D"/>
    <w:rsid w:val="00192508"/>
    <w:rsid w:val="0019266E"/>
    <w:rsid w:val="00195D1B"/>
    <w:rsid w:val="001A2C68"/>
    <w:rsid w:val="001B648F"/>
    <w:rsid w:val="001C2148"/>
    <w:rsid w:val="001C2DEB"/>
    <w:rsid w:val="001C73C8"/>
    <w:rsid w:val="001D1492"/>
    <w:rsid w:val="001D568D"/>
    <w:rsid w:val="001E13AC"/>
    <w:rsid w:val="001E1502"/>
    <w:rsid w:val="001E6C6A"/>
    <w:rsid w:val="001F25C1"/>
    <w:rsid w:val="002017F4"/>
    <w:rsid w:val="00201ADD"/>
    <w:rsid w:val="00202CF2"/>
    <w:rsid w:val="00203CA4"/>
    <w:rsid w:val="0020410B"/>
    <w:rsid w:val="00210102"/>
    <w:rsid w:val="00215F75"/>
    <w:rsid w:val="002168C8"/>
    <w:rsid w:val="00220E02"/>
    <w:rsid w:val="00223556"/>
    <w:rsid w:val="00223560"/>
    <w:rsid w:val="00225DC3"/>
    <w:rsid w:val="00226809"/>
    <w:rsid w:val="002312C0"/>
    <w:rsid w:val="002350A1"/>
    <w:rsid w:val="00237AFE"/>
    <w:rsid w:val="002507E5"/>
    <w:rsid w:val="002542E1"/>
    <w:rsid w:val="00255196"/>
    <w:rsid w:val="00260E51"/>
    <w:rsid w:val="00261FFD"/>
    <w:rsid w:val="00263672"/>
    <w:rsid w:val="002665BF"/>
    <w:rsid w:val="00270D6B"/>
    <w:rsid w:val="00284B31"/>
    <w:rsid w:val="00295DFD"/>
    <w:rsid w:val="002A7135"/>
    <w:rsid w:val="002A77A6"/>
    <w:rsid w:val="002B3686"/>
    <w:rsid w:val="002B6435"/>
    <w:rsid w:val="002E5803"/>
    <w:rsid w:val="002F1FA5"/>
    <w:rsid w:val="002F3AB0"/>
    <w:rsid w:val="002F528B"/>
    <w:rsid w:val="002F79E9"/>
    <w:rsid w:val="00300D4C"/>
    <w:rsid w:val="0030522C"/>
    <w:rsid w:val="00310242"/>
    <w:rsid w:val="003106C1"/>
    <w:rsid w:val="00317262"/>
    <w:rsid w:val="0032207F"/>
    <w:rsid w:val="00331FCF"/>
    <w:rsid w:val="00333737"/>
    <w:rsid w:val="00337D23"/>
    <w:rsid w:val="003407E3"/>
    <w:rsid w:val="003410E0"/>
    <w:rsid w:val="00344ED5"/>
    <w:rsid w:val="0035414D"/>
    <w:rsid w:val="00362F60"/>
    <w:rsid w:val="00366F15"/>
    <w:rsid w:val="0037196C"/>
    <w:rsid w:val="0037538F"/>
    <w:rsid w:val="00376585"/>
    <w:rsid w:val="00376F2E"/>
    <w:rsid w:val="00377BAA"/>
    <w:rsid w:val="00382038"/>
    <w:rsid w:val="003846B7"/>
    <w:rsid w:val="003857A3"/>
    <w:rsid w:val="00385996"/>
    <w:rsid w:val="003877C7"/>
    <w:rsid w:val="0039370D"/>
    <w:rsid w:val="00394843"/>
    <w:rsid w:val="00394DD3"/>
    <w:rsid w:val="003A561B"/>
    <w:rsid w:val="003A6082"/>
    <w:rsid w:val="003B23FE"/>
    <w:rsid w:val="003B34FC"/>
    <w:rsid w:val="003C308A"/>
    <w:rsid w:val="003C5260"/>
    <w:rsid w:val="003C70FD"/>
    <w:rsid w:val="003C7A25"/>
    <w:rsid w:val="003C7FAB"/>
    <w:rsid w:val="003D104A"/>
    <w:rsid w:val="003D4786"/>
    <w:rsid w:val="003D7C57"/>
    <w:rsid w:val="003D7EC9"/>
    <w:rsid w:val="003E5997"/>
    <w:rsid w:val="003E68B0"/>
    <w:rsid w:val="003E75A1"/>
    <w:rsid w:val="003F145D"/>
    <w:rsid w:val="003F7A9C"/>
    <w:rsid w:val="0040128C"/>
    <w:rsid w:val="00402453"/>
    <w:rsid w:val="00411223"/>
    <w:rsid w:val="004138CD"/>
    <w:rsid w:val="00414834"/>
    <w:rsid w:val="004201FA"/>
    <w:rsid w:val="0042294D"/>
    <w:rsid w:val="0042440B"/>
    <w:rsid w:val="00425060"/>
    <w:rsid w:val="0043688B"/>
    <w:rsid w:val="004439B6"/>
    <w:rsid w:val="00445795"/>
    <w:rsid w:val="00445D10"/>
    <w:rsid w:val="0044769A"/>
    <w:rsid w:val="00447C4E"/>
    <w:rsid w:val="00453889"/>
    <w:rsid w:val="00455AC7"/>
    <w:rsid w:val="0045764A"/>
    <w:rsid w:val="00460D0A"/>
    <w:rsid w:val="0046760F"/>
    <w:rsid w:val="00470D19"/>
    <w:rsid w:val="0047374C"/>
    <w:rsid w:val="004743AE"/>
    <w:rsid w:val="00481397"/>
    <w:rsid w:val="00482C7F"/>
    <w:rsid w:val="0048346E"/>
    <w:rsid w:val="00484B95"/>
    <w:rsid w:val="00487E55"/>
    <w:rsid w:val="00491172"/>
    <w:rsid w:val="00492215"/>
    <w:rsid w:val="00492C2E"/>
    <w:rsid w:val="004A01A3"/>
    <w:rsid w:val="004A0918"/>
    <w:rsid w:val="004A5947"/>
    <w:rsid w:val="004A73E2"/>
    <w:rsid w:val="004A780A"/>
    <w:rsid w:val="004B1AEA"/>
    <w:rsid w:val="004B2540"/>
    <w:rsid w:val="004B2CEE"/>
    <w:rsid w:val="004B3FEB"/>
    <w:rsid w:val="004C3438"/>
    <w:rsid w:val="004D4CB2"/>
    <w:rsid w:val="004E1A64"/>
    <w:rsid w:val="004E25A5"/>
    <w:rsid w:val="004E54CF"/>
    <w:rsid w:val="004F1F25"/>
    <w:rsid w:val="00501C5A"/>
    <w:rsid w:val="00516CD3"/>
    <w:rsid w:val="00520140"/>
    <w:rsid w:val="00521BE2"/>
    <w:rsid w:val="005260C8"/>
    <w:rsid w:val="00534B95"/>
    <w:rsid w:val="00537D81"/>
    <w:rsid w:val="0054220B"/>
    <w:rsid w:val="00542CAE"/>
    <w:rsid w:val="00543DF4"/>
    <w:rsid w:val="00544F3F"/>
    <w:rsid w:val="00545E20"/>
    <w:rsid w:val="0054625B"/>
    <w:rsid w:val="00547E4C"/>
    <w:rsid w:val="0055125E"/>
    <w:rsid w:val="00553D27"/>
    <w:rsid w:val="0057048E"/>
    <w:rsid w:val="00574CFE"/>
    <w:rsid w:val="00577B06"/>
    <w:rsid w:val="00577E2A"/>
    <w:rsid w:val="005839B0"/>
    <w:rsid w:val="00585914"/>
    <w:rsid w:val="00585A59"/>
    <w:rsid w:val="005869CD"/>
    <w:rsid w:val="00594E71"/>
    <w:rsid w:val="00595E7F"/>
    <w:rsid w:val="005A45E6"/>
    <w:rsid w:val="005A6F08"/>
    <w:rsid w:val="005B1142"/>
    <w:rsid w:val="005B136D"/>
    <w:rsid w:val="005B7E51"/>
    <w:rsid w:val="005C6A17"/>
    <w:rsid w:val="005D54BD"/>
    <w:rsid w:val="005D5A6F"/>
    <w:rsid w:val="005F0005"/>
    <w:rsid w:val="005F0A3E"/>
    <w:rsid w:val="005F319F"/>
    <w:rsid w:val="005F5853"/>
    <w:rsid w:val="00605F99"/>
    <w:rsid w:val="00607930"/>
    <w:rsid w:val="006217B0"/>
    <w:rsid w:val="00622F8B"/>
    <w:rsid w:val="0062689F"/>
    <w:rsid w:val="00633C2A"/>
    <w:rsid w:val="00636E1B"/>
    <w:rsid w:val="00637FC9"/>
    <w:rsid w:val="00643768"/>
    <w:rsid w:val="00645CCF"/>
    <w:rsid w:val="00646DDF"/>
    <w:rsid w:val="00653773"/>
    <w:rsid w:val="0065625E"/>
    <w:rsid w:val="00674434"/>
    <w:rsid w:val="006747D5"/>
    <w:rsid w:val="006822E9"/>
    <w:rsid w:val="006825A7"/>
    <w:rsid w:val="00692192"/>
    <w:rsid w:val="006921D3"/>
    <w:rsid w:val="00695C27"/>
    <w:rsid w:val="0069749F"/>
    <w:rsid w:val="006A530D"/>
    <w:rsid w:val="006A7C49"/>
    <w:rsid w:val="006B39AF"/>
    <w:rsid w:val="006B3D0C"/>
    <w:rsid w:val="006B57ED"/>
    <w:rsid w:val="006D0B98"/>
    <w:rsid w:val="006D210E"/>
    <w:rsid w:val="006D53D6"/>
    <w:rsid w:val="006D675E"/>
    <w:rsid w:val="006D765B"/>
    <w:rsid w:val="006E062A"/>
    <w:rsid w:val="006E25B9"/>
    <w:rsid w:val="006E38B1"/>
    <w:rsid w:val="006E53F5"/>
    <w:rsid w:val="006E688C"/>
    <w:rsid w:val="006E6F00"/>
    <w:rsid w:val="006F1223"/>
    <w:rsid w:val="006F5888"/>
    <w:rsid w:val="006F6EC2"/>
    <w:rsid w:val="00700C38"/>
    <w:rsid w:val="00702962"/>
    <w:rsid w:val="00703634"/>
    <w:rsid w:val="00714FFC"/>
    <w:rsid w:val="00725075"/>
    <w:rsid w:val="00726754"/>
    <w:rsid w:val="00727B30"/>
    <w:rsid w:val="0073192C"/>
    <w:rsid w:val="00734137"/>
    <w:rsid w:val="0073467D"/>
    <w:rsid w:val="00735BC2"/>
    <w:rsid w:val="00736B1A"/>
    <w:rsid w:val="00744BE5"/>
    <w:rsid w:val="0074610D"/>
    <w:rsid w:val="00747CF4"/>
    <w:rsid w:val="00750AAD"/>
    <w:rsid w:val="007519E5"/>
    <w:rsid w:val="00751D9B"/>
    <w:rsid w:val="00755E77"/>
    <w:rsid w:val="00756F4D"/>
    <w:rsid w:val="00765CCB"/>
    <w:rsid w:val="00767358"/>
    <w:rsid w:val="00775E48"/>
    <w:rsid w:val="00776A5F"/>
    <w:rsid w:val="00777A22"/>
    <w:rsid w:val="00780B76"/>
    <w:rsid w:val="007828FE"/>
    <w:rsid w:val="00784829"/>
    <w:rsid w:val="00791C7D"/>
    <w:rsid w:val="0079655B"/>
    <w:rsid w:val="00797A27"/>
    <w:rsid w:val="007A3736"/>
    <w:rsid w:val="007A61A5"/>
    <w:rsid w:val="007B2454"/>
    <w:rsid w:val="007B379D"/>
    <w:rsid w:val="007B5E89"/>
    <w:rsid w:val="007D1035"/>
    <w:rsid w:val="007D461A"/>
    <w:rsid w:val="007D6481"/>
    <w:rsid w:val="007E59CC"/>
    <w:rsid w:val="007F5948"/>
    <w:rsid w:val="007F710B"/>
    <w:rsid w:val="00801E9D"/>
    <w:rsid w:val="00827F77"/>
    <w:rsid w:val="00830FFB"/>
    <w:rsid w:val="008372A0"/>
    <w:rsid w:val="008401FA"/>
    <w:rsid w:val="00840E73"/>
    <w:rsid w:val="00846B64"/>
    <w:rsid w:val="00850473"/>
    <w:rsid w:val="00851535"/>
    <w:rsid w:val="00851904"/>
    <w:rsid w:val="00876701"/>
    <w:rsid w:val="00877E65"/>
    <w:rsid w:val="00886F05"/>
    <w:rsid w:val="00892552"/>
    <w:rsid w:val="00894E62"/>
    <w:rsid w:val="0089748D"/>
    <w:rsid w:val="008B3A58"/>
    <w:rsid w:val="008C1535"/>
    <w:rsid w:val="008D101D"/>
    <w:rsid w:val="008D2428"/>
    <w:rsid w:val="008E5442"/>
    <w:rsid w:val="008E7341"/>
    <w:rsid w:val="008F7DD2"/>
    <w:rsid w:val="009037EB"/>
    <w:rsid w:val="009039FF"/>
    <w:rsid w:val="00912C03"/>
    <w:rsid w:val="00914C8F"/>
    <w:rsid w:val="00920F28"/>
    <w:rsid w:val="00921932"/>
    <w:rsid w:val="00923E1F"/>
    <w:rsid w:val="0092449E"/>
    <w:rsid w:val="00924685"/>
    <w:rsid w:val="00931232"/>
    <w:rsid w:val="0093147F"/>
    <w:rsid w:val="0093573D"/>
    <w:rsid w:val="00936712"/>
    <w:rsid w:val="009409AA"/>
    <w:rsid w:val="00944AC4"/>
    <w:rsid w:val="00944FB9"/>
    <w:rsid w:val="009503D5"/>
    <w:rsid w:val="00951EFE"/>
    <w:rsid w:val="009526B2"/>
    <w:rsid w:val="009529DD"/>
    <w:rsid w:val="00952FB3"/>
    <w:rsid w:val="00953C7A"/>
    <w:rsid w:val="009553B6"/>
    <w:rsid w:val="00955E89"/>
    <w:rsid w:val="00970E05"/>
    <w:rsid w:val="00973092"/>
    <w:rsid w:val="009733A4"/>
    <w:rsid w:val="0098224B"/>
    <w:rsid w:val="00983DA0"/>
    <w:rsid w:val="0098700A"/>
    <w:rsid w:val="0099087B"/>
    <w:rsid w:val="009927E5"/>
    <w:rsid w:val="009A15B2"/>
    <w:rsid w:val="009B2060"/>
    <w:rsid w:val="009B355A"/>
    <w:rsid w:val="009C06B9"/>
    <w:rsid w:val="009C65E8"/>
    <w:rsid w:val="009D10E5"/>
    <w:rsid w:val="009D48C9"/>
    <w:rsid w:val="009D6320"/>
    <w:rsid w:val="009E2835"/>
    <w:rsid w:val="009E3B66"/>
    <w:rsid w:val="009E5AF1"/>
    <w:rsid w:val="009E7832"/>
    <w:rsid w:val="009F0F4F"/>
    <w:rsid w:val="009F1E53"/>
    <w:rsid w:val="00A00D03"/>
    <w:rsid w:val="00A0267F"/>
    <w:rsid w:val="00A03783"/>
    <w:rsid w:val="00A05C7D"/>
    <w:rsid w:val="00A06303"/>
    <w:rsid w:val="00A06C55"/>
    <w:rsid w:val="00A07BB3"/>
    <w:rsid w:val="00A15ABE"/>
    <w:rsid w:val="00A16723"/>
    <w:rsid w:val="00A23D00"/>
    <w:rsid w:val="00A337BD"/>
    <w:rsid w:val="00A36C77"/>
    <w:rsid w:val="00A45CA3"/>
    <w:rsid w:val="00A45D4D"/>
    <w:rsid w:val="00A52666"/>
    <w:rsid w:val="00A57183"/>
    <w:rsid w:val="00A57D87"/>
    <w:rsid w:val="00A614D8"/>
    <w:rsid w:val="00A6606B"/>
    <w:rsid w:val="00A66B31"/>
    <w:rsid w:val="00A67F8D"/>
    <w:rsid w:val="00A70106"/>
    <w:rsid w:val="00A70780"/>
    <w:rsid w:val="00A719E3"/>
    <w:rsid w:val="00A742C0"/>
    <w:rsid w:val="00A81A9F"/>
    <w:rsid w:val="00A91CF9"/>
    <w:rsid w:val="00A9614C"/>
    <w:rsid w:val="00A969DD"/>
    <w:rsid w:val="00A97288"/>
    <w:rsid w:val="00AA2A4E"/>
    <w:rsid w:val="00AA3C59"/>
    <w:rsid w:val="00AA6B72"/>
    <w:rsid w:val="00AA7CBE"/>
    <w:rsid w:val="00AB007E"/>
    <w:rsid w:val="00AB2995"/>
    <w:rsid w:val="00AB699E"/>
    <w:rsid w:val="00AC4AF3"/>
    <w:rsid w:val="00AC716D"/>
    <w:rsid w:val="00AC79D8"/>
    <w:rsid w:val="00AD3589"/>
    <w:rsid w:val="00AD554F"/>
    <w:rsid w:val="00AD6418"/>
    <w:rsid w:val="00AE25FC"/>
    <w:rsid w:val="00AE2A12"/>
    <w:rsid w:val="00AF3868"/>
    <w:rsid w:val="00AF4077"/>
    <w:rsid w:val="00AF45CA"/>
    <w:rsid w:val="00AF5F8A"/>
    <w:rsid w:val="00AF65B4"/>
    <w:rsid w:val="00AF73EA"/>
    <w:rsid w:val="00B0074B"/>
    <w:rsid w:val="00B02C0B"/>
    <w:rsid w:val="00B153D7"/>
    <w:rsid w:val="00B16E05"/>
    <w:rsid w:val="00B179BD"/>
    <w:rsid w:val="00B17DFC"/>
    <w:rsid w:val="00B22163"/>
    <w:rsid w:val="00B23AFB"/>
    <w:rsid w:val="00B246F6"/>
    <w:rsid w:val="00B24E11"/>
    <w:rsid w:val="00B31112"/>
    <w:rsid w:val="00B337DB"/>
    <w:rsid w:val="00B36A3E"/>
    <w:rsid w:val="00B4099F"/>
    <w:rsid w:val="00B43E76"/>
    <w:rsid w:val="00B471EE"/>
    <w:rsid w:val="00B47340"/>
    <w:rsid w:val="00B623F7"/>
    <w:rsid w:val="00B63697"/>
    <w:rsid w:val="00B75285"/>
    <w:rsid w:val="00B760A8"/>
    <w:rsid w:val="00B8322E"/>
    <w:rsid w:val="00B840F1"/>
    <w:rsid w:val="00B84469"/>
    <w:rsid w:val="00B94962"/>
    <w:rsid w:val="00BB24D8"/>
    <w:rsid w:val="00BB5B9D"/>
    <w:rsid w:val="00BB65A4"/>
    <w:rsid w:val="00BC26D3"/>
    <w:rsid w:val="00BC5AD8"/>
    <w:rsid w:val="00BC6098"/>
    <w:rsid w:val="00BD2D2B"/>
    <w:rsid w:val="00BD3167"/>
    <w:rsid w:val="00BE1034"/>
    <w:rsid w:val="00BE34D0"/>
    <w:rsid w:val="00BE498B"/>
    <w:rsid w:val="00BF0E3C"/>
    <w:rsid w:val="00BF5C09"/>
    <w:rsid w:val="00BF5F28"/>
    <w:rsid w:val="00C00C53"/>
    <w:rsid w:val="00C018A8"/>
    <w:rsid w:val="00C0378F"/>
    <w:rsid w:val="00C04884"/>
    <w:rsid w:val="00C05B1B"/>
    <w:rsid w:val="00C06259"/>
    <w:rsid w:val="00C07B93"/>
    <w:rsid w:val="00C12272"/>
    <w:rsid w:val="00C1460A"/>
    <w:rsid w:val="00C14A22"/>
    <w:rsid w:val="00C2320B"/>
    <w:rsid w:val="00C26280"/>
    <w:rsid w:val="00C2697B"/>
    <w:rsid w:val="00C3111B"/>
    <w:rsid w:val="00C37979"/>
    <w:rsid w:val="00C41548"/>
    <w:rsid w:val="00C43711"/>
    <w:rsid w:val="00C4493B"/>
    <w:rsid w:val="00C46F9D"/>
    <w:rsid w:val="00C5630D"/>
    <w:rsid w:val="00C56A01"/>
    <w:rsid w:val="00C57BF0"/>
    <w:rsid w:val="00C72F96"/>
    <w:rsid w:val="00C738A2"/>
    <w:rsid w:val="00C81D15"/>
    <w:rsid w:val="00C839A6"/>
    <w:rsid w:val="00C846CE"/>
    <w:rsid w:val="00C86A7A"/>
    <w:rsid w:val="00CA522E"/>
    <w:rsid w:val="00CB4FC7"/>
    <w:rsid w:val="00CC4DFB"/>
    <w:rsid w:val="00CC6950"/>
    <w:rsid w:val="00CD2943"/>
    <w:rsid w:val="00CD31EB"/>
    <w:rsid w:val="00CD3FBE"/>
    <w:rsid w:val="00CD5440"/>
    <w:rsid w:val="00CE134D"/>
    <w:rsid w:val="00CF7F6A"/>
    <w:rsid w:val="00D06865"/>
    <w:rsid w:val="00D07E8B"/>
    <w:rsid w:val="00D142DF"/>
    <w:rsid w:val="00D15411"/>
    <w:rsid w:val="00D15DEF"/>
    <w:rsid w:val="00D1681A"/>
    <w:rsid w:val="00D17A6A"/>
    <w:rsid w:val="00D22B6E"/>
    <w:rsid w:val="00D23E56"/>
    <w:rsid w:val="00D33621"/>
    <w:rsid w:val="00D341D5"/>
    <w:rsid w:val="00D3747B"/>
    <w:rsid w:val="00D376A5"/>
    <w:rsid w:val="00D419B3"/>
    <w:rsid w:val="00D43D31"/>
    <w:rsid w:val="00D520C0"/>
    <w:rsid w:val="00D563EB"/>
    <w:rsid w:val="00D5703B"/>
    <w:rsid w:val="00D60926"/>
    <w:rsid w:val="00D70007"/>
    <w:rsid w:val="00D72344"/>
    <w:rsid w:val="00D72BA0"/>
    <w:rsid w:val="00D747D7"/>
    <w:rsid w:val="00D807BA"/>
    <w:rsid w:val="00D8179A"/>
    <w:rsid w:val="00D85E58"/>
    <w:rsid w:val="00DA3CF5"/>
    <w:rsid w:val="00DA3EC8"/>
    <w:rsid w:val="00DA4CC0"/>
    <w:rsid w:val="00DA71BE"/>
    <w:rsid w:val="00DA7E62"/>
    <w:rsid w:val="00DB0B3A"/>
    <w:rsid w:val="00DB19DE"/>
    <w:rsid w:val="00DB7167"/>
    <w:rsid w:val="00DC22C2"/>
    <w:rsid w:val="00DC2D13"/>
    <w:rsid w:val="00DC2F13"/>
    <w:rsid w:val="00DC38B5"/>
    <w:rsid w:val="00DC5E1A"/>
    <w:rsid w:val="00DC6AAD"/>
    <w:rsid w:val="00DD29F3"/>
    <w:rsid w:val="00DD3B88"/>
    <w:rsid w:val="00DD4A96"/>
    <w:rsid w:val="00DD50E9"/>
    <w:rsid w:val="00DD6830"/>
    <w:rsid w:val="00DE578B"/>
    <w:rsid w:val="00DE5F20"/>
    <w:rsid w:val="00DE775E"/>
    <w:rsid w:val="00DE7CE0"/>
    <w:rsid w:val="00DF074C"/>
    <w:rsid w:val="00DF4020"/>
    <w:rsid w:val="00DF46FE"/>
    <w:rsid w:val="00DF6084"/>
    <w:rsid w:val="00E0472D"/>
    <w:rsid w:val="00E06D86"/>
    <w:rsid w:val="00E14079"/>
    <w:rsid w:val="00E16C04"/>
    <w:rsid w:val="00E17DD1"/>
    <w:rsid w:val="00E21F52"/>
    <w:rsid w:val="00E22EE9"/>
    <w:rsid w:val="00E23AD4"/>
    <w:rsid w:val="00E2486D"/>
    <w:rsid w:val="00E25B0E"/>
    <w:rsid w:val="00E25F05"/>
    <w:rsid w:val="00E3051F"/>
    <w:rsid w:val="00E3246D"/>
    <w:rsid w:val="00E32EBA"/>
    <w:rsid w:val="00E3415D"/>
    <w:rsid w:val="00E442A7"/>
    <w:rsid w:val="00E52A87"/>
    <w:rsid w:val="00E546E5"/>
    <w:rsid w:val="00E63A28"/>
    <w:rsid w:val="00E709E1"/>
    <w:rsid w:val="00E715A9"/>
    <w:rsid w:val="00E735D7"/>
    <w:rsid w:val="00E8345D"/>
    <w:rsid w:val="00E8393F"/>
    <w:rsid w:val="00E84047"/>
    <w:rsid w:val="00E84D16"/>
    <w:rsid w:val="00E85CD8"/>
    <w:rsid w:val="00E904DF"/>
    <w:rsid w:val="00E969E7"/>
    <w:rsid w:val="00E97DCE"/>
    <w:rsid w:val="00EA7A5D"/>
    <w:rsid w:val="00EA7B12"/>
    <w:rsid w:val="00EA7C3C"/>
    <w:rsid w:val="00EB148A"/>
    <w:rsid w:val="00EB21B3"/>
    <w:rsid w:val="00EB2F06"/>
    <w:rsid w:val="00EB31FB"/>
    <w:rsid w:val="00EB7D55"/>
    <w:rsid w:val="00ED13C5"/>
    <w:rsid w:val="00EE1C05"/>
    <w:rsid w:val="00EF196A"/>
    <w:rsid w:val="00EF3925"/>
    <w:rsid w:val="00EF473F"/>
    <w:rsid w:val="00EF54E2"/>
    <w:rsid w:val="00EF789A"/>
    <w:rsid w:val="00F012C6"/>
    <w:rsid w:val="00F01469"/>
    <w:rsid w:val="00F01A4C"/>
    <w:rsid w:val="00F064CD"/>
    <w:rsid w:val="00F10EB7"/>
    <w:rsid w:val="00F11659"/>
    <w:rsid w:val="00F24B62"/>
    <w:rsid w:val="00F272C0"/>
    <w:rsid w:val="00F36F47"/>
    <w:rsid w:val="00F42D3D"/>
    <w:rsid w:val="00F52961"/>
    <w:rsid w:val="00F63E4B"/>
    <w:rsid w:val="00F74981"/>
    <w:rsid w:val="00F804A3"/>
    <w:rsid w:val="00F82A01"/>
    <w:rsid w:val="00F97427"/>
    <w:rsid w:val="00FA193B"/>
    <w:rsid w:val="00FA230B"/>
    <w:rsid w:val="00FA417D"/>
    <w:rsid w:val="00FA70C5"/>
    <w:rsid w:val="00FA780E"/>
    <w:rsid w:val="00FB3E03"/>
    <w:rsid w:val="00FB55AE"/>
    <w:rsid w:val="00FC49E9"/>
    <w:rsid w:val="00FC4F60"/>
    <w:rsid w:val="00FD12FE"/>
    <w:rsid w:val="00FD33AA"/>
    <w:rsid w:val="00FD4E84"/>
    <w:rsid w:val="00FD7B20"/>
    <w:rsid w:val="00FE0F4E"/>
    <w:rsid w:val="00FE1609"/>
    <w:rsid w:val="00FE4692"/>
    <w:rsid w:val="00FE6AC6"/>
    <w:rsid w:val="00FE7480"/>
    <w:rsid w:val="00FF43A4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B19C"/>
  <w15:docId w15:val="{77ABF31E-AFC4-4550-9C23-180BC194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67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2038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1932"/>
    <w:pPr>
      <w:ind w:left="720"/>
      <w:contextualSpacing/>
    </w:pPr>
    <w:rPr>
      <w:rFonts w:ascii="Calibri" w:hAnsi="Calibri"/>
      <w:sz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FB55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55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55AE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55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55AE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E"/>
    <w:rPr>
      <w:rFonts w:ascii="Tahoma" w:eastAsia="Calibri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35F52"/>
    <w:pPr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82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staknuto">
    <w:name w:val="Emphasis"/>
    <w:basedOn w:val="Zadanifontodlomka"/>
    <w:uiPriority w:val="20"/>
    <w:qFormat/>
    <w:rsid w:val="00382038"/>
    <w:rPr>
      <w:i/>
      <w:iCs/>
    </w:rPr>
  </w:style>
  <w:style w:type="paragraph" w:customStyle="1" w:styleId="t-12-9-sred">
    <w:name w:val="t-12-9-sred"/>
    <w:basedOn w:val="Normal"/>
    <w:rsid w:val="006E6F00"/>
    <w:pP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character" w:customStyle="1" w:styleId="defaultparagraphfont-000018">
    <w:name w:val="defaultparagraphfont-000018"/>
    <w:basedOn w:val="Zadanifontodlomka"/>
    <w:rsid w:val="009D6320"/>
    <w:rPr>
      <w:rFonts w:ascii="Cambria" w:hAnsi="Cambria" w:hint="default"/>
      <w:b w:val="0"/>
      <w:bCs w:val="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676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2507E5"/>
    <w:pPr>
      <w:widowControl w:val="0"/>
      <w:autoSpaceDE w:val="0"/>
      <w:autoSpaceDN w:val="0"/>
    </w:pPr>
    <w:rPr>
      <w:rFonts w:eastAsia="Times New Roman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507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7C1D-D8C7-4AF1-84A8-969EE67E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3415</Words>
  <Characters>19469</Characters>
  <Application>Microsoft Office Word</Application>
  <DocSecurity>4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Dominić</cp:lastModifiedBy>
  <cp:revision>2</cp:revision>
  <cp:lastPrinted>2021-09-03T08:23:00Z</cp:lastPrinted>
  <dcterms:created xsi:type="dcterms:W3CDTF">2021-09-03T12:46:00Z</dcterms:created>
  <dcterms:modified xsi:type="dcterms:W3CDTF">2021-09-03T12:46:00Z</dcterms:modified>
</cp:coreProperties>
</file>